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2"/>
          <w:szCs w:val="22"/>
          <w:color w:val="auto"/>
        </w:rPr>
        <w:t>Use these links to rapidly review the document</w:t>
      </w:r>
    </w:p>
    <w:p>
      <w:pPr>
        <w:spacing w:after="0" w:line="8" w:lineRule="exact"/>
        <w:rPr>
          <w:sz w:val="24"/>
          <w:szCs w:val="24"/>
          <w:color w:val="auto"/>
        </w:rPr>
      </w:pPr>
    </w:p>
    <w:p>
      <w:pPr>
        <w:spacing w:after="0"/>
        <w:rPr>
          <w:rFonts w:ascii="Arial" w:cs="Arial" w:eastAsia="Arial" w:hAnsi="Arial"/>
          <w:sz w:val="22"/>
          <w:szCs w:val="22"/>
          <w:u w:val="single" w:color="auto"/>
          <w:color w:val="0000EE"/>
        </w:rPr>
      </w:pPr>
      <w:hyperlink w:anchor="page3">
        <w:r>
          <w:rPr>
            <w:rFonts w:ascii="Arial" w:cs="Arial" w:eastAsia="Arial" w:hAnsi="Arial"/>
            <w:sz w:val="22"/>
            <w:szCs w:val="22"/>
            <w:u w:val="single" w:color="auto"/>
            <w:color w:val="0000EE"/>
          </w:rPr>
          <w:t>TABLE OF CONTENTS</w:t>
        </w:r>
      </w:hyperlink>
    </w:p>
    <w:p>
      <w:pPr>
        <w:spacing w:after="0" w:line="201" w:lineRule="exact"/>
        <w:rPr>
          <w:sz w:val="24"/>
          <w:szCs w:val="24"/>
          <w:color w:val="auto"/>
        </w:rPr>
      </w:pPr>
    </w:p>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148590</wp:posOffset>
            </wp:positionV>
            <wp:extent cx="7246620" cy="4318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43180"/>
                    </a:xfrm>
                    <a:prstGeom prst="rect">
                      <a:avLst/>
                    </a:prstGeom>
                    <a:noFill/>
                  </pic:spPr>
                </pic:pic>
              </a:graphicData>
            </a:graphic>
          </wp:anchor>
        </w:drawing>
      </w:r>
    </w:p>
    <w:p>
      <w:pPr>
        <w:spacing w:after="0" w:line="200" w:lineRule="exact"/>
        <w:rPr>
          <w:sz w:val="24"/>
          <w:szCs w:val="24"/>
          <w:color w:val="auto"/>
        </w:rPr>
      </w:pPr>
    </w:p>
    <w:p>
      <w:pPr>
        <w:spacing w:after="0" w:line="269" w:lineRule="exact"/>
        <w:rPr>
          <w:sz w:val="24"/>
          <w:szCs w:val="24"/>
          <w:color w:val="auto"/>
        </w:rPr>
      </w:pPr>
    </w:p>
    <w:p>
      <w:pPr>
        <w:jc w:val="center"/>
        <w:ind w:right="-19"/>
        <w:spacing w:after="0"/>
        <w:rPr>
          <w:sz w:val="20"/>
          <w:szCs w:val="20"/>
          <w:color w:val="auto"/>
        </w:rPr>
      </w:pPr>
      <w:r>
        <w:rPr>
          <w:rFonts w:ascii="Arial" w:cs="Arial" w:eastAsia="Arial" w:hAnsi="Arial"/>
          <w:sz w:val="24"/>
          <w:szCs w:val="24"/>
          <w:b w:val="1"/>
          <w:bCs w:val="1"/>
          <w:color w:val="auto"/>
        </w:rPr>
        <w:t>UNITED STATES</w:t>
      </w:r>
    </w:p>
    <w:p>
      <w:pPr>
        <w:spacing w:after="0" w:line="36" w:lineRule="exact"/>
        <w:rPr>
          <w:sz w:val="24"/>
          <w:szCs w:val="24"/>
          <w:color w:val="auto"/>
        </w:rPr>
      </w:pPr>
    </w:p>
    <w:p>
      <w:pPr>
        <w:jc w:val="center"/>
        <w:ind w:right="-19"/>
        <w:spacing w:after="0"/>
        <w:rPr>
          <w:sz w:val="20"/>
          <w:szCs w:val="20"/>
          <w:color w:val="auto"/>
        </w:rPr>
      </w:pPr>
      <w:r>
        <w:rPr>
          <w:rFonts w:ascii="Arial" w:cs="Arial" w:eastAsia="Arial" w:hAnsi="Arial"/>
          <w:sz w:val="24"/>
          <w:szCs w:val="24"/>
          <w:b w:val="1"/>
          <w:bCs w:val="1"/>
          <w:color w:val="auto"/>
        </w:rPr>
        <w:t>SECURITIES AND EXCHANGE COMMISSION</w:t>
      </w:r>
    </w:p>
    <w:p>
      <w:pPr>
        <w:spacing w:after="0" w:line="13"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Washington, D.C. 20549</w:t>
      </w:r>
    </w:p>
    <w:p>
      <w:pPr>
        <w:spacing w:after="0" w:line="192" w:lineRule="exact"/>
        <w:rPr>
          <w:sz w:val="24"/>
          <w:szCs w:val="24"/>
          <w:color w:val="auto"/>
        </w:rPr>
      </w:pPr>
    </w:p>
    <w:p>
      <w:pPr>
        <w:jc w:val="center"/>
        <w:ind w:right="-19"/>
        <w:spacing w:after="0"/>
        <w:rPr>
          <w:sz w:val="20"/>
          <w:szCs w:val="20"/>
          <w:color w:val="auto"/>
        </w:rPr>
      </w:pPr>
      <w:r>
        <w:rPr>
          <w:rFonts w:ascii="Arial" w:cs="Arial" w:eastAsia="Arial" w:hAnsi="Arial"/>
          <w:sz w:val="24"/>
          <w:szCs w:val="24"/>
          <w:b w:val="1"/>
          <w:bCs w:val="1"/>
          <w:color w:val="auto"/>
        </w:rPr>
        <w:t>FORM 10-K</w:t>
      </w:r>
    </w:p>
    <w:p>
      <w:pPr>
        <w:spacing w:after="0" w:line="238" w:lineRule="exact"/>
        <w:rPr>
          <w:sz w:val="24"/>
          <w:szCs w:val="24"/>
          <w:color w:val="auto"/>
        </w:rPr>
      </w:pPr>
    </w:p>
    <w:p>
      <w:pPr>
        <w:ind w:left="80"/>
        <w:spacing w:after="0"/>
        <w:rPr>
          <w:sz w:val="20"/>
          <w:szCs w:val="20"/>
          <w:color w:val="auto"/>
        </w:rPr>
      </w:pPr>
      <w:r>
        <w:rPr>
          <w:rFonts w:ascii="Arial" w:cs="Arial" w:eastAsia="Arial" w:hAnsi="Arial"/>
          <w:sz w:val="18"/>
          <w:szCs w:val="18"/>
          <w:b w:val="1"/>
          <w:bCs w:val="1"/>
          <w:color w:val="auto"/>
        </w:rPr>
        <w:t>(Mark one)</w:t>
      </w:r>
    </w:p>
    <w:p>
      <w:pPr>
        <w:spacing w:after="0" w:line="252" w:lineRule="exact"/>
        <w:rPr>
          <w:sz w:val="24"/>
          <w:szCs w:val="24"/>
          <w:color w:val="auto"/>
        </w:rPr>
      </w:pPr>
    </w:p>
    <w:p>
      <w:pPr>
        <w:ind w:left="4060" w:right="1660" w:hanging="3640"/>
        <w:spacing w:after="0" w:line="532" w:lineRule="auto"/>
        <w:tabs>
          <w:tab w:leader="none" w:pos="1158" w:val="left"/>
        </w:tabs>
        <w:numPr>
          <w:ilvl w:val="0"/>
          <w:numId w:val="1"/>
        </w:numPr>
        <w:rPr>
          <w:rFonts w:ascii="MS PGothic" w:cs="MS PGothic" w:eastAsia="MS PGothic" w:hAnsi="MS PGothic"/>
          <w:sz w:val="18"/>
          <w:szCs w:val="18"/>
          <w:color w:val="auto"/>
        </w:rPr>
      </w:pPr>
      <w:r>
        <w:rPr>
          <w:rFonts w:ascii="Arial" w:cs="Arial" w:eastAsia="Arial" w:hAnsi="Arial"/>
          <w:sz w:val="18"/>
          <w:szCs w:val="18"/>
          <w:b w:val="1"/>
          <w:bCs w:val="1"/>
          <w:color w:val="auto"/>
        </w:rPr>
        <w:t>ANNUAL REPORT PURSUANT TO SECTION 13 OR 15(D) OF THE SECURITIES EXCHANGE ACT OF 1934 For the fiscal year ended December 31, 2010</w:t>
      </w:r>
    </w:p>
    <w:p>
      <w:pPr>
        <w:spacing w:after="0" w:line="1"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or</w:t>
      </w:r>
    </w:p>
    <w:p>
      <w:pPr>
        <w:spacing w:after="0" w:line="252" w:lineRule="exact"/>
        <w:rPr>
          <w:sz w:val="24"/>
          <w:szCs w:val="24"/>
          <w:color w:val="auto"/>
        </w:rPr>
      </w:pPr>
    </w:p>
    <w:p>
      <w:pPr>
        <w:ind w:left="1160" w:hanging="703"/>
        <w:spacing w:after="0"/>
        <w:tabs>
          <w:tab w:leader="none" w:pos="1160" w:val="left"/>
        </w:tabs>
        <w:numPr>
          <w:ilvl w:val="0"/>
          <w:numId w:val="2"/>
        </w:numPr>
        <w:rPr>
          <w:rFonts w:ascii="Arial" w:cs="Arial" w:eastAsia="Arial" w:hAnsi="Arial"/>
          <w:sz w:val="18"/>
          <w:szCs w:val="18"/>
          <w:color w:val="auto"/>
        </w:rPr>
      </w:pPr>
      <w:r>
        <w:rPr>
          <w:rFonts w:ascii="Arial" w:cs="Arial" w:eastAsia="Arial" w:hAnsi="Arial"/>
          <w:sz w:val="18"/>
          <w:szCs w:val="18"/>
          <w:b w:val="1"/>
          <w:bCs w:val="1"/>
          <w:color w:val="auto"/>
        </w:rPr>
        <w:t>TRANSITION REPORT PURSUANT TO SECTION 13 OR 15(D) OF THE SECURITIES EXCHANGE ACT OF 1934</w:t>
      </w:r>
    </w:p>
    <w:p>
      <w:pPr>
        <w:spacing w:after="0" w:line="225" w:lineRule="exact"/>
        <w:rPr>
          <w:rFonts w:ascii="Arial" w:cs="Arial" w:eastAsia="Arial" w:hAnsi="Arial"/>
          <w:sz w:val="18"/>
          <w:szCs w:val="18"/>
          <w:color w:val="auto"/>
        </w:rPr>
      </w:pPr>
    </w:p>
    <w:p>
      <w:pPr>
        <w:ind w:left="4440"/>
        <w:spacing w:after="0"/>
        <w:rPr>
          <w:rFonts w:ascii="Arial" w:cs="Arial" w:eastAsia="Arial" w:hAnsi="Arial"/>
          <w:sz w:val="18"/>
          <w:szCs w:val="18"/>
          <w:color w:val="auto"/>
        </w:rPr>
      </w:pPr>
      <w:r>
        <w:rPr>
          <w:rFonts w:ascii="Arial" w:cs="Arial" w:eastAsia="Arial" w:hAnsi="Arial"/>
          <w:sz w:val="18"/>
          <w:szCs w:val="18"/>
          <w:b w:val="1"/>
          <w:bCs w:val="1"/>
          <w:color w:val="auto"/>
        </w:rPr>
        <w:t>Commission File Number 0-15006</w:t>
      </w:r>
    </w:p>
    <w:p>
      <w:pPr>
        <w:spacing w:after="0" w:line="211" w:lineRule="exact"/>
        <w:rPr>
          <w:sz w:val="24"/>
          <w:szCs w:val="24"/>
          <w:color w:val="auto"/>
        </w:rPr>
      </w:pPr>
    </w:p>
    <w:p>
      <w:pPr>
        <w:jc w:val="center"/>
        <w:ind w:right="-19"/>
        <w:spacing w:after="0"/>
        <w:rPr>
          <w:sz w:val="20"/>
          <w:szCs w:val="20"/>
          <w:color w:val="auto"/>
        </w:rPr>
      </w:pPr>
      <w:r>
        <w:rPr>
          <w:rFonts w:ascii="Arial" w:cs="Arial" w:eastAsia="Arial" w:hAnsi="Arial"/>
          <w:sz w:val="24"/>
          <w:szCs w:val="24"/>
          <w:b w:val="1"/>
          <w:bCs w:val="1"/>
          <w:color w:val="auto"/>
        </w:rPr>
        <w:t>CELLDEX THERAPEUTICS, INC.</w:t>
      </w:r>
    </w:p>
    <w:p>
      <w:pPr>
        <w:spacing w:after="0" w:line="41"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(Exact name of registrant as specified in its charter)</w:t>
      </w:r>
    </w:p>
    <w:p>
      <w:pPr>
        <w:spacing w:after="0" w:line="206" w:lineRule="exact"/>
        <w:rPr>
          <w:sz w:val="24"/>
          <w:szCs w:val="24"/>
          <w:color w:val="auto"/>
        </w:rPr>
      </w:pPr>
    </w:p>
    <w:tbl>
      <w:tblPr>
        <w:tblLayout w:type="fixed"/>
        <w:tblInd w:w="3540" w:type="dxa"/>
        <w:tblCellMar>
          <w:top w:w="0" w:type="dxa"/>
          <w:left w:w="0" w:type="dxa"/>
          <w:bottom w:w="0" w:type="dxa"/>
          <w:right w:w="0" w:type="dxa"/>
        </w:tblCellMar>
      </w:tblPr>
      <w:tr>
        <w:trPr>
          <w:trHeight w:val="222"/>
        </w:trPr>
        <w:tc>
          <w:tcPr>
            <w:tcW w:w="2360" w:type="dxa"/>
            <w:vAlign w:val="bottom"/>
          </w:tcPr>
          <w:p>
            <w:pPr>
              <w:jc w:val="center"/>
              <w:ind w:right="232"/>
              <w:spacing w:after="0"/>
              <w:rPr>
                <w:sz w:val="20"/>
                <w:szCs w:val="20"/>
                <w:color w:val="auto"/>
              </w:rPr>
            </w:pPr>
            <w:r>
              <w:rPr>
                <w:rFonts w:ascii="Arial" w:cs="Arial" w:eastAsia="Arial" w:hAnsi="Arial"/>
                <w:sz w:val="18"/>
                <w:szCs w:val="18"/>
                <w:b w:val="1"/>
                <w:bCs w:val="1"/>
                <w:color w:val="auto"/>
                <w:w w:val="91"/>
              </w:rPr>
              <w:t>Delaware</w:t>
            </w:r>
          </w:p>
        </w:tc>
        <w:tc>
          <w:tcPr>
            <w:tcW w:w="1620" w:type="dxa"/>
            <w:vAlign w:val="bottom"/>
          </w:tcPr>
          <w:p>
            <w:pPr>
              <w:jc w:val="center"/>
              <w:ind w:left="232"/>
              <w:spacing w:after="0"/>
              <w:rPr>
                <w:sz w:val="20"/>
                <w:szCs w:val="20"/>
                <w:color w:val="auto"/>
              </w:rPr>
            </w:pPr>
            <w:r>
              <w:rPr>
                <w:rFonts w:ascii="Arial" w:cs="Arial" w:eastAsia="Arial" w:hAnsi="Arial"/>
                <w:sz w:val="18"/>
                <w:szCs w:val="18"/>
                <w:b w:val="1"/>
                <w:bCs w:val="1"/>
                <w:color w:val="auto"/>
                <w:w w:val="89"/>
              </w:rPr>
              <w:t>13-3191702</w:t>
            </w:r>
          </w:p>
        </w:tc>
      </w:tr>
      <w:tr>
        <w:trPr>
          <w:trHeight w:val="216"/>
        </w:trPr>
        <w:tc>
          <w:tcPr>
            <w:tcW w:w="2360" w:type="dxa"/>
            <w:vAlign w:val="bottom"/>
          </w:tcPr>
          <w:p>
            <w:pPr>
              <w:jc w:val="center"/>
              <w:ind w:right="232"/>
              <w:spacing w:after="0"/>
              <w:rPr>
                <w:sz w:val="20"/>
                <w:szCs w:val="20"/>
                <w:color w:val="auto"/>
              </w:rPr>
            </w:pPr>
            <w:r>
              <w:rPr>
                <w:rFonts w:ascii="Arial" w:cs="Arial" w:eastAsia="Arial" w:hAnsi="Arial"/>
                <w:sz w:val="18"/>
                <w:szCs w:val="18"/>
                <w:color w:val="auto"/>
                <w:w w:val="90"/>
              </w:rPr>
              <w:t>(State or other jurisdiction of</w:t>
            </w:r>
          </w:p>
        </w:tc>
        <w:tc>
          <w:tcPr>
            <w:tcW w:w="1620" w:type="dxa"/>
            <w:vAlign w:val="bottom"/>
          </w:tcPr>
          <w:p>
            <w:pPr>
              <w:jc w:val="center"/>
              <w:ind w:left="212"/>
              <w:spacing w:after="0"/>
              <w:rPr>
                <w:sz w:val="20"/>
                <w:szCs w:val="20"/>
                <w:color w:val="auto"/>
              </w:rPr>
            </w:pPr>
            <w:r>
              <w:rPr>
                <w:rFonts w:ascii="Arial" w:cs="Arial" w:eastAsia="Arial" w:hAnsi="Arial"/>
                <w:sz w:val="18"/>
                <w:szCs w:val="18"/>
                <w:color w:val="auto"/>
                <w:w w:val="90"/>
              </w:rPr>
              <w:t>(I.R.S. Employer</w:t>
            </w:r>
          </w:p>
        </w:tc>
      </w:tr>
      <w:tr>
        <w:trPr>
          <w:trHeight w:val="216"/>
        </w:trPr>
        <w:tc>
          <w:tcPr>
            <w:tcW w:w="2360" w:type="dxa"/>
            <w:vAlign w:val="bottom"/>
          </w:tcPr>
          <w:p>
            <w:pPr>
              <w:jc w:val="center"/>
              <w:ind w:right="232"/>
              <w:spacing w:after="0"/>
              <w:rPr>
                <w:sz w:val="20"/>
                <w:szCs w:val="20"/>
                <w:color w:val="auto"/>
              </w:rPr>
            </w:pPr>
            <w:r>
              <w:rPr>
                <w:rFonts w:ascii="Arial" w:cs="Arial" w:eastAsia="Arial" w:hAnsi="Arial"/>
                <w:sz w:val="18"/>
                <w:szCs w:val="18"/>
                <w:color w:val="auto"/>
                <w:w w:val="89"/>
              </w:rPr>
              <w:t>incorporation or</w:t>
            </w:r>
          </w:p>
        </w:tc>
        <w:tc>
          <w:tcPr>
            <w:tcW w:w="1620" w:type="dxa"/>
            <w:vAlign w:val="bottom"/>
          </w:tcPr>
          <w:p>
            <w:pPr>
              <w:jc w:val="center"/>
              <w:ind w:left="232"/>
              <w:spacing w:after="0"/>
              <w:rPr>
                <w:sz w:val="20"/>
                <w:szCs w:val="20"/>
                <w:color w:val="auto"/>
              </w:rPr>
            </w:pPr>
            <w:r>
              <w:rPr>
                <w:rFonts w:ascii="Arial" w:cs="Arial" w:eastAsia="Arial" w:hAnsi="Arial"/>
                <w:sz w:val="18"/>
                <w:szCs w:val="18"/>
                <w:color w:val="auto"/>
                <w:w w:val="92"/>
              </w:rPr>
              <w:t>Identification No.)</w:t>
            </w:r>
          </w:p>
        </w:tc>
      </w:tr>
      <w:tr>
        <w:trPr>
          <w:trHeight w:val="222"/>
        </w:trPr>
        <w:tc>
          <w:tcPr>
            <w:tcW w:w="2360" w:type="dxa"/>
            <w:vAlign w:val="bottom"/>
          </w:tcPr>
          <w:p>
            <w:pPr>
              <w:jc w:val="center"/>
              <w:ind w:right="232"/>
              <w:spacing w:after="0"/>
              <w:rPr>
                <w:sz w:val="20"/>
                <w:szCs w:val="20"/>
                <w:color w:val="auto"/>
              </w:rPr>
            </w:pPr>
            <w:r>
              <w:rPr>
                <w:rFonts w:ascii="Arial" w:cs="Arial" w:eastAsia="Arial" w:hAnsi="Arial"/>
                <w:sz w:val="18"/>
                <w:szCs w:val="18"/>
                <w:color w:val="auto"/>
                <w:w w:val="88"/>
              </w:rPr>
              <w:t>organization)</w:t>
            </w:r>
          </w:p>
        </w:tc>
        <w:tc>
          <w:tcPr>
            <w:tcW w:w="1620" w:type="dxa"/>
            <w:vAlign w:val="bottom"/>
          </w:tcPr>
          <w:p>
            <w:pPr>
              <w:spacing w:after="0"/>
              <w:rPr>
                <w:sz w:val="19"/>
                <w:szCs w:val="19"/>
                <w:color w:val="auto"/>
              </w:rPr>
            </w:pPr>
          </w:p>
        </w:tc>
      </w:tr>
    </w:tbl>
    <w:p>
      <w:pPr>
        <w:spacing w:after="0" w:line="204"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119 Fourth Avenue, Needham, Massachusetts 02494</w:t>
      </w:r>
    </w:p>
    <w:p>
      <w:pPr>
        <w:spacing w:after="0" w:line="21"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(Address of principal executive offices) (Zip Code)</w:t>
      </w:r>
    </w:p>
    <w:p>
      <w:pPr>
        <w:spacing w:after="0" w:line="213"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 xml:space="preserve">Registrant's telephone number, including area code: </w:t>
      </w:r>
      <w:r>
        <w:rPr>
          <w:rFonts w:ascii="Arial" w:cs="Arial" w:eastAsia="Arial" w:hAnsi="Arial"/>
          <w:sz w:val="18"/>
          <w:szCs w:val="18"/>
          <w:b w:val="1"/>
          <w:bCs w:val="1"/>
          <w:color w:val="auto"/>
        </w:rPr>
        <w:t>(781) 433-0771</w:t>
      </w:r>
    </w:p>
    <w:p>
      <w:pPr>
        <w:spacing w:after="0" w:line="231"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Securities registered pursuant to Section 12(b) of the Act:</w:t>
      </w:r>
    </w:p>
    <w:p>
      <w:pPr>
        <w:spacing w:after="0" w:line="208" w:lineRule="exact"/>
        <w:rPr>
          <w:sz w:val="24"/>
          <w:szCs w:val="24"/>
          <w:color w:val="auto"/>
        </w:rPr>
      </w:pPr>
    </w:p>
    <w:tbl>
      <w:tblPr>
        <w:tblLayout w:type="fixed"/>
        <w:tblInd w:w="400" w:type="dxa"/>
        <w:tblCellMar>
          <w:top w:w="0" w:type="dxa"/>
          <w:left w:w="0" w:type="dxa"/>
          <w:bottom w:w="0" w:type="dxa"/>
          <w:right w:w="0" w:type="dxa"/>
        </w:tblCellMar>
      </w:tblPr>
      <w:tr>
        <w:trPr>
          <w:trHeight w:val="161"/>
        </w:trPr>
        <w:tc>
          <w:tcPr>
            <w:tcW w:w="2020" w:type="dxa"/>
            <w:vAlign w:val="bottom"/>
          </w:tcPr>
          <w:p>
            <w:pPr>
              <w:spacing w:after="0"/>
              <w:rPr>
                <w:sz w:val="14"/>
                <w:szCs w:val="14"/>
                <w:color w:val="auto"/>
              </w:rPr>
            </w:pPr>
          </w:p>
        </w:tc>
        <w:tc>
          <w:tcPr>
            <w:tcW w:w="270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290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87"/>
              </w:rPr>
              <w:t>Name of Each Exchange on Which</w:t>
            </w:r>
          </w:p>
        </w:tc>
        <w:tc>
          <w:tcPr>
            <w:tcW w:w="580" w:type="dxa"/>
            <w:vAlign w:val="bottom"/>
          </w:tcPr>
          <w:p>
            <w:pPr>
              <w:spacing w:after="0"/>
              <w:rPr>
                <w:sz w:val="14"/>
                <w:szCs w:val="14"/>
                <w:color w:val="auto"/>
              </w:rPr>
            </w:pPr>
          </w:p>
        </w:tc>
      </w:tr>
      <w:tr>
        <w:trPr>
          <w:trHeight w:val="161"/>
        </w:trPr>
        <w:tc>
          <w:tcPr>
            <w:tcW w:w="2020" w:type="dxa"/>
            <w:vAlign w:val="bottom"/>
          </w:tcPr>
          <w:p>
            <w:pPr>
              <w:spacing w:after="0"/>
              <w:rPr>
                <w:sz w:val="14"/>
                <w:szCs w:val="14"/>
                <w:color w:val="auto"/>
              </w:rPr>
            </w:pPr>
          </w:p>
        </w:tc>
        <w:tc>
          <w:tcPr>
            <w:tcW w:w="2700" w:type="dxa"/>
            <w:vAlign w:val="bottom"/>
          </w:tcPr>
          <w:p>
            <w:pPr>
              <w:jc w:val="center"/>
              <w:spacing w:after="0"/>
              <w:rPr>
                <w:sz w:val="20"/>
                <w:szCs w:val="20"/>
                <w:color w:val="auto"/>
              </w:rPr>
            </w:pPr>
            <w:r>
              <w:rPr>
                <w:rFonts w:ascii="Arial" w:cs="Arial" w:eastAsia="Arial" w:hAnsi="Arial"/>
                <w:sz w:val="14"/>
                <w:szCs w:val="14"/>
                <w:b w:val="1"/>
                <w:bCs w:val="1"/>
                <w:color w:val="auto"/>
                <w:w w:val="87"/>
              </w:rPr>
              <w:t>Title of Class:</w:t>
            </w:r>
          </w:p>
        </w:tc>
        <w:tc>
          <w:tcPr>
            <w:tcW w:w="1200" w:type="dxa"/>
            <w:vAlign w:val="bottom"/>
          </w:tcPr>
          <w:p>
            <w:pPr>
              <w:spacing w:after="0"/>
              <w:rPr>
                <w:sz w:val="14"/>
                <w:szCs w:val="14"/>
                <w:color w:val="auto"/>
              </w:rPr>
            </w:pPr>
          </w:p>
        </w:tc>
        <w:tc>
          <w:tcPr>
            <w:tcW w:w="290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83"/>
              </w:rPr>
              <w:t>Registered:</w:t>
            </w:r>
          </w:p>
        </w:tc>
        <w:tc>
          <w:tcPr>
            <w:tcW w:w="580" w:type="dxa"/>
            <w:vAlign w:val="bottom"/>
          </w:tcPr>
          <w:p>
            <w:pPr>
              <w:spacing w:after="0"/>
              <w:rPr>
                <w:sz w:val="14"/>
                <w:szCs w:val="14"/>
                <w:color w:val="auto"/>
              </w:rPr>
            </w:pPr>
          </w:p>
        </w:tc>
      </w:tr>
      <w:tr>
        <w:trPr>
          <w:trHeight w:val="216"/>
        </w:trPr>
        <w:tc>
          <w:tcPr>
            <w:tcW w:w="2020" w:type="dxa"/>
            <w:vAlign w:val="bottom"/>
          </w:tcPr>
          <w:p>
            <w:pPr>
              <w:spacing w:after="0"/>
              <w:rPr>
                <w:sz w:val="18"/>
                <w:szCs w:val="18"/>
                <w:color w:val="auto"/>
              </w:rPr>
            </w:pPr>
          </w:p>
        </w:tc>
        <w:tc>
          <w:tcPr>
            <w:tcW w:w="270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87"/>
              </w:rPr>
              <w:t>Common Stock, par value $.001</w:t>
            </w:r>
          </w:p>
        </w:tc>
        <w:tc>
          <w:tcPr>
            <w:tcW w:w="1200" w:type="dxa"/>
            <w:vAlign w:val="bottom"/>
          </w:tcPr>
          <w:p>
            <w:pPr>
              <w:spacing w:after="0"/>
              <w:rPr>
                <w:sz w:val="18"/>
                <w:szCs w:val="18"/>
                <w:color w:val="auto"/>
              </w:rPr>
            </w:pPr>
          </w:p>
        </w:tc>
        <w:tc>
          <w:tcPr>
            <w:tcW w:w="268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3"/>
              </w:rPr>
              <w:t>NASDAQ Global Market</w:t>
            </w:r>
          </w:p>
        </w:tc>
        <w:tc>
          <w:tcPr>
            <w:tcW w:w="220" w:type="dxa"/>
            <w:vAlign w:val="bottom"/>
          </w:tcPr>
          <w:p>
            <w:pPr>
              <w:spacing w:after="0"/>
              <w:rPr>
                <w:sz w:val="18"/>
                <w:szCs w:val="18"/>
                <w:color w:val="auto"/>
              </w:rPr>
            </w:pPr>
          </w:p>
        </w:tc>
        <w:tc>
          <w:tcPr>
            <w:tcW w:w="580" w:type="dxa"/>
            <w:vAlign w:val="bottom"/>
          </w:tcPr>
          <w:p>
            <w:pPr>
              <w:spacing w:after="0"/>
              <w:rPr>
                <w:sz w:val="18"/>
                <w:szCs w:val="18"/>
                <w:color w:val="auto"/>
              </w:rPr>
            </w:pPr>
          </w:p>
        </w:tc>
      </w:tr>
      <w:tr>
        <w:trPr>
          <w:trHeight w:val="424"/>
        </w:trPr>
        <w:tc>
          <w:tcPr>
            <w:tcW w:w="2020" w:type="dxa"/>
            <w:vAlign w:val="bottom"/>
          </w:tcPr>
          <w:p>
            <w:pPr>
              <w:spacing w:after="0"/>
              <w:rPr>
                <w:sz w:val="24"/>
                <w:szCs w:val="24"/>
                <w:color w:val="auto"/>
              </w:rPr>
            </w:pPr>
          </w:p>
        </w:tc>
        <w:tc>
          <w:tcPr>
            <w:tcW w:w="6800" w:type="dxa"/>
            <w:vAlign w:val="bottom"/>
            <w:gridSpan w:val="4"/>
          </w:tcPr>
          <w:p>
            <w:pPr>
              <w:ind w:left="1060"/>
              <w:spacing w:after="0"/>
              <w:rPr>
                <w:sz w:val="20"/>
                <w:szCs w:val="20"/>
                <w:color w:val="auto"/>
              </w:rPr>
            </w:pPr>
            <w:r>
              <w:rPr>
                <w:rFonts w:ascii="Arial" w:cs="Arial" w:eastAsia="Arial" w:hAnsi="Arial"/>
                <w:sz w:val="18"/>
                <w:szCs w:val="18"/>
                <w:color w:val="auto"/>
              </w:rPr>
              <w:t xml:space="preserve">Securities registered pursuant to Section 12(g) of the Act: </w:t>
            </w:r>
            <w:r>
              <w:rPr>
                <w:rFonts w:ascii="Arial" w:cs="Arial" w:eastAsia="Arial" w:hAnsi="Arial"/>
                <w:sz w:val="18"/>
                <w:szCs w:val="18"/>
                <w:b w:val="1"/>
                <w:bCs w:val="1"/>
                <w:color w:val="auto"/>
              </w:rPr>
              <w:t>None</w:t>
            </w:r>
          </w:p>
        </w:tc>
        <w:tc>
          <w:tcPr>
            <w:tcW w:w="580" w:type="dxa"/>
            <w:vAlign w:val="bottom"/>
          </w:tcPr>
          <w:p>
            <w:pPr>
              <w:spacing w:after="0"/>
              <w:rPr>
                <w:sz w:val="24"/>
                <w:szCs w:val="24"/>
                <w:color w:val="auto"/>
              </w:rPr>
            </w:pPr>
          </w:p>
        </w:tc>
      </w:tr>
      <w:tr>
        <w:trPr>
          <w:trHeight w:val="452"/>
        </w:trPr>
        <w:tc>
          <w:tcPr>
            <w:tcW w:w="8820" w:type="dxa"/>
            <w:vAlign w:val="bottom"/>
            <w:gridSpan w:val="5"/>
          </w:tcPr>
          <w:p>
            <w:pPr>
              <w:spacing w:after="0"/>
              <w:rPr>
                <w:sz w:val="20"/>
                <w:szCs w:val="20"/>
                <w:color w:val="auto"/>
              </w:rPr>
            </w:pPr>
            <w:r>
              <w:rPr>
                <w:rFonts w:ascii="Arial" w:cs="Arial" w:eastAsia="Arial" w:hAnsi="Arial"/>
                <w:sz w:val="18"/>
                <w:szCs w:val="18"/>
                <w:color w:val="auto"/>
                <w:w w:val="89"/>
              </w:rPr>
              <w:t>Indicate by check mark if the registrant is a well-known seasoned issuer, as defined in Rule 405 of the Securities Act. Yes o</w:t>
            </w:r>
          </w:p>
        </w:tc>
        <w:tc>
          <w:tcPr>
            <w:tcW w:w="580" w:type="dxa"/>
            <w:vAlign w:val="bottom"/>
          </w:tcPr>
          <w:p>
            <w:pPr>
              <w:ind w:left="20"/>
              <w:spacing w:after="0" w:line="207" w:lineRule="exact"/>
              <w:rPr>
                <w:sz w:val="20"/>
                <w:szCs w:val="20"/>
                <w:color w:val="auto"/>
              </w:rPr>
            </w:pPr>
            <w:r>
              <w:rPr>
                <w:rFonts w:ascii="Arial" w:cs="Arial" w:eastAsia="Arial" w:hAnsi="Arial"/>
                <w:sz w:val="18"/>
                <w:szCs w:val="18"/>
                <w:color w:val="auto"/>
              </w:rPr>
              <w:t xml:space="preserve">No </w:t>
            </w:r>
            <w:r>
              <w:rPr>
                <w:rFonts w:ascii="MS PGothic" w:cs="MS PGothic" w:eastAsia="MS PGothic" w:hAnsi="MS PGothic"/>
                <w:sz w:val="18"/>
                <w:szCs w:val="18"/>
                <w:color w:val="auto"/>
              </w:rPr>
              <w:t>☒</w:t>
            </w:r>
          </w:p>
        </w:tc>
      </w:tr>
      <w:tr>
        <w:trPr>
          <w:trHeight w:val="432"/>
        </w:trPr>
        <w:tc>
          <w:tcPr>
            <w:tcW w:w="8820" w:type="dxa"/>
            <w:vAlign w:val="bottom"/>
            <w:gridSpan w:val="5"/>
          </w:tcPr>
          <w:p>
            <w:pPr>
              <w:spacing w:after="0"/>
              <w:rPr>
                <w:sz w:val="20"/>
                <w:szCs w:val="20"/>
                <w:color w:val="auto"/>
              </w:rPr>
            </w:pPr>
            <w:r>
              <w:rPr>
                <w:rFonts w:ascii="Arial" w:cs="Arial" w:eastAsia="Arial" w:hAnsi="Arial"/>
                <w:sz w:val="18"/>
                <w:szCs w:val="18"/>
                <w:color w:val="auto"/>
                <w:w w:val="88"/>
              </w:rPr>
              <w:t>Indicate by check mark if the registrant is not required to file reports pursuant to Section 13 or Section 15(d) of the Act. Yes o</w:t>
            </w:r>
          </w:p>
        </w:tc>
        <w:tc>
          <w:tcPr>
            <w:tcW w:w="580" w:type="dxa"/>
            <w:vAlign w:val="bottom"/>
          </w:tcPr>
          <w:p>
            <w:pPr>
              <w:ind w:left="180"/>
              <w:spacing w:after="0" w:line="207" w:lineRule="exact"/>
              <w:rPr>
                <w:sz w:val="20"/>
                <w:szCs w:val="20"/>
                <w:color w:val="auto"/>
              </w:rPr>
            </w:pPr>
            <w:r>
              <w:rPr>
                <w:rFonts w:ascii="Arial" w:cs="Arial" w:eastAsia="Arial" w:hAnsi="Arial"/>
                <w:sz w:val="18"/>
                <w:szCs w:val="18"/>
                <w:color w:val="auto"/>
                <w:w w:val="82"/>
              </w:rPr>
              <w:t xml:space="preserve">No </w:t>
            </w:r>
            <w:r>
              <w:rPr>
                <w:rFonts w:ascii="MS PGothic" w:cs="MS PGothic" w:eastAsia="MS PGothic" w:hAnsi="MS PGothic"/>
                <w:sz w:val="18"/>
                <w:szCs w:val="18"/>
                <w:color w:val="auto"/>
                <w:w w:val="82"/>
              </w:rPr>
              <w:t>☒</w:t>
            </w:r>
          </w:p>
        </w:tc>
      </w:tr>
    </w:tbl>
    <w:p>
      <w:pPr>
        <w:spacing w:after="0" w:line="190" w:lineRule="exact"/>
        <w:rPr>
          <w:sz w:val="24"/>
          <w:szCs w:val="24"/>
          <w:color w:val="auto"/>
        </w:rPr>
      </w:pPr>
    </w:p>
    <w:p>
      <w:pPr>
        <w:ind w:right="300" w:firstLine="395"/>
        <w:spacing w:after="0" w:line="225" w:lineRule="exact"/>
        <w:rPr>
          <w:sz w:val="20"/>
          <w:szCs w:val="20"/>
          <w:color w:val="auto"/>
        </w:rPr>
      </w:pPr>
      <w:r>
        <w:rPr>
          <w:rFonts w:ascii="Arial" w:cs="Arial" w:eastAsia="Arial" w:hAnsi="Arial"/>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o</w:t>
      </w:r>
    </w:p>
    <w:p>
      <w:pPr>
        <w:spacing w:after="0" w:line="192" w:lineRule="exact"/>
        <w:rPr>
          <w:sz w:val="24"/>
          <w:szCs w:val="24"/>
          <w:color w:val="auto"/>
        </w:rPr>
      </w:pPr>
    </w:p>
    <w:p>
      <w:pPr>
        <w:jc w:val="both"/>
        <w:ind w:right="100" w:firstLine="395"/>
        <w:spacing w:after="0" w:line="259" w:lineRule="auto"/>
        <w:rPr>
          <w:sz w:val="20"/>
          <w:szCs w:val="20"/>
          <w:color w:val="auto"/>
        </w:rPr>
      </w:pPr>
      <w:r>
        <w:rPr>
          <w:rFonts w:ascii="Arial" w:cs="Arial" w:eastAsia="Arial" w:hAnsi="Arial"/>
          <w:sz w:val="18"/>
          <w:szCs w:val="18"/>
          <w:color w:val="auto"/>
        </w:rPr>
        <w:t>Indicate by check mark whether the registrant has submitted electronically and posted on its corporate Web site, if any, every Interactive Data File required to be submitted and posted pursuant to Rule 405 of Regulation S-T (§232.405 of this chapter) during the preceding 12 months (or for such shorter period that the registrant was required to submit and post such files). Yes o No o</w:t>
      </w:r>
    </w:p>
    <w:p>
      <w:pPr>
        <w:spacing w:after="0" w:line="194" w:lineRule="exact"/>
        <w:rPr>
          <w:sz w:val="24"/>
          <w:szCs w:val="24"/>
          <w:color w:val="auto"/>
        </w:rPr>
      </w:pPr>
    </w:p>
    <w:p>
      <w:pPr>
        <w:jc w:val="both"/>
        <w:ind w:firstLine="395"/>
        <w:spacing w:after="0" w:line="225" w:lineRule="exact"/>
        <w:rPr>
          <w:sz w:val="20"/>
          <w:szCs w:val="20"/>
          <w:color w:val="auto"/>
        </w:rPr>
      </w:pPr>
      <w:r>
        <w:rPr>
          <w:rFonts w:ascii="Arial" w:cs="Arial" w:eastAsia="Arial" w:hAnsi="Arial"/>
          <w:sz w:val="18"/>
          <w:szCs w:val="18"/>
          <w:color w:val="auto"/>
        </w:rPr>
        <w:t xml:space="preserve">Indicate by check mark if disclosure of delinquent filers pursuant to Item 405 of Regulation S-K (§229.405 of this Chapter) is not contained herein, and will not be contained, to the best of registrant's knowledge, in definitive proxy or information statements incorporated by reference in Part III of this Form 10-K or any amendment to this Form 10-K. </w:t>
      </w:r>
      <w:r>
        <w:rPr>
          <w:rFonts w:ascii="MS PGothic" w:cs="MS PGothic" w:eastAsia="MS PGothic" w:hAnsi="MS PGothic"/>
          <w:sz w:val="18"/>
          <w:szCs w:val="18"/>
          <w:color w:val="auto"/>
        </w:rPr>
        <w:t>☒</w:t>
      </w:r>
    </w:p>
    <w:p>
      <w:pPr>
        <w:spacing w:after="0" w:line="192" w:lineRule="exact"/>
        <w:rPr>
          <w:sz w:val="24"/>
          <w:szCs w:val="24"/>
          <w:color w:val="auto"/>
        </w:rPr>
      </w:pPr>
    </w:p>
    <w:p>
      <w:pPr>
        <w:ind w:right="320" w:firstLine="395"/>
        <w:spacing w:after="0" w:line="332" w:lineRule="auto"/>
        <w:rPr>
          <w:sz w:val="20"/>
          <w:szCs w:val="20"/>
          <w:color w:val="auto"/>
        </w:rPr>
      </w:pPr>
      <w:r>
        <w:rPr>
          <w:rFonts w:ascii="Arial" w:cs="Arial" w:eastAsia="Arial" w:hAnsi="Arial"/>
          <w:sz w:val="16"/>
          <w:szCs w:val="16"/>
          <w:color w:val="auto"/>
        </w:rPr>
        <w:t>Indicate by check mark whether the registrant is a large accelerated filer, an accelerated filer, a non-accelerated filer or a smaller reporting company. See definitions of "large accelerated filer," "accelerated filer," and "smaller reporting company" in Rule 12b-2 of the Exchange Act. (Check one):</w:t>
      </w:r>
    </w:p>
    <w:p>
      <w:pPr>
        <w:sectPr>
          <w:pgSz w:w="11900" w:h="16838" w:orient="portrait"/>
          <w:cols w:equalWidth="0" w:num="1">
            <w:col w:w="11420"/>
          </w:cols>
          <w:pgMar w:left="240" w:top="685" w:right="239" w:bottom="0" w:gutter="0" w:footer="0" w:header="0"/>
        </w:sectPr>
      </w:pPr>
    </w:p>
    <w:p>
      <w:pPr>
        <w:spacing w:after="0" w:line="139" w:lineRule="exact"/>
        <w:rPr>
          <w:sz w:val="24"/>
          <w:szCs w:val="24"/>
          <w:color w:val="auto"/>
        </w:rPr>
      </w:pPr>
    </w:p>
    <w:p>
      <w:pPr>
        <w:ind w:left="40"/>
        <w:spacing w:after="0"/>
        <w:rPr>
          <w:sz w:val="20"/>
          <w:szCs w:val="20"/>
          <w:color w:val="auto"/>
        </w:rPr>
      </w:pPr>
      <w:r>
        <w:rPr>
          <w:rFonts w:ascii="Arial" w:cs="Arial" w:eastAsia="Arial" w:hAnsi="Arial"/>
          <w:sz w:val="15"/>
          <w:szCs w:val="15"/>
          <w:color w:val="auto"/>
        </w:rPr>
        <w:t>Large accelerated filer o</w:t>
      </w:r>
    </w:p>
    <w:p>
      <w:pPr>
        <w:spacing w:after="0" w:line="20" w:lineRule="exact"/>
        <w:rPr>
          <w:sz w:val="24"/>
          <w:szCs w:val="24"/>
          <w:color w:val="auto"/>
        </w:rPr>
      </w:pPr>
      <w:r>
        <w:rPr>
          <w:sz w:val="24"/>
          <w:szCs w:val="24"/>
          <w:color w:val="auto"/>
        </w:rPr>
        <w:br w:type="column"/>
      </w:r>
    </w:p>
    <w:p>
      <w:pPr>
        <w:spacing w:after="0" w:line="87" w:lineRule="exact"/>
        <w:rPr>
          <w:sz w:val="24"/>
          <w:szCs w:val="24"/>
          <w:color w:val="auto"/>
        </w:rPr>
      </w:pPr>
    </w:p>
    <w:p>
      <w:pPr>
        <w:spacing w:after="0" w:line="184" w:lineRule="exact"/>
        <w:rPr>
          <w:sz w:val="20"/>
          <w:szCs w:val="20"/>
          <w:color w:val="auto"/>
        </w:rPr>
      </w:pPr>
      <w:r>
        <w:rPr>
          <w:rFonts w:ascii="Arial" w:cs="Arial" w:eastAsia="Arial" w:hAnsi="Arial"/>
          <w:sz w:val="16"/>
          <w:szCs w:val="16"/>
          <w:color w:val="auto"/>
        </w:rPr>
        <w:t xml:space="preserve">Accelerated filer </w:t>
      </w: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br w:type="column"/>
      </w:r>
    </w:p>
    <w:p>
      <w:pPr>
        <w:spacing w:after="0" w:line="119" w:lineRule="exact"/>
        <w:rPr>
          <w:sz w:val="24"/>
          <w:szCs w:val="24"/>
          <w:color w:val="auto"/>
        </w:rPr>
      </w:pPr>
    </w:p>
    <w:p>
      <w:pPr>
        <w:spacing w:after="0"/>
        <w:rPr>
          <w:sz w:val="20"/>
          <w:szCs w:val="20"/>
          <w:color w:val="auto"/>
        </w:rPr>
      </w:pPr>
      <w:r>
        <w:rPr>
          <w:rFonts w:ascii="Arial" w:cs="Arial" w:eastAsia="Arial" w:hAnsi="Arial"/>
          <w:sz w:val="16"/>
          <w:szCs w:val="16"/>
          <w:color w:val="auto"/>
        </w:rPr>
        <w:t>Non-accelerated filer o</w:t>
      </w:r>
    </w:p>
    <w:p>
      <w:pPr>
        <w:spacing w:after="0" w:line="20" w:lineRule="exact"/>
        <w:rPr>
          <w:sz w:val="24"/>
          <w:szCs w:val="24"/>
          <w:color w:val="auto"/>
        </w:rPr>
      </w:pPr>
      <w:r>
        <w:rPr>
          <w:sz w:val="24"/>
          <w:szCs w:val="24"/>
          <w:color w:val="auto"/>
        </w:rPr>
        <w:br w:type="column"/>
      </w:r>
    </w:p>
    <w:p>
      <w:pPr>
        <w:spacing w:after="0" w:line="119" w:lineRule="exact"/>
        <w:rPr>
          <w:sz w:val="24"/>
          <w:szCs w:val="24"/>
          <w:color w:val="auto"/>
        </w:rPr>
      </w:pPr>
    </w:p>
    <w:p>
      <w:pPr>
        <w:spacing w:after="0"/>
        <w:rPr>
          <w:sz w:val="20"/>
          <w:szCs w:val="20"/>
          <w:color w:val="auto"/>
        </w:rPr>
      </w:pPr>
      <w:r>
        <w:rPr>
          <w:rFonts w:ascii="Arial" w:cs="Arial" w:eastAsia="Arial" w:hAnsi="Arial"/>
          <w:sz w:val="16"/>
          <w:szCs w:val="16"/>
          <w:color w:val="auto"/>
        </w:rPr>
        <w:t>Smaller Reporting Company o</w:t>
      </w:r>
    </w:p>
    <w:p>
      <w:pPr>
        <w:spacing w:after="0" w:line="29" w:lineRule="exact"/>
        <w:rPr>
          <w:sz w:val="24"/>
          <w:szCs w:val="24"/>
          <w:color w:val="auto"/>
        </w:rPr>
      </w:pPr>
    </w:p>
    <w:p>
      <w:pPr>
        <w:sectPr>
          <w:pgSz w:w="11900" w:h="16838" w:orient="portrait"/>
          <w:cols w:equalWidth="0" w:num="4">
            <w:col w:w="2100" w:space="720"/>
            <w:col w:w="1860" w:space="720"/>
            <w:col w:w="2380" w:space="720"/>
            <w:col w:w="2920"/>
          </w:cols>
          <w:pgMar w:left="240" w:top="685" w:right="239" w:bottom="0" w:gutter="0" w:footer="0" w:header="0"/>
          <w:type w:val="continuous"/>
        </w:sectPr>
      </w:pPr>
    </w:p>
    <w:p>
      <w:pPr>
        <w:jc w:val="center"/>
        <w:ind w:left="1000"/>
        <w:spacing w:after="0"/>
        <w:rPr>
          <w:sz w:val="20"/>
          <w:szCs w:val="20"/>
          <w:color w:val="auto"/>
        </w:rPr>
      </w:pPr>
      <w:r>
        <w:rPr>
          <w:rFonts w:ascii="Arial" w:cs="Arial" w:eastAsia="Arial" w:hAnsi="Arial"/>
          <w:sz w:val="14"/>
          <w:szCs w:val="14"/>
          <w:color w:val="auto"/>
        </w:rPr>
        <w:t>(Do not check if a</w:t>
      </w:r>
    </w:p>
    <w:p>
      <w:pPr>
        <w:jc w:val="center"/>
        <w:ind w:left="1000"/>
        <w:spacing w:after="0"/>
        <w:rPr>
          <w:sz w:val="20"/>
          <w:szCs w:val="20"/>
          <w:color w:val="auto"/>
        </w:rPr>
      </w:pPr>
      <w:r>
        <w:rPr>
          <w:rFonts w:ascii="Arial" w:cs="Arial" w:eastAsia="Arial" w:hAnsi="Arial"/>
          <w:sz w:val="12"/>
          <w:szCs w:val="12"/>
          <w:color w:val="auto"/>
        </w:rPr>
        <w:t>smaller reporting company)</w:t>
      </w:r>
    </w:p>
    <w:p>
      <w:pPr>
        <w:sectPr>
          <w:pgSz w:w="11900" w:h="16838" w:orient="portrait"/>
          <w:cols w:equalWidth="0" w:num="1">
            <w:col w:w="11420"/>
          </w:cols>
          <w:pgMar w:left="240" w:top="685" w:right="239" w:bottom="0" w:gutter="0" w:footer="0" w:header="0"/>
          <w:type w:val="continuous"/>
        </w:sectPr>
      </w:pPr>
    </w:p>
    <w:p>
      <w:pPr>
        <w:spacing w:after="0" w:line="217" w:lineRule="exact"/>
        <w:rPr>
          <w:sz w:val="24"/>
          <w:szCs w:val="24"/>
          <w:color w:val="auto"/>
        </w:rPr>
      </w:pPr>
    </w:p>
    <w:p>
      <w:pPr>
        <w:ind w:left="400"/>
        <w:spacing w:after="0"/>
        <w:rPr>
          <w:sz w:val="20"/>
          <w:szCs w:val="20"/>
          <w:color w:val="auto"/>
        </w:rPr>
      </w:pPr>
      <w:r>
        <w:rPr>
          <w:rFonts w:ascii="Arial" w:cs="Arial" w:eastAsia="Arial" w:hAnsi="Arial"/>
          <w:sz w:val="15"/>
          <w:szCs w:val="15"/>
          <w:color w:val="auto"/>
        </w:rPr>
        <w:t>Indicate by check mark whether the registrant is a shell company (as defined in Rule 12b-2 of the Act). Yes o</w:t>
      </w:r>
    </w:p>
    <w:p>
      <w:pPr>
        <w:spacing w:after="0" w:line="20" w:lineRule="exact"/>
        <w:rPr>
          <w:sz w:val="24"/>
          <w:szCs w:val="24"/>
          <w:color w:val="auto"/>
        </w:rPr>
      </w:pPr>
      <w:r>
        <w:rPr>
          <w:sz w:val="24"/>
          <w:szCs w:val="24"/>
          <w:color w:val="auto"/>
        </w:rPr>
        <w:br w:type="column"/>
      </w:r>
    </w:p>
    <w:p>
      <w:pPr>
        <w:spacing w:after="0" w:line="165" w:lineRule="exact"/>
        <w:rPr>
          <w:sz w:val="24"/>
          <w:szCs w:val="24"/>
          <w:color w:val="auto"/>
        </w:rPr>
      </w:pPr>
    </w:p>
    <w:p>
      <w:pPr>
        <w:spacing w:after="0" w:line="173" w:lineRule="exact"/>
        <w:rPr>
          <w:sz w:val="20"/>
          <w:szCs w:val="20"/>
          <w:color w:val="auto"/>
        </w:rPr>
      </w:pPr>
      <w:r>
        <w:rPr>
          <w:rFonts w:ascii="Arial" w:cs="Arial" w:eastAsia="Arial" w:hAnsi="Arial"/>
          <w:sz w:val="15"/>
          <w:szCs w:val="15"/>
          <w:color w:val="auto"/>
        </w:rPr>
        <w:t xml:space="preserve">No </w:t>
      </w:r>
      <w:r>
        <w:rPr>
          <w:rFonts w:ascii="MS PGothic" w:cs="MS PGothic" w:eastAsia="MS PGothic" w:hAnsi="MS PGothic"/>
          <w:sz w:val="15"/>
          <w:szCs w:val="15"/>
          <w:color w:val="auto"/>
        </w:rPr>
        <w:t>☒</w:t>
      </w:r>
    </w:p>
    <w:p>
      <w:pPr>
        <w:spacing w:after="0" w:line="232" w:lineRule="exact"/>
        <w:rPr>
          <w:sz w:val="24"/>
          <w:szCs w:val="24"/>
          <w:color w:val="auto"/>
        </w:rPr>
      </w:pPr>
    </w:p>
    <w:p>
      <w:pPr>
        <w:sectPr>
          <w:pgSz w:w="11900" w:h="16838" w:orient="portrait"/>
          <w:cols w:equalWidth="0" w:num="2">
            <w:col w:w="8060" w:space="180"/>
            <w:col w:w="3180"/>
          </w:cols>
          <w:pgMar w:left="240" w:top="685" w:right="239" w:bottom="0" w:gutter="0" w:footer="0" w:header="0"/>
          <w:type w:val="continuous"/>
        </w:sectPr>
      </w:pPr>
    </w:p>
    <w:p>
      <w:pPr>
        <w:spacing w:after="0" w:line="60" w:lineRule="exact"/>
        <w:rPr>
          <w:sz w:val="24"/>
          <w:szCs w:val="24"/>
          <w:color w:val="auto"/>
        </w:rPr>
      </w:pPr>
    </w:p>
    <w:p>
      <w:pPr>
        <w:ind w:right="60" w:firstLine="392"/>
        <w:spacing w:after="0" w:line="370" w:lineRule="auto"/>
        <w:rPr>
          <w:sz w:val="20"/>
          <w:szCs w:val="20"/>
          <w:color w:val="auto"/>
        </w:rPr>
      </w:pPr>
      <w:r>
        <w:rPr>
          <w:rFonts w:ascii="Arial" w:cs="Arial" w:eastAsia="Arial" w:hAnsi="Arial"/>
          <w:sz w:val="15"/>
          <w:szCs w:val="15"/>
          <w:color w:val="auto"/>
        </w:rPr>
        <w:t>The aggregate market value of the registrant's common stock held by non-affiliates as of June 30, 2010 was $144.7 million. Exclusion of shares held by any person should not be construed to indicate that such person possesses the power, direct or indirect, to direct or cause the actions of the management or policies of</w:t>
      </w:r>
    </w:p>
    <w:p>
      <w:pPr>
        <w:sectPr>
          <w:pgSz w:w="11900" w:h="16838" w:orient="portrait"/>
          <w:cols w:equalWidth="0" w:num="1">
            <w:col w:w="11420"/>
          </w:cols>
          <w:pgMar w:left="240" w:top="685" w:right="239" w:bottom="0" w:gutter="0" w:footer="0" w:header="0"/>
          <w:type w:val="continuous"/>
        </w:sectPr>
      </w:pPr>
    </w:p>
    <w:bookmarkStart w:id="1" w:name="page2"/>
    <w:bookmarkEnd w:id="1"/>
    <w:p>
      <w:pPr>
        <w:spacing w:after="0"/>
        <w:rPr>
          <w:sz w:val="20"/>
          <w:szCs w:val="20"/>
          <w:color w:val="auto"/>
        </w:rPr>
      </w:pPr>
      <w:r>
        <w:rPr>
          <w:rFonts w:ascii="Arial" w:cs="Arial" w:eastAsia="Arial" w:hAnsi="Arial"/>
          <w:sz w:val="18"/>
          <w:szCs w:val="18"/>
          <w:color w:val="auto"/>
        </w:rPr>
        <w:t>the registrant, or that such person is controlled by or under common control with the registrant.</w:t>
      </w:r>
    </w:p>
    <w:p>
      <w:pPr>
        <w:spacing w:after="0" w:line="225" w:lineRule="exact"/>
        <w:rPr>
          <w:sz w:val="20"/>
          <w:szCs w:val="20"/>
          <w:color w:val="auto"/>
        </w:rPr>
      </w:pPr>
    </w:p>
    <w:p>
      <w:pPr>
        <w:ind w:left="400"/>
        <w:spacing w:after="0"/>
        <w:rPr>
          <w:sz w:val="20"/>
          <w:szCs w:val="20"/>
          <w:color w:val="auto"/>
        </w:rPr>
      </w:pPr>
      <w:r>
        <w:rPr>
          <w:rFonts w:ascii="Arial" w:cs="Arial" w:eastAsia="Arial" w:hAnsi="Arial"/>
          <w:sz w:val="18"/>
          <w:szCs w:val="18"/>
          <w:color w:val="auto"/>
        </w:rPr>
        <w:t>The number of shares of common stock outstanding at February 28, 2011 was 32,055,382 shares.</w:t>
      </w:r>
    </w:p>
    <w:p>
      <w:pPr>
        <w:spacing w:after="0" w:line="219" w:lineRule="exact"/>
        <w:rPr>
          <w:sz w:val="20"/>
          <w:szCs w:val="20"/>
          <w:color w:val="auto"/>
        </w:rPr>
      </w:pPr>
    </w:p>
    <w:p>
      <w:pPr>
        <w:ind w:left="3700"/>
        <w:spacing w:after="0"/>
        <w:rPr>
          <w:sz w:val="20"/>
          <w:szCs w:val="20"/>
          <w:color w:val="auto"/>
        </w:rPr>
      </w:pPr>
      <w:r>
        <w:rPr>
          <w:rFonts w:ascii="Arial" w:cs="Arial" w:eastAsia="Arial" w:hAnsi="Arial"/>
          <w:sz w:val="18"/>
          <w:szCs w:val="18"/>
          <w:b w:val="1"/>
          <w:bCs w:val="1"/>
          <w:color w:val="auto"/>
        </w:rPr>
        <w:t>DOCUMENTS INCORPORATED BY REFERENCE</w:t>
      </w:r>
    </w:p>
    <w:p>
      <w:pPr>
        <w:spacing w:after="0" w:line="231" w:lineRule="exact"/>
        <w:rPr>
          <w:sz w:val="20"/>
          <w:szCs w:val="20"/>
          <w:color w:val="auto"/>
        </w:rPr>
      </w:pPr>
    </w:p>
    <w:p>
      <w:pPr>
        <w:ind w:left="400"/>
        <w:spacing w:after="0"/>
        <w:rPr>
          <w:sz w:val="20"/>
          <w:szCs w:val="20"/>
          <w:color w:val="auto"/>
        </w:rPr>
      </w:pPr>
      <w:r>
        <w:rPr>
          <w:rFonts w:ascii="Arial" w:cs="Arial" w:eastAsia="Arial" w:hAnsi="Arial"/>
          <w:sz w:val="16"/>
          <w:szCs w:val="16"/>
          <w:color w:val="auto"/>
        </w:rPr>
        <w:t>Portions of the definitive Proxy Statement for our 2011 Annual Meeting of Stockholders are incorporated by reference into Part III of this Report.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163195</wp:posOffset>
            </wp:positionV>
            <wp:extent cx="7246620" cy="4318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4318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340995</wp:posOffset>
            </wp:positionV>
            <wp:extent cx="7250430" cy="215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640"/>
          </w:cols>
          <w:pgMar w:left="240" w:top="131" w:right="1019" w:bottom="1440" w:gutter="0" w:footer="0" w:header="0"/>
        </w:sectPr>
      </w:pPr>
    </w:p>
    <w:bookmarkStart w:id="2" w:name="page3"/>
    <w:bookmarkEnd w:id="2"/>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19" w:lineRule="exact"/>
        <w:rPr>
          <w:sz w:val="20"/>
          <w:szCs w:val="20"/>
          <w:color w:val="auto"/>
        </w:rPr>
      </w:pPr>
    </w:p>
    <w:p>
      <w:pPr>
        <w:ind w:left="4340"/>
        <w:spacing w:after="0"/>
        <w:rPr>
          <w:sz w:val="20"/>
          <w:szCs w:val="20"/>
          <w:color w:val="auto"/>
        </w:rPr>
      </w:pPr>
      <w:r>
        <w:rPr>
          <w:rFonts w:ascii="Arial" w:cs="Arial" w:eastAsia="Arial" w:hAnsi="Arial"/>
          <w:sz w:val="18"/>
          <w:szCs w:val="18"/>
          <w:b w:val="1"/>
          <w:bCs w:val="1"/>
          <w:color w:val="auto"/>
        </w:rPr>
        <w:t>CELLDEX THERAPEUTICS, INC.</w:t>
      </w:r>
    </w:p>
    <w:p>
      <w:pPr>
        <w:spacing w:after="0" w:line="21" w:lineRule="exact"/>
        <w:rPr>
          <w:sz w:val="20"/>
          <w:szCs w:val="20"/>
          <w:color w:val="auto"/>
        </w:rPr>
      </w:pPr>
    </w:p>
    <w:p>
      <w:pPr>
        <w:ind w:left="4300"/>
        <w:spacing w:after="0"/>
        <w:rPr>
          <w:sz w:val="20"/>
          <w:szCs w:val="20"/>
          <w:color w:val="auto"/>
        </w:rPr>
      </w:pPr>
      <w:r>
        <w:rPr>
          <w:rFonts w:ascii="Arial" w:cs="Arial" w:eastAsia="Arial" w:hAnsi="Arial"/>
          <w:sz w:val="18"/>
          <w:szCs w:val="18"/>
          <w:b w:val="1"/>
          <w:bCs w:val="1"/>
          <w:color w:val="auto"/>
        </w:rPr>
        <w:t>ANNUAL REPORT ON FORM 10-K</w:t>
      </w:r>
    </w:p>
    <w:p>
      <w:pPr>
        <w:spacing w:after="0" w:line="9" w:lineRule="exact"/>
        <w:rPr>
          <w:sz w:val="20"/>
          <w:szCs w:val="20"/>
          <w:color w:val="auto"/>
        </w:rPr>
      </w:pPr>
    </w:p>
    <w:p>
      <w:pPr>
        <w:ind w:left="4280"/>
        <w:spacing w:after="0"/>
        <w:rPr>
          <w:sz w:val="20"/>
          <w:szCs w:val="20"/>
          <w:color w:val="auto"/>
        </w:rPr>
      </w:pPr>
      <w:r>
        <w:rPr>
          <w:rFonts w:ascii="Arial" w:cs="Arial" w:eastAsia="Arial" w:hAnsi="Arial"/>
          <w:sz w:val="18"/>
          <w:szCs w:val="18"/>
          <w:b w:val="1"/>
          <w:bCs w:val="1"/>
          <w:color w:val="auto"/>
        </w:rPr>
        <w:t>YEAR ENDED DECEMBER 31, 2010</w:t>
      </w:r>
    </w:p>
    <w:p>
      <w:pPr>
        <w:spacing w:after="0" w:line="200" w:lineRule="exact"/>
        <w:rPr>
          <w:sz w:val="20"/>
          <w:szCs w:val="20"/>
          <w:color w:val="auto"/>
        </w:rPr>
      </w:pPr>
    </w:p>
    <w:p>
      <w:pPr>
        <w:spacing w:after="0" w:line="229" w:lineRule="exact"/>
        <w:rPr>
          <w:sz w:val="20"/>
          <w:szCs w:val="20"/>
          <w:color w:val="auto"/>
        </w:rPr>
      </w:pPr>
    </w:p>
    <w:p>
      <w:pPr>
        <w:ind w:left="4760"/>
        <w:spacing w:after="0"/>
        <w:rPr>
          <w:sz w:val="20"/>
          <w:szCs w:val="20"/>
          <w:color w:val="auto"/>
        </w:rPr>
      </w:pPr>
      <w:r>
        <w:rPr>
          <w:rFonts w:ascii="Arial" w:cs="Arial" w:eastAsia="Arial" w:hAnsi="Arial"/>
          <w:sz w:val="18"/>
          <w:szCs w:val="18"/>
          <w:b w:val="1"/>
          <w:bCs w:val="1"/>
          <w:color w:val="auto"/>
        </w:rPr>
        <w:t>TABLE OF CONTENTS</w:t>
      </w:r>
    </w:p>
    <w:p>
      <w:pPr>
        <w:spacing w:after="0" w:line="281" w:lineRule="exact"/>
        <w:rPr>
          <w:sz w:val="20"/>
          <w:szCs w:val="20"/>
          <w:color w:val="auto"/>
        </w:rPr>
      </w:pPr>
    </w:p>
    <w:tbl>
      <w:tblPr>
        <w:tblLayout w:type="fixed"/>
        <w:tblInd w:w="1140" w:type="dxa"/>
        <w:tblCellMar>
          <w:top w:w="0" w:type="dxa"/>
          <w:left w:w="0" w:type="dxa"/>
          <w:bottom w:w="0" w:type="dxa"/>
          <w:right w:w="0" w:type="dxa"/>
        </w:tblCellMar>
      </w:tblPr>
      <w:tr>
        <w:trPr>
          <w:trHeight w:val="161"/>
        </w:trPr>
        <w:tc>
          <w:tcPr>
            <w:tcW w:w="1540" w:type="dxa"/>
            <w:vAlign w:val="bottom"/>
            <w:gridSpan w:val="9"/>
            <w:vMerge w:val="restart"/>
          </w:tcPr>
          <w:p>
            <w:pPr>
              <w:spacing w:after="0"/>
              <w:rPr>
                <w:rFonts w:ascii="Arial" w:cs="Arial" w:eastAsia="Arial" w:hAnsi="Arial"/>
                <w:sz w:val="18"/>
                <w:szCs w:val="18"/>
                <w:color w:val="0000EE"/>
              </w:rPr>
            </w:pPr>
            <w:hyperlink w:anchor="page6">
              <w:r>
                <w:rPr>
                  <w:rFonts w:ascii="Arial" w:cs="Arial" w:eastAsia="Arial" w:hAnsi="Arial"/>
                  <w:sz w:val="18"/>
                  <w:szCs w:val="18"/>
                  <w:color w:val="0000EE"/>
                </w:rPr>
                <w:t>Part I</w:t>
              </w:r>
            </w:hyperlink>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340" w:type="dxa"/>
            <w:vAlign w:val="bottom"/>
            <w:tcBorders>
              <w:bottom w:val="single" w:sz="8" w:color="auto"/>
            </w:tcBorders>
            <w:gridSpan w:val="4"/>
          </w:tcPr>
          <w:p>
            <w:pPr>
              <w:jc w:val="right"/>
              <w:ind w:right="40"/>
              <w:spacing w:after="0"/>
              <w:rPr>
                <w:sz w:val="20"/>
                <w:szCs w:val="20"/>
                <w:color w:val="auto"/>
              </w:rPr>
            </w:pPr>
            <w:r>
              <w:rPr>
                <w:rFonts w:ascii="Arial" w:cs="Arial" w:eastAsia="Arial" w:hAnsi="Arial"/>
                <w:sz w:val="14"/>
                <w:szCs w:val="14"/>
                <w:b w:val="1"/>
                <w:bCs w:val="1"/>
                <w:color w:val="auto"/>
                <w:w w:val="83"/>
              </w:rPr>
              <w:t>Page</w:t>
            </w:r>
          </w:p>
        </w:tc>
        <w:tc>
          <w:tcPr>
            <w:tcW w:w="0" w:type="dxa"/>
            <w:vAlign w:val="bottom"/>
          </w:tcPr>
          <w:p>
            <w:pPr>
              <w:spacing w:after="0"/>
              <w:rPr>
                <w:sz w:val="1"/>
                <w:szCs w:val="1"/>
                <w:color w:val="auto"/>
              </w:rPr>
            </w:pPr>
          </w:p>
        </w:tc>
      </w:tr>
      <w:tr>
        <w:trPr>
          <w:trHeight w:val="169"/>
        </w:trPr>
        <w:tc>
          <w:tcPr>
            <w:tcW w:w="1540" w:type="dxa"/>
            <w:vAlign w:val="bottom"/>
            <w:gridSpan w:val="9"/>
            <w:vMerge w:val="continue"/>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400" w:type="dxa"/>
            <w:vAlign w:val="bottom"/>
            <w:tcBorders>
              <w:top w:val="single" w:sz="8" w:color="0000EE"/>
            </w:tcBorders>
          </w:tcPr>
          <w:p>
            <w:pPr>
              <w:spacing w:after="0"/>
              <w:rPr>
                <w:sz w:val="17"/>
                <w:szCs w:val="17"/>
                <w:color w:val="auto"/>
              </w:rPr>
            </w:pP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520" w:type="dxa"/>
            <w:vAlign w:val="bottom"/>
          </w:tcPr>
          <w:p>
            <w:pPr>
              <w:spacing w:after="0" w:line="196" w:lineRule="exact"/>
              <w:rPr>
                <w:rFonts w:ascii="Arial" w:cs="Arial" w:eastAsia="Arial" w:hAnsi="Arial"/>
                <w:sz w:val="18"/>
                <w:szCs w:val="18"/>
                <w:color w:val="0000EE"/>
                <w:w w:val="87"/>
              </w:rPr>
            </w:pPr>
            <w:hyperlink w:anchor="page6">
              <w:r>
                <w:rPr>
                  <w:rFonts w:ascii="Arial" w:cs="Arial" w:eastAsia="Arial" w:hAnsi="Arial"/>
                  <w:sz w:val="18"/>
                  <w:szCs w:val="18"/>
                  <w:color w:val="0000EE"/>
                  <w:w w:val="87"/>
                </w:rPr>
                <w:t>Item 1.</w:t>
              </w:r>
            </w:hyperlink>
          </w:p>
        </w:tc>
        <w:tc>
          <w:tcPr>
            <w:tcW w:w="240" w:type="dxa"/>
            <w:vAlign w:val="bottom"/>
            <w:gridSpan w:val="3"/>
          </w:tcPr>
          <w:p>
            <w:pPr>
              <w:spacing w:after="0"/>
              <w:rPr>
                <w:sz w:val="17"/>
                <w:szCs w:val="17"/>
                <w:color w:val="auto"/>
              </w:rPr>
            </w:pPr>
          </w:p>
        </w:tc>
        <w:tc>
          <w:tcPr>
            <w:tcW w:w="7260" w:type="dxa"/>
            <w:vAlign w:val="bottom"/>
            <w:gridSpan w:val="22"/>
          </w:tcPr>
          <w:p>
            <w:pPr>
              <w:ind w:left="120"/>
              <w:spacing w:after="0" w:line="196" w:lineRule="exact"/>
              <w:rPr>
                <w:rFonts w:ascii="Arial" w:cs="Arial" w:eastAsia="Arial" w:hAnsi="Arial"/>
                <w:sz w:val="18"/>
                <w:szCs w:val="18"/>
                <w:color w:val="0000EE"/>
              </w:rPr>
            </w:pPr>
            <w:hyperlink w:anchor="page6">
              <w:r>
                <w:rPr>
                  <w:rFonts w:ascii="Arial" w:cs="Arial" w:eastAsia="Arial" w:hAnsi="Arial"/>
                  <w:sz w:val="18"/>
                  <w:szCs w:val="18"/>
                  <w:color w:val="0000EE"/>
                </w:rPr>
                <w:t>Business</w:t>
              </w:r>
            </w:hyperlink>
          </w:p>
        </w:tc>
        <w:tc>
          <w:tcPr>
            <w:tcW w:w="340" w:type="dxa"/>
            <w:vAlign w:val="bottom"/>
            <w:gridSpan w:val="4"/>
          </w:tcPr>
          <w:p>
            <w:pPr>
              <w:jc w:val="right"/>
              <w:spacing w:after="0" w:line="196" w:lineRule="exact"/>
              <w:rPr>
                <w:rFonts w:ascii="Arial" w:cs="Arial" w:eastAsia="Arial" w:hAnsi="Arial"/>
                <w:sz w:val="18"/>
                <w:szCs w:val="18"/>
                <w:color w:val="0000EE"/>
              </w:rPr>
            </w:pPr>
            <w:hyperlink w:anchor="page6">
              <w:r>
                <w:rPr>
                  <w:rFonts w:ascii="Arial" w:cs="Arial" w:eastAsia="Arial" w:hAnsi="Arial"/>
                  <w:sz w:val="18"/>
                  <w:szCs w:val="18"/>
                  <w:color w:val="0000EE"/>
                </w:rPr>
                <w:t>1</w:t>
              </w:r>
            </w:hyperlink>
          </w:p>
        </w:tc>
        <w:tc>
          <w:tcPr>
            <w:tcW w:w="0" w:type="dxa"/>
            <w:vAlign w:val="bottom"/>
          </w:tcPr>
          <w:p>
            <w:pPr>
              <w:spacing w:after="0"/>
              <w:rPr>
                <w:sz w:val="1"/>
                <w:szCs w:val="1"/>
                <w:color w:val="auto"/>
              </w:rPr>
            </w:pPr>
          </w:p>
        </w:tc>
      </w:tr>
      <w:tr>
        <w:trPr>
          <w:trHeight w:val="20"/>
        </w:trPr>
        <w:tc>
          <w:tcPr>
            <w:tcW w:w="4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20" w:type="dxa"/>
            <w:vAlign w:val="bottom"/>
            <w:tcBorders>
              <w:right w:val="single" w:sz="8" w:color="0000EE"/>
            </w:tcBorders>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4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0" w:type="dxa"/>
            <w:vAlign w:val="bottom"/>
            <w:gridSpan w:val="3"/>
          </w:tcPr>
          <w:p>
            <w:pPr>
              <w:spacing w:after="0" w:line="196" w:lineRule="exact"/>
              <w:rPr>
                <w:rFonts w:ascii="Arial" w:cs="Arial" w:eastAsia="Arial" w:hAnsi="Arial"/>
                <w:sz w:val="18"/>
                <w:szCs w:val="18"/>
                <w:color w:val="0000EE"/>
                <w:w w:val="83"/>
              </w:rPr>
            </w:pPr>
            <w:hyperlink w:anchor="page29">
              <w:r>
                <w:rPr>
                  <w:rFonts w:ascii="Arial" w:cs="Arial" w:eastAsia="Arial" w:hAnsi="Arial"/>
                  <w:sz w:val="18"/>
                  <w:szCs w:val="18"/>
                  <w:color w:val="0000EE"/>
                  <w:w w:val="83"/>
                </w:rPr>
                <w:t>Item 1A.</w:t>
              </w:r>
            </w:hyperlink>
          </w:p>
        </w:tc>
        <w:tc>
          <w:tcPr>
            <w:tcW w:w="160" w:type="dxa"/>
            <w:vAlign w:val="bottom"/>
          </w:tcPr>
          <w:p>
            <w:pPr>
              <w:spacing w:after="0"/>
              <w:rPr>
                <w:sz w:val="17"/>
                <w:szCs w:val="17"/>
                <w:color w:val="auto"/>
              </w:rPr>
            </w:pPr>
          </w:p>
        </w:tc>
        <w:tc>
          <w:tcPr>
            <w:tcW w:w="7260" w:type="dxa"/>
            <w:vAlign w:val="bottom"/>
            <w:gridSpan w:val="22"/>
          </w:tcPr>
          <w:p>
            <w:pPr>
              <w:ind w:left="120"/>
              <w:spacing w:after="0" w:line="196" w:lineRule="exact"/>
              <w:rPr>
                <w:rFonts w:ascii="Arial" w:cs="Arial" w:eastAsia="Arial" w:hAnsi="Arial"/>
                <w:sz w:val="18"/>
                <w:szCs w:val="18"/>
                <w:color w:val="0000EE"/>
              </w:rPr>
            </w:pPr>
            <w:hyperlink w:anchor="page29">
              <w:r>
                <w:rPr>
                  <w:rFonts w:ascii="Arial" w:cs="Arial" w:eastAsia="Arial" w:hAnsi="Arial"/>
                  <w:sz w:val="18"/>
                  <w:szCs w:val="18"/>
                  <w:color w:val="0000EE"/>
                </w:rPr>
                <w:t>Risk Factors</w:t>
              </w:r>
            </w:hyperlink>
          </w:p>
        </w:tc>
        <w:tc>
          <w:tcPr>
            <w:tcW w:w="340" w:type="dxa"/>
            <w:vAlign w:val="bottom"/>
            <w:gridSpan w:val="4"/>
          </w:tcPr>
          <w:p>
            <w:pPr>
              <w:jc w:val="right"/>
              <w:spacing w:after="0" w:line="196" w:lineRule="exact"/>
              <w:rPr>
                <w:rFonts w:ascii="Arial" w:cs="Arial" w:eastAsia="Arial" w:hAnsi="Arial"/>
                <w:sz w:val="18"/>
                <w:szCs w:val="18"/>
                <w:color w:val="0000EE"/>
              </w:rPr>
            </w:pPr>
            <w:hyperlink w:anchor="page29">
              <w:r>
                <w:rPr>
                  <w:rFonts w:ascii="Arial" w:cs="Arial" w:eastAsia="Arial" w:hAnsi="Arial"/>
                  <w:sz w:val="18"/>
                  <w:szCs w:val="18"/>
                  <w:color w:val="0000EE"/>
                </w:rPr>
                <w:t>24</w:t>
              </w:r>
            </w:hyperlink>
          </w:p>
        </w:tc>
        <w:tc>
          <w:tcPr>
            <w:tcW w:w="0" w:type="dxa"/>
            <w:vAlign w:val="bottom"/>
          </w:tcPr>
          <w:p>
            <w:pPr>
              <w:spacing w:after="0"/>
              <w:rPr>
                <w:sz w:val="1"/>
                <w:szCs w:val="1"/>
                <w:color w:val="auto"/>
              </w:rPr>
            </w:pPr>
          </w:p>
        </w:tc>
      </w:tr>
      <w:tr>
        <w:trPr>
          <w:trHeight w:val="20"/>
        </w:trPr>
        <w:tc>
          <w:tcPr>
            <w:tcW w:w="4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20" w:type="dxa"/>
            <w:vAlign w:val="bottom"/>
            <w:tcBorders>
              <w:right w:val="single" w:sz="8" w:color="0000EE"/>
            </w:tcBorders>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60" w:type="dxa"/>
            <w:vAlign w:val="bottom"/>
            <w:tcBorders>
              <w:left w:val="single" w:sz="8" w:color="0000EE"/>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520" w:type="dxa"/>
            <w:vAlign w:val="bottom"/>
            <w:tcBorders>
              <w:right w:val="single" w:sz="8" w:color="0000EE"/>
            </w:tcBorders>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4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0" w:type="dxa"/>
            <w:vAlign w:val="bottom"/>
            <w:gridSpan w:val="3"/>
          </w:tcPr>
          <w:p>
            <w:pPr>
              <w:spacing w:after="0" w:line="196" w:lineRule="exact"/>
              <w:rPr>
                <w:rFonts w:ascii="Arial" w:cs="Arial" w:eastAsia="Arial" w:hAnsi="Arial"/>
                <w:sz w:val="18"/>
                <w:szCs w:val="18"/>
                <w:color w:val="0000EE"/>
                <w:w w:val="83"/>
              </w:rPr>
            </w:pPr>
            <w:hyperlink w:anchor="page43">
              <w:r>
                <w:rPr>
                  <w:rFonts w:ascii="Arial" w:cs="Arial" w:eastAsia="Arial" w:hAnsi="Arial"/>
                  <w:sz w:val="18"/>
                  <w:szCs w:val="18"/>
                  <w:color w:val="0000EE"/>
                  <w:w w:val="83"/>
                </w:rPr>
                <w:t>Item 1B.</w:t>
              </w:r>
            </w:hyperlink>
          </w:p>
        </w:tc>
        <w:tc>
          <w:tcPr>
            <w:tcW w:w="160" w:type="dxa"/>
            <w:vAlign w:val="bottom"/>
          </w:tcPr>
          <w:p>
            <w:pPr>
              <w:spacing w:after="0"/>
              <w:rPr>
                <w:sz w:val="17"/>
                <w:szCs w:val="17"/>
                <w:color w:val="auto"/>
              </w:rPr>
            </w:pPr>
          </w:p>
        </w:tc>
        <w:tc>
          <w:tcPr>
            <w:tcW w:w="7260" w:type="dxa"/>
            <w:vAlign w:val="bottom"/>
            <w:gridSpan w:val="22"/>
          </w:tcPr>
          <w:p>
            <w:pPr>
              <w:ind w:left="120"/>
              <w:spacing w:after="0" w:line="196" w:lineRule="exact"/>
              <w:rPr>
                <w:rFonts w:ascii="Arial" w:cs="Arial" w:eastAsia="Arial" w:hAnsi="Arial"/>
                <w:sz w:val="18"/>
                <w:szCs w:val="18"/>
                <w:color w:val="0000EE"/>
              </w:rPr>
            </w:pPr>
            <w:hyperlink w:anchor="page43">
              <w:r>
                <w:rPr>
                  <w:rFonts w:ascii="Arial" w:cs="Arial" w:eastAsia="Arial" w:hAnsi="Arial"/>
                  <w:sz w:val="18"/>
                  <w:szCs w:val="18"/>
                  <w:color w:val="0000EE"/>
                </w:rPr>
                <w:t>Unresolved Staff Comments</w:t>
              </w:r>
            </w:hyperlink>
          </w:p>
        </w:tc>
        <w:tc>
          <w:tcPr>
            <w:tcW w:w="340" w:type="dxa"/>
            <w:vAlign w:val="bottom"/>
            <w:gridSpan w:val="4"/>
          </w:tcPr>
          <w:p>
            <w:pPr>
              <w:jc w:val="right"/>
              <w:spacing w:after="0" w:line="196" w:lineRule="exact"/>
              <w:rPr>
                <w:rFonts w:ascii="Arial" w:cs="Arial" w:eastAsia="Arial" w:hAnsi="Arial"/>
                <w:sz w:val="18"/>
                <w:szCs w:val="18"/>
                <w:color w:val="0000EE"/>
              </w:rPr>
            </w:pPr>
            <w:hyperlink w:anchor="page43">
              <w:r>
                <w:rPr>
                  <w:rFonts w:ascii="Arial" w:cs="Arial" w:eastAsia="Arial" w:hAnsi="Arial"/>
                  <w:sz w:val="18"/>
                  <w:szCs w:val="18"/>
                  <w:color w:val="0000EE"/>
                </w:rPr>
                <w:t>38</w:t>
              </w:r>
            </w:hyperlink>
          </w:p>
        </w:tc>
        <w:tc>
          <w:tcPr>
            <w:tcW w:w="0" w:type="dxa"/>
            <w:vAlign w:val="bottom"/>
          </w:tcPr>
          <w:p>
            <w:pPr>
              <w:spacing w:after="0"/>
              <w:rPr>
                <w:sz w:val="1"/>
                <w:szCs w:val="1"/>
                <w:color w:val="auto"/>
              </w:rPr>
            </w:pPr>
          </w:p>
        </w:tc>
      </w:tr>
      <w:tr>
        <w:trPr>
          <w:trHeight w:val="20"/>
        </w:trPr>
        <w:tc>
          <w:tcPr>
            <w:tcW w:w="4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20" w:type="dxa"/>
            <w:vAlign w:val="bottom"/>
            <w:tcBorders>
              <w:right w:val="single" w:sz="8" w:color="0000EE"/>
            </w:tcBorders>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520" w:type="dxa"/>
            <w:vAlign w:val="bottom"/>
            <w:tcBorders>
              <w:right w:val="single" w:sz="8" w:color="0000EE"/>
            </w:tcBorders>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580" w:type="dxa"/>
            <w:vAlign w:val="bottom"/>
            <w:tcBorders>
              <w:right w:val="single" w:sz="8" w:color="0000EE"/>
            </w:tcBorders>
            <w:gridSpan w:val="2"/>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4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520" w:type="dxa"/>
            <w:vAlign w:val="bottom"/>
          </w:tcPr>
          <w:p>
            <w:pPr>
              <w:spacing w:after="0" w:line="196" w:lineRule="exact"/>
              <w:rPr>
                <w:rFonts w:ascii="Arial" w:cs="Arial" w:eastAsia="Arial" w:hAnsi="Arial"/>
                <w:sz w:val="18"/>
                <w:szCs w:val="18"/>
                <w:color w:val="0000EE"/>
                <w:w w:val="87"/>
              </w:rPr>
            </w:pPr>
            <w:hyperlink w:anchor="page43">
              <w:r>
                <w:rPr>
                  <w:rFonts w:ascii="Arial" w:cs="Arial" w:eastAsia="Arial" w:hAnsi="Arial"/>
                  <w:sz w:val="18"/>
                  <w:szCs w:val="18"/>
                  <w:color w:val="0000EE"/>
                  <w:w w:val="87"/>
                </w:rPr>
                <w:t>Item 2.</w:t>
              </w:r>
            </w:hyperlink>
          </w:p>
        </w:tc>
        <w:tc>
          <w:tcPr>
            <w:tcW w:w="80" w:type="dxa"/>
            <w:vAlign w:val="bottom"/>
            <w:gridSpan w:val="2"/>
          </w:tcPr>
          <w:p>
            <w:pPr>
              <w:spacing w:after="0"/>
              <w:rPr>
                <w:sz w:val="17"/>
                <w:szCs w:val="17"/>
                <w:color w:val="auto"/>
              </w:rPr>
            </w:pPr>
          </w:p>
        </w:tc>
        <w:tc>
          <w:tcPr>
            <w:tcW w:w="160" w:type="dxa"/>
            <w:vAlign w:val="bottom"/>
          </w:tcPr>
          <w:p>
            <w:pPr>
              <w:spacing w:after="0"/>
              <w:rPr>
                <w:sz w:val="17"/>
                <w:szCs w:val="17"/>
                <w:color w:val="auto"/>
              </w:rPr>
            </w:pPr>
          </w:p>
        </w:tc>
        <w:tc>
          <w:tcPr>
            <w:tcW w:w="7260" w:type="dxa"/>
            <w:vAlign w:val="bottom"/>
            <w:gridSpan w:val="22"/>
          </w:tcPr>
          <w:p>
            <w:pPr>
              <w:ind w:left="120"/>
              <w:spacing w:after="0" w:line="196" w:lineRule="exact"/>
              <w:rPr>
                <w:rFonts w:ascii="Arial" w:cs="Arial" w:eastAsia="Arial" w:hAnsi="Arial"/>
                <w:sz w:val="18"/>
                <w:szCs w:val="18"/>
                <w:color w:val="0000EE"/>
              </w:rPr>
            </w:pPr>
            <w:hyperlink w:anchor="page43">
              <w:r>
                <w:rPr>
                  <w:rFonts w:ascii="Arial" w:cs="Arial" w:eastAsia="Arial" w:hAnsi="Arial"/>
                  <w:sz w:val="18"/>
                  <w:szCs w:val="18"/>
                  <w:color w:val="0000EE"/>
                </w:rPr>
                <w:t>Properties</w:t>
              </w:r>
            </w:hyperlink>
          </w:p>
        </w:tc>
        <w:tc>
          <w:tcPr>
            <w:tcW w:w="340" w:type="dxa"/>
            <w:vAlign w:val="bottom"/>
            <w:gridSpan w:val="4"/>
          </w:tcPr>
          <w:p>
            <w:pPr>
              <w:jc w:val="right"/>
              <w:spacing w:after="0" w:line="196" w:lineRule="exact"/>
              <w:rPr>
                <w:rFonts w:ascii="Arial" w:cs="Arial" w:eastAsia="Arial" w:hAnsi="Arial"/>
                <w:sz w:val="18"/>
                <w:szCs w:val="18"/>
                <w:color w:val="0000EE"/>
              </w:rPr>
            </w:pPr>
            <w:hyperlink w:anchor="page43">
              <w:r>
                <w:rPr>
                  <w:rFonts w:ascii="Arial" w:cs="Arial" w:eastAsia="Arial" w:hAnsi="Arial"/>
                  <w:sz w:val="18"/>
                  <w:szCs w:val="18"/>
                  <w:color w:val="0000EE"/>
                </w:rPr>
                <w:t>38</w:t>
              </w:r>
            </w:hyperlink>
          </w:p>
        </w:tc>
        <w:tc>
          <w:tcPr>
            <w:tcW w:w="0" w:type="dxa"/>
            <w:vAlign w:val="bottom"/>
          </w:tcPr>
          <w:p>
            <w:pPr>
              <w:spacing w:after="0"/>
              <w:rPr>
                <w:sz w:val="1"/>
                <w:szCs w:val="1"/>
                <w:color w:val="auto"/>
              </w:rPr>
            </w:pPr>
          </w:p>
        </w:tc>
      </w:tr>
      <w:tr>
        <w:trPr>
          <w:trHeight w:val="20"/>
        </w:trPr>
        <w:tc>
          <w:tcPr>
            <w:tcW w:w="4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20" w:type="dxa"/>
            <w:vAlign w:val="bottom"/>
            <w:tcBorders>
              <w:right w:val="single" w:sz="8" w:color="0000EE"/>
            </w:tcBorders>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520" w:type="dxa"/>
            <w:vAlign w:val="bottom"/>
            <w:tcBorders>
              <w:right w:val="single" w:sz="8" w:color="0000EE"/>
            </w:tcBorders>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8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4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520" w:type="dxa"/>
            <w:vAlign w:val="bottom"/>
          </w:tcPr>
          <w:p>
            <w:pPr>
              <w:spacing w:after="0" w:line="196" w:lineRule="exact"/>
              <w:rPr>
                <w:rFonts w:ascii="Arial" w:cs="Arial" w:eastAsia="Arial" w:hAnsi="Arial"/>
                <w:sz w:val="18"/>
                <w:szCs w:val="18"/>
                <w:color w:val="0000EE"/>
                <w:w w:val="87"/>
              </w:rPr>
            </w:pPr>
            <w:hyperlink w:anchor="page43">
              <w:r>
                <w:rPr>
                  <w:rFonts w:ascii="Arial" w:cs="Arial" w:eastAsia="Arial" w:hAnsi="Arial"/>
                  <w:sz w:val="18"/>
                  <w:szCs w:val="18"/>
                  <w:color w:val="0000EE"/>
                  <w:w w:val="87"/>
                </w:rPr>
                <w:t>Item 3.</w:t>
              </w:r>
            </w:hyperlink>
          </w:p>
        </w:tc>
        <w:tc>
          <w:tcPr>
            <w:tcW w:w="240" w:type="dxa"/>
            <w:vAlign w:val="bottom"/>
            <w:gridSpan w:val="3"/>
          </w:tcPr>
          <w:p>
            <w:pPr>
              <w:spacing w:after="0"/>
              <w:rPr>
                <w:sz w:val="17"/>
                <w:szCs w:val="17"/>
                <w:color w:val="auto"/>
              </w:rPr>
            </w:pPr>
          </w:p>
        </w:tc>
        <w:tc>
          <w:tcPr>
            <w:tcW w:w="7260" w:type="dxa"/>
            <w:vAlign w:val="bottom"/>
            <w:gridSpan w:val="22"/>
          </w:tcPr>
          <w:p>
            <w:pPr>
              <w:ind w:left="120"/>
              <w:spacing w:after="0" w:line="196" w:lineRule="exact"/>
              <w:rPr>
                <w:rFonts w:ascii="Arial" w:cs="Arial" w:eastAsia="Arial" w:hAnsi="Arial"/>
                <w:sz w:val="18"/>
                <w:szCs w:val="18"/>
                <w:color w:val="0000EE"/>
              </w:rPr>
            </w:pPr>
            <w:hyperlink w:anchor="page43">
              <w:r>
                <w:rPr>
                  <w:rFonts w:ascii="Arial" w:cs="Arial" w:eastAsia="Arial" w:hAnsi="Arial"/>
                  <w:sz w:val="18"/>
                  <w:szCs w:val="18"/>
                  <w:color w:val="0000EE"/>
                </w:rPr>
                <w:t>Legal Proceedings</w:t>
              </w:r>
            </w:hyperlink>
          </w:p>
        </w:tc>
        <w:tc>
          <w:tcPr>
            <w:tcW w:w="340" w:type="dxa"/>
            <w:vAlign w:val="bottom"/>
            <w:gridSpan w:val="4"/>
          </w:tcPr>
          <w:p>
            <w:pPr>
              <w:jc w:val="right"/>
              <w:spacing w:after="0" w:line="196" w:lineRule="exact"/>
              <w:rPr>
                <w:rFonts w:ascii="Arial" w:cs="Arial" w:eastAsia="Arial" w:hAnsi="Arial"/>
                <w:sz w:val="18"/>
                <w:szCs w:val="18"/>
                <w:color w:val="0000EE"/>
              </w:rPr>
            </w:pPr>
            <w:hyperlink w:anchor="page43">
              <w:r>
                <w:rPr>
                  <w:rFonts w:ascii="Arial" w:cs="Arial" w:eastAsia="Arial" w:hAnsi="Arial"/>
                  <w:sz w:val="18"/>
                  <w:szCs w:val="18"/>
                  <w:color w:val="0000EE"/>
                </w:rPr>
                <w:t>38</w:t>
              </w:r>
            </w:hyperlink>
          </w:p>
        </w:tc>
        <w:tc>
          <w:tcPr>
            <w:tcW w:w="0" w:type="dxa"/>
            <w:vAlign w:val="bottom"/>
          </w:tcPr>
          <w:p>
            <w:pPr>
              <w:spacing w:after="0"/>
              <w:rPr>
                <w:sz w:val="1"/>
                <w:szCs w:val="1"/>
                <w:color w:val="auto"/>
              </w:rPr>
            </w:pPr>
          </w:p>
        </w:tc>
      </w:tr>
      <w:tr>
        <w:trPr>
          <w:trHeight w:val="20"/>
        </w:trPr>
        <w:tc>
          <w:tcPr>
            <w:tcW w:w="4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20" w:type="dxa"/>
            <w:vAlign w:val="bottom"/>
            <w:tcBorders>
              <w:right w:val="single" w:sz="8" w:color="0000EE"/>
            </w:tcBorders>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520" w:type="dxa"/>
            <w:vAlign w:val="bottom"/>
            <w:tcBorders>
              <w:right w:val="single" w:sz="8" w:color="0000EE"/>
            </w:tcBorders>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580" w:type="dxa"/>
            <w:vAlign w:val="bottom"/>
            <w:tcBorders>
              <w:right w:val="single" w:sz="8" w:color="0000EE"/>
            </w:tcBorders>
            <w:gridSpan w:val="2"/>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4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520" w:type="dxa"/>
            <w:vAlign w:val="bottom"/>
          </w:tcPr>
          <w:p>
            <w:pPr>
              <w:spacing w:after="0" w:line="196" w:lineRule="exact"/>
              <w:rPr>
                <w:rFonts w:ascii="Arial" w:cs="Arial" w:eastAsia="Arial" w:hAnsi="Arial"/>
                <w:sz w:val="18"/>
                <w:szCs w:val="18"/>
                <w:color w:val="0000EE"/>
                <w:w w:val="87"/>
              </w:rPr>
            </w:pPr>
            <w:hyperlink w:anchor="page43">
              <w:r>
                <w:rPr>
                  <w:rFonts w:ascii="Arial" w:cs="Arial" w:eastAsia="Arial" w:hAnsi="Arial"/>
                  <w:sz w:val="18"/>
                  <w:szCs w:val="18"/>
                  <w:color w:val="0000EE"/>
                  <w:w w:val="87"/>
                </w:rPr>
                <w:t>Item 4.</w:t>
              </w:r>
            </w:hyperlink>
          </w:p>
        </w:tc>
        <w:tc>
          <w:tcPr>
            <w:tcW w:w="240" w:type="dxa"/>
            <w:vAlign w:val="bottom"/>
            <w:gridSpan w:val="3"/>
          </w:tcPr>
          <w:p>
            <w:pPr>
              <w:spacing w:after="0"/>
              <w:rPr>
                <w:sz w:val="17"/>
                <w:szCs w:val="17"/>
                <w:color w:val="auto"/>
              </w:rPr>
            </w:pPr>
          </w:p>
        </w:tc>
        <w:tc>
          <w:tcPr>
            <w:tcW w:w="7260" w:type="dxa"/>
            <w:vAlign w:val="bottom"/>
            <w:gridSpan w:val="22"/>
          </w:tcPr>
          <w:p>
            <w:pPr>
              <w:ind w:left="120"/>
              <w:spacing w:after="0" w:line="196" w:lineRule="exact"/>
              <w:rPr>
                <w:rFonts w:ascii="Arial" w:cs="Arial" w:eastAsia="Arial" w:hAnsi="Arial"/>
                <w:sz w:val="18"/>
                <w:szCs w:val="18"/>
                <w:color w:val="0000EE"/>
              </w:rPr>
            </w:pPr>
            <w:hyperlink w:anchor="page43">
              <w:r>
                <w:rPr>
                  <w:rFonts w:ascii="Arial" w:cs="Arial" w:eastAsia="Arial" w:hAnsi="Arial"/>
                  <w:sz w:val="18"/>
                  <w:szCs w:val="18"/>
                  <w:color w:val="0000EE"/>
                </w:rPr>
                <w:t>Reserved</w:t>
              </w:r>
            </w:hyperlink>
          </w:p>
        </w:tc>
        <w:tc>
          <w:tcPr>
            <w:tcW w:w="340" w:type="dxa"/>
            <w:vAlign w:val="bottom"/>
            <w:gridSpan w:val="4"/>
          </w:tcPr>
          <w:p>
            <w:pPr>
              <w:jc w:val="right"/>
              <w:spacing w:after="0" w:line="196" w:lineRule="exact"/>
              <w:rPr>
                <w:rFonts w:ascii="Arial" w:cs="Arial" w:eastAsia="Arial" w:hAnsi="Arial"/>
                <w:sz w:val="18"/>
                <w:szCs w:val="18"/>
                <w:color w:val="0000EE"/>
              </w:rPr>
            </w:pPr>
            <w:hyperlink w:anchor="page43">
              <w:r>
                <w:rPr>
                  <w:rFonts w:ascii="Arial" w:cs="Arial" w:eastAsia="Arial" w:hAnsi="Arial"/>
                  <w:sz w:val="18"/>
                  <w:szCs w:val="18"/>
                  <w:color w:val="0000EE"/>
                </w:rPr>
                <w:t>38</w:t>
              </w:r>
            </w:hyperlink>
          </w:p>
        </w:tc>
        <w:tc>
          <w:tcPr>
            <w:tcW w:w="0" w:type="dxa"/>
            <w:vAlign w:val="bottom"/>
          </w:tcPr>
          <w:p>
            <w:pPr>
              <w:spacing w:after="0"/>
              <w:rPr>
                <w:sz w:val="1"/>
                <w:szCs w:val="1"/>
                <w:color w:val="auto"/>
              </w:rPr>
            </w:pPr>
          </w:p>
        </w:tc>
      </w:tr>
      <w:tr>
        <w:trPr>
          <w:trHeight w:val="196"/>
        </w:trPr>
        <w:tc>
          <w:tcPr>
            <w:tcW w:w="780" w:type="dxa"/>
            <w:vAlign w:val="bottom"/>
            <w:gridSpan w:val="5"/>
          </w:tcPr>
          <w:p>
            <w:pPr>
              <w:spacing w:after="0" w:line="196" w:lineRule="exact"/>
              <w:rPr>
                <w:rFonts w:ascii="Arial" w:cs="Arial" w:eastAsia="Arial" w:hAnsi="Arial"/>
                <w:sz w:val="18"/>
                <w:szCs w:val="18"/>
                <w:color w:val="0000EE"/>
              </w:rPr>
            </w:pPr>
            <w:hyperlink w:anchor="page44">
              <w:r>
                <w:rPr>
                  <w:rFonts w:ascii="Arial" w:cs="Arial" w:eastAsia="Arial" w:hAnsi="Arial"/>
                  <w:sz w:val="18"/>
                  <w:szCs w:val="18"/>
                  <w:color w:val="0000EE"/>
                </w:rPr>
                <w:t>Part II</w:t>
              </w:r>
            </w:hyperlink>
          </w:p>
        </w:tc>
        <w:tc>
          <w:tcPr>
            <w:tcW w:w="520" w:type="dxa"/>
            <w:vAlign w:val="bottom"/>
            <w:tcBorders>
              <w:top w:val="single" w:sz="8" w:color="0000EE"/>
            </w:tcBorders>
          </w:tcPr>
          <w:p>
            <w:pPr>
              <w:spacing w:after="0"/>
              <w:rPr>
                <w:sz w:val="17"/>
                <w:szCs w:val="17"/>
                <w:color w:val="auto"/>
              </w:rPr>
            </w:pPr>
          </w:p>
        </w:tc>
        <w:tc>
          <w:tcPr>
            <w:tcW w:w="240" w:type="dxa"/>
            <w:vAlign w:val="bottom"/>
            <w:gridSpan w:val="3"/>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Borders>
              <w:top w:val="single" w:sz="8" w:color="0000EE"/>
            </w:tcBorders>
          </w:tcPr>
          <w:p>
            <w:pPr>
              <w:spacing w:after="0"/>
              <w:rPr>
                <w:sz w:val="17"/>
                <w:szCs w:val="17"/>
                <w:color w:val="auto"/>
              </w:rPr>
            </w:pPr>
          </w:p>
        </w:tc>
        <w:tc>
          <w:tcPr>
            <w:tcW w:w="440" w:type="dxa"/>
            <w:vAlign w:val="bottom"/>
            <w:tcBorders>
              <w:top w:val="single" w:sz="8" w:color="0000EE"/>
            </w:tcBorders>
          </w:tcPr>
          <w:p>
            <w:pPr>
              <w:spacing w:after="0"/>
              <w:rPr>
                <w:sz w:val="17"/>
                <w:szCs w:val="17"/>
                <w:color w:val="auto"/>
              </w:rPr>
            </w:pPr>
          </w:p>
        </w:tc>
        <w:tc>
          <w:tcPr>
            <w:tcW w:w="80" w:type="dxa"/>
            <w:vAlign w:val="bottom"/>
            <w:tcBorders>
              <w:top w:val="single" w:sz="8" w:color="0000EE"/>
            </w:tcBorders>
          </w:tcPr>
          <w:p>
            <w:pPr>
              <w:spacing w:after="0"/>
              <w:rPr>
                <w:sz w:val="17"/>
                <w:szCs w:val="17"/>
                <w:color w:val="auto"/>
              </w:rPr>
            </w:pP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Borders>
              <w:top w:val="single" w:sz="8" w:color="0000EE"/>
            </w:tcBorders>
          </w:tcPr>
          <w:p>
            <w:pPr>
              <w:spacing w:after="0"/>
              <w:rPr>
                <w:sz w:val="17"/>
                <w:szCs w:val="17"/>
                <w:color w:val="auto"/>
              </w:rPr>
            </w:pPr>
          </w:p>
        </w:tc>
        <w:tc>
          <w:tcPr>
            <w:tcW w:w="80" w:type="dxa"/>
            <w:vAlign w:val="bottom"/>
            <w:tcBorders>
              <w:top w:val="single" w:sz="8" w:color="0000EE"/>
            </w:tcBorders>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400" w:type="dxa"/>
            <w:vAlign w:val="bottom"/>
            <w:tcBorders>
              <w:top w:val="single" w:sz="8" w:color="0000EE"/>
            </w:tcBorders>
          </w:tcPr>
          <w:p>
            <w:pPr>
              <w:spacing w:after="0"/>
              <w:rPr>
                <w:sz w:val="17"/>
                <w:szCs w:val="17"/>
                <w:color w:val="auto"/>
              </w:rPr>
            </w:pPr>
          </w:p>
        </w:tc>
        <w:tc>
          <w:tcPr>
            <w:tcW w:w="60" w:type="dxa"/>
            <w:vAlign w:val="bottom"/>
            <w:tcBorders>
              <w:top w:val="single" w:sz="8" w:color="0000EE"/>
            </w:tcBorders>
          </w:tcPr>
          <w:p>
            <w:pPr>
              <w:spacing w:after="0"/>
              <w:rPr>
                <w:sz w:val="17"/>
                <w:szCs w:val="17"/>
                <w:color w:val="auto"/>
              </w:rPr>
            </w:pPr>
          </w:p>
        </w:tc>
        <w:tc>
          <w:tcPr>
            <w:tcW w:w="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520" w:type="dxa"/>
            <w:vAlign w:val="bottom"/>
          </w:tcPr>
          <w:p>
            <w:pPr>
              <w:spacing w:after="0" w:line="196" w:lineRule="exact"/>
              <w:rPr>
                <w:rFonts w:ascii="Arial" w:cs="Arial" w:eastAsia="Arial" w:hAnsi="Arial"/>
                <w:sz w:val="18"/>
                <w:szCs w:val="18"/>
                <w:color w:val="0000EE"/>
                <w:w w:val="87"/>
              </w:rPr>
            </w:pPr>
            <w:hyperlink w:anchor="page44">
              <w:r>
                <w:rPr>
                  <w:rFonts w:ascii="Arial" w:cs="Arial" w:eastAsia="Arial" w:hAnsi="Arial"/>
                  <w:sz w:val="18"/>
                  <w:szCs w:val="18"/>
                  <w:color w:val="0000EE"/>
                  <w:w w:val="87"/>
                </w:rPr>
                <w:t>Item 5.</w:t>
              </w:r>
            </w:hyperlink>
          </w:p>
        </w:tc>
        <w:tc>
          <w:tcPr>
            <w:tcW w:w="240" w:type="dxa"/>
            <w:vAlign w:val="bottom"/>
            <w:gridSpan w:val="3"/>
          </w:tcPr>
          <w:p>
            <w:pPr>
              <w:spacing w:after="0"/>
              <w:rPr>
                <w:sz w:val="17"/>
                <w:szCs w:val="17"/>
                <w:color w:val="auto"/>
              </w:rPr>
            </w:pPr>
          </w:p>
        </w:tc>
        <w:tc>
          <w:tcPr>
            <w:tcW w:w="7260" w:type="dxa"/>
            <w:vAlign w:val="bottom"/>
            <w:gridSpan w:val="22"/>
          </w:tcPr>
          <w:p>
            <w:pPr>
              <w:ind w:left="120"/>
              <w:spacing w:after="0" w:line="196" w:lineRule="exact"/>
              <w:rPr>
                <w:rFonts w:ascii="Arial" w:cs="Arial" w:eastAsia="Arial" w:hAnsi="Arial"/>
                <w:sz w:val="18"/>
                <w:szCs w:val="18"/>
                <w:color w:val="0000EE"/>
                <w:w w:val="94"/>
              </w:rPr>
            </w:pPr>
            <w:hyperlink w:anchor="page44">
              <w:r>
                <w:rPr>
                  <w:rFonts w:ascii="Arial" w:cs="Arial" w:eastAsia="Arial" w:hAnsi="Arial"/>
                  <w:sz w:val="18"/>
                  <w:szCs w:val="18"/>
                  <w:color w:val="0000EE"/>
                  <w:w w:val="94"/>
                </w:rPr>
                <w:t>Market for Registrant's Common Equity, Related Stockholder Matters and Issuer Purchases of</w:t>
              </w:r>
            </w:hyperlink>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4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520" w:type="dxa"/>
            <w:vAlign w:val="bottom"/>
            <w:tcBorders>
              <w:top w:val="single" w:sz="8" w:color="0000EE"/>
            </w:tcBorders>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Borders>
              <w:top w:val="single" w:sz="8" w:color="0000EE"/>
            </w:tcBorders>
          </w:tcPr>
          <w:p>
            <w:pPr>
              <w:spacing w:after="0"/>
              <w:rPr>
                <w:sz w:val="17"/>
                <w:szCs w:val="17"/>
                <w:color w:val="auto"/>
              </w:rPr>
            </w:pPr>
          </w:p>
        </w:tc>
        <w:tc>
          <w:tcPr>
            <w:tcW w:w="6420" w:type="dxa"/>
            <w:vAlign w:val="bottom"/>
            <w:tcBorders>
              <w:top w:val="single" w:sz="8" w:color="0000EE"/>
            </w:tcBorders>
            <w:gridSpan w:val="19"/>
          </w:tcPr>
          <w:p>
            <w:pPr>
              <w:spacing w:after="0" w:line="196" w:lineRule="exact"/>
              <w:rPr>
                <w:rFonts w:ascii="Arial" w:cs="Arial" w:eastAsia="Arial" w:hAnsi="Arial"/>
                <w:sz w:val="18"/>
                <w:szCs w:val="18"/>
                <w:color w:val="0000EE"/>
              </w:rPr>
            </w:pPr>
            <w:hyperlink w:anchor="page44">
              <w:r>
                <w:rPr>
                  <w:rFonts w:ascii="Arial" w:cs="Arial" w:eastAsia="Arial" w:hAnsi="Arial"/>
                  <w:sz w:val="18"/>
                  <w:szCs w:val="18"/>
                  <w:color w:val="0000EE"/>
                </w:rPr>
                <w:t>Equity Securities</w:t>
              </w:r>
            </w:hyperlink>
          </w:p>
        </w:tc>
        <w:tc>
          <w:tcPr>
            <w:tcW w:w="540" w:type="dxa"/>
            <w:vAlign w:val="bottom"/>
          </w:tcPr>
          <w:p>
            <w:pPr>
              <w:spacing w:after="0"/>
              <w:rPr>
                <w:sz w:val="17"/>
                <w:szCs w:val="17"/>
                <w:color w:val="auto"/>
              </w:rPr>
            </w:pPr>
          </w:p>
        </w:tc>
        <w:tc>
          <w:tcPr>
            <w:tcW w:w="340" w:type="dxa"/>
            <w:vAlign w:val="bottom"/>
            <w:gridSpan w:val="4"/>
          </w:tcPr>
          <w:p>
            <w:pPr>
              <w:jc w:val="right"/>
              <w:spacing w:after="0" w:line="196" w:lineRule="exact"/>
              <w:rPr>
                <w:rFonts w:ascii="Arial" w:cs="Arial" w:eastAsia="Arial" w:hAnsi="Arial"/>
                <w:sz w:val="18"/>
                <w:szCs w:val="18"/>
                <w:color w:val="0000EE"/>
              </w:rPr>
            </w:pPr>
            <w:hyperlink w:anchor="page44">
              <w:r>
                <w:rPr>
                  <w:rFonts w:ascii="Arial" w:cs="Arial" w:eastAsia="Arial" w:hAnsi="Arial"/>
                  <w:sz w:val="18"/>
                  <w:szCs w:val="18"/>
                  <w:color w:val="0000EE"/>
                </w:rPr>
                <w:t>39</w:t>
              </w:r>
            </w:hyperlink>
          </w:p>
        </w:tc>
        <w:tc>
          <w:tcPr>
            <w:tcW w:w="0" w:type="dxa"/>
            <w:vAlign w:val="bottom"/>
          </w:tcPr>
          <w:p>
            <w:pPr>
              <w:spacing w:after="0"/>
              <w:rPr>
                <w:sz w:val="1"/>
                <w:szCs w:val="1"/>
                <w:color w:val="auto"/>
              </w:rPr>
            </w:pPr>
          </w:p>
        </w:tc>
      </w:tr>
      <w:tr>
        <w:trPr>
          <w:trHeight w:val="20"/>
        </w:trPr>
        <w:tc>
          <w:tcPr>
            <w:tcW w:w="4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540" w:type="dxa"/>
            <w:vAlign w:val="bottom"/>
            <w:gridSpan w:val="3"/>
            <w:shd w:val="clear" w:color="auto" w:fill="0000EE"/>
          </w:tcPr>
          <w:p>
            <w:pPr>
              <w:spacing w:after="0" w:line="20" w:lineRule="exact"/>
              <w:rPr>
                <w:sz w:val="1"/>
                <w:szCs w:val="1"/>
                <w:color w:val="auto"/>
              </w:rPr>
            </w:pPr>
          </w:p>
        </w:tc>
        <w:tc>
          <w:tcPr>
            <w:tcW w:w="580" w:type="dxa"/>
            <w:vAlign w:val="bottom"/>
            <w:tcBorders>
              <w:right w:val="single" w:sz="8" w:color="0000EE"/>
            </w:tcBorders>
            <w:gridSpan w:val="2"/>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2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4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520" w:type="dxa"/>
            <w:vAlign w:val="bottom"/>
          </w:tcPr>
          <w:p>
            <w:pPr>
              <w:spacing w:after="0" w:line="196" w:lineRule="exact"/>
              <w:rPr>
                <w:rFonts w:ascii="Arial" w:cs="Arial" w:eastAsia="Arial" w:hAnsi="Arial"/>
                <w:sz w:val="18"/>
                <w:szCs w:val="18"/>
                <w:color w:val="0000EE"/>
                <w:w w:val="87"/>
              </w:rPr>
            </w:pPr>
            <w:hyperlink w:anchor="page45">
              <w:r>
                <w:rPr>
                  <w:rFonts w:ascii="Arial" w:cs="Arial" w:eastAsia="Arial" w:hAnsi="Arial"/>
                  <w:sz w:val="18"/>
                  <w:szCs w:val="18"/>
                  <w:color w:val="0000EE"/>
                  <w:w w:val="87"/>
                </w:rPr>
                <w:t>Item 6.</w:t>
              </w:r>
            </w:hyperlink>
          </w:p>
        </w:tc>
        <w:tc>
          <w:tcPr>
            <w:tcW w:w="240" w:type="dxa"/>
            <w:vAlign w:val="bottom"/>
            <w:gridSpan w:val="3"/>
          </w:tcPr>
          <w:p>
            <w:pPr>
              <w:spacing w:after="0"/>
              <w:rPr>
                <w:sz w:val="17"/>
                <w:szCs w:val="17"/>
                <w:color w:val="auto"/>
              </w:rPr>
            </w:pPr>
          </w:p>
        </w:tc>
        <w:tc>
          <w:tcPr>
            <w:tcW w:w="7260" w:type="dxa"/>
            <w:vAlign w:val="bottom"/>
            <w:gridSpan w:val="22"/>
          </w:tcPr>
          <w:p>
            <w:pPr>
              <w:ind w:left="120"/>
              <w:spacing w:after="0" w:line="196" w:lineRule="exact"/>
              <w:rPr>
                <w:rFonts w:ascii="Arial" w:cs="Arial" w:eastAsia="Arial" w:hAnsi="Arial"/>
                <w:sz w:val="18"/>
                <w:szCs w:val="18"/>
                <w:color w:val="0000EE"/>
              </w:rPr>
            </w:pPr>
            <w:hyperlink w:anchor="page45">
              <w:r>
                <w:rPr>
                  <w:rFonts w:ascii="Arial" w:cs="Arial" w:eastAsia="Arial" w:hAnsi="Arial"/>
                  <w:sz w:val="18"/>
                  <w:szCs w:val="18"/>
                  <w:color w:val="0000EE"/>
                </w:rPr>
                <w:t>Selected Financial Data</w:t>
              </w:r>
            </w:hyperlink>
          </w:p>
        </w:tc>
        <w:tc>
          <w:tcPr>
            <w:tcW w:w="340" w:type="dxa"/>
            <w:vAlign w:val="bottom"/>
            <w:gridSpan w:val="4"/>
          </w:tcPr>
          <w:p>
            <w:pPr>
              <w:jc w:val="right"/>
              <w:spacing w:after="0" w:line="196" w:lineRule="exact"/>
              <w:rPr>
                <w:rFonts w:ascii="Arial" w:cs="Arial" w:eastAsia="Arial" w:hAnsi="Arial"/>
                <w:sz w:val="18"/>
                <w:szCs w:val="18"/>
                <w:color w:val="0000EE"/>
              </w:rPr>
            </w:pPr>
            <w:hyperlink w:anchor="page45">
              <w:r>
                <w:rPr>
                  <w:rFonts w:ascii="Arial" w:cs="Arial" w:eastAsia="Arial" w:hAnsi="Arial"/>
                  <w:sz w:val="18"/>
                  <w:szCs w:val="18"/>
                  <w:color w:val="0000EE"/>
                </w:rPr>
                <w:t>40</w:t>
              </w:r>
            </w:hyperlink>
          </w:p>
        </w:tc>
        <w:tc>
          <w:tcPr>
            <w:tcW w:w="0" w:type="dxa"/>
            <w:vAlign w:val="bottom"/>
          </w:tcPr>
          <w:p>
            <w:pPr>
              <w:spacing w:after="0"/>
              <w:rPr>
                <w:sz w:val="1"/>
                <w:szCs w:val="1"/>
                <w:color w:val="auto"/>
              </w:rPr>
            </w:pPr>
          </w:p>
        </w:tc>
      </w:tr>
      <w:tr>
        <w:trPr>
          <w:trHeight w:val="20"/>
        </w:trPr>
        <w:tc>
          <w:tcPr>
            <w:tcW w:w="4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20" w:type="dxa"/>
            <w:vAlign w:val="bottom"/>
            <w:tcBorders>
              <w:right w:val="single" w:sz="8" w:color="0000EE"/>
            </w:tcBorders>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20" w:type="dxa"/>
            <w:vAlign w:val="bottom"/>
            <w:gridSpan w:val="4"/>
            <w:shd w:val="clear" w:color="auto" w:fill="0000EE"/>
          </w:tcPr>
          <w:p>
            <w:pPr>
              <w:spacing w:after="0" w:line="20" w:lineRule="exact"/>
              <w:rPr>
                <w:sz w:val="1"/>
                <w:szCs w:val="1"/>
                <w:color w:val="auto"/>
              </w:rPr>
            </w:pPr>
          </w:p>
        </w:tc>
        <w:tc>
          <w:tcPr>
            <w:tcW w:w="580" w:type="dxa"/>
            <w:vAlign w:val="bottom"/>
            <w:tcBorders>
              <w:right w:val="single" w:sz="8" w:color="0000EE"/>
            </w:tcBorders>
            <w:gridSpan w:val="2"/>
            <w:shd w:val="clear" w:color="auto" w:fill="0000EE"/>
          </w:tcPr>
          <w:p>
            <w:pPr>
              <w:spacing w:after="0" w:line="20" w:lineRule="exact"/>
              <w:rPr>
                <w:sz w:val="1"/>
                <w:szCs w:val="1"/>
                <w:color w:val="auto"/>
              </w:rPr>
            </w:pPr>
          </w:p>
        </w:tc>
        <w:tc>
          <w:tcPr>
            <w:tcW w:w="360" w:type="dxa"/>
            <w:vAlign w:val="bottom"/>
            <w:gridSpan w:val="2"/>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2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4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520" w:type="dxa"/>
            <w:vAlign w:val="bottom"/>
          </w:tcPr>
          <w:p>
            <w:pPr>
              <w:spacing w:after="0" w:line="196" w:lineRule="exact"/>
              <w:rPr>
                <w:rFonts w:ascii="Arial" w:cs="Arial" w:eastAsia="Arial" w:hAnsi="Arial"/>
                <w:sz w:val="18"/>
                <w:szCs w:val="18"/>
                <w:color w:val="0000EE"/>
                <w:w w:val="87"/>
              </w:rPr>
            </w:pPr>
            <w:hyperlink w:anchor="page47">
              <w:r>
                <w:rPr>
                  <w:rFonts w:ascii="Arial" w:cs="Arial" w:eastAsia="Arial" w:hAnsi="Arial"/>
                  <w:sz w:val="18"/>
                  <w:szCs w:val="18"/>
                  <w:color w:val="0000EE"/>
                  <w:w w:val="87"/>
                </w:rPr>
                <w:t>Item 7.</w:t>
              </w:r>
            </w:hyperlink>
          </w:p>
        </w:tc>
        <w:tc>
          <w:tcPr>
            <w:tcW w:w="240" w:type="dxa"/>
            <w:vAlign w:val="bottom"/>
            <w:gridSpan w:val="3"/>
          </w:tcPr>
          <w:p>
            <w:pPr>
              <w:spacing w:after="0"/>
              <w:rPr>
                <w:sz w:val="17"/>
                <w:szCs w:val="17"/>
                <w:color w:val="auto"/>
              </w:rPr>
            </w:pPr>
          </w:p>
        </w:tc>
        <w:tc>
          <w:tcPr>
            <w:tcW w:w="7260" w:type="dxa"/>
            <w:vAlign w:val="bottom"/>
            <w:gridSpan w:val="22"/>
          </w:tcPr>
          <w:p>
            <w:pPr>
              <w:ind w:left="120"/>
              <w:spacing w:after="0" w:line="196" w:lineRule="exact"/>
              <w:rPr>
                <w:rFonts w:ascii="Arial" w:cs="Arial" w:eastAsia="Arial" w:hAnsi="Arial"/>
                <w:sz w:val="18"/>
                <w:szCs w:val="18"/>
                <w:color w:val="0000EE"/>
              </w:rPr>
            </w:pPr>
            <w:hyperlink w:anchor="page47">
              <w:r>
                <w:rPr>
                  <w:rFonts w:ascii="Arial" w:cs="Arial" w:eastAsia="Arial" w:hAnsi="Arial"/>
                  <w:sz w:val="18"/>
                  <w:szCs w:val="18"/>
                  <w:color w:val="0000EE"/>
                </w:rPr>
                <w:t>Management's Discussion and Analysis of Financial Condition and Results of Operations</w:t>
              </w:r>
            </w:hyperlink>
          </w:p>
        </w:tc>
        <w:tc>
          <w:tcPr>
            <w:tcW w:w="340" w:type="dxa"/>
            <w:vAlign w:val="bottom"/>
            <w:gridSpan w:val="4"/>
          </w:tcPr>
          <w:p>
            <w:pPr>
              <w:jc w:val="right"/>
              <w:spacing w:after="0" w:line="196" w:lineRule="exact"/>
              <w:rPr>
                <w:rFonts w:ascii="Arial" w:cs="Arial" w:eastAsia="Arial" w:hAnsi="Arial"/>
                <w:sz w:val="18"/>
                <w:szCs w:val="18"/>
                <w:color w:val="0000EE"/>
              </w:rPr>
            </w:pPr>
            <w:hyperlink w:anchor="page47">
              <w:r>
                <w:rPr>
                  <w:rFonts w:ascii="Arial" w:cs="Arial" w:eastAsia="Arial" w:hAnsi="Arial"/>
                  <w:sz w:val="18"/>
                  <w:szCs w:val="18"/>
                  <w:color w:val="0000EE"/>
                </w:rPr>
                <w:t>42</w:t>
              </w:r>
            </w:hyperlink>
          </w:p>
        </w:tc>
        <w:tc>
          <w:tcPr>
            <w:tcW w:w="0" w:type="dxa"/>
            <w:vAlign w:val="bottom"/>
          </w:tcPr>
          <w:p>
            <w:pPr>
              <w:spacing w:after="0"/>
              <w:rPr>
                <w:sz w:val="1"/>
                <w:szCs w:val="1"/>
                <w:color w:val="auto"/>
              </w:rPr>
            </w:pPr>
          </w:p>
        </w:tc>
      </w:tr>
      <w:tr>
        <w:trPr>
          <w:trHeight w:val="20"/>
        </w:trPr>
        <w:tc>
          <w:tcPr>
            <w:tcW w:w="4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20" w:type="dxa"/>
            <w:vAlign w:val="bottom"/>
            <w:tcBorders>
              <w:right w:val="single" w:sz="8" w:color="0000EE"/>
            </w:tcBorders>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20" w:type="dxa"/>
            <w:vAlign w:val="bottom"/>
            <w:gridSpan w:val="4"/>
            <w:shd w:val="clear" w:color="auto" w:fill="0000EE"/>
          </w:tcPr>
          <w:p>
            <w:pPr>
              <w:spacing w:after="0" w:line="20" w:lineRule="exact"/>
              <w:rPr>
                <w:sz w:val="1"/>
                <w:szCs w:val="1"/>
                <w:color w:val="auto"/>
              </w:rPr>
            </w:pPr>
          </w:p>
        </w:tc>
        <w:tc>
          <w:tcPr>
            <w:tcW w:w="580" w:type="dxa"/>
            <w:vAlign w:val="bottom"/>
            <w:tcBorders>
              <w:right w:val="single" w:sz="8" w:color="0000EE"/>
            </w:tcBorders>
            <w:gridSpan w:val="2"/>
            <w:shd w:val="clear" w:color="auto" w:fill="0000EE"/>
          </w:tcPr>
          <w:p>
            <w:pPr>
              <w:spacing w:after="0" w:line="20" w:lineRule="exact"/>
              <w:rPr>
                <w:sz w:val="1"/>
                <w:szCs w:val="1"/>
                <w:color w:val="auto"/>
              </w:rPr>
            </w:pPr>
          </w:p>
        </w:tc>
        <w:tc>
          <w:tcPr>
            <w:tcW w:w="420" w:type="dxa"/>
            <w:vAlign w:val="bottom"/>
            <w:gridSpan w:val="3"/>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060" w:type="dxa"/>
            <w:vAlign w:val="bottom"/>
            <w:tcBorders>
              <w:right w:val="single" w:sz="8" w:color="0000EE"/>
            </w:tcBorders>
            <w:gridSpan w:val="2"/>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76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140" w:type="dxa"/>
            <w:vAlign w:val="bottom"/>
            <w:shd w:val="clear" w:color="auto" w:fill="0000EE"/>
          </w:tcPr>
          <w:p>
            <w:pPr>
              <w:spacing w:after="0" w:line="20" w:lineRule="exact"/>
              <w:rPr>
                <w:sz w:val="1"/>
                <w:szCs w:val="1"/>
                <w:color w:val="auto"/>
              </w:rPr>
            </w:pPr>
          </w:p>
        </w:tc>
        <w:tc>
          <w:tcPr>
            <w:tcW w:w="960" w:type="dxa"/>
            <w:vAlign w:val="bottom"/>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2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4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0" w:type="dxa"/>
            <w:vAlign w:val="bottom"/>
            <w:gridSpan w:val="3"/>
          </w:tcPr>
          <w:p>
            <w:pPr>
              <w:spacing w:after="0" w:line="196" w:lineRule="exact"/>
              <w:rPr>
                <w:rFonts w:ascii="Arial" w:cs="Arial" w:eastAsia="Arial" w:hAnsi="Arial"/>
                <w:sz w:val="18"/>
                <w:szCs w:val="18"/>
                <w:color w:val="0000EE"/>
                <w:w w:val="83"/>
              </w:rPr>
            </w:pPr>
            <w:hyperlink w:anchor="page67">
              <w:r>
                <w:rPr>
                  <w:rFonts w:ascii="Arial" w:cs="Arial" w:eastAsia="Arial" w:hAnsi="Arial"/>
                  <w:sz w:val="18"/>
                  <w:szCs w:val="18"/>
                  <w:color w:val="0000EE"/>
                  <w:w w:val="83"/>
                </w:rPr>
                <w:t>Item 7A.</w:t>
              </w:r>
            </w:hyperlink>
          </w:p>
        </w:tc>
        <w:tc>
          <w:tcPr>
            <w:tcW w:w="160" w:type="dxa"/>
            <w:vAlign w:val="bottom"/>
          </w:tcPr>
          <w:p>
            <w:pPr>
              <w:spacing w:after="0"/>
              <w:rPr>
                <w:sz w:val="17"/>
                <w:szCs w:val="17"/>
                <w:color w:val="auto"/>
              </w:rPr>
            </w:pPr>
          </w:p>
        </w:tc>
        <w:tc>
          <w:tcPr>
            <w:tcW w:w="7260" w:type="dxa"/>
            <w:vAlign w:val="bottom"/>
            <w:gridSpan w:val="22"/>
          </w:tcPr>
          <w:p>
            <w:pPr>
              <w:ind w:left="120"/>
              <w:spacing w:after="0" w:line="196" w:lineRule="exact"/>
              <w:rPr>
                <w:rFonts w:ascii="Arial" w:cs="Arial" w:eastAsia="Arial" w:hAnsi="Arial"/>
                <w:sz w:val="18"/>
                <w:szCs w:val="18"/>
                <w:color w:val="0000EE"/>
              </w:rPr>
            </w:pPr>
            <w:hyperlink w:anchor="page67">
              <w:r>
                <w:rPr>
                  <w:rFonts w:ascii="Arial" w:cs="Arial" w:eastAsia="Arial" w:hAnsi="Arial"/>
                  <w:sz w:val="18"/>
                  <w:szCs w:val="18"/>
                  <w:color w:val="0000EE"/>
                </w:rPr>
                <w:t>Quantitative and Qualitative Disclosure About Market Risk</w:t>
              </w:r>
            </w:hyperlink>
          </w:p>
        </w:tc>
        <w:tc>
          <w:tcPr>
            <w:tcW w:w="340" w:type="dxa"/>
            <w:vAlign w:val="bottom"/>
            <w:gridSpan w:val="4"/>
          </w:tcPr>
          <w:p>
            <w:pPr>
              <w:jc w:val="right"/>
              <w:spacing w:after="0" w:line="196" w:lineRule="exact"/>
              <w:rPr>
                <w:rFonts w:ascii="Arial" w:cs="Arial" w:eastAsia="Arial" w:hAnsi="Arial"/>
                <w:sz w:val="18"/>
                <w:szCs w:val="18"/>
                <w:color w:val="0000EE"/>
              </w:rPr>
            </w:pPr>
            <w:hyperlink w:anchor="page67">
              <w:r>
                <w:rPr>
                  <w:rFonts w:ascii="Arial" w:cs="Arial" w:eastAsia="Arial" w:hAnsi="Arial"/>
                  <w:sz w:val="18"/>
                  <w:szCs w:val="18"/>
                  <w:color w:val="0000EE"/>
                </w:rPr>
                <w:t>62</w:t>
              </w:r>
            </w:hyperlink>
          </w:p>
        </w:tc>
        <w:tc>
          <w:tcPr>
            <w:tcW w:w="0" w:type="dxa"/>
            <w:vAlign w:val="bottom"/>
          </w:tcPr>
          <w:p>
            <w:pPr>
              <w:spacing w:after="0"/>
              <w:rPr>
                <w:sz w:val="1"/>
                <w:szCs w:val="1"/>
                <w:color w:val="auto"/>
              </w:rPr>
            </w:pPr>
          </w:p>
        </w:tc>
      </w:tr>
      <w:tr>
        <w:trPr>
          <w:trHeight w:val="20"/>
        </w:trPr>
        <w:tc>
          <w:tcPr>
            <w:tcW w:w="4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8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60" w:type="dxa"/>
            <w:vAlign w:val="bottom"/>
            <w:tcBorders>
              <w:left w:val="single" w:sz="8" w:color="0000EE"/>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20" w:type="dxa"/>
            <w:vAlign w:val="bottom"/>
            <w:gridSpan w:val="4"/>
            <w:shd w:val="clear" w:color="auto" w:fill="0000EE"/>
          </w:tcPr>
          <w:p>
            <w:pPr>
              <w:spacing w:after="0" w:line="20" w:lineRule="exact"/>
              <w:rPr>
                <w:sz w:val="1"/>
                <w:szCs w:val="1"/>
                <w:color w:val="auto"/>
              </w:rPr>
            </w:pPr>
          </w:p>
        </w:tc>
        <w:tc>
          <w:tcPr>
            <w:tcW w:w="580" w:type="dxa"/>
            <w:vAlign w:val="bottom"/>
            <w:tcBorders>
              <w:right w:val="single" w:sz="8" w:color="0000EE"/>
            </w:tcBorders>
            <w:gridSpan w:val="2"/>
            <w:shd w:val="clear" w:color="auto" w:fill="0000EE"/>
          </w:tcPr>
          <w:p>
            <w:pPr>
              <w:spacing w:after="0" w:line="20" w:lineRule="exact"/>
              <w:rPr>
                <w:sz w:val="1"/>
                <w:szCs w:val="1"/>
                <w:color w:val="auto"/>
              </w:rPr>
            </w:pPr>
          </w:p>
        </w:tc>
        <w:tc>
          <w:tcPr>
            <w:tcW w:w="420" w:type="dxa"/>
            <w:vAlign w:val="bottom"/>
            <w:gridSpan w:val="3"/>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060" w:type="dxa"/>
            <w:vAlign w:val="bottom"/>
            <w:tcBorders>
              <w:right w:val="single" w:sz="8" w:color="0000EE"/>
            </w:tcBorders>
            <w:gridSpan w:val="2"/>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76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02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2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4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520" w:type="dxa"/>
            <w:vAlign w:val="bottom"/>
          </w:tcPr>
          <w:p>
            <w:pPr>
              <w:spacing w:after="0" w:line="196" w:lineRule="exact"/>
              <w:rPr>
                <w:rFonts w:ascii="Arial" w:cs="Arial" w:eastAsia="Arial" w:hAnsi="Arial"/>
                <w:sz w:val="18"/>
                <w:szCs w:val="18"/>
                <w:color w:val="0000EE"/>
                <w:w w:val="87"/>
              </w:rPr>
            </w:pPr>
            <w:hyperlink w:anchor="page68">
              <w:r>
                <w:rPr>
                  <w:rFonts w:ascii="Arial" w:cs="Arial" w:eastAsia="Arial" w:hAnsi="Arial"/>
                  <w:sz w:val="18"/>
                  <w:szCs w:val="18"/>
                  <w:color w:val="0000EE"/>
                  <w:w w:val="87"/>
                </w:rPr>
                <w:t>Item 8.</w:t>
              </w:r>
            </w:hyperlink>
          </w:p>
        </w:tc>
        <w:tc>
          <w:tcPr>
            <w:tcW w:w="80" w:type="dxa"/>
            <w:vAlign w:val="bottom"/>
            <w:gridSpan w:val="2"/>
          </w:tcPr>
          <w:p>
            <w:pPr>
              <w:spacing w:after="0"/>
              <w:rPr>
                <w:sz w:val="17"/>
                <w:szCs w:val="17"/>
                <w:color w:val="auto"/>
              </w:rPr>
            </w:pPr>
          </w:p>
        </w:tc>
        <w:tc>
          <w:tcPr>
            <w:tcW w:w="160" w:type="dxa"/>
            <w:vAlign w:val="bottom"/>
          </w:tcPr>
          <w:p>
            <w:pPr>
              <w:spacing w:after="0"/>
              <w:rPr>
                <w:sz w:val="17"/>
                <w:szCs w:val="17"/>
                <w:color w:val="auto"/>
              </w:rPr>
            </w:pPr>
          </w:p>
        </w:tc>
        <w:tc>
          <w:tcPr>
            <w:tcW w:w="7260" w:type="dxa"/>
            <w:vAlign w:val="bottom"/>
            <w:gridSpan w:val="22"/>
          </w:tcPr>
          <w:p>
            <w:pPr>
              <w:ind w:left="120"/>
              <w:spacing w:after="0" w:line="196" w:lineRule="exact"/>
              <w:rPr>
                <w:rFonts w:ascii="Arial" w:cs="Arial" w:eastAsia="Arial" w:hAnsi="Arial"/>
                <w:sz w:val="18"/>
                <w:szCs w:val="18"/>
                <w:color w:val="0000EE"/>
              </w:rPr>
            </w:pPr>
            <w:hyperlink w:anchor="page68">
              <w:r>
                <w:rPr>
                  <w:rFonts w:ascii="Arial" w:cs="Arial" w:eastAsia="Arial" w:hAnsi="Arial"/>
                  <w:sz w:val="18"/>
                  <w:szCs w:val="18"/>
                  <w:color w:val="0000EE"/>
                </w:rPr>
                <w:t>Financial Statements and Supplementary Data</w:t>
              </w:r>
            </w:hyperlink>
          </w:p>
        </w:tc>
        <w:tc>
          <w:tcPr>
            <w:tcW w:w="340" w:type="dxa"/>
            <w:vAlign w:val="bottom"/>
            <w:gridSpan w:val="4"/>
          </w:tcPr>
          <w:p>
            <w:pPr>
              <w:jc w:val="right"/>
              <w:spacing w:after="0" w:line="196" w:lineRule="exact"/>
              <w:rPr>
                <w:rFonts w:ascii="Arial" w:cs="Arial" w:eastAsia="Arial" w:hAnsi="Arial"/>
                <w:sz w:val="18"/>
                <w:szCs w:val="18"/>
                <w:color w:val="0000EE"/>
              </w:rPr>
            </w:pPr>
            <w:hyperlink w:anchor="page68">
              <w:r>
                <w:rPr>
                  <w:rFonts w:ascii="Arial" w:cs="Arial" w:eastAsia="Arial" w:hAnsi="Arial"/>
                  <w:sz w:val="18"/>
                  <w:szCs w:val="18"/>
                  <w:color w:val="0000EE"/>
                </w:rPr>
                <w:t>63</w:t>
              </w:r>
            </w:hyperlink>
          </w:p>
        </w:tc>
        <w:tc>
          <w:tcPr>
            <w:tcW w:w="0" w:type="dxa"/>
            <w:vAlign w:val="bottom"/>
          </w:tcPr>
          <w:p>
            <w:pPr>
              <w:spacing w:after="0"/>
              <w:rPr>
                <w:sz w:val="1"/>
                <w:szCs w:val="1"/>
                <w:color w:val="auto"/>
              </w:rPr>
            </w:pPr>
          </w:p>
        </w:tc>
      </w:tr>
      <w:tr>
        <w:trPr>
          <w:trHeight w:val="20"/>
        </w:trPr>
        <w:tc>
          <w:tcPr>
            <w:tcW w:w="4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20" w:type="dxa"/>
            <w:vAlign w:val="bottom"/>
            <w:tcBorders>
              <w:right w:val="single" w:sz="8" w:color="0000EE"/>
            </w:tcBorders>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20" w:type="dxa"/>
            <w:vAlign w:val="bottom"/>
            <w:gridSpan w:val="4"/>
            <w:shd w:val="clear" w:color="auto" w:fill="0000EE"/>
          </w:tcPr>
          <w:p>
            <w:pPr>
              <w:spacing w:after="0" w:line="20" w:lineRule="exact"/>
              <w:rPr>
                <w:sz w:val="1"/>
                <w:szCs w:val="1"/>
                <w:color w:val="auto"/>
              </w:rPr>
            </w:pPr>
          </w:p>
        </w:tc>
        <w:tc>
          <w:tcPr>
            <w:tcW w:w="580" w:type="dxa"/>
            <w:vAlign w:val="bottom"/>
            <w:tcBorders>
              <w:right w:val="single" w:sz="8" w:color="0000EE"/>
            </w:tcBorders>
            <w:gridSpan w:val="2"/>
            <w:shd w:val="clear" w:color="auto" w:fill="0000EE"/>
          </w:tcPr>
          <w:p>
            <w:pPr>
              <w:spacing w:after="0" w:line="20" w:lineRule="exact"/>
              <w:rPr>
                <w:sz w:val="1"/>
                <w:szCs w:val="1"/>
                <w:color w:val="auto"/>
              </w:rPr>
            </w:pPr>
          </w:p>
        </w:tc>
        <w:tc>
          <w:tcPr>
            <w:tcW w:w="420" w:type="dxa"/>
            <w:vAlign w:val="bottom"/>
            <w:gridSpan w:val="3"/>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060" w:type="dxa"/>
            <w:vAlign w:val="bottom"/>
            <w:tcBorders>
              <w:right w:val="single" w:sz="8" w:color="0000EE"/>
            </w:tcBorders>
            <w:gridSpan w:val="2"/>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320" w:type="dxa"/>
            <w:vAlign w:val="bottom"/>
            <w:gridSpan w:val="2"/>
          </w:tcPr>
          <w:p>
            <w:pPr>
              <w:spacing w:after="0" w:line="20" w:lineRule="exact"/>
              <w:rPr>
                <w:sz w:val="1"/>
                <w:szCs w:val="1"/>
                <w:color w:val="auto"/>
              </w:rPr>
            </w:pPr>
          </w:p>
        </w:tc>
        <w:tc>
          <w:tcPr>
            <w:tcW w:w="102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2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4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520" w:type="dxa"/>
            <w:vAlign w:val="bottom"/>
          </w:tcPr>
          <w:p>
            <w:pPr>
              <w:spacing w:after="0" w:line="196" w:lineRule="exact"/>
              <w:rPr>
                <w:rFonts w:ascii="Arial" w:cs="Arial" w:eastAsia="Arial" w:hAnsi="Arial"/>
                <w:sz w:val="18"/>
                <w:szCs w:val="18"/>
                <w:color w:val="0000EE"/>
                <w:w w:val="87"/>
              </w:rPr>
            </w:pPr>
            <w:hyperlink w:anchor="page105">
              <w:r>
                <w:rPr>
                  <w:rFonts w:ascii="Arial" w:cs="Arial" w:eastAsia="Arial" w:hAnsi="Arial"/>
                  <w:sz w:val="18"/>
                  <w:szCs w:val="18"/>
                  <w:color w:val="0000EE"/>
                  <w:w w:val="87"/>
                </w:rPr>
                <w:t>Item 9.</w:t>
              </w:r>
            </w:hyperlink>
          </w:p>
        </w:tc>
        <w:tc>
          <w:tcPr>
            <w:tcW w:w="240" w:type="dxa"/>
            <w:vAlign w:val="bottom"/>
            <w:gridSpan w:val="3"/>
          </w:tcPr>
          <w:p>
            <w:pPr>
              <w:spacing w:after="0"/>
              <w:rPr>
                <w:sz w:val="17"/>
                <w:szCs w:val="17"/>
                <w:color w:val="auto"/>
              </w:rPr>
            </w:pPr>
          </w:p>
        </w:tc>
        <w:tc>
          <w:tcPr>
            <w:tcW w:w="7260" w:type="dxa"/>
            <w:vAlign w:val="bottom"/>
            <w:gridSpan w:val="22"/>
          </w:tcPr>
          <w:p>
            <w:pPr>
              <w:ind w:left="120"/>
              <w:spacing w:after="0" w:line="196" w:lineRule="exact"/>
              <w:rPr>
                <w:rFonts w:ascii="Arial" w:cs="Arial" w:eastAsia="Arial" w:hAnsi="Arial"/>
                <w:sz w:val="18"/>
                <w:szCs w:val="18"/>
                <w:color w:val="0000EE"/>
                <w:w w:val="99"/>
              </w:rPr>
            </w:pPr>
            <w:hyperlink w:anchor="page105">
              <w:r>
                <w:rPr>
                  <w:rFonts w:ascii="Arial" w:cs="Arial" w:eastAsia="Arial" w:hAnsi="Arial"/>
                  <w:sz w:val="18"/>
                  <w:szCs w:val="18"/>
                  <w:color w:val="0000EE"/>
                  <w:w w:val="99"/>
                </w:rPr>
                <w:t>Changes in and Disagreements With Accountants on Accounting and Financial Disclosure</w:t>
              </w:r>
            </w:hyperlink>
          </w:p>
        </w:tc>
        <w:tc>
          <w:tcPr>
            <w:tcW w:w="340" w:type="dxa"/>
            <w:vAlign w:val="bottom"/>
            <w:gridSpan w:val="4"/>
          </w:tcPr>
          <w:p>
            <w:pPr>
              <w:jc w:val="right"/>
              <w:spacing w:after="0" w:line="196" w:lineRule="exact"/>
              <w:rPr>
                <w:rFonts w:ascii="Arial" w:cs="Arial" w:eastAsia="Arial" w:hAnsi="Arial"/>
                <w:sz w:val="18"/>
                <w:szCs w:val="18"/>
                <w:color w:val="0000EE"/>
              </w:rPr>
            </w:pPr>
            <w:hyperlink w:anchor="page105">
              <w:r>
                <w:rPr>
                  <w:rFonts w:ascii="Arial" w:cs="Arial" w:eastAsia="Arial" w:hAnsi="Arial"/>
                  <w:sz w:val="18"/>
                  <w:szCs w:val="18"/>
                  <w:color w:val="0000EE"/>
                </w:rPr>
                <w:t>99</w:t>
              </w:r>
            </w:hyperlink>
          </w:p>
        </w:tc>
        <w:tc>
          <w:tcPr>
            <w:tcW w:w="0" w:type="dxa"/>
            <w:vAlign w:val="bottom"/>
          </w:tcPr>
          <w:p>
            <w:pPr>
              <w:spacing w:after="0"/>
              <w:rPr>
                <w:sz w:val="1"/>
                <w:szCs w:val="1"/>
                <w:color w:val="auto"/>
              </w:rPr>
            </w:pPr>
          </w:p>
        </w:tc>
      </w:tr>
      <w:tr>
        <w:trPr>
          <w:trHeight w:val="20"/>
        </w:trPr>
        <w:tc>
          <w:tcPr>
            <w:tcW w:w="4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20" w:type="dxa"/>
            <w:vAlign w:val="bottom"/>
            <w:tcBorders>
              <w:right w:val="single" w:sz="8" w:color="0000EE"/>
            </w:tcBorders>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20" w:type="dxa"/>
            <w:vAlign w:val="bottom"/>
            <w:gridSpan w:val="4"/>
            <w:shd w:val="clear" w:color="auto" w:fill="0000EE"/>
          </w:tcPr>
          <w:p>
            <w:pPr>
              <w:spacing w:after="0" w:line="20" w:lineRule="exact"/>
              <w:rPr>
                <w:sz w:val="1"/>
                <w:szCs w:val="1"/>
                <w:color w:val="auto"/>
              </w:rPr>
            </w:pPr>
          </w:p>
        </w:tc>
        <w:tc>
          <w:tcPr>
            <w:tcW w:w="580" w:type="dxa"/>
            <w:vAlign w:val="bottom"/>
            <w:tcBorders>
              <w:right w:val="single" w:sz="8" w:color="0000EE"/>
            </w:tcBorders>
            <w:gridSpan w:val="2"/>
            <w:shd w:val="clear" w:color="auto" w:fill="0000EE"/>
          </w:tcPr>
          <w:p>
            <w:pPr>
              <w:spacing w:after="0" w:line="20" w:lineRule="exact"/>
              <w:rPr>
                <w:sz w:val="1"/>
                <w:szCs w:val="1"/>
                <w:color w:val="auto"/>
              </w:rPr>
            </w:pPr>
          </w:p>
        </w:tc>
        <w:tc>
          <w:tcPr>
            <w:tcW w:w="420" w:type="dxa"/>
            <w:vAlign w:val="bottom"/>
            <w:gridSpan w:val="3"/>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060" w:type="dxa"/>
            <w:vAlign w:val="bottom"/>
            <w:tcBorders>
              <w:right w:val="single" w:sz="8" w:color="0000EE"/>
            </w:tcBorders>
            <w:gridSpan w:val="2"/>
            <w:shd w:val="clear" w:color="auto" w:fill="0000EE"/>
          </w:tcPr>
          <w:p>
            <w:pPr>
              <w:spacing w:after="0" w:line="20" w:lineRule="exact"/>
              <w:rPr>
                <w:sz w:val="1"/>
                <w:szCs w:val="1"/>
                <w:color w:val="auto"/>
              </w:rPr>
            </w:pPr>
          </w:p>
        </w:tc>
        <w:tc>
          <w:tcPr>
            <w:tcW w:w="1180" w:type="dxa"/>
            <w:vAlign w:val="bottom"/>
            <w:gridSpan w:val="2"/>
            <w:shd w:val="clear" w:color="auto" w:fill="0000EE"/>
          </w:tcPr>
          <w:p>
            <w:pPr>
              <w:spacing w:after="0" w:line="20" w:lineRule="exact"/>
              <w:rPr>
                <w:sz w:val="1"/>
                <w:szCs w:val="1"/>
                <w:color w:val="auto"/>
              </w:rPr>
            </w:pPr>
          </w:p>
        </w:tc>
        <w:tc>
          <w:tcPr>
            <w:tcW w:w="1320" w:type="dxa"/>
            <w:vAlign w:val="bottom"/>
            <w:gridSpan w:val="2"/>
            <w:shd w:val="clear" w:color="auto" w:fill="0000EE"/>
          </w:tcPr>
          <w:p>
            <w:pPr>
              <w:spacing w:after="0" w:line="20" w:lineRule="exact"/>
              <w:rPr>
                <w:sz w:val="1"/>
                <w:szCs w:val="1"/>
                <w:color w:val="auto"/>
              </w:rPr>
            </w:pPr>
          </w:p>
        </w:tc>
        <w:tc>
          <w:tcPr>
            <w:tcW w:w="1020" w:type="dxa"/>
            <w:vAlign w:val="bottom"/>
            <w:gridSpan w:val="2"/>
            <w:shd w:val="clear" w:color="auto" w:fill="0000EE"/>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2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4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0" w:type="dxa"/>
            <w:vAlign w:val="bottom"/>
            <w:gridSpan w:val="3"/>
          </w:tcPr>
          <w:p>
            <w:pPr>
              <w:spacing w:after="0" w:line="196" w:lineRule="exact"/>
              <w:rPr>
                <w:rFonts w:ascii="Arial" w:cs="Arial" w:eastAsia="Arial" w:hAnsi="Arial"/>
                <w:sz w:val="18"/>
                <w:szCs w:val="18"/>
                <w:color w:val="0000EE"/>
                <w:w w:val="83"/>
              </w:rPr>
            </w:pPr>
            <w:hyperlink w:anchor="page105">
              <w:r>
                <w:rPr>
                  <w:rFonts w:ascii="Arial" w:cs="Arial" w:eastAsia="Arial" w:hAnsi="Arial"/>
                  <w:sz w:val="18"/>
                  <w:szCs w:val="18"/>
                  <w:color w:val="0000EE"/>
                  <w:w w:val="83"/>
                </w:rPr>
                <w:t>Item 9A.</w:t>
              </w:r>
            </w:hyperlink>
          </w:p>
        </w:tc>
        <w:tc>
          <w:tcPr>
            <w:tcW w:w="160" w:type="dxa"/>
            <w:vAlign w:val="bottom"/>
          </w:tcPr>
          <w:p>
            <w:pPr>
              <w:spacing w:after="0"/>
              <w:rPr>
                <w:sz w:val="17"/>
                <w:szCs w:val="17"/>
                <w:color w:val="auto"/>
              </w:rPr>
            </w:pPr>
          </w:p>
        </w:tc>
        <w:tc>
          <w:tcPr>
            <w:tcW w:w="7260" w:type="dxa"/>
            <w:vAlign w:val="bottom"/>
            <w:gridSpan w:val="22"/>
          </w:tcPr>
          <w:p>
            <w:pPr>
              <w:ind w:left="120"/>
              <w:spacing w:after="0" w:line="196" w:lineRule="exact"/>
              <w:rPr>
                <w:rFonts w:ascii="Arial" w:cs="Arial" w:eastAsia="Arial" w:hAnsi="Arial"/>
                <w:sz w:val="18"/>
                <w:szCs w:val="18"/>
                <w:color w:val="0000EE"/>
              </w:rPr>
            </w:pPr>
            <w:hyperlink w:anchor="page105">
              <w:r>
                <w:rPr>
                  <w:rFonts w:ascii="Arial" w:cs="Arial" w:eastAsia="Arial" w:hAnsi="Arial"/>
                  <w:sz w:val="18"/>
                  <w:szCs w:val="18"/>
                  <w:color w:val="0000EE"/>
                </w:rPr>
                <w:t>Controls and Procedures</w:t>
              </w:r>
            </w:hyperlink>
          </w:p>
        </w:tc>
        <w:tc>
          <w:tcPr>
            <w:tcW w:w="340" w:type="dxa"/>
            <w:vAlign w:val="bottom"/>
            <w:gridSpan w:val="4"/>
          </w:tcPr>
          <w:p>
            <w:pPr>
              <w:jc w:val="right"/>
              <w:spacing w:after="0" w:line="196" w:lineRule="exact"/>
              <w:rPr>
                <w:rFonts w:ascii="Arial" w:cs="Arial" w:eastAsia="Arial" w:hAnsi="Arial"/>
                <w:sz w:val="18"/>
                <w:szCs w:val="18"/>
                <w:color w:val="0000EE"/>
              </w:rPr>
            </w:pPr>
            <w:hyperlink w:anchor="page105">
              <w:r>
                <w:rPr>
                  <w:rFonts w:ascii="Arial" w:cs="Arial" w:eastAsia="Arial" w:hAnsi="Arial"/>
                  <w:sz w:val="18"/>
                  <w:szCs w:val="18"/>
                  <w:color w:val="0000EE"/>
                </w:rPr>
                <w:t>99</w:t>
              </w:r>
            </w:hyperlink>
          </w:p>
        </w:tc>
        <w:tc>
          <w:tcPr>
            <w:tcW w:w="0" w:type="dxa"/>
            <w:vAlign w:val="bottom"/>
          </w:tcPr>
          <w:p>
            <w:pPr>
              <w:spacing w:after="0"/>
              <w:rPr>
                <w:sz w:val="1"/>
                <w:szCs w:val="1"/>
                <w:color w:val="auto"/>
              </w:rPr>
            </w:pPr>
          </w:p>
        </w:tc>
      </w:tr>
      <w:tr>
        <w:trPr>
          <w:trHeight w:val="20"/>
        </w:trPr>
        <w:tc>
          <w:tcPr>
            <w:tcW w:w="4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8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60" w:type="dxa"/>
            <w:vAlign w:val="bottom"/>
            <w:tcBorders>
              <w:left w:val="single" w:sz="8" w:color="0000EE"/>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20" w:type="dxa"/>
            <w:vAlign w:val="bottom"/>
            <w:gridSpan w:val="4"/>
            <w:shd w:val="clear" w:color="auto" w:fill="0000EE"/>
          </w:tcPr>
          <w:p>
            <w:pPr>
              <w:spacing w:after="0" w:line="20" w:lineRule="exact"/>
              <w:rPr>
                <w:sz w:val="1"/>
                <w:szCs w:val="1"/>
                <w:color w:val="auto"/>
              </w:rPr>
            </w:pPr>
          </w:p>
        </w:tc>
        <w:tc>
          <w:tcPr>
            <w:tcW w:w="580" w:type="dxa"/>
            <w:vAlign w:val="bottom"/>
            <w:tcBorders>
              <w:right w:val="single" w:sz="8" w:color="0000EE"/>
            </w:tcBorders>
            <w:gridSpan w:val="2"/>
            <w:shd w:val="clear" w:color="auto" w:fill="0000EE"/>
          </w:tcPr>
          <w:p>
            <w:pPr>
              <w:spacing w:after="0" w:line="20" w:lineRule="exact"/>
              <w:rPr>
                <w:sz w:val="1"/>
                <w:szCs w:val="1"/>
                <w:color w:val="auto"/>
              </w:rPr>
            </w:pPr>
          </w:p>
        </w:tc>
        <w:tc>
          <w:tcPr>
            <w:tcW w:w="420" w:type="dxa"/>
            <w:vAlign w:val="bottom"/>
            <w:gridSpan w:val="3"/>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1180" w:type="dxa"/>
            <w:vAlign w:val="bottom"/>
            <w:gridSpan w:val="2"/>
          </w:tcPr>
          <w:p>
            <w:pPr>
              <w:spacing w:after="0" w:line="20" w:lineRule="exact"/>
              <w:rPr>
                <w:sz w:val="1"/>
                <w:szCs w:val="1"/>
                <w:color w:val="auto"/>
              </w:rPr>
            </w:pPr>
          </w:p>
        </w:tc>
        <w:tc>
          <w:tcPr>
            <w:tcW w:w="1320" w:type="dxa"/>
            <w:vAlign w:val="bottom"/>
            <w:gridSpan w:val="2"/>
          </w:tcPr>
          <w:p>
            <w:pPr>
              <w:spacing w:after="0" w:line="20" w:lineRule="exact"/>
              <w:rPr>
                <w:sz w:val="1"/>
                <w:szCs w:val="1"/>
                <w:color w:val="auto"/>
              </w:rPr>
            </w:pPr>
          </w:p>
        </w:tc>
        <w:tc>
          <w:tcPr>
            <w:tcW w:w="1200" w:type="dxa"/>
            <w:vAlign w:val="bottom"/>
            <w:gridSpan w:val="3"/>
          </w:tcPr>
          <w:p>
            <w:pPr>
              <w:spacing w:after="0" w:line="20" w:lineRule="exact"/>
              <w:rPr>
                <w:sz w:val="1"/>
                <w:szCs w:val="1"/>
                <w:color w:val="auto"/>
              </w:rPr>
            </w:pPr>
          </w:p>
        </w:tc>
        <w:tc>
          <w:tcPr>
            <w:tcW w:w="62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4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0" w:type="dxa"/>
            <w:vAlign w:val="bottom"/>
            <w:gridSpan w:val="3"/>
          </w:tcPr>
          <w:p>
            <w:pPr>
              <w:spacing w:after="0" w:line="196" w:lineRule="exact"/>
              <w:rPr>
                <w:rFonts w:ascii="Arial" w:cs="Arial" w:eastAsia="Arial" w:hAnsi="Arial"/>
                <w:sz w:val="18"/>
                <w:szCs w:val="18"/>
                <w:color w:val="0000EE"/>
                <w:w w:val="83"/>
              </w:rPr>
            </w:pPr>
            <w:hyperlink w:anchor="page106">
              <w:r>
                <w:rPr>
                  <w:rFonts w:ascii="Arial" w:cs="Arial" w:eastAsia="Arial" w:hAnsi="Arial"/>
                  <w:sz w:val="18"/>
                  <w:szCs w:val="18"/>
                  <w:color w:val="0000EE"/>
                  <w:w w:val="83"/>
                </w:rPr>
                <w:t>Item 9B.</w:t>
              </w:r>
            </w:hyperlink>
          </w:p>
        </w:tc>
        <w:tc>
          <w:tcPr>
            <w:tcW w:w="160" w:type="dxa"/>
            <w:vAlign w:val="bottom"/>
          </w:tcPr>
          <w:p>
            <w:pPr>
              <w:spacing w:after="0"/>
              <w:rPr>
                <w:sz w:val="17"/>
                <w:szCs w:val="17"/>
                <w:color w:val="auto"/>
              </w:rPr>
            </w:pPr>
          </w:p>
        </w:tc>
        <w:tc>
          <w:tcPr>
            <w:tcW w:w="7260" w:type="dxa"/>
            <w:vAlign w:val="bottom"/>
            <w:gridSpan w:val="22"/>
          </w:tcPr>
          <w:p>
            <w:pPr>
              <w:ind w:left="120"/>
              <w:spacing w:after="0" w:line="196" w:lineRule="exact"/>
              <w:rPr>
                <w:rFonts w:ascii="Arial" w:cs="Arial" w:eastAsia="Arial" w:hAnsi="Arial"/>
                <w:sz w:val="18"/>
                <w:szCs w:val="18"/>
                <w:color w:val="0000EE"/>
              </w:rPr>
            </w:pPr>
            <w:hyperlink w:anchor="page106">
              <w:r>
                <w:rPr>
                  <w:rFonts w:ascii="Arial" w:cs="Arial" w:eastAsia="Arial" w:hAnsi="Arial"/>
                  <w:sz w:val="18"/>
                  <w:szCs w:val="18"/>
                  <w:color w:val="0000EE"/>
                </w:rPr>
                <w:t>Other Information</w:t>
              </w:r>
            </w:hyperlink>
          </w:p>
        </w:tc>
        <w:tc>
          <w:tcPr>
            <w:tcW w:w="340" w:type="dxa"/>
            <w:vAlign w:val="bottom"/>
            <w:gridSpan w:val="4"/>
          </w:tcPr>
          <w:p>
            <w:pPr>
              <w:jc w:val="right"/>
              <w:spacing w:after="0" w:line="196" w:lineRule="exact"/>
              <w:rPr>
                <w:rFonts w:ascii="Arial" w:cs="Arial" w:eastAsia="Arial" w:hAnsi="Arial"/>
                <w:sz w:val="18"/>
                <w:szCs w:val="18"/>
                <w:color w:val="0000EE"/>
              </w:rPr>
            </w:pPr>
            <w:hyperlink w:anchor="page106">
              <w:r>
                <w:rPr>
                  <w:rFonts w:ascii="Arial" w:cs="Arial" w:eastAsia="Arial" w:hAnsi="Arial"/>
                  <w:sz w:val="18"/>
                  <w:szCs w:val="18"/>
                  <w:color w:val="0000EE"/>
                </w:rPr>
                <w:t>100</w:t>
              </w:r>
            </w:hyperlink>
          </w:p>
        </w:tc>
        <w:tc>
          <w:tcPr>
            <w:tcW w:w="0" w:type="dxa"/>
            <w:vAlign w:val="bottom"/>
          </w:tcPr>
          <w:p>
            <w:pPr>
              <w:spacing w:after="0"/>
              <w:rPr>
                <w:sz w:val="1"/>
                <w:szCs w:val="1"/>
                <w:color w:val="auto"/>
              </w:rPr>
            </w:pPr>
          </w:p>
        </w:tc>
      </w:tr>
      <w:tr>
        <w:trPr>
          <w:trHeight w:val="196"/>
        </w:trPr>
        <w:tc>
          <w:tcPr>
            <w:tcW w:w="780" w:type="dxa"/>
            <w:vAlign w:val="bottom"/>
            <w:gridSpan w:val="5"/>
          </w:tcPr>
          <w:p>
            <w:pPr>
              <w:spacing w:after="0" w:line="196" w:lineRule="exact"/>
              <w:rPr>
                <w:rFonts w:ascii="Arial" w:cs="Arial" w:eastAsia="Arial" w:hAnsi="Arial"/>
                <w:sz w:val="18"/>
                <w:szCs w:val="18"/>
                <w:color w:val="0000EE"/>
              </w:rPr>
            </w:pPr>
            <w:hyperlink w:anchor="page106">
              <w:r>
                <w:rPr>
                  <w:rFonts w:ascii="Arial" w:cs="Arial" w:eastAsia="Arial" w:hAnsi="Arial"/>
                  <w:sz w:val="18"/>
                  <w:szCs w:val="18"/>
                  <w:color w:val="0000EE"/>
                </w:rPr>
                <w:t>Part III</w:t>
              </w:r>
            </w:hyperlink>
          </w:p>
        </w:tc>
        <w:tc>
          <w:tcPr>
            <w:tcW w:w="600" w:type="dxa"/>
            <w:vAlign w:val="bottom"/>
            <w:tcBorders>
              <w:top w:val="single" w:sz="8" w:color="0000EE"/>
            </w:tcBorders>
            <w:gridSpan w:val="3"/>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Borders>
              <w:top w:val="single" w:sz="8" w:color="0000EE"/>
            </w:tcBorders>
          </w:tcPr>
          <w:p>
            <w:pPr>
              <w:spacing w:after="0"/>
              <w:rPr>
                <w:sz w:val="17"/>
                <w:szCs w:val="17"/>
                <w:color w:val="auto"/>
              </w:rPr>
            </w:pPr>
          </w:p>
        </w:tc>
        <w:tc>
          <w:tcPr>
            <w:tcW w:w="440" w:type="dxa"/>
            <w:vAlign w:val="bottom"/>
            <w:tcBorders>
              <w:top w:val="single" w:sz="8" w:color="0000EE"/>
            </w:tcBorders>
          </w:tcPr>
          <w:p>
            <w:pPr>
              <w:spacing w:after="0"/>
              <w:rPr>
                <w:sz w:val="17"/>
                <w:szCs w:val="17"/>
                <w:color w:val="auto"/>
              </w:rPr>
            </w:pPr>
          </w:p>
        </w:tc>
        <w:tc>
          <w:tcPr>
            <w:tcW w:w="8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160" w:type="dxa"/>
            <w:vAlign w:val="bottom"/>
            <w:tcBorders>
              <w:top w:val="single" w:sz="8" w:color="0000EE"/>
            </w:tcBorders>
          </w:tcPr>
          <w:p>
            <w:pPr>
              <w:spacing w:after="0"/>
              <w:rPr>
                <w:sz w:val="17"/>
                <w:szCs w:val="17"/>
                <w:color w:val="auto"/>
              </w:rPr>
            </w:pPr>
          </w:p>
        </w:tc>
        <w:tc>
          <w:tcPr>
            <w:tcW w:w="420" w:type="dxa"/>
            <w:vAlign w:val="bottom"/>
            <w:tcBorders>
              <w:top w:val="single" w:sz="8" w:color="0000EE"/>
            </w:tcBorders>
          </w:tcPr>
          <w:p>
            <w:pPr>
              <w:spacing w:after="0"/>
              <w:rPr>
                <w:sz w:val="17"/>
                <w:szCs w:val="17"/>
                <w:color w:val="auto"/>
              </w:rPr>
            </w:pPr>
          </w:p>
        </w:tc>
        <w:tc>
          <w:tcPr>
            <w:tcW w:w="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Borders>
              <w:top w:val="single" w:sz="8" w:color="0000EE"/>
            </w:tcBorders>
          </w:tcPr>
          <w:p>
            <w:pPr>
              <w:spacing w:after="0"/>
              <w:rPr>
                <w:sz w:val="17"/>
                <w:szCs w:val="17"/>
                <w:color w:val="auto"/>
              </w:rPr>
            </w:pPr>
          </w:p>
        </w:tc>
        <w:tc>
          <w:tcPr>
            <w:tcW w:w="100" w:type="dxa"/>
            <w:vAlign w:val="bottom"/>
            <w:tcBorders>
              <w:top w:val="single" w:sz="8" w:color="0000EE"/>
            </w:tcBorders>
          </w:tcPr>
          <w:p>
            <w:pPr>
              <w:spacing w:after="0"/>
              <w:rPr>
                <w:sz w:val="17"/>
                <w:szCs w:val="17"/>
                <w:color w:val="auto"/>
              </w:rPr>
            </w:pPr>
          </w:p>
        </w:tc>
        <w:tc>
          <w:tcPr>
            <w:tcW w:w="80" w:type="dxa"/>
            <w:vAlign w:val="bottom"/>
            <w:tcBorders>
              <w:top w:val="single" w:sz="8" w:color="0000EE"/>
            </w:tcBorders>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400" w:type="dxa"/>
            <w:vAlign w:val="bottom"/>
            <w:tcBorders>
              <w:top w:val="single" w:sz="8" w:color="0000EE"/>
            </w:tcBorders>
          </w:tcPr>
          <w:p>
            <w:pPr>
              <w:spacing w:after="0"/>
              <w:rPr>
                <w:sz w:val="17"/>
                <w:szCs w:val="17"/>
                <w:color w:val="auto"/>
              </w:rPr>
            </w:pPr>
          </w:p>
        </w:tc>
        <w:tc>
          <w:tcPr>
            <w:tcW w:w="60" w:type="dxa"/>
            <w:vAlign w:val="bottom"/>
            <w:tcBorders>
              <w:top w:val="single" w:sz="8" w:color="0000EE"/>
            </w:tcBorders>
          </w:tcPr>
          <w:p>
            <w:pPr>
              <w:spacing w:after="0"/>
              <w:rPr>
                <w:sz w:val="17"/>
                <w:szCs w:val="17"/>
                <w:color w:val="auto"/>
              </w:rPr>
            </w:pPr>
          </w:p>
        </w:tc>
        <w:tc>
          <w:tcPr>
            <w:tcW w:w="60" w:type="dxa"/>
            <w:vAlign w:val="bottom"/>
            <w:tcBorders>
              <w:top w:val="single" w:sz="8" w:color="0000EE"/>
            </w:tcBorders>
          </w:tcPr>
          <w:p>
            <w:pPr>
              <w:spacing w:after="0"/>
              <w:rPr>
                <w:sz w:val="17"/>
                <w:szCs w:val="17"/>
                <w:color w:val="auto"/>
              </w:rPr>
            </w:pPr>
          </w:p>
        </w:tc>
        <w:tc>
          <w:tcPr>
            <w:tcW w:w="2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760" w:type="dxa"/>
            <w:vAlign w:val="bottom"/>
            <w:gridSpan w:val="4"/>
          </w:tcPr>
          <w:p>
            <w:pPr>
              <w:spacing w:after="0" w:line="196" w:lineRule="exact"/>
              <w:rPr>
                <w:rFonts w:ascii="Arial" w:cs="Arial" w:eastAsia="Arial" w:hAnsi="Arial"/>
                <w:sz w:val="18"/>
                <w:szCs w:val="18"/>
                <w:color w:val="0000EE"/>
              </w:rPr>
            </w:pPr>
            <w:hyperlink w:anchor="page106">
              <w:r>
                <w:rPr>
                  <w:rFonts w:ascii="Arial" w:cs="Arial" w:eastAsia="Arial" w:hAnsi="Arial"/>
                  <w:sz w:val="18"/>
                  <w:szCs w:val="18"/>
                  <w:color w:val="0000EE"/>
                </w:rPr>
                <w:t>Item 10.</w:t>
              </w:r>
            </w:hyperlink>
          </w:p>
        </w:tc>
        <w:tc>
          <w:tcPr>
            <w:tcW w:w="7260" w:type="dxa"/>
            <w:vAlign w:val="bottom"/>
            <w:gridSpan w:val="22"/>
          </w:tcPr>
          <w:p>
            <w:pPr>
              <w:ind w:left="120"/>
              <w:spacing w:after="0" w:line="196" w:lineRule="exact"/>
              <w:rPr>
                <w:rFonts w:ascii="Arial" w:cs="Arial" w:eastAsia="Arial" w:hAnsi="Arial"/>
                <w:sz w:val="18"/>
                <w:szCs w:val="18"/>
                <w:color w:val="0000EE"/>
              </w:rPr>
            </w:pPr>
            <w:hyperlink w:anchor="page106">
              <w:r>
                <w:rPr>
                  <w:rFonts w:ascii="Arial" w:cs="Arial" w:eastAsia="Arial" w:hAnsi="Arial"/>
                  <w:sz w:val="18"/>
                  <w:szCs w:val="18"/>
                  <w:color w:val="0000EE"/>
                </w:rPr>
                <w:t>Directors, Executive Officers and Corporate Governance</w:t>
              </w:r>
            </w:hyperlink>
          </w:p>
        </w:tc>
        <w:tc>
          <w:tcPr>
            <w:tcW w:w="340" w:type="dxa"/>
            <w:vAlign w:val="bottom"/>
            <w:gridSpan w:val="4"/>
          </w:tcPr>
          <w:p>
            <w:pPr>
              <w:jc w:val="right"/>
              <w:spacing w:after="0" w:line="196" w:lineRule="exact"/>
              <w:rPr>
                <w:rFonts w:ascii="Arial" w:cs="Arial" w:eastAsia="Arial" w:hAnsi="Arial"/>
                <w:sz w:val="18"/>
                <w:szCs w:val="18"/>
                <w:color w:val="0000EE"/>
              </w:rPr>
            </w:pPr>
            <w:hyperlink w:anchor="page106">
              <w:r>
                <w:rPr>
                  <w:rFonts w:ascii="Arial" w:cs="Arial" w:eastAsia="Arial" w:hAnsi="Arial"/>
                  <w:sz w:val="18"/>
                  <w:szCs w:val="18"/>
                  <w:color w:val="0000EE"/>
                </w:rPr>
                <w:t>100</w:t>
              </w:r>
            </w:hyperlink>
          </w:p>
        </w:tc>
        <w:tc>
          <w:tcPr>
            <w:tcW w:w="0" w:type="dxa"/>
            <w:vAlign w:val="bottom"/>
          </w:tcPr>
          <w:p>
            <w:pPr>
              <w:spacing w:after="0"/>
              <w:rPr>
                <w:sz w:val="1"/>
                <w:szCs w:val="1"/>
                <w:color w:val="auto"/>
              </w:rPr>
            </w:pPr>
          </w:p>
        </w:tc>
      </w:tr>
      <w:tr>
        <w:trPr>
          <w:trHeight w:val="20"/>
        </w:trPr>
        <w:tc>
          <w:tcPr>
            <w:tcW w:w="4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8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20" w:type="dxa"/>
            <w:vAlign w:val="bottom"/>
            <w:gridSpan w:val="4"/>
            <w:shd w:val="clear" w:color="auto" w:fill="0000EE"/>
          </w:tcPr>
          <w:p>
            <w:pPr>
              <w:spacing w:after="0" w:line="20" w:lineRule="exact"/>
              <w:rPr>
                <w:sz w:val="1"/>
                <w:szCs w:val="1"/>
                <w:color w:val="auto"/>
              </w:rPr>
            </w:pPr>
          </w:p>
        </w:tc>
        <w:tc>
          <w:tcPr>
            <w:tcW w:w="1040" w:type="dxa"/>
            <w:vAlign w:val="bottom"/>
            <w:gridSpan w:val="6"/>
            <w:shd w:val="clear" w:color="auto" w:fill="0000EE"/>
          </w:tcPr>
          <w:p>
            <w:pPr>
              <w:spacing w:after="0" w:line="20" w:lineRule="exact"/>
              <w:rPr>
                <w:sz w:val="1"/>
                <w:szCs w:val="1"/>
                <w:color w:val="auto"/>
              </w:rPr>
            </w:pPr>
          </w:p>
        </w:tc>
        <w:tc>
          <w:tcPr>
            <w:tcW w:w="1060" w:type="dxa"/>
            <w:vAlign w:val="bottom"/>
            <w:tcBorders>
              <w:right w:val="single" w:sz="8" w:color="0000EE"/>
            </w:tcBorders>
            <w:gridSpan w:val="2"/>
            <w:shd w:val="clear" w:color="auto" w:fill="0000EE"/>
          </w:tcPr>
          <w:p>
            <w:pPr>
              <w:spacing w:after="0" w:line="20" w:lineRule="exact"/>
              <w:rPr>
                <w:sz w:val="1"/>
                <w:szCs w:val="1"/>
                <w:color w:val="auto"/>
              </w:rPr>
            </w:pPr>
          </w:p>
        </w:tc>
        <w:tc>
          <w:tcPr>
            <w:tcW w:w="1180" w:type="dxa"/>
            <w:vAlign w:val="bottom"/>
            <w:gridSpan w:val="2"/>
            <w:shd w:val="clear" w:color="auto" w:fill="0000EE"/>
          </w:tcPr>
          <w:p>
            <w:pPr>
              <w:spacing w:after="0" w:line="20" w:lineRule="exact"/>
              <w:rPr>
                <w:sz w:val="1"/>
                <w:szCs w:val="1"/>
                <w:color w:val="auto"/>
              </w:rPr>
            </w:pPr>
          </w:p>
        </w:tc>
        <w:tc>
          <w:tcPr>
            <w:tcW w:w="1320" w:type="dxa"/>
            <w:vAlign w:val="bottom"/>
            <w:gridSpan w:val="2"/>
          </w:tcPr>
          <w:p>
            <w:pPr>
              <w:spacing w:after="0" w:line="20" w:lineRule="exact"/>
              <w:rPr>
                <w:sz w:val="1"/>
                <w:szCs w:val="1"/>
                <w:color w:val="auto"/>
              </w:rPr>
            </w:pPr>
          </w:p>
        </w:tc>
        <w:tc>
          <w:tcPr>
            <w:tcW w:w="1200" w:type="dxa"/>
            <w:vAlign w:val="bottom"/>
            <w:gridSpan w:val="3"/>
          </w:tcPr>
          <w:p>
            <w:pPr>
              <w:spacing w:after="0" w:line="20" w:lineRule="exact"/>
              <w:rPr>
                <w:sz w:val="1"/>
                <w:szCs w:val="1"/>
                <w:color w:val="auto"/>
              </w:rPr>
            </w:pPr>
          </w:p>
        </w:tc>
        <w:tc>
          <w:tcPr>
            <w:tcW w:w="62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gridSpan w:val="3"/>
            <w:shd w:val="clear" w:color="auto" w:fill="0000E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4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580" w:type="dxa"/>
            <w:vAlign w:val="bottom"/>
            <w:gridSpan w:val="2"/>
          </w:tcPr>
          <w:p>
            <w:pPr>
              <w:spacing w:after="0" w:line="196" w:lineRule="exact"/>
              <w:rPr>
                <w:rFonts w:ascii="Arial" w:cs="Arial" w:eastAsia="Arial" w:hAnsi="Arial"/>
                <w:sz w:val="18"/>
                <w:szCs w:val="18"/>
                <w:color w:val="0000EE"/>
                <w:w w:val="86"/>
              </w:rPr>
            </w:pPr>
            <w:hyperlink w:anchor="page106">
              <w:r>
                <w:rPr>
                  <w:rFonts w:ascii="Arial" w:cs="Arial" w:eastAsia="Arial" w:hAnsi="Arial"/>
                  <w:sz w:val="18"/>
                  <w:szCs w:val="18"/>
                  <w:color w:val="0000EE"/>
                  <w:w w:val="86"/>
                </w:rPr>
                <w:t>Item 11.</w:t>
              </w:r>
            </w:hyperlink>
          </w:p>
        </w:tc>
        <w:tc>
          <w:tcPr>
            <w:tcW w:w="180" w:type="dxa"/>
            <w:vAlign w:val="bottom"/>
            <w:gridSpan w:val="2"/>
          </w:tcPr>
          <w:p>
            <w:pPr>
              <w:spacing w:after="0"/>
              <w:rPr>
                <w:sz w:val="17"/>
                <w:szCs w:val="17"/>
                <w:color w:val="auto"/>
              </w:rPr>
            </w:pPr>
          </w:p>
        </w:tc>
        <w:tc>
          <w:tcPr>
            <w:tcW w:w="7260" w:type="dxa"/>
            <w:vAlign w:val="bottom"/>
            <w:gridSpan w:val="22"/>
          </w:tcPr>
          <w:p>
            <w:pPr>
              <w:ind w:left="120"/>
              <w:spacing w:after="0" w:line="196" w:lineRule="exact"/>
              <w:rPr>
                <w:rFonts w:ascii="Arial" w:cs="Arial" w:eastAsia="Arial" w:hAnsi="Arial"/>
                <w:sz w:val="18"/>
                <w:szCs w:val="18"/>
                <w:color w:val="0000EE"/>
              </w:rPr>
            </w:pPr>
            <w:hyperlink w:anchor="page106">
              <w:r>
                <w:rPr>
                  <w:rFonts w:ascii="Arial" w:cs="Arial" w:eastAsia="Arial" w:hAnsi="Arial"/>
                  <w:sz w:val="18"/>
                  <w:szCs w:val="18"/>
                  <w:color w:val="0000EE"/>
                </w:rPr>
                <w:t>Executive Compensation</w:t>
              </w:r>
            </w:hyperlink>
          </w:p>
        </w:tc>
        <w:tc>
          <w:tcPr>
            <w:tcW w:w="340" w:type="dxa"/>
            <w:vAlign w:val="bottom"/>
            <w:gridSpan w:val="4"/>
          </w:tcPr>
          <w:p>
            <w:pPr>
              <w:jc w:val="right"/>
              <w:spacing w:after="0" w:line="196" w:lineRule="exact"/>
              <w:rPr>
                <w:rFonts w:ascii="Arial" w:cs="Arial" w:eastAsia="Arial" w:hAnsi="Arial"/>
                <w:sz w:val="18"/>
                <w:szCs w:val="18"/>
                <w:color w:val="0000EE"/>
              </w:rPr>
            </w:pPr>
            <w:hyperlink w:anchor="page106">
              <w:r>
                <w:rPr>
                  <w:rFonts w:ascii="Arial" w:cs="Arial" w:eastAsia="Arial" w:hAnsi="Arial"/>
                  <w:sz w:val="18"/>
                  <w:szCs w:val="18"/>
                  <w:color w:val="0000EE"/>
                </w:rPr>
                <w:t>100</w:t>
              </w:r>
            </w:hyperlink>
          </w:p>
        </w:tc>
        <w:tc>
          <w:tcPr>
            <w:tcW w:w="0" w:type="dxa"/>
            <w:vAlign w:val="bottom"/>
          </w:tcPr>
          <w:p>
            <w:pPr>
              <w:spacing w:after="0"/>
              <w:rPr>
                <w:sz w:val="1"/>
                <w:szCs w:val="1"/>
                <w:color w:val="auto"/>
              </w:rPr>
            </w:pPr>
          </w:p>
        </w:tc>
      </w:tr>
      <w:tr>
        <w:trPr>
          <w:trHeight w:val="20"/>
        </w:trPr>
        <w:tc>
          <w:tcPr>
            <w:tcW w:w="4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8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20" w:type="dxa"/>
            <w:vAlign w:val="bottom"/>
            <w:gridSpan w:val="4"/>
            <w:shd w:val="clear" w:color="auto" w:fill="0000EE"/>
          </w:tcPr>
          <w:p>
            <w:pPr>
              <w:spacing w:after="0" w:line="20" w:lineRule="exact"/>
              <w:rPr>
                <w:sz w:val="1"/>
                <w:szCs w:val="1"/>
                <w:color w:val="auto"/>
              </w:rPr>
            </w:pPr>
          </w:p>
        </w:tc>
        <w:tc>
          <w:tcPr>
            <w:tcW w:w="1040" w:type="dxa"/>
            <w:vAlign w:val="bottom"/>
            <w:gridSpan w:val="6"/>
            <w:shd w:val="clear" w:color="auto" w:fill="0000EE"/>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2500" w:type="dxa"/>
            <w:vAlign w:val="bottom"/>
            <w:gridSpan w:val="4"/>
          </w:tcPr>
          <w:p>
            <w:pPr>
              <w:spacing w:after="0" w:line="20" w:lineRule="exact"/>
              <w:rPr>
                <w:sz w:val="1"/>
                <w:szCs w:val="1"/>
                <w:color w:val="auto"/>
              </w:rPr>
            </w:pPr>
          </w:p>
        </w:tc>
        <w:tc>
          <w:tcPr>
            <w:tcW w:w="1200" w:type="dxa"/>
            <w:vAlign w:val="bottom"/>
            <w:gridSpan w:val="3"/>
          </w:tcPr>
          <w:p>
            <w:pPr>
              <w:spacing w:after="0" w:line="20" w:lineRule="exact"/>
              <w:rPr>
                <w:sz w:val="1"/>
                <w:szCs w:val="1"/>
                <w:color w:val="auto"/>
              </w:rPr>
            </w:pPr>
          </w:p>
        </w:tc>
        <w:tc>
          <w:tcPr>
            <w:tcW w:w="62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4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760" w:type="dxa"/>
            <w:vAlign w:val="bottom"/>
            <w:gridSpan w:val="4"/>
          </w:tcPr>
          <w:p>
            <w:pPr>
              <w:spacing w:after="0" w:line="196" w:lineRule="exact"/>
              <w:rPr>
                <w:rFonts w:ascii="Arial" w:cs="Arial" w:eastAsia="Arial" w:hAnsi="Arial"/>
                <w:sz w:val="18"/>
                <w:szCs w:val="18"/>
                <w:color w:val="0000EE"/>
              </w:rPr>
            </w:pPr>
            <w:hyperlink w:anchor="page106">
              <w:r>
                <w:rPr>
                  <w:rFonts w:ascii="Arial" w:cs="Arial" w:eastAsia="Arial" w:hAnsi="Arial"/>
                  <w:sz w:val="18"/>
                  <w:szCs w:val="18"/>
                  <w:color w:val="0000EE"/>
                </w:rPr>
                <w:t>Item 12.</w:t>
              </w:r>
            </w:hyperlink>
          </w:p>
        </w:tc>
        <w:tc>
          <w:tcPr>
            <w:tcW w:w="7260" w:type="dxa"/>
            <w:vAlign w:val="bottom"/>
            <w:gridSpan w:val="22"/>
          </w:tcPr>
          <w:p>
            <w:pPr>
              <w:ind w:left="120"/>
              <w:spacing w:after="0" w:line="196" w:lineRule="exact"/>
              <w:rPr>
                <w:rFonts w:ascii="Arial" w:cs="Arial" w:eastAsia="Arial" w:hAnsi="Arial"/>
                <w:sz w:val="18"/>
                <w:szCs w:val="18"/>
                <w:color w:val="0000EE"/>
                <w:w w:val="96"/>
              </w:rPr>
            </w:pPr>
            <w:hyperlink w:anchor="page106">
              <w:r>
                <w:rPr>
                  <w:rFonts w:ascii="Arial" w:cs="Arial" w:eastAsia="Arial" w:hAnsi="Arial"/>
                  <w:sz w:val="18"/>
                  <w:szCs w:val="18"/>
                  <w:color w:val="0000EE"/>
                  <w:w w:val="96"/>
                </w:rPr>
                <w:t>Security Ownership of Certain Beneficial Owners and Management and Related Stockholder</w:t>
              </w:r>
            </w:hyperlink>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4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520" w:type="dxa"/>
            <w:vAlign w:val="bottom"/>
            <w:tcBorders>
              <w:top w:val="single" w:sz="8" w:color="0000EE"/>
            </w:tcBorders>
          </w:tcPr>
          <w:p>
            <w:pPr>
              <w:spacing w:after="0"/>
              <w:rPr>
                <w:sz w:val="17"/>
                <w:szCs w:val="17"/>
                <w:color w:val="auto"/>
              </w:rPr>
            </w:pPr>
          </w:p>
        </w:tc>
        <w:tc>
          <w:tcPr>
            <w:tcW w:w="60" w:type="dxa"/>
            <w:vAlign w:val="bottom"/>
            <w:tcBorders>
              <w:top w:val="single" w:sz="8" w:color="0000EE"/>
            </w:tcBorders>
          </w:tcPr>
          <w:p>
            <w:pPr>
              <w:spacing w:after="0"/>
              <w:rPr>
                <w:sz w:val="17"/>
                <w:szCs w:val="17"/>
                <w:color w:val="auto"/>
              </w:rPr>
            </w:pP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Borders>
              <w:top w:val="single" w:sz="8" w:color="0000EE"/>
            </w:tcBorders>
          </w:tcPr>
          <w:p>
            <w:pPr>
              <w:spacing w:after="0"/>
              <w:rPr>
                <w:sz w:val="17"/>
                <w:szCs w:val="17"/>
                <w:color w:val="auto"/>
              </w:rPr>
            </w:pPr>
          </w:p>
        </w:tc>
        <w:tc>
          <w:tcPr>
            <w:tcW w:w="540" w:type="dxa"/>
            <w:vAlign w:val="bottom"/>
            <w:tcBorders>
              <w:top w:val="single" w:sz="8" w:color="0000EE"/>
            </w:tcBorders>
            <w:gridSpan w:val="3"/>
          </w:tcPr>
          <w:p>
            <w:pPr>
              <w:spacing w:after="0" w:line="196" w:lineRule="exact"/>
              <w:rPr>
                <w:rFonts w:ascii="Arial" w:cs="Arial" w:eastAsia="Arial" w:hAnsi="Arial"/>
                <w:sz w:val="18"/>
                <w:szCs w:val="18"/>
                <w:color w:val="0000EE"/>
                <w:w w:val="86"/>
              </w:rPr>
            </w:pPr>
            <w:hyperlink w:anchor="page106">
              <w:r>
                <w:rPr>
                  <w:rFonts w:ascii="Arial" w:cs="Arial" w:eastAsia="Arial" w:hAnsi="Arial"/>
                  <w:sz w:val="18"/>
                  <w:szCs w:val="18"/>
                  <w:color w:val="0000EE"/>
                  <w:w w:val="86"/>
                </w:rPr>
                <w:t>Matters</w:t>
              </w:r>
            </w:hyperlink>
          </w:p>
        </w:tc>
        <w:tc>
          <w:tcPr>
            <w:tcW w:w="5800" w:type="dxa"/>
            <w:vAlign w:val="bottom"/>
            <w:tcBorders>
              <w:top w:val="single" w:sz="8" w:color="0000EE"/>
            </w:tcBorders>
            <w:gridSpan w:val="15"/>
          </w:tcPr>
          <w:p>
            <w:pPr>
              <w:spacing w:after="0"/>
              <w:rPr>
                <w:sz w:val="17"/>
                <w:szCs w:val="17"/>
                <w:color w:val="auto"/>
              </w:rPr>
            </w:pPr>
          </w:p>
        </w:tc>
        <w:tc>
          <w:tcPr>
            <w:tcW w:w="620" w:type="dxa"/>
            <w:vAlign w:val="bottom"/>
            <w:gridSpan w:val="2"/>
          </w:tcPr>
          <w:p>
            <w:pPr>
              <w:spacing w:after="0"/>
              <w:rPr>
                <w:sz w:val="17"/>
                <w:szCs w:val="17"/>
                <w:color w:val="auto"/>
              </w:rPr>
            </w:pPr>
          </w:p>
        </w:tc>
        <w:tc>
          <w:tcPr>
            <w:tcW w:w="340" w:type="dxa"/>
            <w:vAlign w:val="bottom"/>
            <w:gridSpan w:val="4"/>
          </w:tcPr>
          <w:p>
            <w:pPr>
              <w:jc w:val="right"/>
              <w:spacing w:after="0" w:line="196" w:lineRule="exact"/>
              <w:rPr>
                <w:rFonts w:ascii="Arial" w:cs="Arial" w:eastAsia="Arial" w:hAnsi="Arial"/>
                <w:sz w:val="18"/>
                <w:szCs w:val="18"/>
                <w:color w:val="0000EE"/>
              </w:rPr>
            </w:pPr>
            <w:hyperlink w:anchor="page106">
              <w:r>
                <w:rPr>
                  <w:rFonts w:ascii="Arial" w:cs="Arial" w:eastAsia="Arial" w:hAnsi="Arial"/>
                  <w:sz w:val="18"/>
                  <w:szCs w:val="18"/>
                  <w:color w:val="0000EE"/>
                </w:rPr>
                <w:t>100</w:t>
              </w:r>
            </w:hyperlink>
          </w:p>
        </w:tc>
        <w:tc>
          <w:tcPr>
            <w:tcW w:w="0" w:type="dxa"/>
            <w:vAlign w:val="bottom"/>
          </w:tcPr>
          <w:p>
            <w:pPr>
              <w:spacing w:after="0"/>
              <w:rPr>
                <w:sz w:val="1"/>
                <w:szCs w:val="1"/>
                <w:color w:val="auto"/>
              </w:rPr>
            </w:pPr>
          </w:p>
        </w:tc>
      </w:tr>
      <w:tr>
        <w:trPr>
          <w:trHeight w:val="20"/>
        </w:trPr>
        <w:tc>
          <w:tcPr>
            <w:tcW w:w="4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0" w:type="dxa"/>
            <w:vAlign w:val="bottom"/>
            <w:gridSpan w:val="3"/>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540" w:type="dxa"/>
            <w:vAlign w:val="bottom"/>
            <w:gridSpan w:val="3"/>
            <w:shd w:val="clear" w:color="auto" w:fill="0000EE"/>
          </w:tcPr>
          <w:p>
            <w:pPr>
              <w:spacing w:after="0" w:line="20" w:lineRule="exact"/>
              <w:rPr>
                <w:sz w:val="1"/>
                <w:szCs w:val="1"/>
                <w:color w:val="auto"/>
              </w:rPr>
            </w:pPr>
          </w:p>
        </w:tc>
        <w:tc>
          <w:tcPr>
            <w:tcW w:w="2100" w:type="dxa"/>
            <w:vAlign w:val="bottom"/>
            <w:gridSpan w:val="8"/>
          </w:tcPr>
          <w:p>
            <w:pPr>
              <w:spacing w:after="0" w:line="20" w:lineRule="exact"/>
              <w:rPr>
                <w:sz w:val="1"/>
                <w:szCs w:val="1"/>
                <w:color w:val="auto"/>
              </w:rPr>
            </w:pPr>
          </w:p>
        </w:tc>
        <w:tc>
          <w:tcPr>
            <w:tcW w:w="2500" w:type="dxa"/>
            <w:vAlign w:val="bottom"/>
            <w:gridSpan w:val="4"/>
          </w:tcPr>
          <w:p>
            <w:pPr>
              <w:spacing w:after="0" w:line="20" w:lineRule="exact"/>
              <w:rPr>
                <w:sz w:val="1"/>
                <w:szCs w:val="1"/>
                <w:color w:val="auto"/>
              </w:rPr>
            </w:pPr>
          </w:p>
        </w:tc>
        <w:tc>
          <w:tcPr>
            <w:tcW w:w="1820" w:type="dxa"/>
            <w:vAlign w:val="bottom"/>
            <w:gridSpan w:val="5"/>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gridSpan w:val="3"/>
            <w:shd w:val="clear" w:color="auto" w:fill="0000E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4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0" w:type="dxa"/>
            <w:vAlign w:val="bottom"/>
            <w:gridSpan w:val="3"/>
          </w:tcPr>
          <w:p>
            <w:pPr>
              <w:spacing w:after="0" w:line="196" w:lineRule="exact"/>
              <w:rPr>
                <w:rFonts w:ascii="Arial" w:cs="Arial" w:eastAsia="Arial" w:hAnsi="Arial"/>
                <w:sz w:val="18"/>
                <w:szCs w:val="18"/>
                <w:color w:val="0000EE"/>
                <w:w w:val="86"/>
              </w:rPr>
            </w:pPr>
            <w:hyperlink w:anchor="page106">
              <w:r>
                <w:rPr>
                  <w:rFonts w:ascii="Arial" w:cs="Arial" w:eastAsia="Arial" w:hAnsi="Arial"/>
                  <w:sz w:val="18"/>
                  <w:szCs w:val="18"/>
                  <w:color w:val="0000EE"/>
                  <w:w w:val="86"/>
                </w:rPr>
                <w:t>Item 13.</w:t>
              </w:r>
            </w:hyperlink>
          </w:p>
        </w:tc>
        <w:tc>
          <w:tcPr>
            <w:tcW w:w="160" w:type="dxa"/>
            <w:vAlign w:val="bottom"/>
          </w:tcPr>
          <w:p>
            <w:pPr>
              <w:spacing w:after="0"/>
              <w:rPr>
                <w:sz w:val="17"/>
                <w:szCs w:val="17"/>
                <w:color w:val="auto"/>
              </w:rPr>
            </w:pPr>
          </w:p>
        </w:tc>
        <w:tc>
          <w:tcPr>
            <w:tcW w:w="7260" w:type="dxa"/>
            <w:vAlign w:val="bottom"/>
            <w:gridSpan w:val="22"/>
          </w:tcPr>
          <w:p>
            <w:pPr>
              <w:ind w:left="120"/>
              <w:spacing w:after="0" w:line="196" w:lineRule="exact"/>
              <w:rPr>
                <w:rFonts w:ascii="Arial" w:cs="Arial" w:eastAsia="Arial" w:hAnsi="Arial"/>
                <w:sz w:val="18"/>
                <w:szCs w:val="18"/>
                <w:color w:val="0000EE"/>
              </w:rPr>
            </w:pPr>
            <w:hyperlink w:anchor="page106">
              <w:r>
                <w:rPr>
                  <w:rFonts w:ascii="Arial" w:cs="Arial" w:eastAsia="Arial" w:hAnsi="Arial"/>
                  <w:sz w:val="18"/>
                  <w:szCs w:val="18"/>
                  <w:color w:val="0000EE"/>
                </w:rPr>
                <w:t>Certain Relationships and Related Transactions, and Director Independence</w:t>
              </w:r>
            </w:hyperlink>
          </w:p>
        </w:tc>
        <w:tc>
          <w:tcPr>
            <w:tcW w:w="340" w:type="dxa"/>
            <w:vAlign w:val="bottom"/>
            <w:gridSpan w:val="4"/>
          </w:tcPr>
          <w:p>
            <w:pPr>
              <w:jc w:val="right"/>
              <w:spacing w:after="0" w:line="196" w:lineRule="exact"/>
              <w:rPr>
                <w:rFonts w:ascii="Arial" w:cs="Arial" w:eastAsia="Arial" w:hAnsi="Arial"/>
                <w:sz w:val="18"/>
                <w:szCs w:val="18"/>
                <w:color w:val="0000EE"/>
              </w:rPr>
            </w:pPr>
            <w:hyperlink w:anchor="page106">
              <w:r>
                <w:rPr>
                  <w:rFonts w:ascii="Arial" w:cs="Arial" w:eastAsia="Arial" w:hAnsi="Arial"/>
                  <w:sz w:val="18"/>
                  <w:szCs w:val="18"/>
                  <w:color w:val="0000EE"/>
                </w:rPr>
                <w:t>100</w:t>
              </w:r>
            </w:hyperlink>
          </w:p>
        </w:tc>
        <w:tc>
          <w:tcPr>
            <w:tcW w:w="0" w:type="dxa"/>
            <w:vAlign w:val="bottom"/>
          </w:tcPr>
          <w:p>
            <w:pPr>
              <w:spacing w:after="0"/>
              <w:rPr>
                <w:sz w:val="1"/>
                <w:szCs w:val="1"/>
                <w:color w:val="auto"/>
              </w:rPr>
            </w:pPr>
          </w:p>
        </w:tc>
      </w:tr>
      <w:tr>
        <w:trPr>
          <w:trHeight w:val="20"/>
        </w:trPr>
        <w:tc>
          <w:tcPr>
            <w:tcW w:w="4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0" w:type="dxa"/>
            <w:vAlign w:val="bottom"/>
            <w:gridSpan w:val="3"/>
            <w:shd w:val="clear" w:color="auto" w:fill="0000EE"/>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20" w:type="dxa"/>
            <w:vAlign w:val="bottom"/>
            <w:tcBorders>
              <w:right w:val="single" w:sz="8" w:color="0000EE"/>
            </w:tcBorders>
            <w:gridSpan w:val="12"/>
            <w:shd w:val="clear" w:color="auto" w:fill="0000EE"/>
          </w:tcPr>
          <w:p>
            <w:pPr>
              <w:spacing w:after="0" w:line="20" w:lineRule="exact"/>
              <w:rPr>
                <w:sz w:val="1"/>
                <w:szCs w:val="1"/>
                <w:color w:val="auto"/>
              </w:rPr>
            </w:pPr>
          </w:p>
        </w:tc>
        <w:tc>
          <w:tcPr>
            <w:tcW w:w="2500" w:type="dxa"/>
            <w:vAlign w:val="bottom"/>
            <w:gridSpan w:val="4"/>
            <w:shd w:val="clear" w:color="auto" w:fill="0000EE"/>
          </w:tcPr>
          <w:p>
            <w:pPr>
              <w:spacing w:after="0" w:line="20" w:lineRule="exact"/>
              <w:rPr>
                <w:sz w:val="1"/>
                <w:szCs w:val="1"/>
                <w:color w:val="auto"/>
              </w:rPr>
            </w:pPr>
          </w:p>
        </w:tc>
        <w:tc>
          <w:tcPr>
            <w:tcW w:w="1820" w:type="dxa"/>
            <w:vAlign w:val="bottom"/>
            <w:gridSpan w:val="5"/>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gridSpan w:val="3"/>
            <w:shd w:val="clear" w:color="auto" w:fill="0000E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4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0" w:type="dxa"/>
            <w:vAlign w:val="bottom"/>
            <w:gridSpan w:val="3"/>
          </w:tcPr>
          <w:p>
            <w:pPr>
              <w:spacing w:after="0" w:line="196" w:lineRule="exact"/>
              <w:rPr>
                <w:rFonts w:ascii="Arial" w:cs="Arial" w:eastAsia="Arial" w:hAnsi="Arial"/>
                <w:sz w:val="18"/>
                <w:szCs w:val="18"/>
                <w:color w:val="0000EE"/>
                <w:w w:val="86"/>
              </w:rPr>
            </w:pPr>
            <w:hyperlink w:anchor="page106">
              <w:r>
                <w:rPr>
                  <w:rFonts w:ascii="Arial" w:cs="Arial" w:eastAsia="Arial" w:hAnsi="Arial"/>
                  <w:sz w:val="18"/>
                  <w:szCs w:val="18"/>
                  <w:color w:val="0000EE"/>
                  <w:w w:val="86"/>
                </w:rPr>
                <w:t>Item 14.</w:t>
              </w:r>
            </w:hyperlink>
          </w:p>
        </w:tc>
        <w:tc>
          <w:tcPr>
            <w:tcW w:w="160" w:type="dxa"/>
            <w:vAlign w:val="bottom"/>
          </w:tcPr>
          <w:p>
            <w:pPr>
              <w:spacing w:after="0"/>
              <w:rPr>
                <w:sz w:val="17"/>
                <w:szCs w:val="17"/>
                <w:color w:val="auto"/>
              </w:rPr>
            </w:pPr>
          </w:p>
        </w:tc>
        <w:tc>
          <w:tcPr>
            <w:tcW w:w="7260" w:type="dxa"/>
            <w:vAlign w:val="bottom"/>
            <w:gridSpan w:val="22"/>
          </w:tcPr>
          <w:p>
            <w:pPr>
              <w:ind w:left="120"/>
              <w:spacing w:after="0" w:line="196" w:lineRule="exact"/>
              <w:rPr>
                <w:rFonts w:ascii="Arial" w:cs="Arial" w:eastAsia="Arial" w:hAnsi="Arial"/>
                <w:sz w:val="18"/>
                <w:szCs w:val="18"/>
                <w:color w:val="0000EE"/>
              </w:rPr>
            </w:pPr>
            <w:hyperlink w:anchor="page106">
              <w:r>
                <w:rPr>
                  <w:rFonts w:ascii="Arial" w:cs="Arial" w:eastAsia="Arial" w:hAnsi="Arial"/>
                  <w:sz w:val="18"/>
                  <w:szCs w:val="18"/>
                  <w:color w:val="0000EE"/>
                </w:rPr>
                <w:t>Principal Accountant Fees and Services</w:t>
              </w:r>
            </w:hyperlink>
          </w:p>
        </w:tc>
        <w:tc>
          <w:tcPr>
            <w:tcW w:w="340" w:type="dxa"/>
            <w:vAlign w:val="bottom"/>
            <w:gridSpan w:val="4"/>
          </w:tcPr>
          <w:p>
            <w:pPr>
              <w:jc w:val="right"/>
              <w:spacing w:after="0" w:line="196" w:lineRule="exact"/>
              <w:rPr>
                <w:rFonts w:ascii="Arial" w:cs="Arial" w:eastAsia="Arial" w:hAnsi="Arial"/>
                <w:sz w:val="18"/>
                <w:szCs w:val="18"/>
                <w:color w:val="0000EE"/>
              </w:rPr>
            </w:pPr>
            <w:hyperlink w:anchor="page106">
              <w:r>
                <w:rPr>
                  <w:rFonts w:ascii="Arial" w:cs="Arial" w:eastAsia="Arial" w:hAnsi="Arial"/>
                  <w:sz w:val="18"/>
                  <w:szCs w:val="18"/>
                  <w:color w:val="0000EE"/>
                </w:rPr>
                <w:t>100</w:t>
              </w:r>
            </w:hyperlink>
          </w:p>
        </w:tc>
        <w:tc>
          <w:tcPr>
            <w:tcW w:w="0" w:type="dxa"/>
            <w:vAlign w:val="bottom"/>
          </w:tcPr>
          <w:p>
            <w:pPr>
              <w:spacing w:after="0"/>
              <w:rPr>
                <w:sz w:val="1"/>
                <w:szCs w:val="1"/>
                <w:color w:val="auto"/>
              </w:rPr>
            </w:pPr>
          </w:p>
        </w:tc>
      </w:tr>
      <w:tr>
        <w:trPr>
          <w:trHeight w:val="196"/>
        </w:trPr>
        <w:tc>
          <w:tcPr>
            <w:tcW w:w="780" w:type="dxa"/>
            <w:vAlign w:val="bottom"/>
            <w:gridSpan w:val="5"/>
          </w:tcPr>
          <w:p>
            <w:pPr>
              <w:spacing w:after="0" w:line="196" w:lineRule="exact"/>
              <w:rPr>
                <w:rFonts w:ascii="Arial" w:cs="Arial" w:eastAsia="Arial" w:hAnsi="Arial"/>
                <w:sz w:val="18"/>
                <w:szCs w:val="18"/>
                <w:color w:val="0000EE"/>
              </w:rPr>
            </w:pPr>
            <w:hyperlink w:anchor="page107">
              <w:r>
                <w:rPr>
                  <w:rFonts w:ascii="Arial" w:cs="Arial" w:eastAsia="Arial" w:hAnsi="Arial"/>
                  <w:sz w:val="18"/>
                  <w:szCs w:val="18"/>
                  <w:color w:val="0000EE"/>
                </w:rPr>
                <w:t>Part IV</w:t>
              </w:r>
            </w:hyperlink>
          </w:p>
        </w:tc>
        <w:tc>
          <w:tcPr>
            <w:tcW w:w="580" w:type="dxa"/>
            <w:vAlign w:val="bottom"/>
            <w:tcBorders>
              <w:top w:val="single" w:sz="8" w:color="0000EE"/>
            </w:tcBorders>
            <w:gridSpan w:val="2"/>
          </w:tcPr>
          <w:p>
            <w:pPr>
              <w:spacing w:after="0"/>
              <w:rPr>
                <w:sz w:val="17"/>
                <w:szCs w:val="17"/>
                <w:color w:val="auto"/>
              </w:rPr>
            </w:pPr>
          </w:p>
        </w:tc>
        <w:tc>
          <w:tcPr>
            <w:tcW w:w="180" w:type="dxa"/>
            <w:vAlign w:val="bottom"/>
            <w:gridSpan w:val="2"/>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Borders>
              <w:top w:val="single" w:sz="8" w:color="0000EE"/>
            </w:tcBorders>
          </w:tcPr>
          <w:p>
            <w:pPr>
              <w:spacing w:after="0"/>
              <w:rPr>
                <w:sz w:val="17"/>
                <w:szCs w:val="17"/>
                <w:color w:val="auto"/>
              </w:rPr>
            </w:pPr>
          </w:p>
        </w:tc>
        <w:tc>
          <w:tcPr>
            <w:tcW w:w="440" w:type="dxa"/>
            <w:vAlign w:val="bottom"/>
            <w:tcBorders>
              <w:top w:val="single" w:sz="8" w:color="0000EE"/>
            </w:tcBorders>
          </w:tcPr>
          <w:p>
            <w:pPr>
              <w:spacing w:after="0"/>
              <w:rPr>
                <w:sz w:val="17"/>
                <w:szCs w:val="17"/>
                <w:color w:val="auto"/>
              </w:rPr>
            </w:pPr>
          </w:p>
        </w:tc>
        <w:tc>
          <w:tcPr>
            <w:tcW w:w="8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160" w:type="dxa"/>
            <w:vAlign w:val="bottom"/>
            <w:tcBorders>
              <w:top w:val="single" w:sz="8" w:color="0000EE"/>
            </w:tcBorders>
          </w:tcPr>
          <w:p>
            <w:pPr>
              <w:spacing w:after="0"/>
              <w:rPr>
                <w:sz w:val="17"/>
                <w:szCs w:val="17"/>
                <w:color w:val="auto"/>
              </w:rPr>
            </w:pPr>
          </w:p>
        </w:tc>
        <w:tc>
          <w:tcPr>
            <w:tcW w:w="420" w:type="dxa"/>
            <w:vAlign w:val="bottom"/>
            <w:tcBorders>
              <w:top w:val="single" w:sz="8" w:color="0000EE"/>
            </w:tcBorders>
          </w:tcPr>
          <w:p>
            <w:pPr>
              <w:spacing w:after="0"/>
              <w:rPr>
                <w:sz w:val="17"/>
                <w:szCs w:val="17"/>
                <w:color w:val="auto"/>
              </w:rPr>
            </w:pPr>
          </w:p>
        </w:tc>
        <w:tc>
          <w:tcPr>
            <w:tcW w:w="80" w:type="dxa"/>
            <w:vAlign w:val="bottom"/>
            <w:tcBorders>
              <w:top w:val="single" w:sz="8" w:color="0000EE"/>
            </w:tcBorders>
          </w:tcPr>
          <w:p>
            <w:pPr>
              <w:spacing w:after="0"/>
              <w:rPr>
                <w:sz w:val="17"/>
                <w:szCs w:val="17"/>
                <w:color w:val="auto"/>
              </w:rPr>
            </w:pPr>
          </w:p>
        </w:tc>
        <w:tc>
          <w:tcPr>
            <w:tcW w:w="280" w:type="dxa"/>
            <w:vAlign w:val="bottom"/>
            <w:tcBorders>
              <w:top w:val="single" w:sz="8" w:color="0000EE"/>
            </w:tcBorders>
          </w:tcPr>
          <w:p>
            <w:pPr>
              <w:spacing w:after="0"/>
              <w:rPr>
                <w:sz w:val="17"/>
                <w:szCs w:val="17"/>
                <w:color w:val="auto"/>
              </w:rPr>
            </w:pPr>
          </w:p>
        </w:tc>
        <w:tc>
          <w:tcPr>
            <w:tcW w:w="60" w:type="dxa"/>
            <w:vAlign w:val="bottom"/>
            <w:tcBorders>
              <w:top w:val="single" w:sz="8" w:color="0000EE"/>
            </w:tcBorders>
          </w:tcPr>
          <w:p>
            <w:pPr>
              <w:spacing w:after="0"/>
              <w:rPr>
                <w:sz w:val="17"/>
                <w:szCs w:val="17"/>
                <w:color w:val="auto"/>
              </w:rPr>
            </w:pPr>
          </w:p>
        </w:tc>
        <w:tc>
          <w:tcPr>
            <w:tcW w:w="40" w:type="dxa"/>
            <w:vAlign w:val="bottom"/>
            <w:tcBorders>
              <w:top w:val="single" w:sz="8" w:color="0000EE"/>
            </w:tcBorders>
          </w:tcPr>
          <w:p>
            <w:pPr>
              <w:spacing w:after="0"/>
              <w:rPr>
                <w:sz w:val="17"/>
                <w:szCs w:val="17"/>
                <w:color w:val="auto"/>
              </w:rPr>
            </w:pPr>
          </w:p>
        </w:tc>
        <w:tc>
          <w:tcPr>
            <w:tcW w:w="240" w:type="dxa"/>
            <w:vAlign w:val="bottom"/>
            <w:tcBorders>
              <w:top w:val="single" w:sz="8" w:color="0000EE"/>
            </w:tcBorders>
          </w:tcPr>
          <w:p>
            <w:pPr>
              <w:spacing w:after="0"/>
              <w:rPr>
                <w:sz w:val="17"/>
                <w:szCs w:val="17"/>
                <w:color w:val="auto"/>
              </w:rPr>
            </w:pPr>
          </w:p>
        </w:tc>
        <w:tc>
          <w:tcPr>
            <w:tcW w:w="820" w:type="dxa"/>
            <w:vAlign w:val="bottom"/>
            <w:tcBorders>
              <w:top w:val="single" w:sz="8" w:color="0000EE"/>
            </w:tcBorders>
          </w:tcPr>
          <w:p>
            <w:pPr>
              <w:spacing w:after="0"/>
              <w:rPr>
                <w:sz w:val="17"/>
                <w:szCs w:val="17"/>
                <w:color w:val="auto"/>
              </w:rPr>
            </w:pPr>
          </w:p>
        </w:tc>
        <w:tc>
          <w:tcPr>
            <w:tcW w:w="4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Borders>
              <w:top w:val="single" w:sz="8" w:color="0000EE"/>
            </w:tcBorders>
          </w:tcPr>
          <w:p>
            <w:pPr>
              <w:spacing w:after="0"/>
              <w:rPr>
                <w:sz w:val="17"/>
                <w:szCs w:val="17"/>
                <w:color w:val="auto"/>
              </w:rPr>
            </w:pPr>
          </w:p>
        </w:tc>
        <w:tc>
          <w:tcPr>
            <w:tcW w:w="100" w:type="dxa"/>
            <w:vAlign w:val="bottom"/>
            <w:tcBorders>
              <w:top w:val="single" w:sz="8" w:color="0000EE"/>
            </w:tcBorders>
          </w:tcPr>
          <w:p>
            <w:pPr>
              <w:spacing w:after="0"/>
              <w:rPr>
                <w:sz w:val="17"/>
                <w:szCs w:val="17"/>
                <w:color w:val="auto"/>
              </w:rPr>
            </w:pPr>
          </w:p>
        </w:tc>
        <w:tc>
          <w:tcPr>
            <w:tcW w:w="80" w:type="dxa"/>
            <w:vAlign w:val="bottom"/>
            <w:tcBorders>
              <w:top w:val="single" w:sz="8" w:color="0000EE"/>
            </w:tcBorders>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400" w:type="dxa"/>
            <w:vAlign w:val="bottom"/>
            <w:tcBorders>
              <w:top w:val="single" w:sz="8" w:color="0000EE"/>
            </w:tcBorders>
          </w:tcPr>
          <w:p>
            <w:pPr>
              <w:spacing w:after="0"/>
              <w:rPr>
                <w:sz w:val="17"/>
                <w:szCs w:val="17"/>
                <w:color w:val="auto"/>
              </w:rPr>
            </w:pPr>
          </w:p>
        </w:tc>
        <w:tc>
          <w:tcPr>
            <w:tcW w:w="60" w:type="dxa"/>
            <w:vAlign w:val="bottom"/>
            <w:tcBorders>
              <w:top w:val="single" w:sz="8" w:color="0000EE"/>
            </w:tcBorders>
          </w:tcPr>
          <w:p>
            <w:pPr>
              <w:spacing w:after="0"/>
              <w:rPr>
                <w:sz w:val="17"/>
                <w:szCs w:val="17"/>
                <w:color w:val="auto"/>
              </w:rPr>
            </w:pPr>
          </w:p>
        </w:tc>
        <w:tc>
          <w:tcPr>
            <w:tcW w:w="60" w:type="dxa"/>
            <w:vAlign w:val="bottom"/>
            <w:tcBorders>
              <w:top w:val="single" w:sz="8" w:color="0000EE"/>
            </w:tcBorders>
          </w:tcPr>
          <w:p>
            <w:pPr>
              <w:spacing w:after="0"/>
              <w:rPr>
                <w:sz w:val="17"/>
                <w:szCs w:val="17"/>
                <w:color w:val="auto"/>
              </w:rPr>
            </w:pPr>
          </w:p>
        </w:tc>
        <w:tc>
          <w:tcPr>
            <w:tcW w:w="2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760" w:type="dxa"/>
            <w:vAlign w:val="bottom"/>
            <w:gridSpan w:val="4"/>
          </w:tcPr>
          <w:p>
            <w:pPr>
              <w:spacing w:after="0" w:line="196" w:lineRule="exact"/>
              <w:rPr>
                <w:rFonts w:ascii="Arial" w:cs="Arial" w:eastAsia="Arial" w:hAnsi="Arial"/>
                <w:sz w:val="18"/>
                <w:szCs w:val="18"/>
                <w:color w:val="0000EE"/>
              </w:rPr>
            </w:pPr>
            <w:hyperlink w:anchor="page107">
              <w:r>
                <w:rPr>
                  <w:rFonts w:ascii="Arial" w:cs="Arial" w:eastAsia="Arial" w:hAnsi="Arial"/>
                  <w:sz w:val="18"/>
                  <w:szCs w:val="18"/>
                  <w:color w:val="0000EE"/>
                </w:rPr>
                <w:t>Item 15.</w:t>
              </w:r>
            </w:hyperlink>
          </w:p>
        </w:tc>
        <w:tc>
          <w:tcPr>
            <w:tcW w:w="7260" w:type="dxa"/>
            <w:vAlign w:val="bottom"/>
            <w:gridSpan w:val="22"/>
          </w:tcPr>
          <w:p>
            <w:pPr>
              <w:ind w:left="120"/>
              <w:spacing w:after="0" w:line="196" w:lineRule="exact"/>
              <w:rPr>
                <w:rFonts w:ascii="Arial" w:cs="Arial" w:eastAsia="Arial" w:hAnsi="Arial"/>
                <w:sz w:val="18"/>
                <w:szCs w:val="18"/>
                <w:color w:val="0000EE"/>
              </w:rPr>
            </w:pPr>
            <w:hyperlink w:anchor="page107">
              <w:r>
                <w:rPr>
                  <w:rFonts w:ascii="Arial" w:cs="Arial" w:eastAsia="Arial" w:hAnsi="Arial"/>
                  <w:sz w:val="18"/>
                  <w:szCs w:val="18"/>
                  <w:color w:val="0000EE"/>
                </w:rPr>
                <w:t>Exhibits, Financial Statement Schedules</w:t>
              </w:r>
            </w:hyperlink>
          </w:p>
        </w:tc>
        <w:tc>
          <w:tcPr>
            <w:tcW w:w="340" w:type="dxa"/>
            <w:vAlign w:val="bottom"/>
            <w:gridSpan w:val="4"/>
          </w:tcPr>
          <w:p>
            <w:pPr>
              <w:jc w:val="right"/>
              <w:spacing w:after="0" w:line="196" w:lineRule="exact"/>
              <w:rPr>
                <w:rFonts w:ascii="Arial" w:cs="Arial" w:eastAsia="Arial" w:hAnsi="Arial"/>
                <w:sz w:val="18"/>
                <w:szCs w:val="18"/>
                <w:color w:val="0000EE"/>
              </w:rPr>
            </w:pPr>
            <w:hyperlink w:anchor="page107">
              <w:r>
                <w:rPr>
                  <w:rFonts w:ascii="Arial" w:cs="Arial" w:eastAsia="Arial" w:hAnsi="Arial"/>
                  <w:sz w:val="18"/>
                  <w:szCs w:val="18"/>
                  <w:color w:val="0000EE"/>
                </w:rPr>
                <w:t>101</w:t>
              </w:r>
            </w:hyperlink>
          </w:p>
        </w:tc>
        <w:tc>
          <w:tcPr>
            <w:tcW w:w="0" w:type="dxa"/>
            <w:vAlign w:val="bottom"/>
          </w:tcPr>
          <w:p>
            <w:pPr>
              <w:spacing w:after="0"/>
              <w:rPr>
                <w:sz w:val="1"/>
                <w:szCs w:val="1"/>
                <w:color w:val="auto"/>
              </w:rPr>
            </w:pPr>
          </w:p>
        </w:tc>
      </w:tr>
      <w:tr>
        <w:trPr>
          <w:trHeight w:val="20"/>
        </w:trPr>
        <w:tc>
          <w:tcPr>
            <w:tcW w:w="76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80" w:type="dxa"/>
            <w:vAlign w:val="bottom"/>
            <w:gridSpan w:val="2"/>
            <w:shd w:val="clear" w:color="auto" w:fill="0000EE"/>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80" w:type="dxa"/>
            <w:vAlign w:val="bottom"/>
            <w:tcBorders>
              <w:right w:val="single" w:sz="8" w:color="0000EE"/>
            </w:tcBorders>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420" w:type="dxa"/>
            <w:vAlign w:val="bottom"/>
            <w:tcBorders>
              <w:right w:val="single" w:sz="8" w:color="0000EE"/>
            </w:tcBorders>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820" w:type="dxa"/>
            <w:vAlign w:val="bottom"/>
            <w:tcBorders>
              <w:right w:val="single" w:sz="8" w:color="0000EE"/>
            </w:tcBorders>
            <w:shd w:val="clear" w:color="auto" w:fill="0000EE"/>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gridSpan w:val="3"/>
            <w:shd w:val="clear" w:color="auto" w:fill="0000E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760" w:type="dxa"/>
            <w:vAlign w:val="bottom"/>
            <w:gridSpan w:val="4"/>
          </w:tcPr>
          <w:p>
            <w:pPr>
              <w:spacing w:after="0" w:line="196" w:lineRule="exact"/>
              <w:rPr>
                <w:rFonts w:ascii="Arial" w:cs="Arial" w:eastAsia="Arial" w:hAnsi="Arial"/>
                <w:sz w:val="18"/>
                <w:szCs w:val="18"/>
                <w:color w:val="0000EE"/>
                <w:w w:val="85"/>
              </w:rPr>
            </w:pPr>
            <w:hyperlink w:anchor="page113">
              <w:r>
                <w:rPr>
                  <w:rFonts w:ascii="Arial" w:cs="Arial" w:eastAsia="Arial" w:hAnsi="Arial"/>
                  <w:sz w:val="18"/>
                  <w:szCs w:val="18"/>
                  <w:color w:val="0000EE"/>
                  <w:w w:val="85"/>
                </w:rPr>
                <w:t>Signatures</w:t>
              </w:r>
            </w:hyperlink>
          </w:p>
        </w:tc>
        <w:tc>
          <w:tcPr>
            <w:tcW w:w="20" w:type="dxa"/>
            <w:vAlign w:val="bottom"/>
          </w:tcPr>
          <w:p>
            <w:pPr>
              <w:spacing w:after="0"/>
              <w:rPr>
                <w:sz w:val="17"/>
                <w:szCs w:val="17"/>
                <w:color w:val="auto"/>
              </w:rPr>
            </w:pPr>
          </w:p>
        </w:tc>
        <w:tc>
          <w:tcPr>
            <w:tcW w:w="580" w:type="dxa"/>
            <w:vAlign w:val="bottom"/>
            <w:gridSpan w:val="2"/>
          </w:tcPr>
          <w:p>
            <w:pPr>
              <w:spacing w:after="0"/>
              <w:rPr>
                <w:sz w:val="17"/>
                <w:szCs w:val="17"/>
                <w:color w:val="auto"/>
              </w:rPr>
            </w:pPr>
          </w:p>
        </w:tc>
        <w:tc>
          <w:tcPr>
            <w:tcW w:w="180" w:type="dxa"/>
            <w:vAlign w:val="bottom"/>
            <w:gridSpan w:val="2"/>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340" w:type="dxa"/>
            <w:vAlign w:val="bottom"/>
            <w:gridSpan w:val="4"/>
          </w:tcPr>
          <w:p>
            <w:pPr>
              <w:jc w:val="right"/>
              <w:spacing w:after="0" w:line="196" w:lineRule="exact"/>
              <w:rPr>
                <w:rFonts w:ascii="Arial" w:cs="Arial" w:eastAsia="Arial" w:hAnsi="Arial"/>
                <w:sz w:val="18"/>
                <w:szCs w:val="18"/>
                <w:color w:val="0000EE"/>
              </w:rPr>
            </w:pPr>
            <w:hyperlink w:anchor="page113">
              <w:r>
                <w:rPr>
                  <w:rFonts w:ascii="Arial" w:cs="Arial" w:eastAsia="Arial" w:hAnsi="Arial"/>
                  <w:sz w:val="18"/>
                  <w:szCs w:val="18"/>
                  <w:color w:val="0000EE"/>
                </w:rPr>
                <w:t>107</w:t>
              </w:r>
            </w:hyperlink>
          </w:p>
        </w:tc>
        <w:tc>
          <w:tcPr>
            <w:tcW w:w="0" w:type="dxa"/>
            <w:vAlign w:val="bottom"/>
          </w:tcPr>
          <w:p>
            <w:pPr>
              <w:spacing w:after="0"/>
              <w:rPr>
                <w:sz w:val="1"/>
                <w:szCs w:val="1"/>
                <w:color w:val="auto"/>
              </w:rPr>
            </w:pPr>
          </w:p>
        </w:tc>
      </w:tr>
      <w:tr>
        <w:trPr>
          <w:trHeight w:val="20"/>
        </w:trPr>
        <w:tc>
          <w:tcPr>
            <w:tcW w:w="40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35" w:lineRule="exact"/>
        <w:rPr>
          <w:sz w:val="20"/>
          <w:szCs w:val="20"/>
          <w:color w:val="auto"/>
        </w:rPr>
      </w:pPr>
    </w:p>
    <w:p>
      <w:pPr>
        <w:ind w:left="5680"/>
        <w:spacing w:after="0"/>
        <w:rPr>
          <w:sz w:val="20"/>
          <w:szCs w:val="20"/>
          <w:color w:val="auto"/>
        </w:rPr>
      </w:pPr>
      <w:r>
        <w:rPr>
          <w:rFonts w:ascii="Arial" w:cs="Arial" w:eastAsia="Arial" w:hAnsi="Arial"/>
          <w:sz w:val="18"/>
          <w:szCs w:val="18"/>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80"/>
          </w:cols>
          <w:pgMar w:left="240" w:top="131" w:right="1379" w:bottom="1440" w:gutter="0" w:footer="0" w:header="0"/>
        </w:sectPr>
      </w:pPr>
    </w:p>
    <w:bookmarkStart w:id="3" w:name="page4"/>
    <w:bookmarkEnd w:id="3"/>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firstLine="351"/>
        <w:spacing w:after="0" w:line="288" w:lineRule="auto"/>
        <w:rPr>
          <w:sz w:val="20"/>
          <w:szCs w:val="20"/>
          <w:color w:val="auto"/>
        </w:rPr>
      </w:pPr>
      <w:r>
        <w:rPr>
          <w:rFonts w:ascii="Arial" w:cs="Arial" w:eastAsia="Arial" w:hAnsi="Arial"/>
          <w:sz w:val="16"/>
          <w:szCs w:val="16"/>
          <w:b w:val="1"/>
          <w:bCs w:val="1"/>
          <w:i w:val="1"/>
          <w:iCs w:val="1"/>
          <w:color w:val="auto"/>
        </w:rPr>
        <w:t xml:space="preserve">Safe Harbor Statement under the Private Securities Litigation Reform Act of 1995: </w:t>
      </w:r>
      <w:r>
        <w:rPr>
          <w:rFonts w:ascii="Arial" w:cs="Arial" w:eastAsia="Arial" w:hAnsi="Arial"/>
          <w:sz w:val="16"/>
          <w:szCs w:val="16"/>
          <w:color w:val="auto"/>
        </w:rPr>
        <w:t>This report on Form 10-K contains forward-looking statements made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pursuant to the safe harbor provisions of the Private Securities Litigation Reform Act of 1995 under Section 27A of the Securities Act of 1933, as amended, and Section 21E of the Securities Exchange Act of 1934, as amended. Forward-looking statements include statements with respect to our beliefs, plans, objectives, goals, expectations, anticipations, assumptions, estimates, intentions and future performance, and involve known and unknown risks, uncertainties and other factors, which may be beyond our control, and which may cause our actual results, performance or achievements to be materially different from future results, performance or achievements expressed or implied by such forward-looking statements. All statements other than statements of historical fact are statements that could be forward-looking statements. You can identify these forward-looking statements through our use of words such as "may," "will," "can," "anticipate," "assume," "should," "indicate," "would," "believe," "contemplate," "expect," "seek," "estimate," "continue," "plan," "point to," "project," "predict," "could," "intend," "target," "potential" and other similar words and expressions of the future.</w:t>
      </w:r>
    </w:p>
    <w:p>
      <w:pPr>
        <w:spacing w:after="0" w:line="174" w:lineRule="exact"/>
        <w:rPr>
          <w:sz w:val="20"/>
          <w:szCs w:val="20"/>
          <w:color w:val="auto"/>
        </w:rPr>
      </w:pPr>
    </w:p>
    <w:p>
      <w:pPr>
        <w:ind w:right="120" w:firstLine="348"/>
        <w:spacing w:after="0" w:line="268" w:lineRule="auto"/>
        <w:rPr>
          <w:sz w:val="20"/>
          <w:szCs w:val="20"/>
          <w:color w:val="auto"/>
        </w:rPr>
      </w:pPr>
      <w:r>
        <w:rPr>
          <w:rFonts w:ascii="Arial" w:cs="Arial" w:eastAsia="Arial" w:hAnsi="Arial"/>
          <w:sz w:val="18"/>
          <w:szCs w:val="18"/>
          <w:color w:val="auto"/>
        </w:rPr>
        <w:t>There are a number of important factors that could cause the actual results to differ materially from those expressed in any forward-looking statement made by us. These factors include, but are not limited to:</w:t>
      </w:r>
    </w:p>
    <w:p>
      <w:pPr>
        <w:spacing w:after="0" w:line="199" w:lineRule="exact"/>
        <w:rPr>
          <w:sz w:val="20"/>
          <w:szCs w:val="20"/>
          <w:color w:val="auto"/>
        </w:rPr>
      </w:pPr>
    </w:p>
    <w:p>
      <w:pPr>
        <w:ind w:left="1080" w:right="100" w:hanging="532"/>
        <w:spacing w:after="0" w:line="259" w:lineRule="auto"/>
        <w:tabs>
          <w:tab w:leader="none" w:pos="108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successfully complete product research and further development, including animal, preclinical and clinical studies, and commercialization of rindopepimut, CDX-011, CDX-1307, CDX-1401, CDX-1135, CDX-1127 and other products and the growth of the markets for those product candidates;</w:t>
      </w:r>
    </w:p>
    <w:p>
      <w:pPr>
        <w:spacing w:after="0" w:line="221" w:lineRule="exact"/>
        <w:rPr>
          <w:rFonts w:ascii="Arial" w:cs="Arial" w:eastAsia="Arial" w:hAnsi="Arial"/>
          <w:sz w:val="18"/>
          <w:szCs w:val="18"/>
          <w:color w:val="auto"/>
        </w:rPr>
      </w:pPr>
    </w:p>
    <w:p>
      <w:pPr>
        <w:ind w:left="1080" w:hanging="532"/>
        <w:spacing w:after="0"/>
        <w:tabs>
          <w:tab w:leader="none" w:pos="108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raise sufficient capital on terms acceptable to us, or at all;</w:t>
      </w:r>
    </w:p>
    <w:p>
      <w:pPr>
        <w:spacing w:after="0" w:line="238" w:lineRule="exact"/>
        <w:rPr>
          <w:rFonts w:ascii="Arial" w:cs="Arial" w:eastAsia="Arial" w:hAnsi="Arial"/>
          <w:sz w:val="18"/>
          <w:szCs w:val="18"/>
          <w:color w:val="auto"/>
        </w:rPr>
      </w:pPr>
    </w:p>
    <w:p>
      <w:pPr>
        <w:ind w:left="1080" w:right="180" w:hanging="532"/>
        <w:spacing w:after="0" w:line="268" w:lineRule="auto"/>
        <w:tabs>
          <w:tab w:leader="none" w:pos="108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cost, timing, scope and results of ongoing safety and efficacy trials of rindopepimut, CDX-011, CDX-1307, CDX-1401 and other preclinical and clinical testing;</w:t>
      </w:r>
    </w:p>
    <w:p>
      <w:pPr>
        <w:spacing w:after="0" w:line="199" w:lineRule="exact"/>
        <w:rPr>
          <w:rFonts w:ascii="Arial" w:cs="Arial" w:eastAsia="Arial" w:hAnsi="Arial"/>
          <w:sz w:val="18"/>
          <w:szCs w:val="18"/>
          <w:color w:val="auto"/>
        </w:rPr>
      </w:pPr>
    </w:p>
    <w:p>
      <w:pPr>
        <w:ind w:left="1080" w:right="40" w:hanging="532"/>
        <w:spacing w:after="0" w:line="268" w:lineRule="auto"/>
        <w:tabs>
          <w:tab w:leader="none" w:pos="108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fund and complete the development and commercialization of rindopepimut internally or to find another strategic partner to fund the development and commercialization of rindopepimut;</w:t>
      </w:r>
    </w:p>
    <w:p>
      <w:pPr>
        <w:spacing w:after="0" w:line="212" w:lineRule="exact"/>
        <w:rPr>
          <w:rFonts w:ascii="Arial" w:cs="Arial" w:eastAsia="Arial" w:hAnsi="Arial"/>
          <w:sz w:val="18"/>
          <w:szCs w:val="18"/>
          <w:color w:val="auto"/>
        </w:rPr>
      </w:pPr>
    </w:p>
    <w:p>
      <w:pPr>
        <w:ind w:left="1080" w:right="660" w:hanging="532"/>
        <w:spacing w:after="0" w:line="268" w:lineRule="auto"/>
        <w:tabs>
          <w:tab w:leader="none" w:pos="108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adapt our APC Targeting Technology™ to develop new, safe and effective vaccines against oncology and infectious disease indications;</w:t>
      </w:r>
    </w:p>
    <w:p>
      <w:pPr>
        <w:spacing w:after="0" w:line="199" w:lineRule="exact"/>
        <w:rPr>
          <w:rFonts w:ascii="Arial" w:cs="Arial" w:eastAsia="Arial" w:hAnsi="Arial"/>
          <w:sz w:val="18"/>
          <w:szCs w:val="18"/>
          <w:color w:val="auto"/>
        </w:rPr>
      </w:pPr>
    </w:p>
    <w:p>
      <w:pPr>
        <w:ind w:left="1080" w:hanging="532"/>
        <w:spacing w:after="0"/>
        <w:tabs>
          <w:tab w:leader="none" w:pos="108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ability to negotiate strategic partnerships or other disposition transactions for our non-core programs;</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manage multiple clinical trials for a variety of product candidates at different stages of development;</w:t>
      </w:r>
    </w:p>
    <w:p>
      <w:pPr>
        <w:spacing w:after="0" w:line="252" w:lineRule="exact"/>
        <w:rPr>
          <w:rFonts w:ascii="Arial" w:cs="Arial" w:eastAsia="Arial" w:hAnsi="Arial"/>
          <w:sz w:val="18"/>
          <w:szCs w:val="18"/>
          <w:color w:val="auto"/>
        </w:rPr>
      </w:pPr>
    </w:p>
    <w:p>
      <w:pPr>
        <w:ind w:left="1080" w:right="460" w:hanging="532"/>
        <w:spacing w:after="0" w:line="259" w:lineRule="auto"/>
        <w:tabs>
          <w:tab w:leader="none" w:pos="108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strategies and business plans of our partners, such as GlaxoSmithKline's plans with respect to Rotarix® and Vaccine Technologies' plans concerning the CholeraGarde® (Peru-15) and ETEC E. coli vaccines, which are not within our control, and our ability to maintain strong, mutually beneficial relationships with those partners;</w:t>
      </w:r>
    </w:p>
    <w:p>
      <w:pPr>
        <w:spacing w:after="0" w:line="207" w:lineRule="exact"/>
        <w:rPr>
          <w:rFonts w:ascii="Arial" w:cs="Arial" w:eastAsia="Arial" w:hAnsi="Arial"/>
          <w:sz w:val="18"/>
          <w:szCs w:val="18"/>
          <w:color w:val="auto"/>
        </w:rPr>
      </w:pPr>
    </w:p>
    <w:p>
      <w:pPr>
        <w:ind w:left="1080" w:hanging="532"/>
        <w:spacing w:after="0"/>
        <w:tabs>
          <w:tab w:leader="none" w:pos="108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develop technological capabilities and expand our focus to broader markets for vaccines;</w:t>
      </w:r>
    </w:p>
    <w:p>
      <w:pPr>
        <w:spacing w:after="0" w:line="238" w:lineRule="exact"/>
        <w:rPr>
          <w:rFonts w:ascii="Arial" w:cs="Arial" w:eastAsia="Arial" w:hAnsi="Arial"/>
          <w:sz w:val="18"/>
          <w:szCs w:val="18"/>
          <w:color w:val="auto"/>
        </w:rPr>
      </w:pPr>
    </w:p>
    <w:p>
      <w:pPr>
        <w:ind w:left="1080" w:right="180" w:hanging="532"/>
        <w:spacing w:after="0" w:line="268" w:lineRule="auto"/>
        <w:tabs>
          <w:tab w:leader="none" w:pos="108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availability, cost, delivery and quality of clinical and commercial grade materials produced by our own manufacturing facility or supplied by contract manufacturers and partners;</w:t>
      </w:r>
    </w:p>
    <w:p>
      <w:pPr>
        <w:spacing w:after="0" w:line="212" w:lineRule="exact"/>
        <w:rPr>
          <w:rFonts w:ascii="Arial" w:cs="Arial" w:eastAsia="Arial" w:hAnsi="Arial"/>
          <w:sz w:val="18"/>
          <w:szCs w:val="18"/>
          <w:color w:val="auto"/>
        </w:rPr>
      </w:pPr>
    </w:p>
    <w:p>
      <w:pPr>
        <w:ind w:left="1080" w:hanging="532"/>
        <w:spacing w:after="0"/>
        <w:tabs>
          <w:tab w:leader="none" w:pos="108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timing, cost and uncertainty of obtaining regulatory approvals for our product candidates;</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3"/>
        </w:numPr>
        <w:rPr>
          <w:rFonts w:ascii="Arial" w:cs="Arial" w:eastAsia="Arial" w:hAnsi="Arial"/>
          <w:sz w:val="16"/>
          <w:szCs w:val="16"/>
          <w:color w:val="auto"/>
        </w:rPr>
      </w:pPr>
      <w:r>
        <w:rPr>
          <w:rFonts w:ascii="Arial" w:cs="Arial" w:eastAsia="Arial" w:hAnsi="Arial"/>
          <w:sz w:val="16"/>
          <w:szCs w:val="16"/>
          <w:color w:val="auto"/>
        </w:rPr>
        <w:t>our ability to develop and commercialize products before competitors that are superior to the alternatives developed by such competitors;</w:t>
      </w:r>
    </w:p>
    <w:p>
      <w:pPr>
        <w:spacing w:after="0" w:line="24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4" w:name="page5"/>
    <w:bookmarkEnd w:id="4"/>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39" w:lineRule="exact"/>
        <w:rPr>
          <w:sz w:val="20"/>
          <w:szCs w:val="20"/>
          <w:color w:val="auto"/>
        </w:rPr>
      </w:pPr>
    </w:p>
    <w:p>
      <w:pPr>
        <w:ind w:left="1080" w:hanging="532"/>
        <w:spacing w:after="0" w:line="268" w:lineRule="auto"/>
        <w:tabs>
          <w:tab w:leader="none" w:pos="108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validity of our patents and our ability to avoid intellectual property litigation, which can be costly and divert management time and attention; and</w:t>
      </w:r>
    </w:p>
    <w:p>
      <w:pPr>
        <w:spacing w:after="0" w:line="212" w:lineRule="exact"/>
        <w:rPr>
          <w:rFonts w:ascii="Arial" w:cs="Arial" w:eastAsia="Arial" w:hAnsi="Arial"/>
          <w:sz w:val="18"/>
          <w:szCs w:val="18"/>
          <w:color w:val="auto"/>
        </w:rPr>
      </w:pPr>
    </w:p>
    <w:p>
      <w:pPr>
        <w:ind w:left="1080" w:hanging="532"/>
        <w:spacing w:after="0"/>
        <w:tabs>
          <w:tab w:leader="none" w:pos="108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factors listed under "Risk Factors" in this annual report on Form 10-K.</w:t>
      </w:r>
    </w:p>
    <w:p>
      <w:pPr>
        <w:spacing w:after="0" w:line="225" w:lineRule="exact"/>
        <w:rPr>
          <w:sz w:val="20"/>
          <w:szCs w:val="20"/>
          <w:color w:val="auto"/>
        </w:rPr>
      </w:pPr>
    </w:p>
    <w:p>
      <w:pPr>
        <w:ind w:right="20" w:firstLine="341"/>
        <w:spacing w:after="0" w:line="294" w:lineRule="auto"/>
        <w:rPr>
          <w:sz w:val="20"/>
          <w:szCs w:val="20"/>
          <w:color w:val="auto"/>
        </w:rPr>
      </w:pPr>
      <w:r>
        <w:rPr>
          <w:rFonts w:ascii="Arial" w:cs="Arial" w:eastAsia="Arial" w:hAnsi="Arial"/>
          <w:sz w:val="16"/>
          <w:szCs w:val="16"/>
          <w:color w:val="auto"/>
        </w:rPr>
        <w:t>All forward-looking statements are expressly qualified in their entirety by this cautionary notice. You are cautioned not to place undue reliance on any forward-looking statements, which speak only as of the date of this report or the date of the document incorporated by reference into this report. We have no obligation, and expressly disclaim any obligation, to update, revise or correct any of the forward-looking statements, whether as a result of new information, future events or otherwise. We have expressed our expectations, beliefs and projections in good faith and we believe they have a reasonable basis. However, we cannot assure you that our expectations, beliefs or projections will result or be achieved or accomplished.</w:t>
      </w:r>
    </w:p>
    <w:p>
      <w:pPr>
        <w:spacing w:after="0" w:line="170"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240"/>
          </w:cols>
          <w:pgMar w:left="240" w:top="131" w:right="419" w:bottom="1440" w:gutter="0" w:footer="0" w:header="0"/>
        </w:sectPr>
      </w:pPr>
    </w:p>
    <w:bookmarkStart w:id="5" w:name="page6"/>
    <w:bookmarkEnd w:id="5"/>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PART I</w:t>
      </w:r>
    </w:p>
    <w:p>
      <w:pPr>
        <w:spacing w:after="0" w:line="225" w:lineRule="exact"/>
        <w:rPr>
          <w:sz w:val="20"/>
          <w:szCs w:val="20"/>
          <w:color w:val="auto"/>
        </w:rPr>
      </w:pPr>
    </w:p>
    <w:p>
      <w:pPr>
        <w:spacing w:after="0"/>
        <w:tabs>
          <w:tab w:leader="none" w:pos="700" w:val="left"/>
        </w:tabs>
        <w:rPr>
          <w:sz w:val="20"/>
          <w:szCs w:val="20"/>
          <w:color w:val="auto"/>
        </w:rPr>
      </w:pPr>
      <w:r>
        <w:rPr>
          <w:rFonts w:ascii="Arial" w:cs="Arial" w:eastAsia="Arial" w:hAnsi="Arial"/>
          <w:sz w:val="18"/>
          <w:szCs w:val="18"/>
          <w:b w:val="1"/>
          <w:bCs w:val="1"/>
          <w:color w:val="auto"/>
        </w:rPr>
        <w:t>Item 1.</w:t>
      </w:r>
      <w:r>
        <w:rPr>
          <w:sz w:val="20"/>
          <w:szCs w:val="20"/>
          <w:color w:val="auto"/>
        </w:rPr>
        <w:tab/>
      </w:r>
      <w:r>
        <w:rPr>
          <w:rFonts w:ascii="Arial" w:cs="Arial" w:eastAsia="Arial" w:hAnsi="Arial"/>
          <w:sz w:val="16"/>
          <w:szCs w:val="16"/>
          <w:b w:val="1"/>
          <w:bCs w:val="1"/>
          <w:color w:val="auto"/>
        </w:rPr>
        <w:t>BUSINESS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General</w:t>
      </w:r>
    </w:p>
    <w:p>
      <w:pPr>
        <w:spacing w:after="0" w:line="231" w:lineRule="exact"/>
        <w:rPr>
          <w:sz w:val="20"/>
          <w:szCs w:val="20"/>
          <w:color w:val="auto"/>
        </w:rPr>
      </w:pPr>
    </w:p>
    <w:p>
      <w:pPr>
        <w:ind w:right="120" w:firstLine="341"/>
        <w:spacing w:after="0" w:line="256" w:lineRule="auto"/>
        <w:rPr>
          <w:sz w:val="20"/>
          <w:szCs w:val="20"/>
          <w:color w:val="auto"/>
        </w:rPr>
      </w:pPr>
      <w:r>
        <w:rPr>
          <w:rFonts w:ascii="Arial" w:cs="Arial" w:eastAsia="Arial" w:hAnsi="Arial"/>
          <w:sz w:val="18"/>
          <w:szCs w:val="18"/>
          <w:color w:val="auto"/>
        </w:rPr>
        <w:t>As used herein, the terms "we," "us," "our," the "Company", or "Celldex" refer to Celldex Therapeutics, Inc. and its direct and indirect subsidiaries: Celldex Research Corporation ("Celldex Research") and Celldex Therapeutics, Ltd. ("Celldex Ltd."). Our principal activity since our inception has been research and product development conducted on our own behalf, as well as through joint development programs with several pharmaceutical companies and other collaborators.</w:t>
      </w:r>
    </w:p>
    <w:p>
      <w:pPr>
        <w:spacing w:after="0" w:line="197" w:lineRule="exact"/>
        <w:rPr>
          <w:sz w:val="20"/>
          <w:szCs w:val="20"/>
          <w:color w:val="auto"/>
        </w:rPr>
      </w:pPr>
    </w:p>
    <w:p>
      <w:pPr>
        <w:ind w:right="80" w:firstLine="348"/>
        <w:spacing w:after="0" w:line="291" w:lineRule="auto"/>
        <w:rPr>
          <w:sz w:val="20"/>
          <w:szCs w:val="20"/>
          <w:color w:val="auto"/>
        </w:rPr>
      </w:pPr>
      <w:r>
        <w:rPr>
          <w:rFonts w:ascii="Arial" w:cs="Arial" w:eastAsia="Arial" w:hAnsi="Arial"/>
          <w:sz w:val="16"/>
          <w:szCs w:val="16"/>
          <w:color w:val="auto"/>
        </w:rPr>
        <w:t>We are a biopharmaceutical company currently focusing on the development of several immunotherapy technologies. Our lead programs include rindopepimut (CDX-110), a vaccine that is expected to enter into Phase 3 development for glioblastoma multiforme in the second half of 2011, and CDX-011, an antibody-drug conjugate currently in a randomized Phase 2b trial for treatment of advanced breast cancer. We have additional programs at various stages of clinical and preclinical development, including CDX-1127 a therapeutic human antibody candidate for cancer indications, APC Targeting Technology™ programs, CDX-1307 and CDX-1401, and an immune cell mobilizing agent CDX-301. We are currently resourcing our priority programs and supplement the development of additional programs through external collaborations and funding.</w:t>
      </w:r>
    </w:p>
    <w:p>
      <w:pPr>
        <w:spacing w:after="0" w:line="174" w:lineRule="exact"/>
        <w:rPr>
          <w:sz w:val="20"/>
          <w:szCs w:val="20"/>
          <w:color w:val="auto"/>
        </w:rPr>
      </w:pPr>
    </w:p>
    <w:p>
      <w:pPr>
        <w:ind w:right="20" w:firstLine="351"/>
        <w:spacing w:after="0" w:line="290" w:lineRule="auto"/>
        <w:rPr>
          <w:sz w:val="20"/>
          <w:szCs w:val="20"/>
          <w:color w:val="auto"/>
        </w:rPr>
      </w:pPr>
      <w:r>
        <w:rPr>
          <w:rFonts w:ascii="Arial" w:cs="Arial" w:eastAsia="Arial" w:hAnsi="Arial"/>
          <w:sz w:val="16"/>
          <w:szCs w:val="16"/>
          <w:color w:val="auto"/>
        </w:rPr>
        <w:t>Our strategy is to develop and demonstrate proof-of-concept for our product candidates before leveraging their value through partnerships or, in appropriate situations, continuing late stage development through commercialization ourselves. Demonstrating proof-of-concept for a product candidate generally involves bringing it through Phase 1 clinical trials and one or more Phase 2 clinical trials so that we are able to demonstrate, based on human trials, good safety data for the product candidate and some data indicating its effectiveness. We thus leverage the value of our technology portfolio through corporate, governmental and non-governmental partnerships. This approach allows us to maximize the overall value of our technology and product portfolio while best ensuring the expeditious development of each individual product. Our current collaborations include the commercialization of an oral human rotavirus vaccine. Our product candidates address market opportunities for which we believe current therapies are inadequate or non-existent.</w:t>
      </w:r>
    </w:p>
    <w:p>
      <w:pPr>
        <w:spacing w:after="0" w:line="172" w:lineRule="exact"/>
        <w:rPr>
          <w:sz w:val="20"/>
          <w:szCs w:val="20"/>
          <w:color w:val="auto"/>
        </w:rPr>
      </w:pPr>
    </w:p>
    <w:p>
      <w:pPr>
        <w:ind w:firstLine="351"/>
        <w:spacing w:after="0" w:line="294" w:lineRule="auto"/>
        <w:rPr>
          <w:sz w:val="20"/>
          <w:szCs w:val="20"/>
          <w:color w:val="auto"/>
        </w:rPr>
      </w:pPr>
      <w:r>
        <w:rPr>
          <w:rFonts w:ascii="Arial" w:cs="Arial" w:eastAsia="Arial" w:hAnsi="Arial"/>
          <w:sz w:val="16"/>
          <w:szCs w:val="16"/>
          <w:color w:val="auto"/>
        </w:rPr>
        <w:t>Our products are derived from a broad set of complementary technologies which have the ability to utilize the human immune system and enable the creation of preventative and therapeutic agents. We are using these technologies to develop targeted immunotherapeutics comprised of antibodies, adjuvants and monotherapies and antibody-drug conjugates that prevent or treat cancer and other diseases that modify undesirable activity by the body's own proteins or cells. A number of our immunotherapeutic and antibody-drug conjugate product candidates are in various stages of clinical trials. We expect that a large percentage of our research and development expenses will be incurred in support of our current and future clinical trial programs.</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6" w:name="page7"/>
    <w:bookmarkEnd w:id="6"/>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The following table includes the programs that we currently believe are material to our business: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080" w:type="dxa"/>
            <w:vAlign w:val="bottom"/>
            <w:gridSpan w:val="3"/>
          </w:tcPr>
          <w:p>
            <w:pPr>
              <w:spacing w:after="0"/>
              <w:rPr>
                <w:sz w:val="20"/>
                <w:szCs w:val="20"/>
                <w:color w:val="auto"/>
              </w:rPr>
            </w:pPr>
            <w:r>
              <w:rPr>
                <w:rFonts w:ascii="Arial" w:cs="Arial" w:eastAsia="Arial" w:hAnsi="Arial"/>
                <w:sz w:val="14"/>
                <w:szCs w:val="14"/>
                <w:b w:val="1"/>
                <w:bCs w:val="1"/>
                <w:color w:val="auto"/>
              </w:rPr>
              <w:t>Product (generic)</w:t>
            </w:r>
          </w:p>
        </w:tc>
        <w:tc>
          <w:tcPr>
            <w:tcW w:w="5980" w:type="dxa"/>
            <w:vAlign w:val="bottom"/>
          </w:tcPr>
          <w:p>
            <w:pPr>
              <w:ind w:left="2520"/>
              <w:spacing w:after="0"/>
              <w:rPr>
                <w:sz w:val="20"/>
                <w:szCs w:val="20"/>
                <w:color w:val="auto"/>
              </w:rPr>
            </w:pPr>
            <w:r>
              <w:rPr>
                <w:rFonts w:ascii="Arial" w:cs="Arial" w:eastAsia="Arial" w:hAnsi="Arial"/>
                <w:sz w:val="14"/>
                <w:szCs w:val="14"/>
                <w:b w:val="1"/>
                <w:bCs w:val="1"/>
                <w:color w:val="auto"/>
              </w:rPr>
              <w:t>Indication/Field</w:t>
            </w:r>
          </w:p>
        </w:tc>
        <w:tc>
          <w:tcPr>
            <w:tcW w:w="160" w:type="dxa"/>
            <w:vAlign w:val="bottom"/>
          </w:tcPr>
          <w:p>
            <w:pPr>
              <w:spacing w:after="0"/>
              <w:rPr>
                <w:sz w:val="14"/>
                <w:szCs w:val="14"/>
                <w:color w:val="auto"/>
              </w:rPr>
            </w:pPr>
          </w:p>
        </w:tc>
        <w:tc>
          <w:tcPr>
            <w:tcW w:w="1260" w:type="dxa"/>
            <w:vAlign w:val="bottom"/>
          </w:tcPr>
          <w:p>
            <w:pPr>
              <w:ind w:left="400"/>
              <w:spacing w:after="0"/>
              <w:rPr>
                <w:sz w:val="20"/>
                <w:szCs w:val="20"/>
                <w:color w:val="auto"/>
              </w:rPr>
            </w:pPr>
            <w:r>
              <w:rPr>
                <w:rFonts w:ascii="Arial" w:cs="Arial" w:eastAsia="Arial" w:hAnsi="Arial"/>
                <w:sz w:val="14"/>
                <w:szCs w:val="14"/>
                <w:b w:val="1"/>
                <w:bCs w:val="1"/>
                <w:color w:val="auto"/>
              </w:rPr>
              <w:t>Partner</w:t>
            </w:r>
          </w:p>
        </w:tc>
        <w:tc>
          <w:tcPr>
            <w:tcW w:w="160" w:type="dxa"/>
            <w:vAlign w:val="bottom"/>
          </w:tcPr>
          <w:p>
            <w:pPr>
              <w:spacing w:after="0"/>
              <w:rPr>
                <w:sz w:val="14"/>
                <w:szCs w:val="14"/>
                <w:color w:val="auto"/>
              </w:rPr>
            </w:pPr>
          </w:p>
        </w:tc>
        <w:tc>
          <w:tcPr>
            <w:tcW w:w="780" w:type="dxa"/>
            <w:vAlign w:val="bottom"/>
          </w:tcPr>
          <w:p>
            <w:pPr>
              <w:ind w:left="200"/>
              <w:spacing w:after="0"/>
              <w:rPr>
                <w:sz w:val="20"/>
                <w:szCs w:val="20"/>
                <w:color w:val="auto"/>
              </w:rPr>
            </w:pPr>
            <w:r>
              <w:rPr>
                <w:rFonts w:ascii="Arial" w:cs="Arial" w:eastAsia="Arial" w:hAnsi="Arial"/>
                <w:sz w:val="14"/>
                <w:szCs w:val="14"/>
                <w:b w:val="1"/>
                <w:bCs w:val="1"/>
                <w:color w:val="auto"/>
              </w:rPr>
              <w:t>Status</w:t>
            </w:r>
          </w:p>
        </w:tc>
      </w:tr>
      <w:tr>
        <w:trPr>
          <w:trHeight w:val="210"/>
        </w:trPr>
        <w:tc>
          <w:tcPr>
            <w:tcW w:w="20" w:type="dxa"/>
            <w:vAlign w:val="bottom"/>
          </w:tcPr>
          <w:p>
            <w:pPr>
              <w:spacing w:after="0"/>
              <w:rPr>
                <w:sz w:val="18"/>
                <w:szCs w:val="18"/>
                <w:color w:val="auto"/>
              </w:rPr>
            </w:pPr>
          </w:p>
        </w:tc>
        <w:tc>
          <w:tcPr>
            <w:tcW w:w="11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b w:val="1"/>
                <w:bCs w:val="1"/>
                <w:color w:val="auto"/>
              </w:rPr>
              <w:t>CLINICAL</w:t>
            </w:r>
          </w:p>
        </w:tc>
        <w:tc>
          <w:tcPr>
            <w:tcW w:w="1960" w:type="dxa"/>
            <w:vAlign w:val="bottom"/>
            <w:shd w:val="clear" w:color="auto" w:fill="CCEEFF"/>
          </w:tcPr>
          <w:p>
            <w:pPr>
              <w:spacing w:after="0"/>
              <w:rPr>
                <w:sz w:val="18"/>
                <w:szCs w:val="18"/>
                <w:color w:val="auto"/>
              </w:rPr>
            </w:pPr>
          </w:p>
        </w:tc>
        <w:tc>
          <w:tcPr>
            <w:tcW w:w="5980" w:type="dxa"/>
            <w:vAlign w:val="bottom"/>
            <w:tcBorders>
              <w:top w:val="single" w:sz="8" w:color="auto"/>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60" w:type="dxa"/>
            <w:vAlign w:val="bottom"/>
            <w:tcBorders>
              <w:top w:val="single" w:sz="8" w:color="auto"/>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060" w:type="dxa"/>
            <w:vAlign w:val="bottom"/>
            <w:gridSpan w:val="2"/>
          </w:tcPr>
          <w:p>
            <w:pPr>
              <w:ind w:left="120"/>
              <w:spacing w:after="0"/>
              <w:rPr>
                <w:sz w:val="20"/>
                <w:szCs w:val="20"/>
                <w:color w:val="auto"/>
              </w:rPr>
            </w:pPr>
            <w:r>
              <w:rPr>
                <w:rFonts w:ascii="Arial" w:cs="Arial" w:eastAsia="Arial" w:hAnsi="Arial"/>
                <w:sz w:val="18"/>
                <w:szCs w:val="18"/>
                <w:color w:val="auto"/>
              </w:rPr>
              <w:t>CDX-110 (rindopepimut)</w:t>
            </w:r>
          </w:p>
        </w:tc>
        <w:tc>
          <w:tcPr>
            <w:tcW w:w="5980" w:type="dxa"/>
            <w:vAlign w:val="bottom"/>
          </w:tcPr>
          <w:p>
            <w:pPr>
              <w:spacing w:after="0"/>
              <w:rPr>
                <w:sz w:val="20"/>
                <w:szCs w:val="20"/>
                <w:color w:val="auto"/>
              </w:rPr>
            </w:pPr>
            <w:r>
              <w:rPr>
                <w:rFonts w:ascii="Arial" w:cs="Arial" w:eastAsia="Arial" w:hAnsi="Arial"/>
                <w:sz w:val="18"/>
                <w:szCs w:val="18"/>
                <w:color w:val="auto"/>
              </w:rPr>
              <w:t>Glioblastoma multiforme</w:t>
            </w:r>
          </w:p>
        </w:tc>
        <w:tc>
          <w:tcPr>
            <w:tcW w:w="1420" w:type="dxa"/>
            <w:vAlign w:val="bottom"/>
            <w:gridSpan w:val="2"/>
          </w:tcPr>
          <w:p>
            <w:pPr>
              <w:ind w:left="160"/>
              <w:spacing w:after="0"/>
              <w:rPr>
                <w:sz w:val="20"/>
                <w:szCs w:val="20"/>
                <w:color w:val="auto"/>
              </w:rPr>
            </w:pPr>
            <w:r>
              <w:rPr>
                <w:rFonts w:ascii="Arial" w:cs="Arial" w:eastAsia="Arial" w:hAnsi="Arial"/>
                <w:sz w:val="18"/>
                <w:szCs w:val="18"/>
                <w:color w:val="auto"/>
              </w:rPr>
              <w:t>—</w:t>
            </w:r>
          </w:p>
        </w:tc>
        <w:tc>
          <w:tcPr>
            <w:tcW w:w="940" w:type="dxa"/>
            <w:vAlign w:val="bottom"/>
            <w:gridSpan w:val="2"/>
          </w:tcPr>
          <w:p>
            <w:pPr>
              <w:ind w:left="160"/>
              <w:spacing w:after="0"/>
              <w:rPr>
                <w:sz w:val="20"/>
                <w:szCs w:val="20"/>
                <w:color w:val="auto"/>
              </w:rPr>
            </w:pPr>
            <w:r>
              <w:rPr>
                <w:rFonts w:ascii="Arial" w:cs="Arial" w:eastAsia="Arial" w:hAnsi="Arial"/>
                <w:sz w:val="18"/>
                <w:szCs w:val="18"/>
                <w:color w:val="auto"/>
                <w:w w:val="99"/>
              </w:rPr>
              <w:t>Phase 2b</w:t>
            </w:r>
          </w:p>
        </w:tc>
      </w:tr>
      <w:tr>
        <w:trPr>
          <w:trHeight w:val="216"/>
        </w:trPr>
        <w:tc>
          <w:tcPr>
            <w:tcW w:w="20" w:type="dxa"/>
            <w:vAlign w:val="bottom"/>
          </w:tcPr>
          <w:p>
            <w:pPr>
              <w:spacing w:after="0"/>
              <w:rPr>
                <w:sz w:val="18"/>
                <w:szCs w:val="18"/>
                <w:color w:val="auto"/>
              </w:rPr>
            </w:pPr>
          </w:p>
        </w:tc>
        <w:tc>
          <w:tcPr>
            <w:tcW w:w="306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CDX-011 (glembatumumab vedotin)</w:t>
            </w:r>
          </w:p>
        </w:tc>
        <w:tc>
          <w:tcPr>
            <w:tcW w:w="5980" w:type="dxa"/>
            <w:vAlign w:val="bottom"/>
            <w:shd w:val="clear" w:color="auto" w:fill="CCEEFF"/>
          </w:tcPr>
          <w:p>
            <w:pPr>
              <w:spacing w:after="0"/>
              <w:rPr>
                <w:sz w:val="20"/>
                <w:szCs w:val="20"/>
                <w:color w:val="auto"/>
              </w:rPr>
            </w:pPr>
            <w:r>
              <w:rPr>
                <w:rFonts w:ascii="Arial" w:cs="Arial" w:eastAsia="Arial" w:hAnsi="Arial"/>
                <w:sz w:val="18"/>
                <w:szCs w:val="18"/>
                <w:color w:val="auto"/>
              </w:rPr>
              <w:t>Metastatic breast cancer and melanoma</w:t>
            </w:r>
          </w:p>
        </w:tc>
        <w:tc>
          <w:tcPr>
            <w:tcW w:w="142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w w:val="99"/>
              </w:rPr>
              <w:t>Phase 2b</w:t>
            </w:r>
          </w:p>
        </w:tc>
      </w:tr>
      <w:tr>
        <w:trPr>
          <w:trHeight w:val="216"/>
        </w:trPr>
        <w:tc>
          <w:tcPr>
            <w:tcW w:w="20" w:type="dxa"/>
            <w:vAlign w:val="bottom"/>
          </w:tcPr>
          <w:p>
            <w:pPr>
              <w:spacing w:after="0"/>
              <w:rPr>
                <w:sz w:val="18"/>
                <w:szCs w:val="18"/>
                <w:color w:val="auto"/>
              </w:rPr>
            </w:pPr>
          </w:p>
        </w:tc>
        <w:tc>
          <w:tcPr>
            <w:tcW w:w="3060" w:type="dxa"/>
            <w:vAlign w:val="bottom"/>
            <w:gridSpan w:val="2"/>
          </w:tcPr>
          <w:p>
            <w:pPr>
              <w:ind w:left="120"/>
              <w:spacing w:after="0"/>
              <w:rPr>
                <w:sz w:val="20"/>
                <w:szCs w:val="20"/>
                <w:color w:val="auto"/>
              </w:rPr>
            </w:pPr>
            <w:r>
              <w:rPr>
                <w:rFonts w:ascii="Arial" w:cs="Arial" w:eastAsia="Arial" w:hAnsi="Arial"/>
                <w:sz w:val="18"/>
                <w:szCs w:val="18"/>
                <w:color w:val="auto"/>
              </w:rPr>
              <w:t>CDX-1307</w:t>
            </w:r>
          </w:p>
        </w:tc>
        <w:tc>
          <w:tcPr>
            <w:tcW w:w="5980" w:type="dxa"/>
            <w:vAlign w:val="bottom"/>
          </w:tcPr>
          <w:p>
            <w:pPr>
              <w:spacing w:after="0"/>
              <w:rPr>
                <w:sz w:val="20"/>
                <w:szCs w:val="20"/>
                <w:color w:val="auto"/>
              </w:rPr>
            </w:pPr>
            <w:r>
              <w:rPr>
                <w:rFonts w:ascii="Arial" w:cs="Arial" w:eastAsia="Arial" w:hAnsi="Arial"/>
                <w:sz w:val="18"/>
                <w:szCs w:val="18"/>
                <w:color w:val="auto"/>
              </w:rPr>
              <w:t>Muscle-invasive bladder cancer</w:t>
            </w:r>
          </w:p>
        </w:tc>
        <w:tc>
          <w:tcPr>
            <w:tcW w:w="1420" w:type="dxa"/>
            <w:vAlign w:val="bottom"/>
            <w:gridSpan w:val="2"/>
          </w:tcPr>
          <w:p>
            <w:pPr>
              <w:ind w:left="160"/>
              <w:spacing w:after="0"/>
              <w:rPr>
                <w:sz w:val="20"/>
                <w:szCs w:val="20"/>
                <w:color w:val="auto"/>
              </w:rPr>
            </w:pPr>
            <w:r>
              <w:rPr>
                <w:rFonts w:ascii="Arial" w:cs="Arial" w:eastAsia="Arial" w:hAnsi="Arial"/>
                <w:sz w:val="18"/>
                <w:szCs w:val="18"/>
                <w:color w:val="auto"/>
              </w:rPr>
              <w:t>—</w:t>
            </w:r>
          </w:p>
        </w:tc>
        <w:tc>
          <w:tcPr>
            <w:tcW w:w="940" w:type="dxa"/>
            <w:vAlign w:val="bottom"/>
            <w:gridSpan w:val="2"/>
          </w:tcPr>
          <w:p>
            <w:pPr>
              <w:ind w:left="160"/>
              <w:spacing w:after="0"/>
              <w:rPr>
                <w:sz w:val="20"/>
                <w:szCs w:val="20"/>
                <w:color w:val="auto"/>
              </w:rPr>
            </w:pPr>
            <w:r>
              <w:rPr>
                <w:rFonts w:ascii="Arial" w:cs="Arial" w:eastAsia="Arial" w:hAnsi="Arial"/>
                <w:sz w:val="18"/>
                <w:szCs w:val="18"/>
                <w:color w:val="auto"/>
              </w:rPr>
              <w:t>Phase 2</w:t>
            </w:r>
          </w:p>
        </w:tc>
      </w:tr>
      <w:tr>
        <w:trPr>
          <w:trHeight w:val="216"/>
        </w:trPr>
        <w:tc>
          <w:tcPr>
            <w:tcW w:w="20" w:type="dxa"/>
            <w:vAlign w:val="bottom"/>
          </w:tcPr>
          <w:p>
            <w:pPr>
              <w:spacing w:after="0"/>
              <w:rPr>
                <w:sz w:val="18"/>
                <w:szCs w:val="18"/>
                <w:color w:val="auto"/>
              </w:rPr>
            </w:pPr>
          </w:p>
        </w:tc>
        <w:tc>
          <w:tcPr>
            <w:tcW w:w="306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CDX-1401</w:t>
            </w:r>
          </w:p>
        </w:tc>
        <w:tc>
          <w:tcPr>
            <w:tcW w:w="5980" w:type="dxa"/>
            <w:vAlign w:val="bottom"/>
            <w:shd w:val="clear" w:color="auto" w:fill="CCEEFF"/>
          </w:tcPr>
          <w:p>
            <w:pPr>
              <w:spacing w:after="0"/>
              <w:rPr>
                <w:sz w:val="20"/>
                <w:szCs w:val="20"/>
                <w:color w:val="auto"/>
              </w:rPr>
            </w:pPr>
            <w:r>
              <w:rPr>
                <w:rFonts w:ascii="Arial" w:cs="Arial" w:eastAsia="Arial" w:hAnsi="Arial"/>
                <w:sz w:val="18"/>
                <w:szCs w:val="18"/>
                <w:color w:val="auto"/>
              </w:rPr>
              <w:t>Multiple solid tumors</w:t>
            </w:r>
          </w:p>
        </w:tc>
        <w:tc>
          <w:tcPr>
            <w:tcW w:w="142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w w:val="93"/>
              </w:rPr>
              <w:t>Phase 1/2</w:t>
            </w:r>
          </w:p>
        </w:tc>
      </w:tr>
      <w:tr>
        <w:trPr>
          <w:trHeight w:val="216"/>
        </w:trPr>
        <w:tc>
          <w:tcPr>
            <w:tcW w:w="20" w:type="dxa"/>
            <w:vAlign w:val="bottom"/>
          </w:tcPr>
          <w:p>
            <w:pPr>
              <w:spacing w:after="0"/>
              <w:rPr>
                <w:sz w:val="18"/>
                <w:szCs w:val="18"/>
                <w:color w:val="auto"/>
              </w:rPr>
            </w:pPr>
          </w:p>
        </w:tc>
        <w:tc>
          <w:tcPr>
            <w:tcW w:w="3060" w:type="dxa"/>
            <w:vAlign w:val="bottom"/>
            <w:gridSpan w:val="2"/>
          </w:tcPr>
          <w:p>
            <w:pPr>
              <w:spacing w:after="0"/>
              <w:rPr>
                <w:sz w:val="20"/>
                <w:szCs w:val="20"/>
                <w:color w:val="auto"/>
              </w:rPr>
            </w:pPr>
            <w:r>
              <w:rPr>
                <w:rFonts w:ascii="Arial" w:cs="Arial" w:eastAsia="Arial" w:hAnsi="Arial"/>
                <w:sz w:val="18"/>
                <w:szCs w:val="18"/>
                <w:b w:val="1"/>
                <w:bCs w:val="1"/>
                <w:color w:val="auto"/>
              </w:rPr>
              <w:t>PRECLINICAL</w:t>
            </w:r>
          </w:p>
        </w:tc>
        <w:tc>
          <w:tcPr>
            <w:tcW w:w="59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06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CDX-301</w:t>
            </w:r>
          </w:p>
        </w:tc>
        <w:tc>
          <w:tcPr>
            <w:tcW w:w="5980" w:type="dxa"/>
            <w:vAlign w:val="bottom"/>
            <w:shd w:val="clear" w:color="auto" w:fill="CCEEFF"/>
          </w:tcPr>
          <w:p>
            <w:pPr>
              <w:spacing w:after="0"/>
              <w:rPr>
                <w:sz w:val="20"/>
                <w:szCs w:val="20"/>
                <w:color w:val="auto"/>
              </w:rPr>
            </w:pPr>
            <w:r>
              <w:rPr>
                <w:rFonts w:ascii="Arial" w:cs="Arial" w:eastAsia="Arial" w:hAnsi="Arial"/>
                <w:sz w:val="18"/>
                <w:szCs w:val="18"/>
                <w:color w:val="auto"/>
              </w:rPr>
              <w:t>Cancer, autoimmune disease and transplant</w:t>
            </w:r>
          </w:p>
        </w:tc>
        <w:tc>
          <w:tcPr>
            <w:tcW w:w="142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w w:val="92"/>
              </w:rPr>
              <w:t>Preclinical</w:t>
            </w:r>
          </w:p>
        </w:tc>
      </w:tr>
      <w:tr>
        <w:trPr>
          <w:trHeight w:val="216"/>
        </w:trPr>
        <w:tc>
          <w:tcPr>
            <w:tcW w:w="20" w:type="dxa"/>
            <w:vAlign w:val="bottom"/>
          </w:tcPr>
          <w:p>
            <w:pPr>
              <w:spacing w:after="0"/>
              <w:rPr>
                <w:sz w:val="18"/>
                <w:szCs w:val="18"/>
                <w:color w:val="auto"/>
              </w:rPr>
            </w:pPr>
          </w:p>
        </w:tc>
        <w:tc>
          <w:tcPr>
            <w:tcW w:w="3060" w:type="dxa"/>
            <w:vAlign w:val="bottom"/>
            <w:gridSpan w:val="2"/>
          </w:tcPr>
          <w:p>
            <w:pPr>
              <w:ind w:left="120"/>
              <w:spacing w:after="0"/>
              <w:rPr>
                <w:sz w:val="20"/>
                <w:szCs w:val="20"/>
                <w:color w:val="auto"/>
              </w:rPr>
            </w:pPr>
            <w:r>
              <w:rPr>
                <w:rFonts w:ascii="Arial" w:cs="Arial" w:eastAsia="Arial" w:hAnsi="Arial"/>
                <w:sz w:val="18"/>
                <w:szCs w:val="18"/>
                <w:color w:val="auto"/>
              </w:rPr>
              <w:t>CDX-1127</w:t>
            </w:r>
          </w:p>
        </w:tc>
        <w:tc>
          <w:tcPr>
            <w:tcW w:w="5980" w:type="dxa"/>
            <w:vAlign w:val="bottom"/>
          </w:tcPr>
          <w:p>
            <w:pPr>
              <w:spacing w:after="0"/>
              <w:rPr>
                <w:sz w:val="20"/>
                <w:szCs w:val="20"/>
                <w:color w:val="auto"/>
              </w:rPr>
            </w:pPr>
            <w:r>
              <w:rPr>
                <w:rFonts w:ascii="Arial" w:cs="Arial" w:eastAsia="Arial" w:hAnsi="Arial"/>
                <w:sz w:val="18"/>
                <w:szCs w:val="18"/>
                <w:color w:val="auto"/>
              </w:rPr>
              <w:t>Immuno-modulation, multiple tumors</w:t>
            </w:r>
          </w:p>
        </w:tc>
        <w:tc>
          <w:tcPr>
            <w:tcW w:w="1420" w:type="dxa"/>
            <w:vAlign w:val="bottom"/>
            <w:gridSpan w:val="2"/>
          </w:tcPr>
          <w:p>
            <w:pPr>
              <w:ind w:left="160"/>
              <w:spacing w:after="0"/>
              <w:rPr>
                <w:sz w:val="20"/>
                <w:szCs w:val="20"/>
                <w:color w:val="auto"/>
              </w:rPr>
            </w:pPr>
            <w:r>
              <w:rPr>
                <w:rFonts w:ascii="Arial" w:cs="Arial" w:eastAsia="Arial" w:hAnsi="Arial"/>
                <w:sz w:val="18"/>
                <w:szCs w:val="18"/>
                <w:color w:val="auto"/>
              </w:rPr>
              <w:t>—</w:t>
            </w:r>
          </w:p>
        </w:tc>
        <w:tc>
          <w:tcPr>
            <w:tcW w:w="940" w:type="dxa"/>
            <w:vAlign w:val="bottom"/>
            <w:gridSpan w:val="2"/>
          </w:tcPr>
          <w:p>
            <w:pPr>
              <w:ind w:left="160"/>
              <w:spacing w:after="0"/>
              <w:rPr>
                <w:sz w:val="20"/>
                <w:szCs w:val="20"/>
                <w:color w:val="auto"/>
              </w:rPr>
            </w:pPr>
            <w:r>
              <w:rPr>
                <w:rFonts w:ascii="Arial" w:cs="Arial" w:eastAsia="Arial" w:hAnsi="Arial"/>
                <w:sz w:val="18"/>
                <w:szCs w:val="18"/>
                <w:color w:val="auto"/>
                <w:w w:val="92"/>
              </w:rPr>
              <w:t>Preclinical</w:t>
            </w:r>
          </w:p>
        </w:tc>
      </w:tr>
      <w:tr>
        <w:trPr>
          <w:trHeight w:val="216"/>
        </w:trPr>
        <w:tc>
          <w:tcPr>
            <w:tcW w:w="20" w:type="dxa"/>
            <w:vAlign w:val="bottom"/>
          </w:tcPr>
          <w:p>
            <w:pPr>
              <w:spacing w:after="0"/>
              <w:rPr>
                <w:sz w:val="18"/>
                <w:szCs w:val="18"/>
                <w:color w:val="auto"/>
              </w:rPr>
            </w:pPr>
          </w:p>
        </w:tc>
        <w:tc>
          <w:tcPr>
            <w:tcW w:w="306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CDX-014</w:t>
            </w:r>
          </w:p>
        </w:tc>
        <w:tc>
          <w:tcPr>
            <w:tcW w:w="5980" w:type="dxa"/>
            <w:vAlign w:val="bottom"/>
            <w:shd w:val="clear" w:color="auto" w:fill="CCEEFF"/>
          </w:tcPr>
          <w:p>
            <w:pPr>
              <w:spacing w:after="0"/>
              <w:rPr>
                <w:sz w:val="20"/>
                <w:szCs w:val="20"/>
                <w:color w:val="auto"/>
              </w:rPr>
            </w:pPr>
            <w:r>
              <w:rPr>
                <w:rFonts w:ascii="Arial" w:cs="Arial" w:eastAsia="Arial" w:hAnsi="Arial"/>
                <w:sz w:val="18"/>
                <w:szCs w:val="18"/>
                <w:color w:val="auto"/>
              </w:rPr>
              <w:t>Renal and ovarian cancer</w:t>
            </w:r>
          </w:p>
        </w:tc>
        <w:tc>
          <w:tcPr>
            <w:tcW w:w="142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w w:val="92"/>
              </w:rPr>
              <w:t>Preclinical</w:t>
            </w:r>
          </w:p>
        </w:tc>
      </w:tr>
      <w:tr>
        <w:trPr>
          <w:trHeight w:val="216"/>
        </w:trPr>
        <w:tc>
          <w:tcPr>
            <w:tcW w:w="20" w:type="dxa"/>
            <w:vAlign w:val="bottom"/>
          </w:tcPr>
          <w:p>
            <w:pPr>
              <w:spacing w:after="0"/>
              <w:rPr>
                <w:sz w:val="18"/>
                <w:szCs w:val="18"/>
                <w:color w:val="auto"/>
              </w:rPr>
            </w:pPr>
          </w:p>
        </w:tc>
        <w:tc>
          <w:tcPr>
            <w:tcW w:w="3060" w:type="dxa"/>
            <w:vAlign w:val="bottom"/>
            <w:gridSpan w:val="2"/>
          </w:tcPr>
          <w:p>
            <w:pPr>
              <w:spacing w:after="0"/>
              <w:rPr>
                <w:sz w:val="20"/>
                <w:szCs w:val="20"/>
                <w:color w:val="auto"/>
              </w:rPr>
            </w:pPr>
            <w:r>
              <w:rPr>
                <w:rFonts w:ascii="Arial" w:cs="Arial" w:eastAsia="Arial" w:hAnsi="Arial"/>
                <w:sz w:val="18"/>
                <w:szCs w:val="18"/>
                <w:b w:val="1"/>
                <w:bCs w:val="1"/>
                <w:color w:val="auto"/>
              </w:rPr>
              <w:t>MARKETED PRODUCTS</w:t>
            </w:r>
          </w:p>
        </w:tc>
        <w:tc>
          <w:tcPr>
            <w:tcW w:w="59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06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Rotarix®</w:t>
            </w:r>
          </w:p>
        </w:tc>
        <w:tc>
          <w:tcPr>
            <w:tcW w:w="5980" w:type="dxa"/>
            <w:vAlign w:val="bottom"/>
            <w:shd w:val="clear" w:color="auto" w:fill="CCEEFF"/>
          </w:tcPr>
          <w:p>
            <w:pPr>
              <w:spacing w:after="0"/>
              <w:rPr>
                <w:sz w:val="20"/>
                <w:szCs w:val="20"/>
                <w:color w:val="auto"/>
              </w:rPr>
            </w:pPr>
            <w:r>
              <w:rPr>
                <w:rFonts w:ascii="Arial" w:cs="Arial" w:eastAsia="Arial" w:hAnsi="Arial"/>
                <w:sz w:val="18"/>
                <w:szCs w:val="18"/>
                <w:color w:val="auto"/>
              </w:rPr>
              <w:t>Rotavirus infection</w:t>
            </w:r>
          </w:p>
        </w:tc>
        <w:tc>
          <w:tcPr>
            <w:tcW w:w="142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w w:val="93"/>
              </w:rPr>
              <w:t>GlaxoSmithKline</w:t>
            </w:r>
          </w:p>
        </w:tc>
        <w:tc>
          <w:tcPr>
            <w:tcW w:w="94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Marketed</w:t>
            </w:r>
          </w:p>
        </w:tc>
      </w:tr>
    </w:tbl>
    <w:p>
      <w:pPr>
        <w:spacing w:after="0" w:line="208" w:lineRule="exact"/>
        <w:rPr>
          <w:sz w:val="20"/>
          <w:szCs w:val="20"/>
          <w:color w:val="auto"/>
        </w:rPr>
      </w:pPr>
    </w:p>
    <w:p>
      <w:pPr>
        <w:ind w:right="280" w:firstLine="351"/>
        <w:spacing w:after="0" w:line="256" w:lineRule="auto"/>
        <w:rPr>
          <w:sz w:val="20"/>
          <w:szCs w:val="20"/>
          <w:color w:val="auto"/>
        </w:rPr>
      </w:pPr>
      <w:r>
        <w:rPr>
          <w:rFonts w:ascii="Arial" w:cs="Arial" w:eastAsia="Arial" w:hAnsi="Arial"/>
          <w:sz w:val="18"/>
          <w:szCs w:val="18"/>
          <w:color w:val="auto"/>
        </w:rPr>
        <w:t>Using our expertise in immunology, we are building business franchises in major disease areas: oncology, inflammatory and infectious diseases. We have pursued some of these opportunities independently in a highly focused manner. In other cases, we have leveraged the financial support and development capabilities of corporate and public sector partners to bring our development projects to fruition. The research we have pursued over the past several years has matured into what we believe is an exciting portfolio of product candidates.</w:t>
      </w:r>
    </w:p>
    <w:p>
      <w:pPr>
        <w:spacing w:after="0" w:line="197" w:lineRule="exact"/>
        <w:rPr>
          <w:sz w:val="20"/>
          <w:szCs w:val="20"/>
          <w:color w:val="auto"/>
        </w:rPr>
      </w:pPr>
    </w:p>
    <w:p>
      <w:pPr>
        <w:ind w:right="100" w:firstLine="351"/>
        <w:spacing w:after="0" w:line="318" w:lineRule="auto"/>
        <w:rPr>
          <w:sz w:val="20"/>
          <w:szCs w:val="20"/>
          <w:color w:val="auto"/>
        </w:rPr>
      </w:pPr>
      <w:r>
        <w:rPr>
          <w:rFonts w:ascii="Arial" w:cs="Arial" w:eastAsia="Arial" w:hAnsi="Arial"/>
          <w:sz w:val="15"/>
          <w:szCs w:val="15"/>
          <w:color w:val="auto"/>
        </w:rPr>
        <w:t>Our success has depended and will continue to depend upon many factors, including our ability, and that of our licensees and collaborators, to successfully develop, obtain regulatory approval for and commercialize our product candidates. Commercial sales are currently generated by GlaxoSmithKline (GSK), which is marketing Rotarix®. We have had no commercial revenues from sales of our human therapeutic or other human vaccine products and we have had a history of operating losses. It is possible that we may not be able to successfully develop, obtain regulatory approval for or commercialize our product candidates, and we are subject to a number of risks that you should be aware of before investing in us. These risks are described more fully in "Item 1A. Risk Factors."</w:t>
      </w:r>
    </w:p>
    <w:p>
      <w:pPr>
        <w:spacing w:after="0" w:line="154" w:lineRule="exact"/>
        <w:rPr>
          <w:sz w:val="20"/>
          <w:szCs w:val="20"/>
          <w:color w:val="auto"/>
        </w:rPr>
      </w:pPr>
    </w:p>
    <w:p>
      <w:pPr>
        <w:jc w:val="both"/>
        <w:ind w:right="40" w:firstLine="348"/>
        <w:spacing w:after="0" w:line="298" w:lineRule="auto"/>
        <w:rPr>
          <w:sz w:val="20"/>
          <w:szCs w:val="20"/>
          <w:color w:val="auto"/>
        </w:rPr>
      </w:pPr>
      <w:r>
        <w:rPr>
          <w:rFonts w:ascii="Arial" w:cs="Arial" w:eastAsia="Arial" w:hAnsi="Arial"/>
          <w:sz w:val="16"/>
          <w:szCs w:val="16"/>
          <w:color w:val="auto"/>
        </w:rPr>
        <w:t xml:space="preserve">We are a Delaware corporation organized in 1983. Our website is located at </w:t>
      </w:r>
      <w:r>
        <w:rPr>
          <w:rFonts w:ascii="Arial" w:cs="Arial" w:eastAsia="Arial" w:hAnsi="Arial"/>
          <w:sz w:val="16"/>
          <w:szCs w:val="16"/>
          <w:i w:val="1"/>
          <w:iCs w:val="1"/>
          <w:color w:val="auto"/>
        </w:rPr>
        <w:t>http://www.celldextherapeutics.com.</w:t>
      </w:r>
      <w:r>
        <w:rPr>
          <w:rFonts w:ascii="Arial" w:cs="Arial" w:eastAsia="Arial" w:hAnsi="Arial"/>
          <w:sz w:val="16"/>
          <w:szCs w:val="16"/>
          <w:color w:val="auto"/>
        </w:rPr>
        <w:t xml:space="preserve"> On our website, investors can obtain a copy of our annual report on Form 10-K, quarterly reports on Form 10-Q, current reports on Form 8-K, and other reports filed or furnished pursuant to Section 13(a) or 15(d) of the Exchange Act of 1934, as amended, as soon as reasonably practicable after we file such material electronically with, or furnishes it to, the Securities and Exchange Commission ("SEC"). None of the information posted on our website is incorporated by reference into this Annual Report.</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Clinical Development Programs</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Rindopepimut (CDX-110)</w:t>
      </w:r>
    </w:p>
    <w:p>
      <w:pPr>
        <w:spacing w:after="0" w:line="225" w:lineRule="exact"/>
        <w:rPr>
          <w:sz w:val="20"/>
          <w:szCs w:val="20"/>
          <w:color w:val="auto"/>
        </w:rPr>
      </w:pPr>
    </w:p>
    <w:p>
      <w:pPr>
        <w:ind w:right="60" w:firstLine="351"/>
        <w:spacing w:after="0" w:line="255" w:lineRule="auto"/>
        <w:rPr>
          <w:sz w:val="20"/>
          <w:szCs w:val="20"/>
          <w:color w:val="auto"/>
        </w:rPr>
      </w:pPr>
      <w:r>
        <w:rPr>
          <w:rFonts w:ascii="Arial" w:cs="Arial" w:eastAsia="Arial" w:hAnsi="Arial"/>
          <w:sz w:val="18"/>
          <w:szCs w:val="18"/>
          <w:color w:val="auto"/>
        </w:rPr>
        <w:t>Our lead clinical development program, rindopepimut, is a peptide-based immunotherapy that targets the tumor specific molecule called EGFRvIII, a functional variant of the naturally expressed epidermal growth factor receptor ("EGFR"), a protein which has been well validated as a target for cancer therapy. Unlike EGFR, EGFRvIII is not present in normal tissues, and has been shown to be a transforming oncogene that can directly contribute to the cancer cell growth. EGFRvIII is commonly present in glioblastoma multiforme, or GBM, the most common and aggressive form of brain cancer, and has also been observed in various other cancers such as lung, liver and head and neck cancer. The</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7" w:name="page8"/>
    <w:bookmarkEnd w:id="7"/>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ind w:right="320"/>
        <w:spacing w:after="0" w:line="268" w:lineRule="auto"/>
        <w:rPr>
          <w:sz w:val="20"/>
          <w:szCs w:val="20"/>
          <w:color w:val="auto"/>
        </w:rPr>
      </w:pPr>
      <w:r>
        <w:rPr>
          <w:rFonts w:ascii="Arial" w:cs="Arial" w:eastAsia="Arial" w:hAnsi="Arial"/>
          <w:sz w:val="18"/>
          <w:szCs w:val="18"/>
          <w:color w:val="auto"/>
        </w:rPr>
        <w:t>Food and Drug Administration ("FDA") has granted orphan drug designation for rindopepimut for the treatment of EGFRvIII expressing GBM as well as fast track designation.</w:t>
      </w:r>
    </w:p>
    <w:p>
      <w:pPr>
        <w:spacing w:after="0" w:line="186" w:lineRule="exact"/>
        <w:rPr>
          <w:sz w:val="20"/>
          <w:szCs w:val="20"/>
          <w:color w:val="auto"/>
        </w:rPr>
      </w:pPr>
    </w:p>
    <w:p>
      <w:pPr>
        <w:ind w:right="40" w:firstLine="351"/>
        <w:spacing w:after="0" w:line="256" w:lineRule="auto"/>
        <w:rPr>
          <w:sz w:val="20"/>
          <w:szCs w:val="20"/>
          <w:color w:val="auto"/>
        </w:rPr>
      </w:pPr>
      <w:r>
        <w:rPr>
          <w:rFonts w:ascii="Arial" w:cs="Arial" w:eastAsia="Arial" w:hAnsi="Arial"/>
          <w:sz w:val="18"/>
          <w:szCs w:val="18"/>
          <w:color w:val="auto"/>
        </w:rPr>
        <w:t>In April 2008, we and Pfizer Inc. ("Pfizer") entered into a License and Development Agreement (the "Pfizer Agreement") under which Pfizer was granted an exclusive worldwide license to rindopepimut. The Pfizer Agreement also gave Pfizer exclusive rights to the use of EGFRvIII vaccines in other potential indications. The Pfizer Agreement also provided for reimbursement by Pfizer of all costs incurred by us in connection with the collaboration since the effective date.</w:t>
      </w:r>
    </w:p>
    <w:p>
      <w:pPr>
        <w:spacing w:after="0" w:line="197" w:lineRule="exact"/>
        <w:rPr>
          <w:sz w:val="20"/>
          <w:szCs w:val="20"/>
          <w:color w:val="auto"/>
        </w:rPr>
      </w:pPr>
    </w:p>
    <w:p>
      <w:pPr>
        <w:jc w:val="both"/>
        <w:ind w:right="180" w:firstLine="351"/>
        <w:spacing w:after="0" w:line="298" w:lineRule="auto"/>
        <w:rPr>
          <w:sz w:val="20"/>
          <w:szCs w:val="20"/>
          <w:color w:val="auto"/>
        </w:rPr>
      </w:pPr>
      <w:r>
        <w:rPr>
          <w:rFonts w:ascii="Arial" w:cs="Arial" w:eastAsia="Arial" w:hAnsi="Arial"/>
          <w:sz w:val="16"/>
          <w:szCs w:val="16"/>
          <w:color w:val="auto"/>
        </w:rPr>
        <w:t>On September 1, 2010, we received written notice (the "Pfizer Notice") from Pfizer of termination with respect to the Pfizer Agreement. The Pfizer Notice was given under a provision of the Pfizer Agreement which permitted termination at any time and for any reason, upon 60-days' written notice to us. The Pfizer Notice did not state a reason for termination. In November 2010, the Pfizer Agreement was terminated (the "Pfizer Termination") and all rights to rindopepimut were returned to us. Effective with the Pfizer Termination, Pfizer is no longer funding the development of rindopepimut.</w:t>
      </w:r>
    </w:p>
    <w:p>
      <w:pPr>
        <w:spacing w:after="0" w:line="167" w:lineRule="exact"/>
        <w:rPr>
          <w:sz w:val="20"/>
          <w:szCs w:val="20"/>
          <w:color w:val="auto"/>
        </w:rPr>
      </w:pPr>
    </w:p>
    <w:p>
      <w:pPr>
        <w:ind w:firstLine="348"/>
        <w:spacing w:after="0" w:line="256" w:lineRule="auto"/>
        <w:rPr>
          <w:sz w:val="20"/>
          <w:szCs w:val="20"/>
          <w:color w:val="auto"/>
        </w:rPr>
      </w:pPr>
      <w:r>
        <w:rPr>
          <w:rFonts w:ascii="Arial" w:cs="Arial" w:eastAsia="Arial" w:hAnsi="Arial"/>
          <w:sz w:val="18"/>
          <w:szCs w:val="18"/>
          <w:color w:val="auto"/>
        </w:rPr>
        <w:t>The Phase 1 (VICTORI) and Phase 2a (ACTIVATE) studies of EGFRvIII immunotherapy were led by collaborating investigators at the Brain Center at Duke Comprehensive Cancer Center in Durham, North Carolina and at M.D. Anderson Cancer Center in Houston, Texas and enrolled 14 and 18 evaluable patients, respectively. An extension of the Phase 2a study (ACT II) at the same two institutions evaluated 22 additional GBM patients treated in combination with maintenance temozolomide (TMZ) (the current standard of care).</w:t>
      </w:r>
    </w:p>
    <w:p>
      <w:pPr>
        <w:spacing w:after="0" w:line="197" w:lineRule="exact"/>
        <w:rPr>
          <w:sz w:val="20"/>
          <w:szCs w:val="20"/>
          <w:color w:val="auto"/>
        </w:rPr>
      </w:pPr>
    </w:p>
    <w:p>
      <w:pPr>
        <w:ind w:right="100" w:firstLine="348"/>
        <w:spacing w:after="0" w:line="253" w:lineRule="auto"/>
        <w:rPr>
          <w:sz w:val="20"/>
          <w:szCs w:val="20"/>
          <w:color w:val="auto"/>
        </w:rPr>
      </w:pPr>
      <w:r>
        <w:rPr>
          <w:rFonts w:ascii="Arial" w:cs="Arial" w:eastAsia="Arial" w:hAnsi="Arial"/>
          <w:sz w:val="18"/>
          <w:szCs w:val="18"/>
          <w:color w:val="auto"/>
        </w:rPr>
        <w:t>We initiated a Phase 2b/3 randomized study (ACT III) of rindopepimut combined with standard of care, TMZ, versus standard of care alone in patients with GBM in over 30 sites throughout the United States. In December 2008, we announced an amendment to convert the ACT III study to a single-arm Phase 2 clinical trial in which all patients were to receive rindopepimut in combination with temozolomide. The decision, which followed the recommendation of the Independent Data Monitoring Committee, was based on the observation that the majority of patients randomized to the control (standard of care) arm withdrew from this open-label study after being randomized to the control arm. Patients participating in the control arm of the study were offered the option to receive treatment with rindopepimut. Under this amendment, the ACT III study provided for a multi-center, non-randomized dataset for rindopepimut in patients with newly diagnosed GBM.</w:t>
      </w:r>
    </w:p>
    <w:p>
      <w:pPr>
        <w:spacing w:after="0" w:line="201" w:lineRule="exact"/>
        <w:rPr>
          <w:sz w:val="20"/>
          <w:szCs w:val="20"/>
          <w:color w:val="auto"/>
        </w:rPr>
      </w:pPr>
    </w:p>
    <w:p>
      <w:pPr>
        <w:ind w:right="140" w:firstLine="351"/>
        <w:spacing w:after="0" w:line="254" w:lineRule="auto"/>
        <w:rPr>
          <w:sz w:val="20"/>
          <w:szCs w:val="20"/>
          <w:color w:val="auto"/>
        </w:rPr>
      </w:pPr>
      <w:r>
        <w:rPr>
          <w:rFonts w:ascii="Arial" w:cs="Arial" w:eastAsia="Arial" w:hAnsi="Arial"/>
          <w:sz w:val="18"/>
          <w:szCs w:val="18"/>
          <w:color w:val="auto"/>
        </w:rPr>
        <w:t>In November 2010, we announced complete data for the primary endpoint of the 65 patients enrolled to receive rindopepimut in combination with maintenance TMZ in the ACT III study. The data showed that 43 of 65 patients (66%) were progression-free at 5.5 months after entry into the study. Taking into account the 3 to 3.5 months required to complete pre-study chemoradiation and enter into the study, the 5.5 month time point in ACT III corresponds to approximately 8.5 months after diagnosis. The ACTIVATE and ACT II trials, which were conducted in two leading centers, reported progression-free rates at 8.5 months after diagnosis of 70% and 80%, respectively, and similar results were seen in the ACT III trial, which enrolled patients in over 25 centers in the United States.</w:t>
      </w:r>
    </w:p>
    <w:p>
      <w:pPr>
        <w:spacing w:after="0" w:line="1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8" w:name="page9"/>
    <w:bookmarkEnd w:id="8"/>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260" w:firstLine="348"/>
        <w:spacing w:after="0" w:line="268" w:lineRule="auto"/>
        <w:rPr>
          <w:sz w:val="20"/>
          <w:szCs w:val="20"/>
          <w:color w:val="auto"/>
        </w:rPr>
      </w:pPr>
      <w:r>
        <w:rPr>
          <w:rFonts w:ascii="Arial" w:cs="Arial" w:eastAsia="Arial" w:hAnsi="Arial"/>
          <w:sz w:val="18"/>
          <w:szCs w:val="18"/>
          <w:color w:val="auto"/>
        </w:rPr>
        <w:t>The following table summarizes the progression free survival ("PFS") and overall survival ("OS") rates from clinical trials of rindopepimut as reported in November 2010 as compared to matched historical controls and the standard of care.</w:t>
      </w:r>
    </w:p>
    <w:p>
      <w:pPr>
        <w:spacing w:after="0" w:line="169" w:lineRule="exact"/>
        <w:rPr>
          <w:sz w:val="20"/>
          <w:szCs w:val="20"/>
          <w:color w:val="auto"/>
        </w:rPr>
      </w:pPr>
    </w:p>
    <w:tbl>
      <w:tblPr>
        <w:tblLayout w:type="fixed"/>
        <w:tblInd w:w="114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680" w:type="dxa"/>
            <w:vAlign w:val="bottom"/>
          </w:tcPr>
          <w:p>
            <w:pPr>
              <w:spacing w:after="0"/>
              <w:rPr>
                <w:sz w:val="14"/>
                <w:szCs w:val="14"/>
                <w:color w:val="auto"/>
              </w:rPr>
            </w:pPr>
          </w:p>
        </w:tc>
        <w:tc>
          <w:tcPr>
            <w:tcW w:w="1780" w:type="dxa"/>
            <w:vAlign w:val="bottom"/>
          </w:tcPr>
          <w:p>
            <w:pPr>
              <w:spacing w:after="0"/>
              <w:rPr>
                <w:sz w:val="14"/>
                <w:szCs w:val="14"/>
                <w:color w:val="auto"/>
              </w:rPr>
            </w:pPr>
          </w:p>
        </w:tc>
        <w:tc>
          <w:tcPr>
            <w:tcW w:w="1580" w:type="dxa"/>
            <w:vAlign w:val="bottom"/>
            <w:gridSpan w:val="2"/>
          </w:tcPr>
          <w:p>
            <w:pPr>
              <w:jc w:val="right"/>
              <w:ind w:right="420"/>
              <w:spacing w:after="0"/>
              <w:rPr>
                <w:sz w:val="20"/>
                <w:szCs w:val="20"/>
                <w:color w:val="auto"/>
              </w:rPr>
            </w:pPr>
            <w:r>
              <w:rPr>
                <w:rFonts w:ascii="Arial" w:cs="Arial" w:eastAsia="Arial" w:hAnsi="Arial"/>
                <w:sz w:val="14"/>
                <w:szCs w:val="14"/>
                <w:b w:val="1"/>
                <w:bCs w:val="1"/>
                <w:color w:val="auto"/>
                <w:w w:val="99"/>
              </w:rPr>
              <w:t>Median PFS from</w:t>
            </w:r>
          </w:p>
        </w:tc>
        <w:tc>
          <w:tcPr>
            <w:tcW w:w="1620" w:type="dxa"/>
            <w:vAlign w:val="bottom"/>
            <w:gridSpan w:val="2"/>
          </w:tcPr>
          <w:p>
            <w:pPr>
              <w:ind w:left="160"/>
              <w:spacing w:after="0"/>
              <w:rPr>
                <w:sz w:val="20"/>
                <w:szCs w:val="20"/>
                <w:color w:val="auto"/>
              </w:rPr>
            </w:pPr>
            <w:r>
              <w:rPr>
                <w:rFonts w:ascii="Arial" w:cs="Arial" w:eastAsia="Arial" w:hAnsi="Arial"/>
                <w:sz w:val="14"/>
                <w:szCs w:val="14"/>
                <w:b w:val="1"/>
                <w:bCs w:val="1"/>
                <w:color w:val="auto"/>
              </w:rPr>
              <w:t>Median OS from</w:t>
            </w:r>
          </w:p>
        </w:tc>
        <w:tc>
          <w:tcPr>
            <w:tcW w:w="1160" w:type="dxa"/>
            <w:vAlign w:val="bottom"/>
          </w:tcPr>
          <w:p>
            <w:pPr>
              <w:spacing w:after="0"/>
              <w:rPr>
                <w:sz w:val="14"/>
                <w:szCs w:val="14"/>
                <w:color w:val="auto"/>
              </w:rPr>
            </w:pPr>
          </w:p>
        </w:tc>
        <w:tc>
          <w:tcPr>
            <w:tcW w:w="300" w:type="dxa"/>
            <w:vAlign w:val="bottom"/>
          </w:tcPr>
          <w:p>
            <w:pPr>
              <w:spacing w:after="0"/>
              <w:rPr>
                <w:sz w:val="14"/>
                <w:szCs w:val="14"/>
                <w:color w:val="auto"/>
              </w:rPr>
            </w:pPr>
          </w:p>
        </w:tc>
      </w:tr>
      <w:tr>
        <w:trPr>
          <w:trHeight w:val="161"/>
        </w:trPr>
        <w:tc>
          <w:tcPr>
            <w:tcW w:w="20" w:type="dxa"/>
            <w:vAlign w:val="bottom"/>
          </w:tcPr>
          <w:p>
            <w:pPr>
              <w:spacing w:after="0"/>
              <w:rPr>
                <w:sz w:val="14"/>
                <w:szCs w:val="14"/>
                <w:color w:val="auto"/>
              </w:rPr>
            </w:pPr>
          </w:p>
        </w:tc>
        <w:tc>
          <w:tcPr>
            <w:tcW w:w="2680" w:type="dxa"/>
            <w:vAlign w:val="bottom"/>
          </w:tcPr>
          <w:p>
            <w:pPr>
              <w:spacing w:after="0"/>
              <w:rPr>
                <w:sz w:val="14"/>
                <w:szCs w:val="14"/>
                <w:color w:val="auto"/>
              </w:rPr>
            </w:pPr>
          </w:p>
        </w:tc>
        <w:tc>
          <w:tcPr>
            <w:tcW w:w="1780" w:type="dxa"/>
            <w:vAlign w:val="bottom"/>
          </w:tcPr>
          <w:p>
            <w:pPr>
              <w:spacing w:after="0"/>
              <w:rPr>
                <w:sz w:val="14"/>
                <w:szCs w:val="14"/>
                <w:color w:val="auto"/>
              </w:rPr>
            </w:pPr>
          </w:p>
        </w:tc>
        <w:tc>
          <w:tcPr>
            <w:tcW w:w="1280" w:type="dxa"/>
            <w:vAlign w:val="bottom"/>
            <w:tcBorders>
              <w:bottom w:val="single" w:sz="8" w:color="auto"/>
            </w:tcBorders>
          </w:tcPr>
          <w:p>
            <w:pPr>
              <w:jc w:val="right"/>
              <w:ind w:right="18"/>
              <w:spacing w:after="0"/>
              <w:rPr>
                <w:sz w:val="20"/>
                <w:szCs w:val="20"/>
                <w:color w:val="auto"/>
              </w:rPr>
            </w:pPr>
            <w:r>
              <w:rPr>
                <w:rFonts w:ascii="Arial" w:cs="Arial" w:eastAsia="Arial" w:hAnsi="Arial"/>
                <w:sz w:val="14"/>
                <w:szCs w:val="14"/>
                <w:b w:val="1"/>
                <w:bCs w:val="1"/>
                <w:color w:val="auto"/>
                <w:w w:val="89"/>
              </w:rPr>
              <w:t>diagnosis (months)</w:t>
            </w:r>
          </w:p>
        </w:tc>
        <w:tc>
          <w:tcPr>
            <w:tcW w:w="300" w:type="dxa"/>
            <w:vAlign w:val="bottom"/>
          </w:tcPr>
          <w:p>
            <w:pPr>
              <w:spacing w:after="0"/>
              <w:rPr>
                <w:sz w:val="14"/>
                <w:szCs w:val="14"/>
                <w:color w:val="auto"/>
              </w:rPr>
            </w:pPr>
          </w:p>
        </w:tc>
        <w:tc>
          <w:tcPr>
            <w:tcW w:w="1300" w:type="dxa"/>
            <w:vAlign w:val="bottom"/>
            <w:tcBorders>
              <w:bottom w:val="single" w:sz="8" w:color="auto"/>
            </w:tcBorders>
          </w:tcPr>
          <w:p>
            <w:pPr>
              <w:ind w:left="100"/>
              <w:spacing w:after="0"/>
              <w:rPr>
                <w:sz w:val="20"/>
                <w:szCs w:val="20"/>
                <w:color w:val="auto"/>
              </w:rPr>
            </w:pPr>
            <w:r>
              <w:rPr>
                <w:rFonts w:ascii="Arial" w:cs="Arial" w:eastAsia="Arial" w:hAnsi="Arial"/>
                <w:sz w:val="14"/>
                <w:szCs w:val="14"/>
                <w:b w:val="1"/>
                <w:bCs w:val="1"/>
                <w:color w:val="auto"/>
                <w:w w:val="91"/>
              </w:rPr>
              <w:t>diagnosis (months)</w:t>
            </w:r>
          </w:p>
        </w:tc>
        <w:tc>
          <w:tcPr>
            <w:tcW w:w="320" w:type="dxa"/>
            <w:vAlign w:val="bottom"/>
          </w:tcPr>
          <w:p>
            <w:pPr>
              <w:spacing w:after="0"/>
              <w:rPr>
                <w:sz w:val="14"/>
                <w:szCs w:val="14"/>
                <w:color w:val="auto"/>
              </w:rPr>
            </w:pPr>
          </w:p>
        </w:tc>
        <w:tc>
          <w:tcPr>
            <w:tcW w:w="1160" w:type="dxa"/>
            <w:vAlign w:val="bottom"/>
            <w:tcBorders>
              <w:bottom w:val="single" w:sz="8" w:color="auto"/>
            </w:tcBorders>
          </w:tcPr>
          <w:p>
            <w:pPr>
              <w:jc w:val="right"/>
              <w:ind w:right="36"/>
              <w:spacing w:after="0"/>
              <w:rPr>
                <w:sz w:val="20"/>
                <w:szCs w:val="20"/>
                <w:color w:val="auto"/>
              </w:rPr>
            </w:pPr>
            <w:r>
              <w:rPr>
                <w:rFonts w:ascii="Arial" w:cs="Arial" w:eastAsia="Arial" w:hAnsi="Arial"/>
                <w:sz w:val="14"/>
                <w:szCs w:val="14"/>
                <w:b w:val="1"/>
                <w:bCs w:val="1"/>
                <w:color w:val="auto"/>
                <w:w w:val="92"/>
              </w:rPr>
              <w:t>OS at 24 months</w:t>
            </w:r>
          </w:p>
        </w:tc>
        <w:tc>
          <w:tcPr>
            <w:tcW w:w="300" w:type="dxa"/>
            <w:vAlign w:val="bottom"/>
          </w:tcPr>
          <w:p>
            <w:pPr>
              <w:spacing w:after="0"/>
              <w:rPr>
                <w:sz w:val="14"/>
                <w:szCs w:val="14"/>
                <w:color w:val="auto"/>
              </w:rPr>
            </w:pPr>
          </w:p>
        </w:tc>
      </w:tr>
      <w:tr>
        <w:trPr>
          <w:trHeight w:val="210"/>
        </w:trPr>
        <w:tc>
          <w:tcPr>
            <w:tcW w:w="20" w:type="dxa"/>
            <w:vAlign w:val="bottom"/>
          </w:tcPr>
          <w:p>
            <w:pPr>
              <w:spacing w:after="0"/>
              <w:rPr>
                <w:sz w:val="18"/>
                <w:szCs w:val="18"/>
                <w:color w:val="auto"/>
              </w:rPr>
            </w:pPr>
          </w:p>
        </w:tc>
        <w:tc>
          <w:tcPr>
            <w:tcW w:w="44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ACT III (n=65)</w:t>
            </w:r>
          </w:p>
        </w:tc>
        <w:tc>
          <w:tcPr>
            <w:tcW w:w="15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12.3(1)</w:t>
            </w:r>
          </w:p>
        </w:tc>
        <w:tc>
          <w:tcPr>
            <w:tcW w:w="1620" w:type="dxa"/>
            <w:vAlign w:val="bottom"/>
            <w:gridSpan w:val="2"/>
            <w:shd w:val="clear" w:color="auto" w:fill="CCEEFF"/>
          </w:tcPr>
          <w:p>
            <w:pPr>
              <w:ind w:left="980"/>
              <w:spacing w:after="0"/>
              <w:rPr>
                <w:sz w:val="20"/>
                <w:szCs w:val="20"/>
                <w:color w:val="auto"/>
              </w:rPr>
            </w:pPr>
            <w:r>
              <w:rPr>
                <w:rFonts w:ascii="Arial" w:cs="Arial" w:eastAsia="Arial" w:hAnsi="Arial"/>
                <w:sz w:val="18"/>
                <w:szCs w:val="18"/>
                <w:color w:val="auto"/>
              </w:rPr>
              <w:t>24.3(2)</w:t>
            </w:r>
          </w:p>
        </w:tc>
        <w:tc>
          <w:tcPr>
            <w:tcW w:w="14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50%(2)</w:t>
            </w:r>
          </w:p>
        </w:tc>
      </w:tr>
      <w:tr>
        <w:trPr>
          <w:trHeight w:val="216"/>
        </w:trPr>
        <w:tc>
          <w:tcPr>
            <w:tcW w:w="20" w:type="dxa"/>
            <w:vAlign w:val="bottom"/>
          </w:tcPr>
          <w:p>
            <w:pPr>
              <w:spacing w:after="0"/>
              <w:rPr>
                <w:sz w:val="18"/>
                <w:szCs w:val="18"/>
                <w:color w:val="auto"/>
              </w:rPr>
            </w:pPr>
          </w:p>
        </w:tc>
        <w:tc>
          <w:tcPr>
            <w:tcW w:w="4460" w:type="dxa"/>
            <w:vAlign w:val="bottom"/>
            <w:gridSpan w:val="2"/>
          </w:tcPr>
          <w:p>
            <w:pPr>
              <w:spacing w:after="0"/>
              <w:rPr>
                <w:sz w:val="20"/>
                <w:szCs w:val="20"/>
                <w:color w:val="auto"/>
              </w:rPr>
            </w:pPr>
            <w:r>
              <w:rPr>
                <w:rFonts w:ascii="Arial" w:cs="Arial" w:eastAsia="Arial" w:hAnsi="Arial"/>
                <w:sz w:val="18"/>
                <w:szCs w:val="18"/>
                <w:color w:val="auto"/>
              </w:rPr>
              <w:t>ACT II (n=22)</w:t>
            </w:r>
          </w:p>
        </w:tc>
        <w:tc>
          <w:tcPr>
            <w:tcW w:w="1280" w:type="dxa"/>
            <w:vAlign w:val="bottom"/>
          </w:tcPr>
          <w:p>
            <w:pPr>
              <w:jc w:val="right"/>
              <w:spacing w:after="0"/>
              <w:rPr>
                <w:sz w:val="20"/>
                <w:szCs w:val="20"/>
                <w:color w:val="auto"/>
              </w:rPr>
            </w:pPr>
            <w:r>
              <w:rPr>
                <w:rFonts w:ascii="Arial" w:cs="Arial" w:eastAsia="Arial" w:hAnsi="Arial"/>
                <w:sz w:val="18"/>
                <w:szCs w:val="18"/>
                <w:color w:val="auto"/>
              </w:rPr>
              <w:t>15.3</w:t>
            </w:r>
          </w:p>
        </w:tc>
        <w:tc>
          <w:tcPr>
            <w:tcW w:w="300" w:type="dxa"/>
            <w:vAlign w:val="bottom"/>
          </w:tcPr>
          <w:p>
            <w:pPr>
              <w:spacing w:after="0"/>
              <w:rPr>
                <w:sz w:val="18"/>
                <w:szCs w:val="18"/>
                <w:color w:val="auto"/>
              </w:rPr>
            </w:pPr>
          </w:p>
        </w:tc>
        <w:tc>
          <w:tcPr>
            <w:tcW w:w="1300" w:type="dxa"/>
            <w:vAlign w:val="bottom"/>
          </w:tcPr>
          <w:p>
            <w:pPr>
              <w:ind w:left="980"/>
              <w:spacing w:after="0"/>
              <w:rPr>
                <w:sz w:val="20"/>
                <w:szCs w:val="20"/>
                <w:color w:val="auto"/>
              </w:rPr>
            </w:pPr>
            <w:r>
              <w:rPr>
                <w:rFonts w:ascii="Arial" w:cs="Arial" w:eastAsia="Arial" w:hAnsi="Arial"/>
                <w:sz w:val="18"/>
                <w:szCs w:val="18"/>
                <w:color w:val="auto"/>
                <w:w w:val="85"/>
              </w:rPr>
              <w:t>24.4</w:t>
            </w:r>
          </w:p>
        </w:tc>
        <w:tc>
          <w:tcPr>
            <w:tcW w:w="32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50%</w:t>
            </w:r>
          </w:p>
        </w:tc>
        <w:tc>
          <w:tcPr>
            <w:tcW w:w="3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4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ACTIVATE (n=18)</w:t>
            </w: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14.2</w:t>
            </w:r>
          </w:p>
        </w:tc>
        <w:tc>
          <w:tcPr>
            <w:tcW w:w="300" w:type="dxa"/>
            <w:vAlign w:val="bottom"/>
            <w:shd w:val="clear" w:color="auto" w:fill="CCEEFF"/>
          </w:tcPr>
          <w:p>
            <w:pPr>
              <w:spacing w:after="0"/>
              <w:rPr>
                <w:sz w:val="18"/>
                <w:szCs w:val="18"/>
                <w:color w:val="auto"/>
              </w:rPr>
            </w:pPr>
          </w:p>
        </w:tc>
        <w:tc>
          <w:tcPr>
            <w:tcW w:w="1300" w:type="dxa"/>
            <w:vAlign w:val="bottom"/>
            <w:shd w:val="clear" w:color="auto" w:fill="CCEEFF"/>
          </w:tcPr>
          <w:p>
            <w:pPr>
              <w:ind w:left="980"/>
              <w:spacing w:after="0"/>
              <w:rPr>
                <w:sz w:val="20"/>
                <w:szCs w:val="20"/>
                <w:color w:val="auto"/>
              </w:rPr>
            </w:pPr>
            <w:r>
              <w:rPr>
                <w:rFonts w:ascii="Arial" w:cs="Arial" w:eastAsia="Arial" w:hAnsi="Arial"/>
                <w:sz w:val="18"/>
                <w:szCs w:val="18"/>
                <w:color w:val="auto"/>
                <w:w w:val="85"/>
              </w:rPr>
              <w:t>24.6</w:t>
            </w:r>
          </w:p>
        </w:tc>
        <w:tc>
          <w:tcPr>
            <w:tcW w:w="32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w:t>
            </w:r>
          </w:p>
        </w:tc>
        <w:tc>
          <w:tcPr>
            <w:tcW w:w="3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460" w:type="dxa"/>
            <w:vAlign w:val="bottom"/>
            <w:gridSpan w:val="2"/>
          </w:tcPr>
          <w:p>
            <w:pPr>
              <w:spacing w:after="0"/>
              <w:rPr>
                <w:sz w:val="20"/>
                <w:szCs w:val="20"/>
                <w:color w:val="auto"/>
              </w:rPr>
            </w:pPr>
            <w:r>
              <w:rPr>
                <w:rFonts w:ascii="Arial" w:cs="Arial" w:eastAsia="Arial" w:hAnsi="Arial"/>
                <w:sz w:val="18"/>
                <w:szCs w:val="18"/>
                <w:color w:val="auto"/>
              </w:rPr>
              <w:t>Matched historical control (n=17)(3)</w:t>
            </w:r>
          </w:p>
        </w:tc>
        <w:tc>
          <w:tcPr>
            <w:tcW w:w="1280" w:type="dxa"/>
            <w:vAlign w:val="bottom"/>
          </w:tcPr>
          <w:p>
            <w:pPr>
              <w:jc w:val="right"/>
              <w:spacing w:after="0"/>
              <w:rPr>
                <w:sz w:val="20"/>
                <w:szCs w:val="20"/>
                <w:color w:val="auto"/>
              </w:rPr>
            </w:pPr>
            <w:r>
              <w:rPr>
                <w:rFonts w:ascii="Arial" w:cs="Arial" w:eastAsia="Arial" w:hAnsi="Arial"/>
                <w:sz w:val="18"/>
                <w:szCs w:val="18"/>
                <w:color w:val="auto"/>
              </w:rPr>
              <w:t>6.4</w:t>
            </w:r>
          </w:p>
        </w:tc>
        <w:tc>
          <w:tcPr>
            <w:tcW w:w="300" w:type="dxa"/>
            <w:vAlign w:val="bottom"/>
          </w:tcPr>
          <w:p>
            <w:pPr>
              <w:spacing w:after="0"/>
              <w:rPr>
                <w:sz w:val="18"/>
                <w:szCs w:val="18"/>
                <w:color w:val="auto"/>
              </w:rPr>
            </w:pPr>
          </w:p>
        </w:tc>
        <w:tc>
          <w:tcPr>
            <w:tcW w:w="1300" w:type="dxa"/>
            <w:vAlign w:val="bottom"/>
          </w:tcPr>
          <w:p>
            <w:pPr>
              <w:ind w:left="980"/>
              <w:spacing w:after="0"/>
              <w:rPr>
                <w:sz w:val="20"/>
                <w:szCs w:val="20"/>
                <w:color w:val="auto"/>
              </w:rPr>
            </w:pPr>
            <w:r>
              <w:rPr>
                <w:rFonts w:ascii="Arial" w:cs="Arial" w:eastAsia="Arial" w:hAnsi="Arial"/>
                <w:sz w:val="18"/>
                <w:szCs w:val="18"/>
                <w:color w:val="auto"/>
                <w:w w:val="85"/>
              </w:rPr>
              <w:t>15.2</w:t>
            </w:r>
          </w:p>
        </w:tc>
        <w:tc>
          <w:tcPr>
            <w:tcW w:w="32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6%</w:t>
            </w:r>
          </w:p>
        </w:tc>
        <w:tc>
          <w:tcPr>
            <w:tcW w:w="3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4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Standard of care radiation/TMZ (n=287)(4)</w:t>
            </w: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w:t>
            </w:r>
          </w:p>
        </w:tc>
        <w:tc>
          <w:tcPr>
            <w:tcW w:w="300" w:type="dxa"/>
            <w:vAlign w:val="bottom"/>
            <w:shd w:val="clear" w:color="auto" w:fill="CCEEFF"/>
          </w:tcPr>
          <w:p>
            <w:pPr>
              <w:spacing w:after="0"/>
              <w:rPr>
                <w:sz w:val="18"/>
                <w:szCs w:val="18"/>
                <w:color w:val="auto"/>
              </w:rPr>
            </w:pPr>
          </w:p>
        </w:tc>
        <w:tc>
          <w:tcPr>
            <w:tcW w:w="1300" w:type="dxa"/>
            <w:vAlign w:val="bottom"/>
            <w:shd w:val="clear" w:color="auto" w:fill="CCEEFF"/>
          </w:tcPr>
          <w:p>
            <w:pPr>
              <w:ind w:left="980"/>
              <w:spacing w:after="0"/>
              <w:rPr>
                <w:sz w:val="20"/>
                <w:szCs w:val="20"/>
                <w:color w:val="auto"/>
              </w:rPr>
            </w:pPr>
            <w:r>
              <w:rPr>
                <w:rFonts w:ascii="Arial" w:cs="Arial" w:eastAsia="Arial" w:hAnsi="Arial"/>
                <w:sz w:val="18"/>
                <w:szCs w:val="18"/>
                <w:color w:val="auto"/>
                <w:w w:val="85"/>
              </w:rPr>
              <w:t>14.6</w:t>
            </w:r>
          </w:p>
        </w:tc>
        <w:tc>
          <w:tcPr>
            <w:tcW w:w="32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w:t>
            </w:r>
          </w:p>
        </w:tc>
        <w:tc>
          <w:tcPr>
            <w:tcW w:w="300" w:type="dxa"/>
            <w:vAlign w:val="bottom"/>
            <w:shd w:val="clear" w:color="auto" w:fill="CCEEFF"/>
          </w:tcPr>
          <w:p>
            <w:pPr>
              <w:spacing w:after="0"/>
              <w:rPr>
                <w:sz w:val="18"/>
                <w:szCs w:val="18"/>
                <w:color w:val="auto"/>
              </w:rPr>
            </w:pPr>
          </w:p>
        </w:tc>
      </w:tr>
      <w:tr>
        <w:trPr>
          <w:trHeight w:val="108"/>
        </w:trPr>
        <w:tc>
          <w:tcPr>
            <w:tcW w:w="20" w:type="dxa"/>
            <w:vAlign w:val="bottom"/>
          </w:tcPr>
          <w:p>
            <w:pPr>
              <w:spacing w:after="0"/>
              <w:rPr>
                <w:sz w:val="9"/>
                <w:szCs w:val="9"/>
                <w:color w:val="auto"/>
              </w:rPr>
            </w:pPr>
          </w:p>
        </w:tc>
        <w:tc>
          <w:tcPr>
            <w:tcW w:w="2680" w:type="dxa"/>
            <w:vAlign w:val="bottom"/>
            <w:tcBorders>
              <w:bottom w:val="single" w:sz="8" w:color="auto"/>
            </w:tcBorders>
          </w:tcPr>
          <w:p>
            <w:pPr>
              <w:spacing w:after="0"/>
              <w:rPr>
                <w:sz w:val="9"/>
                <w:szCs w:val="9"/>
                <w:color w:val="auto"/>
              </w:rPr>
            </w:pPr>
          </w:p>
        </w:tc>
        <w:tc>
          <w:tcPr>
            <w:tcW w:w="1780" w:type="dxa"/>
            <w:vAlign w:val="bottom"/>
          </w:tcPr>
          <w:p>
            <w:pPr>
              <w:spacing w:after="0"/>
              <w:rPr>
                <w:sz w:val="9"/>
                <w:szCs w:val="9"/>
                <w:color w:val="auto"/>
              </w:rPr>
            </w:pPr>
          </w:p>
        </w:tc>
        <w:tc>
          <w:tcPr>
            <w:tcW w:w="1280" w:type="dxa"/>
            <w:vAlign w:val="bottom"/>
          </w:tcPr>
          <w:p>
            <w:pPr>
              <w:spacing w:after="0"/>
              <w:rPr>
                <w:sz w:val="9"/>
                <w:szCs w:val="9"/>
                <w:color w:val="auto"/>
              </w:rPr>
            </w:pPr>
          </w:p>
        </w:tc>
        <w:tc>
          <w:tcPr>
            <w:tcW w:w="300" w:type="dxa"/>
            <w:vAlign w:val="bottom"/>
          </w:tcPr>
          <w:p>
            <w:pPr>
              <w:spacing w:after="0"/>
              <w:rPr>
                <w:sz w:val="9"/>
                <w:szCs w:val="9"/>
                <w:color w:val="auto"/>
              </w:rPr>
            </w:pPr>
          </w:p>
        </w:tc>
        <w:tc>
          <w:tcPr>
            <w:tcW w:w="1300" w:type="dxa"/>
            <w:vAlign w:val="bottom"/>
          </w:tcPr>
          <w:p>
            <w:pPr>
              <w:spacing w:after="0"/>
              <w:rPr>
                <w:sz w:val="9"/>
                <w:szCs w:val="9"/>
                <w:color w:val="auto"/>
              </w:rPr>
            </w:pPr>
          </w:p>
        </w:tc>
        <w:tc>
          <w:tcPr>
            <w:tcW w:w="320" w:type="dxa"/>
            <w:vAlign w:val="bottom"/>
          </w:tcPr>
          <w:p>
            <w:pPr>
              <w:spacing w:after="0"/>
              <w:rPr>
                <w:sz w:val="9"/>
                <w:szCs w:val="9"/>
                <w:color w:val="auto"/>
              </w:rPr>
            </w:pPr>
          </w:p>
        </w:tc>
        <w:tc>
          <w:tcPr>
            <w:tcW w:w="1160" w:type="dxa"/>
            <w:vAlign w:val="bottom"/>
          </w:tcPr>
          <w:p>
            <w:pPr>
              <w:spacing w:after="0"/>
              <w:rPr>
                <w:sz w:val="9"/>
                <w:szCs w:val="9"/>
                <w:color w:val="auto"/>
              </w:rPr>
            </w:pPr>
          </w:p>
        </w:tc>
        <w:tc>
          <w:tcPr>
            <w:tcW w:w="300" w:type="dxa"/>
            <w:vAlign w:val="bottom"/>
          </w:tcPr>
          <w:p>
            <w:pPr>
              <w:spacing w:after="0"/>
              <w:rPr>
                <w:sz w:val="9"/>
                <w:szCs w:val="9"/>
                <w:color w:val="auto"/>
              </w:rPr>
            </w:pPr>
          </w:p>
        </w:tc>
      </w:tr>
    </w:tbl>
    <w:p>
      <w:pPr>
        <w:spacing w:after="0" w:line="221" w:lineRule="exact"/>
        <w:rPr>
          <w:sz w:val="20"/>
          <w:szCs w:val="20"/>
          <w:color w:val="auto"/>
        </w:rPr>
      </w:pPr>
    </w:p>
    <w:p>
      <w:pPr>
        <w:ind w:left="1680" w:hanging="531"/>
        <w:spacing w:after="0"/>
        <w:tabs>
          <w:tab w:leader="none" w:pos="1680" w:val="left"/>
        </w:tabs>
        <w:numPr>
          <w:ilvl w:val="0"/>
          <w:numId w:val="5"/>
        </w:numPr>
        <w:rPr>
          <w:rFonts w:ascii="Arial" w:cs="Arial" w:eastAsia="Arial" w:hAnsi="Arial"/>
          <w:sz w:val="18"/>
          <w:szCs w:val="18"/>
          <w:color w:val="auto"/>
        </w:rPr>
      </w:pPr>
      <w:r>
        <w:rPr>
          <w:rFonts w:ascii="Arial" w:cs="Arial" w:eastAsia="Arial" w:hAnsi="Arial"/>
          <w:sz w:val="18"/>
          <w:szCs w:val="18"/>
          <w:color w:val="auto"/>
        </w:rPr>
        <w:t>Change in median PFS not statistically significant from ACTIVATE and ACT II.</w:t>
      </w:r>
    </w:p>
    <w:p>
      <w:pPr>
        <w:spacing w:after="0" w:line="252" w:lineRule="exact"/>
        <w:rPr>
          <w:rFonts w:ascii="Arial" w:cs="Arial" w:eastAsia="Arial" w:hAnsi="Arial"/>
          <w:sz w:val="18"/>
          <w:szCs w:val="18"/>
          <w:color w:val="auto"/>
        </w:rPr>
      </w:pPr>
    </w:p>
    <w:p>
      <w:pPr>
        <w:ind w:left="1680" w:hanging="531"/>
        <w:spacing w:after="0"/>
        <w:tabs>
          <w:tab w:leader="none" w:pos="1680" w:val="left"/>
        </w:tabs>
        <w:numPr>
          <w:ilvl w:val="0"/>
          <w:numId w:val="5"/>
        </w:numPr>
        <w:rPr>
          <w:rFonts w:ascii="Arial" w:cs="Arial" w:eastAsia="Arial" w:hAnsi="Arial"/>
          <w:sz w:val="18"/>
          <w:szCs w:val="18"/>
          <w:color w:val="auto"/>
        </w:rPr>
      </w:pPr>
      <w:r>
        <w:rPr>
          <w:rFonts w:ascii="Arial" w:cs="Arial" w:eastAsia="Arial" w:hAnsi="Arial"/>
          <w:sz w:val="18"/>
          <w:szCs w:val="18"/>
          <w:color w:val="auto"/>
        </w:rPr>
        <w:t>Overall survival data for ACT III are estimated and not yet final.</w:t>
      </w:r>
    </w:p>
    <w:p>
      <w:pPr>
        <w:spacing w:after="0" w:line="238" w:lineRule="exact"/>
        <w:rPr>
          <w:rFonts w:ascii="Arial" w:cs="Arial" w:eastAsia="Arial" w:hAnsi="Arial"/>
          <w:sz w:val="18"/>
          <w:szCs w:val="18"/>
          <w:color w:val="auto"/>
        </w:rPr>
      </w:pPr>
    </w:p>
    <w:p>
      <w:pPr>
        <w:ind w:left="1680" w:right="40" w:hanging="531"/>
        <w:spacing w:after="0" w:line="259" w:lineRule="auto"/>
        <w:tabs>
          <w:tab w:leader="none" w:pos="1680" w:val="left"/>
        </w:tabs>
        <w:numPr>
          <w:ilvl w:val="0"/>
          <w:numId w:val="5"/>
        </w:numPr>
        <w:rPr>
          <w:rFonts w:ascii="Arial" w:cs="Arial" w:eastAsia="Arial" w:hAnsi="Arial"/>
          <w:sz w:val="18"/>
          <w:szCs w:val="18"/>
          <w:color w:val="auto"/>
        </w:rPr>
      </w:pPr>
      <w:r>
        <w:rPr>
          <w:rFonts w:ascii="Arial" w:cs="Arial" w:eastAsia="Arial" w:hAnsi="Arial"/>
          <w:sz w:val="18"/>
          <w:szCs w:val="18"/>
          <w:color w:val="auto"/>
        </w:rPr>
        <w:t>Sampson, et al. J. Clin. Oncol. 2010 Nov 1, 28(31), 4722-9. Historical controls were treated at M.D. Anderson and matched for eligibility (EGFRvIII-positive, KPS greater-than or equal to 80%, complete resection, radiation/TMZ and without progression through ~ 3 months post-diagnosis).</w:t>
      </w:r>
    </w:p>
    <w:p>
      <w:pPr>
        <w:spacing w:after="0" w:line="207" w:lineRule="exact"/>
        <w:rPr>
          <w:rFonts w:ascii="Arial" w:cs="Arial" w:eastAsia="Arial" w:hAnsi="Arial"/>
          <w:sz w:val="18"/>
          <w:szCs w:val="18"/>
          <w:color w:val="auto"/>
        </w:rPr>
      </w:pPr>
    </w:p>
    <w:p>
      <w:pPr>
        <w:ind w:left="1680" w:hanging="531"/>
        <w:spacing w:after="0"/>
        <w:tabs>
          <w:tab w:leader="none" w:pos="1680" w:val="left"/>
        </w:tabs>
        <w:numPr>
          <w:ilvl w:val="0"/>
          <w:numId w:val="5"/>
        </w:numPr>
        <w:rPr>
          <w:rFonts w:ascii="Arial" w:cs="Arial" w:eastAsia="Arial" w:hAnsi="Arial"/>
          <w:sz w:val="18"/>
          <w:szCs w:val="18"/>
          <w:color w:val="auto"/>
        </w:rPr>
      </w:pPr>
      <w:r>
        <w:rPr>
          <w:rFonts w:ascii="Arial" w:cs="Arial" w:eastAsia="Arial" w:hAnsi="Arial"/>
          <w:sz w:val="18"/>
          <w:szCs w:val="18"/>
          <w:color w:val="auto"/>
        </w:rPr>
        <w:t>Stupp, et al. N. Engl. J. Med. 2005, 352, 987-96.</w:t>
      </w:r>
    </w:p>
    <w:p>
      <w:pPr>
        <w:spacing w:after="0" w:line="225" w:lineRule="exact"/>
        <w:rPr>
          <w:sz w:val="20"/>
          <w:szCs w:val="20"/>
          <w:color w:val="auto"/>
        </w:rPr>
      </w:pPr>
    </w:p>
    <w:p>
      <w:pPr>
        <w:ind w:right="60" w:firstLine="351"/>
        <w:spacing w:after="0" w:line="283" w:lineRule="auto"/>
        <w:rPr>
          <w:sz w:val="20"/>
          <w:szCs w:val="20"/>
          <w:color w:val="auto"/>
        </w:rPr>
      </w:pPr>
      <w:r>
        <w:rPr>
          <w:rFonts w:ascii="Arial" w:cs="Arial" w:eastAsia="Arial" w:hAnsi="Arial"/>
          <w:sz w:val="16"/>
          <w:szCs w:val="16"/>
          <w:color w:val="auto"/>
        </w:rPr>
        <w:t>Importantly, rindopepimut showed a similar benefit in patients whether or not they expressed an active DNA repair gene (MGMT) that has been shown to limit the benefit from TMZ treatment. In ACT III, the number of patients who were expected to be resistant to the TMZ chemotherapy appeared to do better with vaccination than the numbers observed in the historical data. Patients who have an active DNA repair gene, MGMT (unmethylated), generally have a worse outcome, presumably because they do not gain much benefit from TMZ as reported in the literature. Patients with a methylated MGMT promoter in their tumor do not express MGMT and have a more favorable outcome to TMZ treatment. Patients with methylated tumors (n=25) that were treated with the rindopepimut regimen experienced a median PFS of 17.2 months, which compares favorably with the published data from the SOC of radiation plus TMZ (R+TMZ) of</w:t>
      </w:r>
    </w:p>
    <w:p>
      <w:pPr>
        <w:spacing w:after="0" w:line="1" w:lineRule="exact"/>
        <w:rPr>
          <w:sz w:val="20"/>
          <w:szCs w:val="20"/>
          <w:color w:val="auto"/>
        </w:rPr>
      </w:pPr>
    </w:p>
    <w:p>
      <w:pPr>
        <w:spacing w:after="0" w:line="323" w:lineRule="auto"/>
        <w:rPr>
          <w:sz w:val="20"/>
          <w:szCs w:val="20"/>
          <w:color w:val="auto"/>
        </w:rPr>
      </w:pPr>
      <w:r>
        <w:rPr>
          <w:rFonts w:ascii="Arial" w:cs="Arial" w:eastAsia="Arial" w:hAnsi="Arial"/>
          <w:sz w:val="16"/>
          <w:szCs w:val="16"/>
          <w:color w:val="auto"/>
        </w:rPr>
        <w:t>10.3 months. Those with unmethylated tumors (n=40) treated with the rindopepimut regimen experienced a PFS of 11.2 months, which compared favorably to the PFS with SOC of 5.3 months in this patient population. Thus, rindopepimut would appear to benefit both methylated and unmethylated MGMT patients.</w:t>
      </w:r>
    </w:p>
    <w:p>
      <w:pPr>
        <w:spacing w:after="0" w:line="147" w:lineRule="exact"/>
        <w:rPr>
          <w:sz w:val="20"/>
          <w:szCs w:val="20"/>
          <w:color w:val="auto"/>
        </w:rPr>
      </w:pPr>
    </w:p>
    <w:p>
      <w:pPr>
        <w:ind w:right="320" w:firstLine="351"/>
        <w:spacing w:after="0" w:line="268" w:lineRule="auto"/>
        <w:rPr>
          <w:sz w:val="20"/>
          <w:szCs w:val="20"/>
          <w:color w:val="auto"/>
        </w:rPr>
      </w:pPr>
      <w:r>
        <w:rPr>
          <w:rFonts w:ascii="Arial" w:cs="Arial" w:eastAsia="Arial" w:hAnsi="Arial"/>
          <w:sz w:val="18"/>
          <w:szCs w:val="18"/>
          <w:color w:val="auto"/>
        </w:rPr>
        <w:t>Based on ongoing discussions to date with the FDA, we are currently planning to initiate a pivotal Phase 3 randomized study of rindopepimut in patients with GBM in the second half of 2011.</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Glembatumumab Vedotin (CDX-011)</w:t>
      </w:r>
    </w:p>
    <w:p>
      <w:pPr>
        <w:spacing w:after="0" w:line="225" w:lineRule="exact"/>
        <w:rPr>
          <w:sz w:val="20"/>
          <w:szCs w:val="20"/>
          <w:color w:val="auto"/>
        </w:rPr>
      </w:pPr>
    </w:p>
    <w:p>
      <w:pPr>
        <w:ind w:right="260" w:firstLine="351"/>
        <w:spacing w:after="0" w:line="294" w:lineRule="auto"/>
        <w:rPr>
          <w:sz w:val="20"/>
          <w:szCs w:val="20"/>
          <w:color w:val="auto"/>
        </w:rPr>
      </w:pPr>
      <w:r>
        <w:rPr>
          <w:rFonts w:ascii="Arial" w:cs="Arial" w:eastAsia="Arial" w:hAnsi="Arial"/>
          <w:sz w:val="16"/>
          <w:szCs w:val="16"/>
          <w:color w:val="auto"/>
        </w:rPr>
        <w:t>CDX-011 is an antibody-drug conjugate (ADC) that consists of a fully-human monoclonal antibody, CR011, linked to a potent cell-killing drug, monomethyl-auristatin E (MMAE). The CR011 antibody specifically targets glycoprotein NMB or (GPNMB) that is expressed in a variety of human cancers including breast cancer and melanoma. The ADC technology, comprised of MMAE and a stable linker system for attaching it to CR011, was licensed from Seattle Genetics, Inc. The ADC is designed to be stable in the bloodstream. Following intravenous administration, CDX-011 targets and binds to GPNMB and upon internalization into the targeted cell, CDX-011 is designed to release MMAE from CR011 to produce a cell-killing effect.</w:t>
      </w:r>
    </w:p>
    <w:p>
      <w:pPr>
        <w:spacing w:after="0" w:line="164" w:lineRule="exact"/>
        <w:rPr>
          <w:sz w:val="20"/>
          <w:szCs w:val="20"/>
          <w:color w:val="auto"/>
        </w:rPr>
      </w:pPr>
    </w:p>
    <w:p>
      <w:pPr>
        <w:ind w:right="60" w:firstLine="348"/>
        <w:spacing w:after="0" w:line="339" w:lineRule="auto"/>
        <w:rPr>
          <w:sz w:val="20"/>
          <w:szCs w:val="20"/>
          <w:color w:val="auto"/>
        </w:rPr>
      </w:pPr>
      <w:r>
        <w:rPr>
          <w:rFonts w:ascii="Arial" w:cs="Arial" w:eastAsia="Arial" w:hAnsi="Arial"/>
          <w:sz w:val="16"/>
          <w:szCs w:val="16"/>
          <w:b w:val="1"/>
          <w:bCs w:val="1"/>
          <w:color w:val="auto"/>
        </w:rPr>
        <w:t xml:space="preserve">Treatment of Breast Cancer: </w:t>
      </w:r>
      <w:r>
        <w:rPr>
          <w:rFonts w:ascii="Arial" w:cs="Arial" w:eastAsia="Arial" w:hAnsi="Arial"/>
          <w:sz w:val="16"/>
          <w:szCs w:val="16"/>
          <w:color w:val="auto"/>
        </w:rPr>
        <w:t>In June 2008, an open-label, multi-center Phase 1/2 study was initiated of CDX-011 administered intravenously once every</w:t>
      </w:r>
      <w:r>
        <w:rPr>
          <w:rFonts w:ascii="Arial" w:cs="Arial" w:eastAsia="Arial" w:hAnsi="Arial"/>
          <w:sz w:val="16"/>
          <w:szCs w:val="16"/>
          <w:b w:val="1"/>
          <w:bCs w:val="1"/>
          <w:color w:val="auto"/>
        </w:rPr>
        <w:t xml:space="preserve"> </w:t>
      </w:r>
      <w:r>
        <w:rPr>
          <w:rFonts w:ascii="Arial" w:cs="Arial" w:eastAsia="Arial" w:hAnsi="Arial"/>
          <w:sz w:val="16"/>
          <w:szCs w:val="16"/>
          <w:color w:val="auto"/>
        </w:rPr>
        <w:t>three weeks to patients with locally advanced or metastatic breast cancer who have received prior therapy (median of seven prior</w:t>
      </w:r>
    </w:p>
    <w:p>
      <w:pPr>
        <w:spacing w:after="0" w:line="13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9" w:name="page10"/>
    <w:bookmarkEnd w:id="9"/>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ind w:right="280"/>
        <w:spacing w:after="0" w:line="268" w:lineRule="auto"/>
        <w:rPr>
          <w:sz w:val="20"/>
          <w:szCs w:val="20"/>
          <w:color w:val="auto"/>
        </w:rPr>
      </w:pPr>
      <w:r>
        <w:rPr>
          <w:rFonts w:ascii="Arial" w:cs="Arial" w:eastAsia="Arial" w:hAnsi="Arial"/>
          <w:sz w:val="18"/>
          <w:szCs w:val="18"/>
          <w:color w:val="auto"/>
        </w:rPr>
        <w:t>regimens). The study began with a bridging phase to confirm the maximum tolerated dose ("MTD") and then expanded into a Phase 2 open-label, multi-center study.</w:t>
      </w:r>
    </w:p>
    <w:p>
      <w:pPr>
        <w:spacing w:after="0" w:line="186" w:lineRule="exact"/>
        <w:rPr>
          <w:sz w:val="20"/>
          <w:szCs w:val="20"/>
          <w:color w:val="auto"/>
        </w:rPr>
      </w:pPr>
    </w:p>
    <w:p>
      <w:pPr>
        <w:ind w:right="40" w:firstLine="348"/>
        <w:spacing w:after="0" w:line="255" w:lineRule="auto"/>
        <w:rPr>
          <w:sz w:val="20"/>
          <w:szCs w:val="20"/>
          <w:color w:val="auto"/>
        </w:rPr>
      </w:pPr>
      <w:r>
        <w:rPr>
          <w:rFonts w:ascii="Arial" w:cs="Arial" w:eastAsia="Arial" w:hAnsi="Arial"/>
          <w:sz w:val="18"/>
          <w:szCs w:val="18"/>
          <w:color w:val="auto"/>
        </w:rPr>
        <w:t>The study confirmed the safety of CDX-011 at the pre-defined maximum dose level (1.88 mg/kg) in 6 patients. An additional 28 patients were enrolled as an expanded Phase 2 cohort (for a total of 34 treated patients at 1.88 mg/kg, the Phase 2 dose) to evaluate the PFS rate at 12 weeks. As previously seen in melanoma patients, the 1.88 mg/kg dose was well tolerated in this patient population with the most common adverse events of rash, alopecia, and fatigue. The primary activity endpoint, which called for at least 5 of 25 (20%) patients in the Phase 2 study portion to be progression-free at 12 weeks, was met as 9 of 26 (35%) evaluable patients were progression-free at 12 weeks.</w:t>
      </w:r>
    </w:p>
    <w:p>
      <w:pPr>
        <w:spacing w:after="0" w:line="197" w:lineRule="exact"/>
        <w:rPr>
          <w:sz w:val="20"/>
          <w:szCs w:val="20"/>
          <w:color w:val="auto"/>
        </w:rPr>
      </w:pPr>
    </w:p>
    <w:p>
      <w:pPr>
        <w:ind w:firstLine="351"/>
        <w:spacing w:after="0" w:line="284" w:lineRule="auto"/>
        <w:rPr>
          <w:sz w:val="20"/>
          <w:szCs w:val="20"/>
          <w:color w:val="auto"/>
        </w:rPr>
      </w:pPr>
      <w:r>
        <w:rPr>
          <w:rFonts w:ascii="Arial" w:cs="Arial" w:eastAsia="Arial" w:hAnsi="Arial"/>
          <w:sz w:val="16"/>
          <w:szCs w:val="16"/>
          <w:color w:val="auto"/>
        </w:rPr>
        <w:t>For all patients treated at the maximum dose level, tumor shrinkage was seen in 62% (16/26) and median PFS was 9.1 weeks. A subset of 10 patients had "triple negative disease," a more aggressive breast cancer subtype that carries a high risk of relapse and reduced survival as well as limited therapeutic options due to lack of over-expression of HER2/neu, estrogen and progesterone receptors. In these patients, 78% (7/9) had any tumor shrinkage, 12-week PFS rate was</w:t>
      </w:r>
    </w:p>
    <w:p>
      <w:pPr>
        <w:spacing w:after="0" w:line="1" w:lineRule="exact"/>
        <w:rPr>
          <w:sz w:val="20"/>
          <w:szCs w:val="20"/>
          <w:color w:val="auto"/>
        </w:rPr>
      </w:pPr>
    </w:p>
    <w:p>
      <w:pPr>
        <w:ind w:right="120"/>
        <w:spacing w:after="0" w:line="255" w:lineRule="auto"/>
        <w:rPr>
          <w:sz w:val="20"/>
          <w:szCs w:val="20"/>
          <w:color w:val="auto"/>
        </w:rPr>
      </w:pPr>
      <w:r>
        <w:rPr>
          <w:rFonts w:ascii="Arial" w:cs="Arial" w:eastAsia="Arial" w:hAnsi="Arial"/>
          <w:sz w:val="18"/>
          <w:szCs w:val="18"/>
          <w:color w:val="auto"/>
        </w:rPr>
        <w:t>70% (7/10), and median PFS was 17.9 weeks. Tumor samples from a subset of patients across all dose groups were analyzed for GPNMB expression. The tumor samples from most patients showed evidence of stromal and/or tumor cell expression of GPNMB. The most common treatment-related toxicities were fatigue, rash, nausea, alopecia (hair loss), neutropenia and vomiting.</w:t>
      </w:r>
    </w:p>
    <w:p>
      <w:pPr>
        <w:spacing w:after="0" w:line="198" w:lineRule="exact"/>
        <w:rPr>
          <w:sz w:val="20"/>
          <w:szCs w:val="20"/>
          <w:color w:val="auto"/>
        </w:rPr>
      </w:pPr>
    </w:p>
    <w:p>
      <w:pPr>
        <w:ind w:left="360"/>
        <w:spacing w:after="0"/>
        <w:rPr>
          <w:sz w:val="20"/>
          <w:szCs w:val="20"/>
          <w:color w:val="auto"/>
        </w:rPr>
      </w:pPr>
      <w:r>
        <w:rPr>
          <w:rFonts w:ascii="Arial" w:cs="Arial" w:eastAsia="Arial" w:hAnsi="Arial"/>
          <w:sz w:val="16"/>
          <w:szCs w:val="16"/>
          <w:color w:val="auto"/>
        </w:rPr>
        <w:t>In May 2010, the FDA granted Fast Track designation to CDX-011 for the treatment of advanced, refractory/resistant GPNMB-expressing breast cancer.</w:t>
      </w:r>
    </w:p>
    <w:p>
      <w:pPr>
        <w:spacing w:after="0" w:line="248" w:lineRule="exact"/>
        <w:rPr>
          <w:sz w:val="20"/>
          <w:szCs w:val="20"/>
          <w:color w:val="auto"/>
        </w:rPr>
      </w:pPr>
    </w:p>
    <w:p>
      <w:pPr>
        <w:ind w:right="160" w:firstLine="351"/>
        <w:spacing w:after="0" w:line="294" w:lineRule="auto"/>
        <w:rPr>
          <w:sz w:val="20"/>
          <w:szCs w:val="20"/>
          <w:color w:val="auto"/>
        </w:rPr>
      </w:pPr>
      <w:r>
        <w:rPr>
          <w:rFonts w:ascii="Arial" w:cs="Arial" w:eastAsia="Arial" w:hAnsi="Arial"/>
          <w:sz w:val="16"/>
          <w:szCs w:val="16"/>
          <w:color w:val="auto"/>
        </w:rPr>
        <w:t>In September 2010, we initiated a randomized Phase 2b controlled study in patients with heavily pre-treated, advanced breast cancer whose tumors are confirmed to express GPNMB via a validated, centralized diagnostic assay. We expect that a significant portion of the enrolled patients will have triple-negative disease, since GPNMB is frequently expressed in this patient population. Patients will be randomized (2:1) to receive either CDX-011 or single-agent "Investigator's Choice" chemotherapy. Activity endpoints will include objective response rate ("ORR"), PFS and OS. We expect to complete enrollment of 120 patients at approximately 20-25 clinical sites in the United States in 2011 with preliminary data expected in 2012.</w:t>
      </w:r>
    </w:p>
    <w:p>
      <w:pPr>
        <w:spacing w:after="0" w:line="164" w:lineRule="exact"/>
        <w:rPr>
          <w:sz w:val="20"/>
          <w:szCs w:val="20"/>
          <w:color w:val="auto"/>
        </w:rPr>
      </w:pPr>
    </w:p>
    <w:p>
      <w:pPr>
        <w:ind w:right="80" w:firstLine="348"/>
        <w:spacing w:after="0" w:line="256" w:lineRule="auto"/>
        <w:rPr>
          <w:sz w:val="20"/>
          <w:szCs w:val="20"/>
          <w:color w:val="auto"/>
        </w:rPr>
      </w:pPr>
      <w:r>
        <w:rPr>
          <w:rFonts w:ascii="Arial" w:cs="Arial" w:eastAsia="Arial" w:hAnsi="Arial"/>
          <w:sz w:val="18"/>
          <w:szCs w:val="18"/>
          <w:b w:val="1"/>
          <w:bCs w:val="1"/>
          <w:color w:val="auto"/>
        </w:rPr>
        <w:t xml:space="preserve">Treatment of Metastatic Melanoma: </w:t>
      </w:r>
      <w:r>
        <w:rPr>
          <w:rFonts w:ascii="Arial" w:cs="Arial" w:eastAsia="Arial" w:hAnsi="Arial"/>
          <w:sz w:val="18"/>
          <w:szCs w:val="18"/>
          <w:color w:val="auto"/>
        </w:rPr>
        <w:t>In June 2006, a Phase 1/2 open-label, multi-center, dose escalation study was initiated to evaluate the safety,</w:t>
      </w:r>
      <w:r>
        <w:rPr>
          <w:rFonts w:ascii="Arial" w:cs="Arial" w:eastAsia="Arial" w:hAnsi="Arial"/>
          <w:sz w:val="18"/>
          <w:szCs w:val="18"/>
          <w:b w:val="1"/>
          <w:bCs w:val="1"/>
          <w:color w:val="auto"/>
        </w:rPr>
        <w:t xml:space="preserve"> </w:t>
      </w:r>
      <w:r>
        <w:rPr>
          <w:rFonts w:ascii="Arial" w:cs="Arial" w:eastAsia="Arial" w:hAnsi="Arial"/>
          <w:sz w:val="18"/>
          <w:szCs w:val="18"/>
          <w:color w:val="auto"/>
        </w:rPr>
        <w:t>tolerability and pharmacokinetics of CDX-011 for patients with un-resectable Stage III or Stage IV melanoma who have failed no more than one prior line of cytotoxic therapy. A total of 117 patients were enrolled in this trial. The trial initially evaluated doses of CDX-011 between 0.03 mg/kg to 2.63 mg/kg given once every three weeks. CDX-011 was generally well tolerated, with rash and neutropenia emerging at higher doses. The MTD was determined to be 1.88 mg/kg administered intravenously (IV) once every three weeks.</w:t>
      </w:r>
    </w:p>
    <w:p>
      <w:pPr>
        <w:spacing w:after="0" w:line="199" w:lineRule="exact"/>
        <w:rPr>
          <w:sz w:val="20"/>
          <w:szCs w:val="20"/>
          <w:color w:val="auto"/>
        </w:rPr>
      </w:pPr>
    </w:p>
    <w:p>
      <w:pPr>
        <w:ind w:right="80" w:firstLine="348"/>
        <w:spacing w:after="0" w:line="259" w:lineRule="auto"/>
        <w:rPr>
          <w:sz w:val="20"/>
          <w:szCs w:val="20"/>
          <w:color w:val="auto"/>
        </w:rPr>
      </w:pPr>
      <w:r>
        <w:rPr>
          <w:rFonts w:ascii="Arial" w:cs="Arial" w:eastAsia="Arial" w:hAnsi="Arial"/>
          <w:sz w:val="18"/>
          <w:szCs w:val="18"/>
          <w:color w:val="auto"/>
        </w:rPr>
        <w:t>The study achieved its primary activity objective with an ORR in the Phase 2 cohort of 15% (5/34). Median PFS was 3.9 months. CDX-011 was found to be active in advanced melanoma patients in the study. The most frequent treatment-related adverse events included rash, fatigue, alopecia (hair loss), pruritus, diarrhea and neuropathy.</w:t>
      </w:r>
    </w:p>
    <w:p>
      <w:pPr>
        <w:spacing w:after="0" w:line="194" w:lineRule="exact"/>
        <w:rPr>
          <w:sz w:val="20"/>
          <w:szCs w:val="20"/>
          <w:color w:val="auto"/>
        </w:rPr>
      </w:pPr>
    </w:p>
    <w:p>
      <w:pPr>
        <w:ind w:firstLine="351"/>
        <w:spacing w:after="0" w:line="256" w:lineRule="auto"/>
        <w:rPr>
          <w:sz w:val="20"/>
          <w:szCs w:val="20"/>
          <w:color w:val="auto"/>
        </w:rPr>
      </w:pPr>
      <w:r>
        <w:rPr>
          <w:rFonts w:ascii="Arial" w:cs="Arial" w:eastAsia="Arial" w:hAnsi="Arial"/>
          <w:sz w:val="18"/>
          <w:szCs w:val="18"/>
          <w:color w:val="auto"/>
        </w:rPr>
        <w:t>More frequent dosing schedules of CDX-011 were also evaluated, including a weekly and a two out of every three-week regimen, to explore if more frequent administration can provide additional activity in patients with metastatic melanoma. Doses of 1.0 mg/kg given once every week and 1.5 mg/kg given for two out of three weeks were identified as the MTD in each schedule. The response rate was observed to be 20% and 33%, respectively. This increased activity was accompanied by increased toxicity.</w:t>
      </w:r>
    </w:p>
    <w:p>
      <w:pPr>
        <w:spacing w:after="0" w:line="197" w:lineRule="exact"/>
        <w:rPr>
          <w:sz w:val="20"/>
          <w:szCs w:val="20"/>
          <w:color w:val="auto"/>
        </w:rPr>
      </w:pPr>
    </w:p>
    <w:p>
      <w:pPr>
        <w:ind w:right="40" w:firstLine="351"/>
        <w:spacing w:after="0" w:line="268" w:lineRule="auto"/>
        <w:rPr>
          <w:sz w:val="20"/>
          <w:szCs w:val="20"/>
          <w:color w:val="auto"/>
        </w:rPr>
      </w:pPr>
      <w:r>
        <w:rPr>
          <w:rFonts w:ascii="Arial" w:cs="Arial" w:eastAsia="Arial" w:hAnsi="Arial"/>
          <w:sz w:val="18"/>
          <w:szCs w:val="18"/>
          <w:color w:val="auto"/>
        </w:rPr>
        <w:t>In the subset of patients with tumor biopsies, high levels of tumor expression of GPNMB appeared to correlate with favorable outcome. In the seven patients whose tumors were found to express high</w:t>
      </w:r>
    </w:p>
    <w:p>
      <w:pPr>
        <w:spacing w:after="0" w:line="1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0" w:name="page11"/>
    <w:bookmarkEnd w:id="10"/>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ind w:right="160"/>
        <w:spacing w:after="0" w:line="268" w:lineRule="auto"/>
        <w:rPr>
          <w:sz w:val="20"/>
          <w:szCs w:val="20"/>
          <w:color w:val="auto"/>
        </w:rPr>
      </w:pPr>
      <w:r>
        <w:rPr>
          <w:rFonts w:ascii="Arial" w:cs="Arial" w:eastAsia="Arial" w:hAnsi="Arial"/>
          <w:sz w:val="18"/>
          <w:szCs w:val="18"/>
          <w:color w:val="auto"/>
        </w:rPr>
        <w:t>amounts of GPNMB, and who were treated at the maximum tolerated doses across all dosing schedules, median PFS was 4.9 months. The development of rash, which may be associated with the presence of GPNMB in the skin also seemed to correlate with greater PFS.</w:t>
      </w:r>
    </w:p>
    <w:p>
      <w:pPr>
        <w:spacing w:after="0" w:line="186" w:lineRule="exact"/>
        <w:rPr>
          <w:sz w:val="20"/>
          <w:szCs w:val="20"/>
          <w:color w:val="auto"/>
        </w:rPr>
      </w:pPr>
    </w:p>
    <w:p>
      <w:pPr>
        <w:jc w:val="both"/>
        <w:ind w:right="200" w:firstLine="351"/>
        <w:spacing w:after="0" w:line="259" w:lineRule="auto"/>
        <w:rPr>
          <w:sz w:val="20"/>
          <w:szCs w:val="20"/>
          <w:color w:val="auto"/>
        </w:rPr>
      </w:pPr>
      <w:r>
        <w:rPr>
          <w:rFonts w:ascii="Arial" w:cs="Arial" w:eastAsia="Arial" w:hAnsi="Arial"/>
          <w:sz w:val="18"/>
          <w:szCs w:val="18"/>
          <w:color w:val="auto"/>
        </w:rPr>
        <w:t>Melanoma is a difficult disease to work with and, at this point in time, our intention is to first focus our resources on advancing CDX-011 in breast cancer. We intend to conduct additional Phase 2 development of CDX-011 in combination with other therapies in investigator sponsored studies to further develop this product candidate in melanoma.</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CDX-1307</w:t>
      </w:r>
    </w:p>
    <w:p>
      <w:pPr>
        <w:spacing w:after="0" w:line="225" w:lineRule="exact"/>
        <w:rPr>
          <w:sz w:val="20"/>
          <w:szCs w:val="20"/>
          <w:color w:val="auto"/>
        </w:rPr>
      </w:pPr>
    </w:p>
    <w:p>
      <w:pPr>
        <w:ind w:right="20" w:firstLine="351"/>
        <w:spacing w:after="0" w:line="298" w:lineRule="auto"/>
        <w:rPr>
          <w:sz w:val="20"/>
          <w:szCs w:val="20"/>
          <w:color w:val="auto"/>
        </w:rPr>
      </w:pPr>
      <w:r>
        <w:rPr>
          <w:rFonts w:ascii="Arial" w:cs="Arial" w:eastAsia="Arial" w:hAnsi="Arial"/>
          <w:sz w:val="16"/>
          <w:szCs w:val="16"/>
          <w:color w:val="auto"/>
        </w:rPr>
        <w:t>Our lead APC Targeting Technology™ product candidate, CDX-1307, is in development for the treatment of epithelial tumors such as colorectal, pancreatic, bladder, ovarian and breast cancers. CDX-1307 targets the beta chain of human chorionic gonadotropin, known as hCG-Beta, which is an antigen often found in epithelial tumors. The presence of hCG-Beta in these cancers correlates with a poor clinical outcome, suggesting that this molecule may contribute to tumor growth. Normal adult tissues have minimal expression of hCG-Beta; therefore, targeted immune responses are not expected to generate significant side effects.</w:t>
      </w:r>
    </w:p>
    <w:p>
      <w:pPr>
        <w:spacing w:after="0" w:line="167" w:lineRule="exact"/>
        <w:rPr>
          <w:sz w:val="20"/>
          <w:szCs w:val="20"/>
          <w:color w:val="auto"/>
        </w:rPr>
      </w:pPr>
    </w:p>
    <w:p>
      <w:pPr>
        <w:ind w:firstLine="348"/>
        <w:spacing w:after="0" w:line="255" w:lineRule="auto"/>
        <w:rPr>
          <w:sz w:val="20"/>
          <w:szCs w:val="20"/>
          <w:color w:val="auto"/>
        </w:rPr>
      </w:pPr>
      <w:r>
        <w:rPr>
          <w:rFonts w:ascii="Arial" w:cs="Arial" w:eastAsia="Arial" w:hAnsi="Arial"/>
          <w:sz w:val="18"/>
          <w:szCs w:val="18"/>
          <w:color w:val="auto"/>
        </w:rPr>
        <w:t>The Phase 1 studies are complete. The Phase 1 studies investigated the safety and immunogenicity of CDX-1307 alone and in combination with adjuvants, including GM-CSF (known to increase mannose receptor expression on dendritic cells) and Toll-Like Receptor ("TLR") agonists (poly-ICLC or Hiltonol™ and R848 or resiquimod). Patients with an assortment of different tumor types that are known to express hCG-Beta were enrolled with retrospective analysis for hCG-Beta expression. A regimen of every two week dosing for four doses was utilized with the possibility of retreatment if patients demonstrate tumor regression or stable disease.</w:t>
      </w:r>
    </w:p>
    <w:p>
      <w:pPr>
        <w:spacing w:after="0" w:line="197" w:lineRule="exact"/>
        <w:rPr>
          <w:sz w:val="20"/>
          <w:szCs w:val="20"/>
          <w:color w:val="auto"/>
        </w:rPr>
      </w:pPr>
    </w:p>
    <w:p>
      <w:pPr>
        <w:ind w:right="80" w:firstLine="348"/>
        <w:spacing w:after="0" w:line="302" w:lineRule="auto"/>
        <w:rPr>
          <w:sz w:val="20"/>
          <w:szCs w:val="20"/>
          <w:color w:val="auto"/>
        </w:rPr>
      </w:pPr>
      <w:r>
        <w:rPr>
          <w:rFonts w:ascii="Arial" w:cs="Arial" w:eastAsia="Arial" w:hAnsi="Arial"/>
          <w:sz w:val="15"/>
          <w:szCs w:val="15"/>
          <w:color w:val="auto"/>
        </w:rPr>
        <w:t>The Phase 1 studies enrolled over 80 patients with heavily pretreated, advanced-stage colorectal, breast, pancreatic, bladder/ureteral, ovarian and testicular cancer. All patient cohorts demonstrated a favorable safety profile with no dose limiting toxicity. The combination of CDX-1307 with TLR agonists significantly enhanced immune responses against hCG-Beta. Immune responses occurred even in the presence of high circulating levels of hCG-Beta, suggesting that the CDX-1307 can overcome antigen tolerance in advanced and heavily pretreated cancers. Nine patients in the studies experienced disease stabilization from</w:t>
      </w:r>
    </w:p>
    <w:p>
      <w:pPr>
        <w:spacing w:after="0" w:line="3" w:lineRule="exact"/>
        <w:rPr>
          <w:sz w:val="20"/>
          <w:szCs w:val="20"/>
          <w:color w:val="auto"/>
        </w:rPr>
      </w:pPr>
    </w:p>
    <w:p>
      <w:pPr>
        <w:ind w:right="540"/>
        <w:spacing w:after="0" w:line="261" w:lineRule="auto"/>
        <w:rPr>
          <w:sz w:val="20"/>
          <w:szCs w:val="20"/>
          <w:color w:val="auto"/>
        </w:rPr>
      </w:pPr>
      <w:r>
        <w:rPr>
          <w:rFonts w:ascii="Arial" w:cs="Arial" w:eastAsia="Arial" w:hAnsi="Arial"/>
          <w:sz w:val="18"/>
          <w:szCs w:val="18"/>
          <w:color w:val="auto"/>
        </w:rPr>
        <w:t>2.3 months to 16 months following the initiation of CDX-1307 vaccination. These data provide the basis for advancing CDX-1307 into a front-line patient population selected for hCG-Beta-expressing cancers.</w:t>
      </w:r>
    </w:p>
    <w:p>
      <w:pPr>
        <w:spacing w:after="0" w:line="192" w:lineRule="exact"/>
        <w:rPr>
          <w:sz w:val="20"/>
          <w:szCs w:val="20"/>
          <w:color w:val="auto"/>
        </w:rPr>
      </w:pPr>
    </w:p>
    <w:p>
      <w:pPr>
        <w:ind w:right="440" w:firstLine="351"/>
        <w:spacing w:after="0" w:line="268" w:lineRule="auto"/>
        <w:rPr>
          <w:sz w:val="20"/>
          <w:szCs w:val="20"/>
          <w:color w:val="auto"/>
        </w:rPr>
      </w:pPr>
      <w:r>
        <w:rPr>
          <w:rFonts w:ascii="Arial" w:cs="Arial" w:eastAsia="Arial" w:hAnsi="Arial"/>
          <w:sz w:val="18"/>
          <w:szCs w:val="18"/>
          <w:color w:val="auto"/>
        </w:rPr>
        <w:t>In May 2010, we initiated a 60 patient randomized (1:1) Phase 2 controlled study to evaluate the CDX-1307 regimen in both neoadjuvant and adjuvant settings in patients with newly diagnosed muscle-invasive bladder cancers that express hCG-Beta.</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CDX-1401</w:t>
      </w:r>
    </w:p>
    <w:p>
      <w:pPr>
        <w:spacing w:after="0" w:line="225" w:lineRule="exact"/>
        <w:rPr>
          <w:sz w:val="20"/>
          <w:szCs w:val="20"/>
          <w:color w:val="auto"/>
        </w:rPr>
      </w:pPr>
    </w:p>
    <w:p>
      <w:pPr>
        <w:ind w:right="40" w:firstLine="351"/>
        <w:spacing w:after="0" w:line="290" w:lineRule="auto"/>
        <w:rPr>
          <w:sz w:val="20"/>
          <w:szCs w:val="20"/>
          <w:color w:val="auto"/>
        </w:rPr>
      </w:pPr>
      <w:r>
        <w:rPr>
          <w:rFonts w:ascii="Arial" w:cs="Arial" w:eastAsia="Arial" w:hAnsi="Arial"/>
          <w:sz w:val="16"/>
          <w:szCs w:val="16"/>
          <w:color w:val="auto"/>
        </w:rPr>
        <w:t>CDX-1401, also developed from the APC Targeting Technology, is a fusion protein consisting of a fully human monoclonal antibody with specificity for the dendritic cell receptor, DEC-205, linked to the NY-ESO-1 tumor antigen. In humans, NY-ESO-1 has been detected in 20 - 30% of all melanoma, lung, esophageal, liver, gastric, prostate, ovarian and bladder cancers, thus representing a broad opportunity. This product is intended to selectively deliver the NY-ESO-1 antigen to APCs for generating robust immune responses against cancer cells expressing NY-ESO-1. Unlike CDX-1307, which targets the mannose receptor expressing dendritic cells, CDX-1401 is the first APC product targeting DEC-205 expressing dendritic cells. We are developing CDX-1401 for the treatment of malignant melanoma and a variety of solid tumors which express the proprietary cancer antigen NY-ESO-1, which we licensed from the Ludwig Institute for Cancer Research in 2006. We believe that</w:t>
      </w:r>
    </w:p>
    <w:p>
      <w:pPr>
        <w:spacing w:after="0" w:line="17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11" w:name="page12"/>
    <w:bookmarkEnd w:id="11"/>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spacing w:after="0"/>
        <w:rPr>
          <w:sz w:val="20"/>
          <w:szCs w:val="20"/>
          <w:color w:val="auto"/>
        </w:rPr>
      </w:pPr>
      <w:r>
        <w:rPr>
          <w:rFonts w:ascii="Arial" w:cs="Arial" w:eastAsia="Arial" w:hAnsi="Arial"/>
          <w:sz w:val="18"/>
          <w:szCs w:val="18"/>
          <w:color w:val="auto"/>
        </w:rPr>
        <w:t>preclinical studies have shown that CDX-1401 is effective for activation of human T-cell responses against NY-ESO-1.</w:t>
      </w:r>
    </w:p>
    <w:p>
      <w:pPr>
        <w:spacing w:after="0" w:line="225" w:lineRule="exact"/>
        <w:rPr>
          <w:sz w:val="20"/>
          <w:szCs w:val="20"/>
          <w:color w:val="auto"/>
        </w:rPr>
      </w:pPr>
    </w:p>
    <w:p>
      <w:pPr>
        <w:ind w:right="60" w:firstLine="351"/>
        <w:spacing w:after="0" w:line="256" w:lineRule="auto"/>
        <w:rPr>
          <w:sz w:val="20"/>
          <w:szCs w:val="20"/>
          <w:color w:val="auto"/>
        </w:rPr>
      </w:pPr>
      <w:r>
        <w:rPr>
          <w:rFonts w:ascii="Arial" w:cs="Arial" w:eastAsia="Arial" w:hAnsi="Arial"/>
          <w:sz w:val="18"/>
          <w:szCs w:val="18"/>
          <w:color w:val="auto"/>
        </w:rPr>
        <w:t>In September 2009, we initiated enrollment in a dose-escalating Phase 1/2 clinical trial aimed at determining the optimal dose for further development based on the safety, tolerability, and immunogenicity of the CDX-1401 vaccine. The trial will evaluate three different doses of the vaccine in combination with TLR agonists poly-ICLC or Hiltonol™ and/or R848 or resiquimod. We expect to enroll approximately 50 patients with solid tumor cancers at multiple clinical sites in the United States.</w:t>
      </w:r>
    </w:p>
    <w:p>
      <w:pPr>
        <w:spacing w:after="0" w:line="197" w:lineRule="exact"/>
        <w:rPr>
          <w:sz w:val="20"/>
          <w:szCs w:val="20"/>
          <w:color w:val="auto"/>
        </w:rPr>
      </w:pPr>
    </w:p>
    <w:p>
      <w:pPr>
        <w:ind w:right="20" w:firstLine="351"/>
        <w:spacing w:after="0" w:line="291" w:lineRule="auto"/>
        <w:rPr>
          <w:sz w:val="20"/>
          <w:szCs w:val="20"/>
          <w:color w:val="auto"/>
        </w:rPr>
      </w:pPr>
      <w:r>
        <w:rPr>
          <w:rFonts w:ascii="Arial" w:cs="Arial" w:eastAsia="Arial" w:hAnsi="Arial"/>
          <w:sz w:val="16"/>
          <w:szCs w:val="16"/>
          <w:color w:val="auto"/>
        </w:rPr>
        <w:t>In October 2010, we announced interim data for the first 20 patients enrolled in the study, 35% of whom had confirmed NY-ESO-1 expression. The interim data showed that six patients maintained stable disease and were eligible for multiple cycles of the treatment regimen, including 4 patients who have received 3 or more cycles (6 weeks of treatment followed by a 6 week rest), with stable disease of up to 11.5+ months. The treatment was well tolerated and there were no dose-limiting toxicities. Robust anti-NY-ESO-1 immunity was induced with the majority of the patients developing anti-NY-ESO-1 antibody responses and 39% of the patients having increases in NY-ESO-1 specific T cell responses, including both CD4 and CD8 responses. Importantly, the T cell responses were directed against multiple regions of the NY-ESO-1 antigen.</w:t>
      </w:r>
    </w:p>
    <w:p>
      <w:pPr>
        <w:spacing w:after="0" w:line="16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Preclinical and Other Development Programs</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CDX-301</w:t>
      </w:r>
    </w:p>
    <w:p>
      <w:pPr>
        <w:spacing w:after="0" w:line="225" w:lineRule="exact"/>
        <w:rPr>
          <w:sz w:val="20"/>
          <w:szCs w:val="20"/>
          <w:color w:val="auto"/>
        </w:rPr>
      </w:pPr>
    </w:p>
    <w:p>
      <w:pPr>
        <w:ind w:firstLine="351"/>
        <w:spacing w:after="0" w:line="254" w:lineRule="auto"/>
        <w:rPr>
          <w:sz w:val="20"/>
          <w:szCs w:val="20"/>
          <w:color w:val="auto"/>
        </w:rPr>
      </w:pPr>
      <w:r>
        <w:rPr>
          <w:rFonts w:ascii="Arial" w:cs="Arial" w:eastAsia="Arial" w:hAnsi="Arial"/>
          <w:sz w:val="18"/>
          <w:szCs w:val="18"/>
          <w:color w:val="auto"/>
        </w:rPr>
        <w:t>CDX-301 is a FMS-like tyrosine kinase 3 ligand (Flt3L) that we licensed from Amgen in March 2009. CDX-301 is a growth factor for stem cells and immune cells called dendritic cells. Based on previous experience with this molecule, we believe that CDX-301 has considerable opportunity in various transplant settings as a stem cell mobilizing agent. In addition, CDX-301 is an immune modulating molecule that increases the numbers and activity of specific types of immune cells. We believe CDX-301 has significant opportunity for synergistic development in combination with proprietary molecules in our portfolio. In March 2011, we filed an Investigational New Drug ("IND") application for CDX-301. We are in discussions with collaborators to initiate clinical development with a Phase 1 study in healthy volunteers.</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CDX-1127</w:t>
      </w:r>
    </w:p>
    <w:p>
      <w:pPr>
        <w:spacing w:after="0" w:line="225" w:lineRule="exact"/>
        <w:rPr>
          <w:sz w:val="20"/>
          <w:szCs w:val="20"/>
          <w:color w:val="auto"/>
        </w:rPr>
      </w:pPr>
    </w:p>
    <w:p>
      <w:pPr>
        <w:ind w:firstLine="348"/>
        <w:spacing w:after="0" w:line="290" w:lineRule="auto"/>
        <w:rPr>
          <w:sz w:val="20"/>
          <w:szCs w:val="20"/>
          <w:color w:val="auto"/>
        </w:rPr>
      </w:pPr>
      <w:r>
        <w:rPr>
          <w:rFonts w:ascii="Arial" w:cs="Arial" w:eastAsia="Arial" w:hAnsi="Arial"/>
          <w:sz w:val="16"/>
          <w:szCs w:val="16"/>
          <w:color w:val="auto"/>
        </w:rPr>
        <w:t>We have entered into a License Agreement with the University of Southampton, UK, to develop human antibodies to CD27, a potentially important target for immunotherapy of various cancers. In preclinical models, antibodies to CD27 alone have been shown to mediate anti-tumor effects, and may be particularly effective in combination with other immunotherapy. CD27 is a critical molecule in the activation pathway of lymphocytes. It acts downstream from CD40 and may provide a novel way to regulate the immune responses. In September 2010, we exercised an option under our Research and Commercialization Agreement with Medarex, whereby we have a commercial license to the human antibody technology specifically for our CD27 antibody. Preclinical models with our human monoclonal antibody to CD27 have demonstrated immune cell activation and anti-tumor responses. We expect to file an IND application for a dose escalation Phase 1 study during the fourth quarter of 2011 after completing required preclinical toxicology studies.</w:t>
      </w:r>
    </w:p>
    <w:p>
      <w:pPr>
        <w:spacing w:after="0" w:line="17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CDX-014</w:t>
      </w:r>
    </w:p>
    <w:p>
      <w:pPr>
        <w:spacing w:after="0" w:line="225" w:lineRule="exact"/>
        <w:rPr>
          <w:sz w:val="20"/>
          <w:szCs w:val="20"/>
          <w:color w:val="auto"/>
        </w:rPr>
      </w:pPr>
    </w:p>
    <w:p>
      <w:pPr>
        <w:jc w:val="both"/>
        <w:ind w:right="160" w:firstLine="351"/>
        <w:spacing w:after="0" w:line="259" w:lineRule="auto"/>
        <w:rPr>
          <w:sz w:val="20"/>
          <w:szCs w:val="20"/>
          <w:color w:val="auto"/>
        </w:rPr>
      </w:pPr>
      <w:r>
        <w:rPr>
          <w:rFonts w:ascii="Arial" w:cs="Arial" w:eastAsia="Arial" w:hAnsi="Arial"/>
          <w:sz w:val="18"/>
          <w:szCs w:val="18"/>
          <w:color w:val="auto"/>
        </w:rPr>
        <w:t>CDX-014 is a fully-human monoclonal ADC that targets TIM-1, an immunomudulatory protein that appears to down regulate immune response to tumors. The antibody, CDX-014, is linked to a potent chemotherapeutic, monomethyl auristatin E (MMAE), using Seattle Genetics' proprietary technology. The ADC is designed to be stable in the bloodstream, but to release MMAE upon</w:t>
      </w:r>
    </w:p>
    <w:p>
      <w:pPr>
        <w:spacing w:after="0" w:line="19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2" w:name="page13"/>
    <w:bookmarkEnd w:id="12"/>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ind w:right="80"/>
        <w:spacing w:after="0" w:line="268" w:lineRule="auto"/>
        <w:rPr>
          <w:sz w:val="20"/>
          <w:szCs w:val="20"/>
          <w:color w:val="auto"/>
        </w:rPr>
      </w:pPr>
      <w:r>
        <w:rPr>
          <w:rFonts w:ascii="Arial" w:cs="Arial" w:eastAsia="Arial" w:hAnsi="Arial"/>
          <w:sz w:val="18"/>
          <w:szCs w:val="18"/>
          <w:color w:val="auto"/>
        </w:rPr>
        <w:t>internalization into TIM-1-expressing tumor cells, resulting in a targeted cell-killing effect. CDX-014 has shown potent activity in preclinical models of ovarian and renal cancer.</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CDX-1135</w:t>
      </w:r>
    </w:p>
    <w:p>
      <w:pPr>
        <w:spacing w:after="0" w:line="225" w:lineRule="exact"/>
        <w:rPr>
          <w:sz w:val="20"/>
          <w:szCs w:val="20"/>
          <w:color w:val="auto"/>
        </w:rPr>
      </w:pPr>
    </w:p>
    <w:p>
      <w:pPr>
        <w:ind w:firstLine="351"/>
        <w:spacing w:after="0" w:line="289" w:lineRule="auto"/>
        <w:rPr>
          <w:sz w:val="20"/>
          <w:szCs w:val="20"/>
          <w:color w:val="auto"/>
        </w:rPr>
      </w:pPr>
      <w:r>
        <w:rPr>
          <w:rFonts w:ascii="Arial" w:cs="Arial" w:eastAsia="Arial" w:hAnsi="Arial"/>
          <w:sz w:val="16"/>
          <w:szCs w:val="16"/>
          <w:color w:val="auto"/>
        </w:rPr>
        <w:t>CDX-1135 is a molecule that inhibits a part of the immune system called the complement system. The complement system is a series of proteins that are important initiators of the body's acute inflammatory response against disease, infection and injury. Excessive complement activation also plays a role in some persistent inflammatory conditions. CDX-1135 is a soluble form of naturally occurring Complement Receptor 1 that inhibits the activation of the complement cascade in animal models and in human clinical trials. We believe that regulating the complement system could have therapeutic and prophylactic applications in several acute and chronic conditions, including organ transplantation, multiple sclerosis, rheumatoid arthritis, age-related macular degeneration ("AMD"), atypical Hemolytic Uremic Syndrome ("aHUS"), Paroxysmal Nocturnal Hemaglobinuria ("PNH"), Dense Deposit Disease ("DDD") in kidneys, and myasthenia gravis. We are currently defining the most appropriate clinical development path for CDX-1135 and are focusing on rare disease conditions of unregulated complement activation as the fastest route to FDA approval.</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Development Strategy</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Precision Targeted Immunotherapy Platform: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836930</wp:posOffset>
            </wp:positionH>
            <wp:positionV relativeFrom="paragraph">
              <wp:posOffset>148590</wp:posOffset>
            </wp:positionV>
            <wp:extent cx="5582920" cy="422783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5582920" cy="42278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20"/>
          </w:cols>
          <w:pgMar w:left="240" w:top="131" w:right="339" w:bottom="1440" w:gutter="0" w:footer="0" w:header="0"/>
        </w:sectPr>
      </w:pPr>
    </w:p>
    <w:bookmarkStart w:id="13" w:name="page14"/>
    <w:bookmarkEnd w:id="13"/>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firstLine="348"/>
        <w:spacing w:after="0" w:line="310" w:lineRule="auto"/>
        <w:rPr>
          <w:sz w:val="20"/>
          <w:szCs w:val="20"/>
          <w:color w:val="auto"/>
        </w:rPr>
      </w:pPr>
      <w:r>
        <w:rPr>
          <w:rFonts w:ascii="Arial" w:cs="Arial" w:eastAsia="Arial" w:hAnsi="Arial"/>
          <w:sz w:val="15"/>
          <w:szCs w:val="15"/>
          <w:color w:val="auto"/>
        </w:rPr>
        <w:t>We believe there is tremendous untapped potential in immunotherapy that can be exploited through the right combination of therapeutic agents. Our industry has traditionally taken biologics that mediate effective cancer regression in mice and expected similar results in humans. There are many explanations why this strategy often does not succeed, but the most important is that immunotherapy has difficulties when following standard drug development. The mechanism of action is complex, activity is generally not dependent on highest tolerated dose, and patient response is highly variable. Our new understanding of the immune system, cancer's effect on immune mediated mechanisms, and the impact of conventional therapies on the immune system provides a new rationale for combining therapies that may lead to significant clinical responses. The concept of Precision Targeted Immunotherapy is to exploit this knowledge and the availability of good products that may not be sufficiently effective to be commercialized as a monotherapy, but which we believe may be very effective in combination approaches. Our goal is to develop products that maximize the efficacy of immunotherapy regimens through combinations of therapeutic agents. This includes:</w:t>
      </w:r>
    </w:p>
    <w:p>
      <w:pPr>
        <w:spacing w:after="0" w:line="156" w:lineRule="exact"/>
        <w:rPr>
          <w:sz w:val="20"/>
          <w:szCs w:val="20"/>
          <w:color w:val="auto"/>
        </w:rPr>
      </w:pPr>
    </w:p>
    <w:p>
      <w:pPr>
        <w:ind w:firstLine="348"/>
        <w:spacing w:after="0" w:line="254" w:lineRule="auto"/>
        <w:rPr>
          <w:sz w:val="20"/>
          <w:szCs w:val="20"/>
          <w:color w:val="auto"/>
        </w:rPr>
      </w:pPr>
      <w:r>
        <w:rPr>
          <w:rFonts w:ascii="Arial" w:cs="Arial" w:eastAsia="Arial" w:hAnsi="Arial"/>
          <w:sz w:val="18"/>
          <w:szCs w:val="18"/>
          <w:b w:val="1"/>
          <w:bCs w:val="1"/>
          <w:color w:val="auto"/>
        </w:rPr>
        <w:t xml:space="preserve">Therapeutic Antibody Programs: </w:t>
      </w:r>
      <w:r>
        <w:rPr>
          <w:rFonts w:ascii="Arial" w:cs="Arial" w:eastAsia="Arial" w:hAnsi="Arial"/>
          <w:sz w:val="18"/>
          <w:szCs w:val="18"/>
          <w:color w:val="auto"/>
        </w:rPr>
        <w:t>These programs are based on the well validated approach to using antibodies that target to cancer and other diseases</w:t>
      </w:r>
      <w:r>
        <w:rPr>
          <w:rFonts w:ascii="Arial" w:cs="Arial" w:eastAsia="Arial" w:hAnsi="Arial"/>
          <w:sz w:val="18"/>
          <w:szCs w:val="18"/>
          <w:b w:val="1"/>
          <w:bCs w:val="1"/>
          <w:color w:val="auto"/>
        </w:rPr>
        <w:t xml:space="preserve"> </w:t>
      </w:r>
      <w:r>
        <w:rPr>
          <w:rFonts w:ascii="Arial" w:cs="Arial" w:eastAsia="Arial" w:hAnsi="Arial"/>
          <w:sz w:val="18"/>
          <w:szCs w:val="18"/>
          <w:color w:val="auto"/>
        </w:rPr>
        <w:t>directly, or through interfering with critical interactions between the patient and the disease. Our antibody programs include antibody-drug conjugates (ADCs) that are designed to deliver potent cytotoxic molecules to cancer cells, and traditional unmodified antibody approaches. Our current programs are based on fully human sequence antibodies to minimize patient reactivity against the drug. In addition, we have access through a Research and Commercialization Agreement with Medarex (now a subsidiary of Bristol-Myers Squibb) to the UltiMAb® Technology for generating fully human monoclonal antibodies. Under this agreement, we can exercise up to ten separate licenses to develop and commercialize therapeutic antibody products, either alone or through collaboration with our licensing partners.</w:t>
      </w:r>
    </w:p>
    <w:p>
      <w:pPr>
        <w:spacing w:after="0" w:line="195" w:lineRule="exact"/>
        <w:rPr>
          <w:sz w:val="20"/>
          <w:szCs w:val="20"/>
          <w:color w:val="auto"/>
        </w:rPr>
      </w:pPr>
    </w:p>
    <w:p>
      <w:pPr>
        <w:ind w:firstLine="351"/>
        <w:spacing w:after="0" w:line="289" w:lineRule="auto"/>
        <w:rPr>
          <w:sz w:val="20"/>
          <w:szCs w:val="20"/>
          <w:color w:val="auto"/>
        </w:rPr>
      </w:pPr>
      <w:r>
        <w:rPr>
          <w:rFonts w:ascii="Arial" w:cs="Arial" w:eastAsia="Arial" w:hAnsi="Arial"/>
          <w:sz w:val="16"/>
          <w:szCs w:val="16"/>
          <w:b w:val="1"/>
          <w:bCs w:val="1"/>
          <w:color w:val="auto"/>
        </w:rPr>
        <w:t xml:space="preserve">Our APC Targeting Technology™: </w:t>
      </w:r>
      <w:r>
        <w:rPr>
          <w:rFonts w:ascii="Arial" w:cs="Arial" w:eastAsia="Arial" w:hAnsi="Arial"/>
          <w:sz w:val="16"/>
          <w:szCs w:val="16"/>
          <w:color w:val="auto"/>
        </w:rPr>
        <w:t>This is a new class of vaccines based on our proprietary antibody-targeted vaccine technology that is used to generate</w:t>
      </w:r>
      <w:r>
        <w:rPr>
          <w:rFonts w:ascii="Arial" w:cs="Arial" w:eastAsia="Arial" w:hAnsi="Arial"/>
          <w:sz w:val="16"/>
          <w:szCs w:val="16"/>
          <w:b w:val="1"/>
          <w:bCs w:val="1"/>
          <w:color w:val="auto"/>
        </w:rPr>
        <w:t xml:space="preserve"> </w:t>
      </w:r>
      <w:r>
        <w:rPr>
          <w:rFonts w:ascii="Arial" w:cs="Arial" w:eastAsia="Arial" w:hAnsi="Arial"/>
          <w:sz w:val="16"/>
          <w:szCs w:val="16"/>
          <w:color w:val="auto"/>
        </w:rPr>
        <w:t>an immune response against cancer or other diseases. Our APC Targeting Technology™ uses human monoclonal antibodies linked to disease associated antigens to efficiently deliver the attached antigens to immune cells known as antigen presenting cells, or APCs. This technology has been designed to allow us to take advantage of many important characteristics of human monoclonal antibodies, including their long circulating half-life, well known safety profile, and standardized manufacturing procedures. We believe that our APC Targeting Technology™ provides significant manufacturing, regulatory and other practical advantages over patient specific and other immune-based treatments and can substantially reduce the dosage and cost currently required in conventional immunotherapies. Preclinical studies have demonstrated that APC Targeting Technology™ is more effective than conventional non-targeted vaccines. We have developed several proprietary monoclonal antibodies that can independently be developed to generate new product opportunities. Our CDX-1307 and CDX-1401 programs are in clinical development with the APC technology.</w:t>
      </w:r>
    </w:p>
    <w:p>
      <w:pPr>
        <w:spacing w:after="0" w:line="167" w:lineRule="exact"/>
        <w:rPr>
          <w:sz w:val="20"/>
          <w:szCs w:val="20"/>
          <w:color w:val="auto"/>
        </w:rPr>
      </w:pPr>
    </w:p>
    <w:p>
      <w:pPr>
        <w:ind w:right="140" w:firstLine="351"/>
        <w:spacing w:after="0" w:line="256" w:lineRule="auto"/>
        <w:rPr>
          <w:sz w:val="20"/>
          <w:szCs w:val="20"/>
          <w:color w:val="auto"/>
        </w:rPr>
      </w:pPr>
      <w:r>
        <w:rPr>
          <w:rFonts w:ascii="Arial" w:cs="Arial" w:eastAsia="Arial" w:hAnsi="Arial"/>
          <w:sz w:val="18"/>
          <w:szCs w:val="18"/>
          <w:b w:val="1"/>
          <w:bCs w:val="1"/>
          <w:color w:val="auto"/>
        </w:rPr>
        <w:t xml:space="preserve">Immune System Modulators: </w:t>
      </w:r>
      <w:r>
        <w:rPr>
          <w:rFonts w:ascii="Arial" w:cs="Arial" w:eastAsia="Arial" w:hAnsi="Arial"/>
          <w:sz w:val="18"/>
          <w:szCs w:val="18"/>
          <w:color w:val="auto"/>
        </w:rPr>
        <w:t>Immune system modulators include drugs that activate or suppress specific parts of the immune system. Currently we are</w:t>
      </w:r>
      <w:r>
        <w:rPr>
          <w:rFonts w:ascii="Arial" w:cs="Arial" w:eastAsia="Arial" w:hAnsi="Arial"/>
          <w:sz w:val="18"/>
          <w:szCs w:val="18"/>
          <w:b w:val="1"/>
          <w:bCs w:val="1"/>
          <w:color w:val="auto"/>
        </w:rPr>
        <w:t xml:space="preserve"> </w:t>
      </w:r>
      <w:r>
        <w:rPr>
          <w:rFonts w:ascii="Arial" w:cs="Arial" w:eastAsia="Arial" w:hAnsi="Arial"/>
          <w:sz w:val="18"/>
          <w:szCs w:val="18"/>
          <w:color w:val="auto"/>
        </w:rPr>
        <w:t>combining our APC technology product candidates with molecules known as Toll-Like Receptor (TLR) agonists that can activate patients' innate and adaptive immunity. We are also developing an immune cell growth factor called FMS-like tyrosine kinase 3 ligand (FLT3-L or CDX-301) designed to expand immune cells and stem cells. In addition, we are investigating the activity of a complement inhibitor (CDX-1135) that suppresses inflammatory reactions. These agents further support our Precision Targeted Immunotherapy Platform.</w:t>
      </w:r>
    </w:p>
    <w:p>
      <w:pPr>
        <w:spacing w:after="0" w:line="19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14" w:name="page15"/>
    <w:bookmarkEnd w:id="14"/>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19" w:lineRule="exact"/>
        <w:rPr>
          <w:sz w:val="20"/>
          <w:szCs w:val="20"/>
          <w:color w:val="auto"/>
        </w:rPr>
      </w:pPr>
    </w:p>
    <w:p>
      <w:pPr>
        <w:ind w:firstLine="341"/>
        <w:spacing w:after="0" w:line="256" w:lineRule="auto"/>
        <w:rPr>
          <w:sz w:val="20"/>
          <w:szCs w:val="20"/>
          <w:color w:val="auto"/>
        </w:rPr>
      </w:pPr>
      <w:r>
        <w:rPr>
          <w:rFonts w:ascii="Arial" w:cs="Arial" w:eastAsia="Arial" w:hAnsi="Arial"/>
          <w:sz w:val="18"/>
          <w:szCs w:val="18"/>
          <w:b w:val="1"/>
          <w:bCs w:val="1"/>
          <w:color w:val="auto"/>
        </w:rPr>
        <w:t xml:space="preserve">Antibody-Drug Conjugates (ADC): </w:t>
      </w:r>
      <w:r>
        <w:rPr>
          <w:rFonts w:ascii="Arial" w:cs="Arial" w:eastAsia="Arial" w:hAnsi="Arial"/>
          <w:sz w:val="18"/>
          <w:szCs w:val="18"/>
          <w:color w:val="auto"/>
        </w:rPr>
        <w:t>ADCs are monoclonal antibodies that are linked to potent cell-killing drugs. Our ADCs utilize fully-human</w:t>
      </w:r>
      <w:r>
        <w:rPr>
          <w:rFonts w:ascii="Arial" w:cs="Arial" w:eastAsia="Arial" w:hAnsi="Arial"/>
          <w:sz w:val="18"/>
          <w:szCs w:val="18"/>
          <w:b w:val="1"/>
          <w:bCs w:val="1"/>
          <w:color w:val="auto"/>
        </w:rPr>
        <w:t xml:space="preserve"> </w:t>
      </w:r>
      <w:r>
        <w:rPr>
          <w:rFonts w:ascii="Arial" w:cs="Arial" w:eastAsia="Arial" w:hAnsi="Arial"/>
          <w:sz w:val="18"/>
          <w:szCs w:val="18"/>
          <w:color w:val="auto"/>
        </w:rPr>
        <w:t>monoclonal antibodies that internalize within target cells after binding to their cell-surface receptors. Enzymes present inside the cell cause the cell-killing drug to be released from the monoclonal antibody, allowing it to have the desired activity. A key component of our ADCs is the linker that attaches the drug to the monoclonal antibody. When the ADC is internalized within the target cell, the drug is released, thereby minimizing toxicity to normal tissues. Our CDX-011 program is in clinical development with the ADC technology.</w:t>
      </w:r>
    </w:p>
    <w:p>
      <w:pPr>
        <w:spacing w:after="0" w:line="199" w:lineRule="exact"/>
        <w:rPr>
          <w:sz w:val="20"/>
          <w:szCs w:val="20"/>
          <w:color w:val="auto"/>
        </w:rPr>
      </w:pPr>
    </w:p>
    <w:p>
      <w:pPr>
        <w:ind w:right="40" w:firstLine="351"/>
        <w:spacing w:after="0" w:line="294" w:lineRule="auto"/>
        <w:rPr>
          <w:sz w:val="20"/>
          <w:szCs w:val="20"/>
          <w:color w:val="auto"/>
        </w:rPr>
      </w:pPr>
      <w:r>
        <w:rPr>
          <w:rFonts w:ascii="Arial" w:cs="Arial" w:eastAsia="Arial" w:hAnsi="Arial"/>
          <w:sz w:val="16"/>
          <w:szCs w:val="16"/>
          <w:color w:val="auto"/>
        </w:rPr>
        <w:t>Our strategy is to utilize our expertise to design and develop targeted immunotherapeutics that have significant and growing market potential; to establish governmental and corporate alliances to fund development; and to commercialize our products either through corporate partners or, in appropriate circumstances, through our own direct selling efforts. Our goal is to demonstrate clinical proof-of-concept for each product, and then seek partners to help see those products which we cannot develop ourselves through to commercialization. This approach allows us to maximize the overall value of our technology and product portfolios while best ensuring the expeditious development of each individual product.</w:t>
      </w:r>
    </w:p>
    <w:p>
      <w:pPr>
        <w:spacing w:after="0" w:line="170" w:lineRule="exact"/>
        <w:rPr>
          <w:sz w:val="20"/>
          <w:szCs w:val="20"/>
          <w:color w:val="auto"/>
        </w:rPr>
      </w:pPr>
    </w:p>
    <w:p>
      <w:pPr>
        <w:ind w:right="20" w:firstLine="351"/>
        <w:spacing w:after="0" w:line="256" w:lineRule="auto"/>
        <w:rPr>
          <w:sz w:val="20"/>
          <w:szCs w:val="20"/>
          <w:color w:val="auto"/>
        </w:rPr>
      </w:pPr>
      <w:r>
        <w:rPr>
          <w:rFonts w:ascii="Arial" w:cs="Arial" w:eastAsia="Arial" w:hAnsi="Arial"/>
          <w:sz w:val="18"/>
          <w:szCs w:val="18"/>
          <w:color w:val="auto"/>
        </w:rPr>
        <w:t>Factors that may significantly harm our commercial success, and ultimately the market price of our common stock, include but are not limited to, announcements of technological innovations or new commercial products by our competitors, disclosure of unsuccessful results of clinical testing or regulatory proceedings and governmental approvals, adverse developments in patent or other proprietary rights, public concern about the safety of products developed by us and general economic and market conditions. See "Item 1A. Risk Factors."</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Partnerships</w:t>
      </w:r>
    </w:p>
    <w:p>
      <w:pPr>
        <w:spacing w:after="0" w:line="231" w:lineRule="exact"/>
        <w:rPr>
          <w:sz w:val="20"/>
          <w:szCs w:val="20"/>
          <w:color w:val="auto"/>
        </w:rPr>
      </w:pPr>
    </w:p>
    <w:p>
      <w:pPr>
        <w:ind w:firstLine="351"/>
        <w:spacing w:after="0" w:line="314" w:lineRule="auto"/>
        <w:rPr>
          <w:sz w:val="20"/>
          <w:szCs w:val="20"/>
          <w:color w:val="auto"/>
        </w:rPr>
      </w:pPr>
      <w:r>
        <w:rPr>
          <w:rFonts w:ascii="Arial" w:cs="Arial" w:eastAsia="Arial" w:hAnsi="Arial"/>
          <w:sz w:val="15"/>
          <w:szCs w:val="15"/>
          <w:color w:val="auto"/>
        </w:rPr>
        <w:t>Our strategy is to develop and demonstrate proof-of-concept for our product candidates before leveraging their value through partnerships or, in appropriate situations, continuing late stage development through commercialization ourselves. We have entered into collaborative partnership agreements with pharmaceutical and other companies and organizations that provide financial and other resources, including capabilities in research, development, manufacturing, and sales and marketing, to support our research and development programs. We depend on these relationships and may enter into more of them in the future. Some of our partners have substantial responsibility to commercialize a product and to make decisions about the amount and timing of resources that are devoted to developing and commercializing a product. As a result, we do not have complete control over how resources are used toward some of our products.</w:t>
      </w:r>
    </w:p>
    <w:p>
      <w:pPr>
        <w:spacing w:after="0" w:line="159" w:lineRule="exact"/>
        <w:rPr>
          <w:sz w:val="20"/>
          <w:szCs w:val="20"/>
          <w:color w:val="auto"/>
        </w:rPr>
      </w:pPr>
    </w:p>
    <w:p>
      <w:pPr>
        <w:jc w:val="both"/>
        <w:ind w:right="60" w:firstLine="351"/>
        <w:spacing w:after="0" w:line="259" w:lineRule="auto"/>
        <w:rPr>
          <w:sz w:val="20"/>
          <w:szCs w:val="20"/>
          <w:color w:val="auto"/>
        </w:rPr>
      </w:pPr>
      <w:r>
        <w:rPr>
          <w:rFonts w:ascii="Arial" w:cs="Arial" w:eastAsia="Arial" w:hAnsi="Arial"/>
          <w:sz w:val="18"/>
          <w:szCs w:val="18"/>
          <w:color w:val="auto"/>
        </w:rPr>
        <w:t>Partnership agreements may terminate without benefit to us if the underlying products are not fully developed. If we fail to meet our obligations under these agreements, they could terminate and we might need to enter into relationships with other collaborators and to spend additional time, money, and other valuable resources in the process.</w:t>
      </w:r>
    </w:p>
    <w:p>
      <w:pPr>
        <w:spacing w:after="0" w:line="194" w:lineRule="exact"/>
        <w:rPr>
          <w:sz w:val="20"/>
          <w:szCs w:val="20"/>
          <w:color w:val="auto"/>
        </w:rPr>
      </w:pPr>
    </w:p>
    <w:p>
      <w:pPr>
        <w:ind w:firstLine="348"/>
        <w:spacing w:after="0" w:line="291" w:lineRule="auto"/>
        <w:rPr>
          <w:sz w:val="20"/>
          <w:szCs w:val="20"/>
          <w:color w:val="auto"/>
        </w:rPr>
      </w:pPr>
      <w:r>
        <w:rPr>
          <w:rFonts w:ascii="Arial" w:cs="Arial" w:eastAsia="Arial" w:hAnsi="Arial"/>
          <w:sz w:val="16"/>
          <w:szCs w:val="16"/>
          <w:color w:val="auto"/>
        </w:rPr>
        <w:t>We cannot predict whether our collaborators will continue their development efforts or, if they do, whether their efforts will achieve success. Many of our collaborators face the same kinds of risks and uncertainties in their business that we face. A delay or setback to a partner will, at a minimum, delay the commercialization of any affected products, and may ultimately prevent it. Moreover, any partner could breach its agreement with us or otherwise not use best efforts to promote our products. A partner may choose to pursue alternative technologies or products that compete with our technologies or products. In either case, if a partner failed to successfully develop one of our products, we would need to find another partner. Our ability to do so would depend upon our legal right to do so at the time and whether the product remained commercially viable.</w:t>
      </w:r>
    </w:p>
    <w:p>
      <w:pPr>
        <w:spacing w:after="0" w:line="17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131" w:right="279" w:bottom="1440" w:gutter="0" w:footer="0" w:header="0"/>
        </w:sectPr>
      </w:pPr>
    </w:p>
    <w:bookmarkStart w:id="15" w:name="page16"/>
    <w:bookmarkEnd w:id="15"/>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GlaxoSmithKline plc ("Glaxo") and Paul Royalty Fund II, L.P. ("PRF")</w:t>
      </w:r>
    </w:p>
    <w:p>
      <w:pPr>
        <w:spacing w:after="0" w:line="225" w:lineRule="exact"/>
        <w:rPr>
          <w:sz w:val="20"/>
          <w:szCs w:val="20"/>
          <w:color w:val="auto"/>
        </w:rPr>
      </w:pPr>
    </w:p>
    <w:p>
      <w:pPr>
        <w:ind w:right="20" w:firstLine="351"/>
        <w:spacing w:after="0" w:line="290" w:lineRule="auto"/>
        <w:rPr>
          <w:sz w:val="20"/>
          <w:szCs w:val="20"/>
          <w:color w:val="auto"/>
        </w:rPr>
      </w:pPr>
      <w:r>
        <w:rPr>
          <w:rFonts w:ascii="Arial" w:cs="Arial" w:eastAsia="Arial" w:hAnsi="Arial"/>
          <w:sz w:val="16"/>
          <w:szCs w:val="16"/>
          <w:color w:val="auto"/>
        </w:rPr>
        <w:t>Rotavirus is a major cause of diarrhea and vomiting in infants and children. In 1997, we licensed our oral rotavirus strain to Glaxo and Glaxo assumed responsibility for all subsequent clinical trials and all other development activities. Glaxo gained approval for its rotavirus vaccine, Rotarix®, in Mexico in July 2004, which represented the first in a series of worldwide approvals and commercial launches for the product leading up to the approval in Europe in 2006 and in the U.S. in 2008. We licensed-in our rotavirus strain in 1995 and owe a license fee of 30% to Cincinnati Children's Hospital Medical Center ("CCH") on net royalties received from Glaxo. We are obligated to maintain a license with CCH with respect to the Glaxo agreement. The term of the Glaxo agreement is through the expiration of the last of the relevant patents covered by the agreement, although Glaxo may terminate the agreement upon 90 days prior written notice. The last relevant patent is scheduled to expire in December 2012. No additional milestone payments are due from Glaxo under the agreement.</w:t>
      </w:r>
    </w:p>
    <w:p>
      <w:pPr>
        <w:spacing w:after="0" w:line="172" w:lineRule="exact"/>
        <w:rPr>
          <w:sz w:val="20"/>
          <w:szCs w:val="20"/>
          <w:color w:val="auto"/>
        </w:rPr>
      </w:pPr>
    </w:p>
    <w:p>
      <w:pPr>
        <w:ind w:right="240" w:firstLine="351"/>
        <w:spacing w:after="0" w:line="335" w:lineRule="auto"/>
        <w:rPr>
          <w:sz w:val="20"/>
          <w:szCs w:val="20"/>
          <w:color w:val="auto"/>
        </w:rPr>
      </w:pPr>
      <w:r>
        <w:rPr>
          <w:rFonts w:ascii="Arial" w:cs="Arial" w:eastAsia="Arial" w:hAnsi="Arial"/>
          <w:sz w:val="15"/>
          <w:szCs w:val="15"/>
          <w:color w:val="auto"/>
        </w:rPr>
        <w:t>In May 2005, we entered into an agreement whereby an affiliate of PRF purchased a 70% interest in the milestone payments and net royalties that we will receive on the development and worldwide sales of Rotarix®. We have received a total of $60 million in milestone payments under the PRF agreement. No additional milestone payments are due from PRF under the agreement. The PRF agreement terminates on December 12, 2012, unless otherwise extended.</w:t>
      </w:r>
    </w:p>
    <w:p>
      <w:pPr>
        <w:spacing w:after="0" w:line="142" w:lineRule="exact"/>
        <w:rPr>
          <w:sz w:val="20"/>
          <w:szCs w:val="20"/>
          <w:color w:val="auto"/>
        </w:rPr>
      </w:pPr>
    </w:p>
    <w:p>
      <w:pPr>
        <w:ind w:firstLine="351"/>
        <w:spacing w:after="0" w:line="288" w:lineRule="auto"/>
        <w:rPr>
          <w:sz w:val="20"/>
          <w:szCs w:val="20"/>
          <w:color w:val="auto"/>
        </w:rPr>
      </w:pPr>
      <w:r>
        <w:rPr>
          <w:rFonts w:ascii="Arial" w:cs="Arial" w:eastAsia="Arial" w:hAnsi="Arial"/>
          <w:sz w:val="16"/>
          <w:szCs w:val="16"/>
          <w:color w:val="auto"/>
        </w:rPr>
        <w:t>Royalty rates on Rotarix® escalate from 7% to 10% based on net product sales in countries that have valid patent protection. These royalty rates are discounted by 30% for "non-patent" countries (primarily international markets). In September 2006, we received notice from Glaxo that Glaxo would begin paying royalties on sales of Rotarix® vaccine at the lower of the two royalty rates under their 1997 license agreement. Glaxo's decision to pay the lower royalty rate (which is 70% of the full rate) is based upon Glaxo's assertion that Rotarix® is not covered by the patents Glaxo licensed from us in Australia and certain European countries. We are currently evaluating the basis for Glaxo's action and our potential remedies. If Glaxo's position stands, the royalties to which PRF is entitled will no longer be limited by a $27.5 million annual threshold. With respect to the $27.5 million annual threshold, if worldwide net royalties on sales of Rotarix® exceed $27.5 million in any year, we would retain approximately 65% of all royalties in excess of $27.5 million. Irrespective of Glaxo's position, we will still retain approximately 65% of the royalties on worldwide sales of Rotarix® if PRF receives 2.45 times the aggregate cash payments of $60 million it made to us, though the potential amount of such residual royalties will be lower if Glaxo's position stands.</w:t>
      </w:r>
    </w:p>
    <w:p>
      <w:pPr>
        <w:spacing w:after="0" w:line="174" w:lineRule="exact"/>
        <w:rPr>
          <w:sz w:val="20"/>
          <w:szCs w:val="20"/>
          <w:color w:val="auto"/>
        </w:rPr>
      </w:pPr>
    </w:p>
    <w:p>
      <w:pPr>
        <w:ind w:right="20" w:firstLine="351"/>
        <w:spacing w:after="0" w:line="294" w:lineRule="auto"/>
        <w:rPr>
          <w:sz w:val="20"/>
          <w:szCs w:val="20"/>
          <w:color w:val="auto"/>
        </w:rPr>
      </w:pPr>
      <w:r>
        <w:rPr>
          <w:rFonts w:ascii="Arial" w:cs="Arial" w:eastAsia="Arial" w:hAnsi="Arial"/>
          <w:sz w:val="16"/>
          <w:szCs w:val="16"/>
          <w:color w:val="auto"/>
        </w:rPr>
        <w:t>In late March 2010, the FDA temporarily suspended the use of Rotarix® in the United States as a precautionary measure following the discovery of PCV-1 DNA material in the vaccine. In May 2010, the FDA determined that healthcare practitioners could resume the use of Rotarix®. Our royalties from sales of Rotarix® were negatively impacted during the year ended December 31, 2010 by the FDA's decision to temporarily suspend the use of Rotarix® from March 2010 through May 2010 and that negative impact from the temporary suspension may extend into the future as well. However, our net loss and cash position were not impacted even though our royalty revenue was impacted because there was an offsetting impact on our royalty expense.</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Pfizer Animal Health Agreement</w:t>
      </w:r>
    </w:p>
    <w:p>
      <w:pPr>
        <w:spacing w:after="0" w:line="225" w:lineRule="exact"/>
        <w:rPr>
          <w:sz w:val="20"/>
          <w:szCs w:val="20"/>
          <w:color w:val="auto"/>
        </w:rPr>
      </w:pPr>
    </w:p>
    <w:p>
      <w:pPr>
        <w:ind w:right="40" w:firstLine="348"/>
        <w:spacing w:after="0" w:line="298" w:lineRule="auto"/>
        <w:rPr>
          <w:sz w:val="20"/>
          <w:szCs w:val="20"/>
          <w:color w:val="auto"/>
        </w:rPr>
      </w:pPr>
      <w:r>
        <w:rPr>
          <w:rFonts w:ascii="Arial" w:cs="Arial" w:eastAsia="Arial" w:hAnsi="Arial"/>
          <w:sz w:val="16"/>
          <w:szCs w:val="16"/>
          <w:color w:val="auto"/>
        </w:rPr>
        <w:t>We entered into a licensing agreement in December 2000 with Pfizer's Animal Health Division whereby Pfizer has licensed our technology for the development of animal health and food safety vaccines. Under the agreement, we may receive additional milestone payments of up to $3 million based upon attainment of specified milestones. We may receive royalty payments on eventual product sales. The term of this agreement is through the expiration of the last of the patents covered by the agreement. We have no obligation to incur any research and development costs in connection with this agreement.</w:t>
      </w:r>
    </w:p>
    <w:p>
      <w:pPr>
        <w:spacing w:after="0" w:line="16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6" w:name="page17"/>
    <w:bookmarkEnd w:id="16"/>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Vaccine Technologies, Inc. ("VTI")</w:t>
      </w:r>
    </w:p>
    <w:p>
      <w:pPr>
        <w:spacing w:after="0" w:line="225" w:lineRule="exact"/>
        <w:rPr>
          <w:sz w:val="20"/>
          <w:szCs w:val="20"/>
          <w:color w:val="auto"/>
        </w:rPr>
      </w:pPr>
    </w:p>
    <w:p>
      <w:pPr>
        <w:jc w:val="both"/>
        <w:ind w:right="40" w:firstLine="351"/>
        <w:spacing w:after="0" w:line="259" w:lineRule="auto"/>
        <w:rPr>
          <w:sz w:val="20"/>
          <w:szCs w:val="20"/>
          <w:color w:val="auto"/>
        </w:rPr>
      </w:pPr>
      <w:r>
        <w:rPr>
          <w:rFonts w:ascii="Arial" w:cs="Arial" w:eastAsia="Arial" w:hAnsi="Arial"/>
          <w:sz w:val="18"/>
          <w:szCs w:val="18"/>
          <w:color w:val="auto"/>
        </w:rPr>
        <w:t>In January 2009, we entered into a license agreement with VTI under which we granted a worldwide exclusive license to VTI to develop and commercialize our CholeraGarde® and ETEC vaccine programs. We may receive milestones payments of up to $0.8 million and royalties in the low to mid teens with respect to development and commercialization of the technology licensed to VTI.</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TopoTarget A/S ("TopoTarget")</w:t>
      </w:r>
    </w:p>
    <w:p>
      <w:pPr>
        <w:spacing w:after="0" w:line="225" w:lineRule="exact"/>
        <w:rPr>
          <w:sz w:val="20"/>
          <w:szCs w:val="20"/>
          <w:color w:val="auto"/>
        </w:rPr>
      </w:pPr>
    </w:p>
    <w:p>
      <w:pPr>
        <w:ind w:right="180" w:firstLine="351"/>
        <w:spacing w:after="0" w:line="255" w:lineRule="auto"/>
        <w:rPr>
          <w:sz w:val="20"/>
          <w:szCs w:val="20"/>
          <w:color w:val="auto"/>
        </w:rPr>
      </w:pPr>
      <w:r>
        <w:rPr>
          <w:rFonts w:ascii="Arial" w:cs="Arial" w:eastAsia="Arial" w:hAnsi="Arial"/>
          <w:sz w:val="18"/>
          <w:szCs w:val="18"/>
          <w:color w:val="auto"/>
        </w:rPr>
        <w:t>Under our April 2008 agreement ("TopoTarget Agreement") with TopoTarget, we could receive up to $6 million in either potential commercial milestone payments related to future net sales of Belinostat or 10% of any sublicense income received by TopoTarget ("TopoTarget Payments"). We have no financial and operational responsibility for the clinical development of Belinostat under the TopoTarget Agreement. In February 2010, TopoTarget entered into a co-development and commercialization agreement for Belinostat with Spectrum Pharmaceuticals, Inc. resulting in our receipt of $3 million of the TopoTarget Payments.</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Research Collaboration and License Agreements</w:t>
      </w:r>
    </w:p>
    <w:p>
      <w:pPr>
        <w:spacing w:after="0" w:line="231" w:lineRule="exact"/>
        <w:rPr>
          <w:sz w:val="20"/>
          <w:szCs w:val="20"/>
          <w:color w:val="auto"/>
        </w:rPr>
      </w:pPr>
    </w:p>
    <w:p>
      <w:pPr>
        <w:ind w:right="60" w:firstLine="348"/>
        <w:spacing w:after="0" w:line="256" w:lineRule="auto"/>
        <w:rPr>
          <w:sz w:val="20"/>
          <w:szCs w:val="20"/>
          <w:color w:val="auto"/>
        </w:rPr>
      </w:pPr>
      <w:r>
        <w:rPr>
          <w:rFonts w:ascii="Arial" w:cs="Arial" w:eastAsia="Arial" w:hAnsi="Arial"/>
          <w:sz w:val="18"/>
          <w:szCs w:val="18"/>
          <w:color w:val="auto"/>
        </w:rPr>
        <w:t>We have entered into license agreements whereby we have received licenses or options to license technology, specified patents and/or patent applications. These license and collaboration agreements generally provide for royalty payments equal to specified percentages of product sales, annual license maintenance fees, continuing patent prosecution costs and potential future milestone payments to third parties upon the achievement of certain development, regulatory and/or commercial milestones.</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Medarex, Inc., a subsidiary of Bristol-Myers Squibb ("Medarex")</w:t>
      </w:r>
    </w:p>
    <w:p>
      <w:pPr>
        <w:spacing w:after="0" w:line="225" w:lineRule="exact"/>
        <w:rPr>
          <w:sz w:val="20"/>
          <w:szCs w:val="20"/>
          <w:color w:val="auto"/>
        </w:rPr>
      </w:pPr>
    </w:p>
    <w:p>
      <w:pPr>
        <w:ind w:right="100" w:firstLine="348"/>
        <w:spacing w:after="0" w:line="268" w:lineRule="auto"/>
        <w:rPr>
          <w:sz w:val="20"/>
          <w:szCs w:val="20"/>
          <w:color w:val="auto"/>
        </w:rPr>
      </w:pPr>
      <w:r>
        <w:rPr>
          <w:rFonts w:ascii="Arial" w:cs="Arial" w:eastAsia="Arial" w:hAnsi="Arial"/>
          <w:sz w:val="18"/>
          <w:szCs w:val="18"/>
          <w:color w:val="auto"/>
        </w:rPr>
        <w:t>We and Medarex, a former related party, have entered into the following agreements, each of which was approved by a majority of its independent directors who did not have an interest in the transaction. These agreements include:</w:t>
      </w:r>
    </w:p>
    <w:p>
      <w:pPr>
        <w:spacing w:after="0" w:line="199" w:lineRule="exact"/>
        <w:rPr>
          <w:sz w:val="20"/>
          <w:szCs w:val="20"/>
          <w:color w:val="auto"/>
        </w:rPr>
      </w:pPr>
    </w:p>
    <w:p>
      <w:pPr>
        <w:jc w:val="both"/>
        <w:ind w:left="1080" w:right="180" w:hanging="532"/>
        <w:spacing w:after="0" w:line="259" w:lineRule="auto"/>
        <w:tabs>
          <w:tab w:leader="none" w:pos="1080" w:val="left"/>
        </w:tabs>
        <w:numPr>
          <w:ilvl w:val="0"/>
          <w:numId w:val="6"/>
        </w:numPr>
        <w:rPr>
          <w:rFonts w:ascii="Arial" w:cs="Arial" w:eastAsia="Arial" w:hAnsi="Arial"/>
          <w:sz w:val="18"/>
          <w:szCs w:val="18"/>
          <w:color w:val="auto"/>
        </w:rPr>
      </w:pPr>
      <w:r>
        <w:rPr>
          <w:rFonts w:ascii="Arial" w:cs="Arial" w:eastAsia="Arial" w:hAnsi="Arial"/>
          <w:sz w:val="18"/>
          <w:szCs w:val="18"/>
          <w:color w:val="auto"/>
        </w:rPr>
        <w:t>An Assignment and License Agreement, as amended, ("Assignment and License Agreement") that provides for the assignment of certain patent and other intellectual property rights and a license to certain Medarex technology related to the Company's APC Targeting Technology™ and an anti-mannose receptor product; and</w:t>
      </w:r>
    </w:p>
    <w:p>
      <w:pPr>
        <w:spacing w:after="0" w:line="221" w:lineRule="exact"/>
        <w:rPr>
          <w:rFonts w:ascii="Arial" w:cs="Arial" w:eastAsia="Arial" w:hAnsi="Arial"/>
          <w:sz w:val="18"/>
          <w:szCs w:val="18"/>
          <w:color w:val="auto"/>
        </w:rPr>
      </w:pPr>
    </w:p>
    <w:p>
      <w:pPr>
        <w:ind w:left="1080" w:right="100" w:hanging="532"/>
        <w:spacing w:after="0" w:line="259" w:lineRule="auto"/>
        <w:tabs>
          <w:tab w:leader="none" w:pos="1080" w:val="left"/>
        </w:tabs>
        <w:numPr>
          <w:ilvl w:val="0"/>
          <w:numId w:val="6"/>
        </w:numPr>
        <w:rPr>
          <w:rFonts w:ascii="Arial" w:cs="Arial" w:eastAsia="Arial" w:hAnsi="Arial"/>
          <w:sz w:val="18"/>
          <w:szCs w:val="18"/>
          <w:color w:val="auto"/>
        </w:rPr>
      </w:pPr>
      <w:r>
        <w:rPr>
          <w:rFonts w:ascii="Arial" w:cs="Arial" w:eastAsia="Arial" w:hAnsi="Arial"/>
          <w:sz w:val="18"/>
          <w:szCs w:val="18"/>
          <w:color w:val="auto"/>
        </w:rPr>
        <w:t>A Research and Commercialization Agreement, as amended, ("Research and Commercialization Agreement") that provides us with certain rights to obtain exclusive commercial licenses to proprietary monoclonal antibodies raised against certain antigens utilizing the Medarex UltiMAb® technology platform for generating antibodies.</w:t>
      </w:r>
    </w:p>
    <w:p>
      <w:pPr>
        <w:spacing w:after="0" w:line="194" w:lineRule="exact"/>
        <w:rPr>
          <w:sz w:val="20"/>
          <w:szCs w:val="20"/>
          <w:color w:val="auto"/>
        </w:rPr>
      </w:pPr>
    </w:p>
    <w:p>
      <w:pPr>
        <w:ind w:firstLine="351"/>
        <w:spacing w:after="0" w:line="289" w:lineRule="auto"/>
        <w:rPr>
          <w:sz w:val="20"/>
          <w:szCs w:val="20"/>
          <w:color w:val="auto"/>
        </w:rPr>
      </w:pPr>
      <w:r>
        <w:rPr>
          <w:rFonts w:ascii="Arial" w:cs="Arial" w:eastAsia="Arial" w:hAnsi="Arial"/>
          <w:sz w:val="16"/>
          <w:szCs w:val="16"/>
          <w:color w:val="auto"/>
        </w:rPr>
        <w:t>Under the terms of the Assignment and License Agreement, we may be required to pay royalties in the low-single digits on any net product sale of a Licensed Royalty-Bearing Product or Anti-Mannose Product to Medarex until the later of (i) the expiration of the last to expire applicable patent and (ii) the tenth anniversary of the first commercial sale of such licensed product. Under the terms of the Research and Commercialization Agreement, we may be required to pay milestones of up to $7.0 million upon obtaining first approval for commercial sale in a first indication of a product containing a licensed antibody and royalty payments in the low- to mid-single digits on any net product sales to Medarex with respect to the development of any products containing such licensed antibodies until the later of (i) the expiration of the last to expire applicable patent and (ii) the tenth anniversary of the first commercial sale of such licensed product. In September 2010, we exercised an option under our Research and Commercialization Agreement, whereby we have a commercial license to the human antibody technology specifically for CDX-1127, our CD27 antibody.</w:t>
      </w:r>
    </w:p>
    <w:p>
      <w:pPr>
        <w:spacing w:after="0" w:line="17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17" w:name="page18"/>
    <w:bookmarkEnd w:id="17"/>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180" w:firstLine="351"/>
        <w:spacing w:after="0" w:line="256" w:lineRule="auto"/>
        <w:rPr>
          <w:sz w:val="20"/>
          <w:szCs w:val="20"/>
          <w:color w:val="auto"/>
        </w:rPr>
      </w:pPr>
      <w:r>
        <w:rPr>
          <w:rFonts w:ascii="Arial" w:cs="Arial" w:eastAsia="Arial" w:hAnsi="Arial"/>
          <w:sz w:val="18"/>
          <w:szCs w:val="18"/>
          <w:color w:val="auto"/>
        </w:rPr>
        <w:t>In October 2007, we and Medarex entered into a settlement and mutual release agreement which settled disputed amounts we owed Medarex. We issued to Medarex 351,692 shares of our common stock equal in value to $3.0 million, based on the per share price of $8.64 set on the second trading day prior to the closing date of the AVANT Merger and exchanged releases. In October 2009, we paid Medarex an additional $3.0 million owed under the Master Services Agreement.</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Rockefeller University ("Rockefeller")</w:t>
      </w:r>
    </w:p>
    <w:p>
      <w:pPr>
        <w:spacing w:after="0" w:line="225" w:lineRule="exact"/>
        <w:rPr>
          <w:sz w:val="20"/>
          <w:szCs w:val="20"/>
          <w:color w:val="auto"/>
        </w:rPr>
      </w:pPr>
    </w:p>
    <w:p>
      <w:pPr>
        <w:ind w:right="140" w:firstLine="351"/>
        <w:spacing w:after="0" w:line="294" w:lineRule="auto"/>
        <w:rPr>
          <w:sz w:val="20"/>
          <w:szCs w:val="20"/>
          <w:color w:val="auto"/>
        </w:rPr>
      </w:pPr>
      <w:r>
        <w:rPr>
          <w:rFonts w:ascii="Arial" w:cs="Arial" w:eastAsia="Arial" w:hAnsi="Arial"/>
          <w:sz w:val="16"/>
          <w:szCs w:val="16"/>
          <w:color w:val="auto"/>
        </w:rPr>
        <w:t>In November 2005, we and Rockefeller entered into a license agreement for the exclusive worldwide rights to human DEC-205 receptor, with the right to sublicense the technology. The license grant is exclusive except that Rockefeller may use and permit other nonprofit organizations to use the human DEC-205 receptor patent rights for educational and research purposes. We may be required to pay milestones of up to $3.9 million upon obtaining first approval for commercial sale in a first indication of a product targeting the licensed receptor and royalty payments in the low- to mid-single digits on any net product sales to Rockefeller with respect to development and commercialization of the human DEC-205 receptor.</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Duke University Brain Tumor Cancer Center ("Duke")</w:t>
      </w:r>
    </w:p>
    <w:p>
      <w:pPr>
        <w:spacing w:after="0" w:line="225" w:lineRule="exact"/>
        <w:rPr>
          <w:sz w:val="20"/>
          <w:szCs w:val="20"/>
          <w:color w:val="auto"/>
        </w:rPr>
      </w:pPr>
    </w:p>
    <w:p>
      <w:pPr>
        <w:ind w:right="820" w:firstLine="351"/>
        <w:spacing w:after="0" w:line="305" w:lineRule="auto"/>
        <w:rPr>
          <w:sz w:val="20"/>
          <w:szCs w:val="20"/>
          <w:color w:val="auto"/>
        </w:rPr>
      </w:pPr>
      <w:r>
        <w:rPr>
          <w:rFonts w:ascii="Arial" w:cs="Arial" w:eastAsia="Arial" w:hAnsi="Arial"/>
          <w:sz w:val="15"/>
          <w:szCs w:val="15"/>
          <w:color w:val="auto"/>
        </w:rPr>
        <w:t>In September 2006, we and Duke entered into a license agreement that gave us access and reference to the clinical data generated by Duke and its collaborators in order for us to generate our own filing with the FDA relating to the CDX-110 product. We may be required to pay milestones of up to</w:t>
      </w:r>
    </w:p>
    <w:p>
      <w:pPr>
        <w:ind w:right="100"/>
        <w:spacing w:after="0" w:line="254" w:lineRule="auto"/>
        <w:rPr>
          <w:sz w:val="20"/>
          <w:szCs w:val="20"/>
          <w:color w:val="auto"/>
        </w:rPr>
      </w:pPr>
      <w:r>
        <w:rPr>
          <w:rFonts w:ascii="Arial" w:cs="Arial" w:eastAsia="Arial" w:hAnsi="Arial"/>
          <w:sz w:val="18"/>
          <w:szCs w:val="18"/>
          <w:color w:val="auto"/>
        </w:rPr>
        <w:t>$1.0 million upon obtaining first approval for commercial sale in a first indication and royalty payments in the low-single digits on any net product sales to Duke with respect to development and commercialization of the CDX-110 product. In connection with the Pfizer Agreement, we determined that $2.4 million was payable to Duke as a sublicense fee. As provided for under the Duke license, we paid 50% of this amount to Duke in the form of 81,512 shares of our common stock in October 2008.</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Ludwig Institute for Cancer Research ("Ludwig")</w:t>
      </w:r>
    </w:p>
    <w:p>
      <w:pPr>
        <w:spacing w:after="0" w:line="225" w:lineRule="exact"/>
        <w:rPr>
          <w:sz w:val="20"/>
          <w:szCs w:val="20"/>
          <w:color w:val="auto"/>
        </w:rPr>
      </w:pPr>
    </w:p>
    <w:p>
      <w:pPr>
        <w:ind w:right="120" w:firstLine="351"/>
        <w:spacing w:after="0" w:line="256" w:lineRule="auto"/>
        <w:rPr>
          <w:sz w:val="20"/>
          <w:szCs w:val="20"/>
          <w:color w:val="auto"/>
        </w:rPr>
      </w:pPr>
      <w:r>
        <w:rPr>
          <w:rFonts w:ascii="Arial" w:cs="Arial" w:eastAsia="Arial" w:hAnsi="Arial"/>
          <w:sz w:val="18"/>
          <w:szCs w:val="18"/>
          <w:color w:val="auto"/>
        </w:rPr>
        <w:t>In October 2006, we and Ludwig entered into an agreement for the nonexclusive rights to certain cancer tumor targets for use in combination with our APC Targeting Technology. The term of the agreement is for ten years. We may be required to pay milestones of up to $1.0 million upon obtaining first approval for commercial sale in a first indication and royalty payments in the low-single digits on any net product sales to Ludwig with respect to development and commercialization of the technology licensed from Ludwig.</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Alteris Therapeutics, Inc. ("Alteris")</w:t>
      </w:r>
    </w:p>
    <w:p>
      <w:pPr>
        <w:spacing w:after="0" w:line="225" w:lineRule="exact"/>
        <w:rPr>
          <w:sz w:val="20"/>
          <w:szCs w:val="20"/>
          <w:color w:val="auto"/>
        </w:rPr>
      </w:pPr>
    </w:p>
    <w:p>
      <w:pPr>
        <w:ind w:right="820" w:firstLine="351"/>
        <w:spacing w:after="0" w:line="332" w:lineRule="auto"/>
        <w:rPr>
          <w:sz w:val="20"/>
          <w:szCs w:val="20"/>
          <w:color w:val="auto"/>
        </w:rPr>
      </w:pPr>
      <w:r>
        <w:rPr>
          <w:rFonts w:ascii="Arial" w:cs="Arial" w:eastAsia="Arial" w:hAnsi="Arial"/>
          <w:sz w:val="16"/>
          <w:szCs w:val="16"/>
          <w:color w:val="auto"/>
        </w:rPr>
        <w:t>In October 2005, we completed the acquisition of the assets of Alteris, including the EGFRvIII molecule. We may be required to pay Alteris up to $5.0 million upon obtaining the first approval for commercial sale of a product containing EGFRvIII, including CDX-110.</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Thomas Jefferson University ("TJU")</w:t>
      </w:r>
    </w:p>
    <w:p>
      <w:pPr>
        <w:spacing w:after="0" w:line="225" w:lineRule="exact"/>
        <w:rPr>
          <w:sz w:val="20"/>
          <w:szCs w:val="20"/>
          <w:color w:val="auto"/>
        </w:rPr>
      </w:pPr>
    </w:p>
    <w:p>
      <w:pPr>
        <w:ind w:left="360"/>
        <w:spacing w:after="0"/>
        <w:rPr>
          <w:sz w:val="20"/>
          <w:szCs w:val="20"/>
          <w:color w:val="auto"/>
        </w:rPr>
      </w:pPr>
      <w:r>
        <w:rPr>
          <w:rFonts w:ascii="Arial" w:cs="Arial" w:eastAsia="Arial" w:hAnsi="Arial"/>
          <w:sz w:val="16"/>
          <w:szCs w:val="16"/>
          <w:color w:val="auto"/>
        </w:rPr>
        <w:t>In February 2003, we entered into two exclusive license agreements with TJU. Under these licenses, we may be required to pay milestones of up to</w:t>
      </w:r>
    </w:p>
    <w:p>
      <w:pPr>
        <w:spacing w:after="0" w:line="38"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$3.0 million upon obtaining first approval for commercial sale in a first indication and royalty payments in the low-single digits on any net product sales to TJU with respect to development and commercialization of the technology licensed from TJU. In connection with the Pfizer Agreement, we amended our licenses with TJU to add additional sublicensing rights and paid $4.5 million in sublicense fees to TJU in 2008.</w:t>
      </w:r>
    </w:p>
    <w:p>
      <w:pPr>
        <w:spacing w:after="0" w:line="19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8" w:name="page19"/>
    <w:bookmarkEnd w:id="18"/>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3M Company</w:t>
      </w:r>
    </w:p>
    <w:p>
      <w:pPr>
        <w:spacing w:after="0" w:line="225" w:lineRule="exact"/>
        <w:rPr>
          <w:sz w:val="20"/>
          <w:szCs w:val="20"/>
          <w:color w:val="auto"/>
        </w:rPr>
      </w:pPr>
    </w:p>
    <w:p>
      <w:pPr>
        <w:ind w:right="20" w:firstLine="351"/>
        <w:spacing w:after="0" w:line="294" w:lineRule="auto"/>
        <w:rPr>
          <w:sz w:val="20"/>
          <w:szCs w:val="20"/>
          <w:color w:val="auto"/>
        </w:rPr>
      </w:pPr>
      <w:r>
        <w:rPr>
          <w:rFonts w:ascii="Arial" w:cs="Arial" w:eastAsia="Arial" w:hAnsi="Arial"/>
          <w:sz w:val="16"/>
          <w:szCs w:val="16"/>
          <w:color w:val="auto"/>
        </w:rPr>
        <w:t>In June 2008, we and 3M Company entered into a license agreement for the exclusive worldwide rights to access 3M Company's proprietary Immune Response Modifier, Resiquimod™, (and additional Toll-Like Receptor 7/8 agonists ("TLR")) for clinical study with our proprietary APC Targeting Technology, for use as vaccine adjuvants, with the right to sublicense the technology. We may be required to pay milestones of up to $3.8 million upon obtaining first approval for commercial sale of each product using this vaccine adjuvant and royalty payments in the low-single digits on any net product sales to 3M Company with respect to development and commercialization of the technology licensed from 3M Company.</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University of Southampton, UK ("Southampton")</w:t>
      </w:r>
    </w:p>
    <w:p>
      <w:pPr>
        <w:spacing w:after="0" w:line="225" w:lineRule="exact"/>
        <w:rPr>
          <w:sz w:val="20"/>
          <w:szCs w:val="20"/>
          <w:color w:val="auto"/>
        </w:rPr>
      </w:pPr>
    </w:p>
    <w:p>
      <w:pPr>
        <w:ind w:right="200" w:firstLine="351"/>
        <w:spacing w:after="0" w:line="291" w:lineRule="auto"/>
        <w:rPr>
          <w:sz w:val="20"/>
          <w:szCs w:val="20"/>
          <w:color w:val="auto"/>
        </w:rPr>
      </w:pPr>
      <w:r>
        <w:rPr>
          <w:rFonts w:ascii="Arial" w:cs="Arial" w:eastAsia="Arial" w:hAnsi="Arial"/>
          <w:sz w:val="16"/>
          <w:szCs w:val="16"/>
          <w:color w:val="auto"/>
        </w:rPr>
        <w:t>In November 2008, we entered into a license agreement with Southampton to develop human antibodies towards CD27, a potentially important target for immunotherapy of various cancers. CD27 is a critical molecule in the activation pathway of lymphocytes, is downstream from CD40, and may provide a novel way to regulate the immune responses. In preclinical models, antibodies to CD27 have been shown to mediate anti-tumor effects alone, and may be particularly effective in combination with our other immunotherapies. We may be required to pay milestones of up to approximately $1.4 million upon obtaining first approval for commercial sale in a first indication and royalty payments in the low-single digits on any net product sales to Southampton with respect to development and commercialization of the technology licensed from Southampton.</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Amgen Inc. ("Amgen")</w:t>
      </w:r>
    </w:p>
    <w:p>
      <w:pPr>
        <w:spacing w:after="0" w:line="225" w:lineRule="exact"/>
        <w:rPr>
          <w:sz w:val="20"/>
          <w:szCs w:val="20"/>
          <w:color w:val="auto"/>
        </w:rPr>
      </w:pPr>
    </w:p>
    <w:p>
      <w:pPr>
        <w:ind w:right="60" w:firstLine="351"/>
        <w:spacing w:after="0" w:line="255" w:lineRule="auto"/>
        <w:rPr>
          <w:sz w:val="20"/>
          <w:szCs w:val="20"/>
          <w:color w:val="auto"/>
        </w:rPr>
      </w:pPr>
      <w:r>
        <w:rPr>
          <w:rFonts w:ascii="Arial" w:cs="Arial" w:eastAsia="Arial" w:hAnsi="Arial"/>
          <w:sz w:val="18"/>
          <w:szCs w:val="18"/>
          <w:color w:val="auto"/>
        </w:rPr>
        <w:t>In March 2009, we entered into a license agreement with Amgen to expand our Precision Targeted Immunotherapy Platform by acquiring exclusive rights to FMS-like tyrosine kinase 3 ligand (Flt3L or CDX-301) and CD40 ligand (CD40L). CDX-301 and CD40L are immune modulating molecules that increase the numbers and activity of immune cells that control immune responses. We may be required to pay milestones of up to $1.3 million upon obtaining first approval for commercial sale in a first indication and royalty payments in the low-single digits on any net product sales to Amgen with respect to development and commercialization of this technology licensed from Amgen.</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Amgen Fremont (formerly Abgenix)</w:t>
      </w:r>
    </w:p>
    <w:p>
      <w:pPr>
        <w:spacing w:after="0" w:line="225" w:lineRule="exact"/>
        <w:rPr>
          <w:sz w:val="20"/>
          <w:szCs w:val="20"/>
          <w:color w:val="auto"/>
        </w:rPr>
      </w:pPr>
    </w:p>
    <w:p>
      <w:pPr>
        <w:ind w:firstLine="351"/>
        <w:spacing w:after="0" w:line="294" w:lineRule="auto"/>
        <w:rPr>
          <w:sz w:val="20"/>
          <w:szCs w:val="20"/>
          <w:color w:val="auto"/>
        </w:rPr>
      </w:pPr>
      <w:r>
        <w:rPr>
          <w:rFonts w:ascii="Arial" w:cs="Arial" w:eastAsia="Arial" w:hAnsi="Arial"/>
          <w:sz w:val="16"/>
          <w:szCs w:val="16"/>
          <w:color w:val="auto"/>
        </w:rPr>
        <w:t>In connection with the CuraGen Merger, we assumed the license agreement between CuraGen and Amgen Fremont (successor in-interest to Abgenix) to develop fully-human monoclonal antibody therapeutics. In May 2009, an amendment to the license agreement ("Amgen Amendment") was entered into related to CuraGen's exclusive rights to develop and commercialize CDX-011 and 11 other licensed antigens. Under the Amgen Amendment, CuraGen and Amgen Fremont agreed to modify the terms of their existing cross-license of antigens whereby the amended license would be fully paid-up and royalty-free (except for any potentially required payments by CuraGen to the original licensor of CDX-011).</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Seattle Genetics, Inc. ("Seattle Genetics")</w:t>
      </w:r>
    </w:p>
    <w:p>
      <w:pPr>
        <w:spacing w:after="0" w:line="225" w:lineRule="exact"/>
        <w:rPr>
          <w:sz w:val="20"/>
          <w:szCs w:val="20"/>
          <w:color w:val="auto"/>
        </w:rPr>
      </w:pPr>
    </w:p>
    <w:p>
      <w:pPr>
        <w:ind w:right="120" w:firstLine="351"/>
        <w:spacing w:after="0" w:line="298" w:lineRule="auto"/>
        <w:rPr>
          <w:sz w:val="20"/>
          <w:szCs w:val="20"/>
          <w:color w:val="auto"/>
        </w:rPr>
      </w:pPr>
      <w:r>
        <w:rPr>
          <w:rFonts w:ascii="Arial" w:cs="Arial" w:eastAsia="Arial" w:hAnsi="Arial"/>
          <w:sz w:val="16"/>
          <w:szCs w:val="16"/>
          <w:color w:val="auto"/>
        </w:rPr>
        <w:t>In connection with the CuraGen Merger, we assumed the license agreement between CuraGen and Seattle Genetics whereby CuraGen acquired the rights to proprietary antibody-drug conjugate ("ADC") technology for use with its proprietary antibodies for the potential treatment of cancer. We may be required to pay milestones of up to $7.5 million upon obtaining first approval for commercial sale in a first indication and royalty payments in the mid-single digits on any net product sales to Seattle Genetics with respect to development and commercialization of the ADC technology.</w:t>
      </w:r>
    </w:p>
    <w:p>
      <w:pPr>
        <w:spacing w:after="0" w:line="16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9" w:name="page20"/>
    <w:bookmarkEnd w:id="19"/>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Competition</w:t>
      </w:r>
    </w:p>
    <w:p>
      <w:pPr>
        <w:spacing w:after="0" w:line="231" w:lineRule="exact"/>
        <w:rPr>
          <w:sz w:val="20"/>
          <w:szCs w:val="20"/>
          <w:color w:val="auto"/>
        </w:rPr>
      </w:pPr>
    </w:p>
    <w:p>
      <w:pPr>
        <w:ind w:firstLine="348"/>
        <w:spacing w:after="0" w:line="289" w:lineRule="auto"/>
        <w:rPr>
          <w:sz w:val="20"/>
          <w:szCs w:val="20"/>
          <w:color w:val="auto"/>
        </w:rPr>
      </w:pPr>
      <w:r>
        <w:rPr>
          <w:rFonts w:ascii="Arial" w:cs="Arial" w:eastAsia="Arial" w:hAnsi="Arial"/>
          <w:sz w:val="16"/>
          <w:szCs w:val="16"/>
          <w:color w:val="auto"/>
        </w:rPr>
        <w:t>The biotechnology and pharmaceutical industries are intensely competitive and subject to rapid and significant technological change. Many of the products that we are attempting to develop and commercialize will be competing with existing therapies. In addition, a number of companies are pursuing the development of pharmaceuticals that target the same diseases and conditions that we are targeting. We face competition from pharmaceutical and biotechnology companies both in the United States and abroad. Our competitors may utilize discovery technologies and techniques or partner with collaborators in order to develop products more rapidly or successfully than us or our collaborators are able to do. Many of our competitors, particularly large pharmaceutical companies, have substantially greater financial, technical and human resources than we do. In addition, academic institutions, government agencies and other public and private organizations conducting research may seek patent protection with respect to potentially competitive products or technologies and may establish exclusive collaborative or licensing relationships with our competitors.</w:t>
      </w:r>
    </w:p>
    <w:p>
      <w:pPr>
        <w:spacing w:after="0" w:line="172" w:lineRule="exact"/>
        <w:rPr>
          <w:sz w:val="20"/>
          <w:szCs w:val="20"/>
          <w:color w:val="auto"/>
        </w:rPr>
      </w:pPr>
    </w:p>
    <w:p>
      <w:pPr>
        <w:ind w:firstLine="348"/>
        <w:spacing w:after="0" w:line="286" w:lineRule="auto"/>
        <w:rPr>
          <w:sz w:val="20"/>
          <w:szCs w:val="20"/>
          <w:color w:val="auto"/>
        </w:rPr>
      </w:pPr>
      <w:r>
        <w:rPr>
          <w:rFonts w:ascii="Arial" w:cs="Arial" w:eastAsia="Arial" w:hAnsi="Arial"/>
          <w:sz w:val="16"/>
          <w:szCs w:val="16"/>
          <w:color w:val="auto"/>
        </w:rPr>
        <w:t>We face intense competition in our development activities. We face competition from many companies in the United States and abroad, including a number of large pharmaceutical companies, firms specialized in the development and production of vaccines, adjuvants and vaccine and immunotherapeutic delivery systems and major universities and research institutions. The competitors for which we are aware have initiated a Phase 3 study or have obtained marketing approval for a potentially competitive drug include Alexion, Agenus, Baxter, Dendreon, Eli Lilly, GlaxoSmithKline, ImmunoGen, Merck, Northwest Biotherapeutics, Pfizer, Roche, Sanofi-Aventis, Seattle Genetics, and Takeda. We are aware that Dendreon has received marketing approval for Provenge, a therapeutic vaccine for the treatment of prostate cancer which may compete with CDX-1307 and CDX-1401. In addition, companies such as Eli Lilly with its approved product Erbitux™ for the treatment of colorectal cancer, and Roche with its product Herceptin® for the treatment of metastatic breast cancer, have already commercialized antibody-based products that may compete with CDX-1307, CDX-1401 and CDX-011. Various other companies are developing or commercializing products in areas that we have targeted for product development. Some of these products use therapeutic approaches that may compete directly with our product candidates. Many of these companies and institutions, either alone or together with their partners, have substantially greater financial resources and larger research and development staffs than we do. These companies may succeed in obtaining approvals from the FDA and foreign regulatory authorities for their products sooner than we do for our products.</w:t>
      </w:r>
    </w:p>
    <w:p>
      <w:pPr>
        <w:spacing w:after="0" w:line="178" w:lineRule="exact"/>
        <w:rPr>
          <w:sz w:val="20"/>
          <w:szCs w:val="20"/>
          <w:color w:val="auto"/>
        </w:rPr>
      </w:pPr>
    </w:p>
    <w:p>
      <w:pPr>
        <w:ind w:firstLine="348"/>
        <w:spacing w:after="0" w:line="286" w:lineRule="auto"/>
        <w:rPr>
          <w:sz w:val="20"/>
          <w:szCs w:val="20"/>
          <w:color w:val="auto"/>
        </w:rPr>
      </w:pPr>
      <w:r>
        <w:rPr>
          <w:rFonts w:ascii="Arial" w:cs="Arial" w:eastAsia="Arial" w:hAnsi="Arial"/>
          <w:sz w:val="16"/>
          <w:szCs w:val="16"/>
          <w:color w:val="auto"/>
        </w:rPr>
        <w:t>We are aware of a number of competitive products currently available in the marketplace or under development that are used for the prevention and treatment of the diseases that we have targeted for product development. Various companies are currently marketing or developing biopharmaceutical products that may compete with our product candidates that target colorectal cancer. Product candidates we may develop are also subject to competition in the treatment of colorectal cancer from a number of products already approved and on the market, including the following chemotherapy products: AstraZeneca PLC's Tomudex®, Hoffman-LaRoche's Xeloda® (capecitabine), Immunex Corporation's Leucovorin® calcium, ImClone Systems' Erbitux™, Pfizer, Inc.'s Camptosar® (irinotecan) and Aduracil® (5-FU), Sanofi-Synthelabo Group's Eloxatin™ (oxaliplatin), Genentech's anti-VEGF antibody, Avastin™, GlaxoSmithKline's Eniluracil™, and Titan Pharmaceuticals' CeaVac™, in the treatment of patients with advanced-stage colorectal cancer. In addition, we are aware that other companies such as BioSante, Dendreon and Seattle Genetics may be developing additional cancer vaccines that could potentially compete with some of our other product candidates. We may also face competition from Bristol-Myers Squibb, which is developing a therapeutic vaccine for the treatment of melanoma using its Ipilimumab product candidate. We also face competition from a number of companies working in the fields of anti-angiogenesis and specific active immunotherapy for the treatment of solid tumor cancers. We expect that competition among specific active immunotherapy</w:t>
      </w:r>
    </w:p>
    <w:p>
      <w:pPr>
        <w:spacing w:after="0" w:line="18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131" w:right="279" w:bottom="1440" w:gutter="0" w:footer="0" w:header="0"/>
        </w:sectPr>
      </w:pPr>
    </w:p>
    <w:bookmarkStart w:id="20" w:name="page21"/>
    <w:bookmarkEnd w:id="20"/>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ind w:right="420"/>
        <w:spacing w:after="0" w:line="268" w:lineRule="auto"/>
        <w:rPr>
          <w:sz w:val="20"/>
          <w:szCs w:val="20"/>
          <w:color w:val="auto"/>
        </w:rPr>
      </w:pPr>
      <w:r>
        <w:rPr>
          <w:rFonts w:ascii="Arial" w:cs="Arial" w:eastAsia="Arial" w:hAnsi="Arial"/>
          <w:sz w:val="18"/>
          <w:szCs w:val="18"/>
          <w:color w:val="auto"/>
        </w:rPr>
        <w:t>and anti-angiogenesis products approved for sale will be based on various factors, including product efficacy, safety, reliability, availability, price and patent position.</w:t>
      </w:r>
    </w:p>
    <w:p>
      <w:pPr>
        <w:spacing w:after="0" w:line="186" w:lineRule="exact"/>
        <w:rPr>
          <w:sz w:val="20"/>
          <w:szCs w:val="20"/>
          <w:color w:val="auto"/>
        </w:rPr>
      </w:pPr>
    </w:p>
    <w:p>
      <w:pPr>
        <w:ind w:firstLine="348"/>
        <w:spacing w:after="0" w:line="288" w:lineRule="auto"/>
        <w:rPr>
          <w:sz w:val="20"/>
          <w:szCs w:val="20"/>
          <w:color w:val="auto"/>
        </w:rPr>
      </w:pPr>
      <w:r>
        <w:rPr>
          <w:rFonts w:ascii="Arial" w:cs="Arial" w:eastAsia="Arial" w:hAnsi="Arial"/>
          <w:sz w:val="16"/>
          <w:szCs w:val="16"/>
          <w:color w:val="auto"/>
        </w:rPr>
        <w:t>We are aware of specific companies that are developing antibody-drug conjugates (ADCs) for use in the treatment of cancer. Trastuzumab-DM1 (T-DM1) is a first-in-class HER2 antibody-drug conjugate comprised of Genentech's (a member of the Roche Group) trastuzumab antibody linked to ImmunoGen's cell-killing agent, DM1. T-DM1 combines anti-HER2 activity and targeted intracellular delivery of the potent anti-microtubule agent, DM1 (a maytansine derivative). A Phase 3 clinical trial evaluating T-DM1 for second-line HER2-positive metastatic breast cancer may be competitive with our developmental program in the breast cancer indication. Other ADCs are in development by our collaborator of the MMAE technology, Seattle Genetics, using monomethylaurastatin derivatives as the cell-killing agent in hematologic cancers and other cancers. Marketed products that are used in the treatment of melanoma include dacarbazine, temozolamide, and interleukin-2. In addition, several other pharmaceutical and biotechnology companies are engaged in research and development for the treatment of melanoma. Many more products are on the market or in development for the treatment of metastatic breast cancer. At this time, it is not clear in what manner CDX-011 will compete with these other commercial and development stage products in metastatic melanoma and breast cancer.</w:t>
      </w:r>
    </w:p>
    <w:p>
      <w:pPr>
        <w:spacing w:after="0" w:line="174" w:lineRule="exact"/>
        <w:rPr>
          <w:sz w:val="20"/>
          <w:szCs w:val="20"/>
          <w:color w:val="auto"/>
        </w:rPr>
      </w:pPr>
    </w:p>
    <w:p>
      <w:pPr>
        <w:ind w:firstLine="348"/>
        <w:spacing w:after="0" w:line="254" w:lineRule="auto"/>
        <w:rPr>
          <w:sz w:val="20"/>
          <w:szCs w:val="20"/>
          <w:color w:val="auto"/>
        </w:rPr>
      </w:pPr>
      <w:r>
        <w:rPr>
          <w:rFonts w:ascii="Arial" w:cs="Arial" w:eastAsia="Arial" w:hAnsi="Arial"/>
          <w:sz w:val="18"/>
          <w:szCs w:val="18"/>
          <w:color w:val="auto"/>
        </w:rPr>
        <w:t>We also face competition from pharmaceutical and biotechnology companies, academic institutions, government agencies and private research organizations in recruiting and retaining highly qualified scientific personnel and consultants and in the development and acquisition of technologies. Moreover, technology controlled by third parties that may be advantageous to our business may be acquired or licensed by our competitors, thereby preventing us from obtaining technology on commercially reasonable terms, if at all. We will also compete for the services of third parties that may have already developed or acquired internal biotechnology capabilities or made commercial arrangements with other biopharmaceutical companies to target the diseases on which we have focused both in the U.S. and outside of the U.S.</w:t>
      </w:r>
    </w:p>
    <w:p>
      <w:pPr>
        <w:spacing w:after="0" w:line="198" w:lineRule="exact"/>
        <w:rPr>
          <w:sz w:val="20"/>
          <w:szCs w:val="20"/>
          <w:color w:val="auto"/>
        </w:rPr>
      </w:pPr>
    </w:p>
    <w:p>
      <w:pPr>
        <w:ind w:right="40" w:firstLine="351"/>
        <w:spacing w:after="0" w:line="312" w:lineRule="auto"/>
        <w:rPr>
          <w:sz w:val="20"/>
          <w:szCs w:val="20"/>
          <w:color w:val="auto"/>
        </w:rPr>
      </w:pPr>
      <w:r>
        <w:rPr>
          <w:rFonts w:ascii="Arial" w:cs="Arial" w:eastAsia="Arial" w:hAnsi="Arial"/>
          <w:sz w:val="15"/>
          <w:szCs w:val="15"/>
          <w:color w:val="auto"/>
        </w:rPr>
        <w:t>Our competitive position will also depend upon our ability to attract and retain qualified personnel, obtain patent protection or otherwise develop proprietary products or processes and secure sufficient capital resources for the often lengthy period between technological conception and commercial sales. We will require substantial capital resources to complete development of some or all of our products, obtain the necessary regulatory approvals and successfully manufacture and market our products. In order to secure capital resources, we anticipate having to sell additional capital stock, which would dilute existing stockholders. We may also attempt to obtain funds through research grants and agreements with commercial collaborators. However, these types of fundings are uncertain because they are at the discretion of the organizations and companies that control the funds. As a result, we may not receive any funds from grants or collaborations. Alternatively, we may borrow funds from commercial lenders, likely at high interest rates, which would increase the risk of any investment in us.</w:t>
      </w:r>
    </w:p>
    <w:p>
      <w:pPr>
        <w:spacing w:after="0" w:line="15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Manufacturing</w:t>
      </w:r>
    </w:p>
    <w:p>
      <w:pPr>
        <w:spacing w:after="0" w:line="231" w:lineRule="exact"/>
        <w:rPr>
          <w:sz w:val="20"/>
          <w:szCs w:val="20"/>
          <w:color w:val="auto"/>
        </w:rPr>
      </w:pPr>
    </w:p>
    <w:p>
      <w:pPr>
        <w:ind w:right="80" w:firstLine="348"/>
        <w:spacing w:after="0" w:line="253" w:lineRule="auto"/>
        <w:rPr>
          <w:sz w:val="20"/>
          <w:szCs w:val="20"/>
          <w:color w:val="auto"/>
        </w:rPr>
      </w:pPr>
      <w:r>
        <w:rPr>
          <w:rFonts w:ascii="Arial" w:cs="Arial" w:eastAsia="Arial" w:hAnsi="Arial"/>
          <w:sz w:val="18"/>
          <w:szCs w:val="18"/>
          <w:color w:val="auto"/>
        </w:rPr>
        <w:t>We have no experience in large scale manufacturing and we have relied upon collaborators or contractors to manufacture some of our proposed products for both clinical and commercial purposes to date. We have established our own manufacturing facility in Fall River, Massachusetts, to produce antibodies, vaccines and other products that we may develop at scale for clinical trials. In 2010, we completed renovations at our Fall River, MA manufacturing facility which increased our capacity by installing a 1000L bioreactor and made the facility European Medicines Agency ("EMEA") compliant. Implementing EMEA requirements along with FDA Good Manufacturing Practices ("GMP") will allow us to distribute potential products to clinical sites in both the US and EU. In order for us to establish a commercial manufacturing facility, we will require substantial additional funds and will be required to hire and retain significant additional personnel and comply with the extensive GMP regulations applicable to such facility. The commercial manufacturing facility would also need to be licensed for</w:t>
      </w:r>
    </w:p>
    <w:p>
      <w:pPr>
        <w:spacing w:after="0" w:line="19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21" w:name="page22"/>
    <w:bookmarkEnd w:id="21"/>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ind w:right="180"/>
        <w:spacing w:after="0" w:line="332" w:lineRule="auto"/>
        <w:rPr>
          <w:sz w:val="20"/>
          <w:szCs w:val="20"/>
          <w:color w:val="auto"/>
        </w:rPr>
      </w:pPr>
      <w:r>
        <w:rPr>
          <w:rFonts w:ascii="Arial" w:cs="Arial" w:eastAsia="Arial" w:hAnsi="Arial"/>
          <w:sz w:val="16"/>
          <w:szCs w:val="16"/>
          <w:color w:val="auto"/>
        </w:rPr>
        <w:t>the production of antibodies, vaccines and other products by the FDA. We intend to establish manufacturing arrangements with manufacturers that comply with the FDA's requirements and other regulatory standards, although there can be no assurance that we will be able to do so.</w:t>
      </w:r>
    </w:p>
    <w:p>
      <w:pPr>
        <w:spacing w:after="0" w:line="139" w:lineRule="exact"/>
        <w:rPr>
          <w:sz w:val="20"/>
          <w:szCs w:val="20"/>
          <w:color w:val="auto"/>
        </w:rPr>
      </w:pPr>
    </w:p>
    <w:p>
      <w:pPr>
        <w:ind w:right="80" w:firstLine="348"/>
        <w:spacing w:after="0" w:line="291" w:lineRule="auto"/>
        <w:rPr>
          <w:sz w:val="20"/>
          <w:szCs w:val="20"/>
          <w:color w:val="auto"/>
        </w:rPr>
      </w:pPr>
      <w:r>
        <w:rPr>
          <w:rFonts w:ascii="Arial" w:cs="Arial" w:eastAsia="Arial" w:hAnsi="Arial"/>
          <w:sz w:val="16"/>
          <w:szCs w:val="16"/>
          <w:color w:val="auto"/>
        </w:rPr>
        <w:t>While we believe that there is currently sufficient capacity worldwide for the production of our potential products by our collaborators or through contract manufacturers, establishing long-term relationships with contract manufacturers and securing multiple sources for the necessary quantities of clinical and commercial materials required can be a challenge. Qualifying the initial source of clinical and ultimately commercial material is a time consuming and expensive process due to the highly regulated nature of the pharmaceutical/biotech industry. These costs are hopefully mitigated in the economies of scale realized in commercial manufacture and product sale. The key difficulty in qualifying more than one source for each product is the duplicated time and expense in doing so without the potential to mitigate these costs if the secondary source is never utilized.</w:t>
      </w:r>
    </w:p>
    <w:p>
      <w:pPr>
        <w:spacing w:after="0" w:line="174" w:lineRule="exact"/>
        <w:rPr>
          <w:sz w:val="20"/>
          <w:szCs w:val="20"/>
          <w:color w:val="auto"/>
        </w:rPr>
      </w:pPr>
    </w:p>
    <w:p>
      <w:pPr>
        <w:ind w:right="40" w:firstLine="341"/>
        <w:spacing w:after="0" w:line="290" w:lineRule="auto"/>
        <w:rPr>
          <w:sz w:val="20"/>
          <w:szCs w:val="20"/>
          <w:color w:val="auto"/>
        </w:rPr>
      </w:pPr>
      <w:r>
        <w:rPr>
          <w:rFonts w:ascii="Arial" w:cs="Arial" w:eastAsia="Arial" w:hAnsi="Arial"/>
          <w:sz w:val="16"/>
          <w:szCs w:val="16"/>
          <w:color w:val="auto"/>
        </w:rPr>
        <w:t>As part of the Pfizer Termination, we acquired rindopepimut drug product that was manufactured by Pfizer which we intend to use in our upcoming Phase 3 clinical trial. We intend to establish a relationship with a contract manufacturer for the future commercial manufacturing of rindopepimut. To date, we have utilized contract manufacturers for the manufacture of clinical trial supplies of CDX-011 and CDX-1135. The two clinical lots of CDX-1307 used in our completed Phase 1 clinical trials of CDX-1307 were manufactured by contract manufacturers. We manufactured additional quantities of CDX-1307 in our Fall River facility to meet our current Phase 2 clinical trial material requirements. We also manufactured in our Fall River facility CDX-1401 clinical materials for our current Phase 1/2 clinical trial and CDX-301 and CDX-1127 clinical materials for our planned Phase 1 clinical trials. Manufacture of the rotavirus vaccine is the responsibility of Glaxo, which has received from us a worldwide exclusive license to commercialize this vaccine.</w:t>
      </w:r>
    </w:p>
    <w:p>
      <w:pPr>
        <w:spacing w:after="0" w:line="172" w:lineRule="exact"/>
        <w:rPr>
          <w:sz w:val="20"/>
          <w:szCs w:val="20"/>
          <w:color w:val="auto"/>
        </w:rPr>
      </w:pPr>
    </w:p>
    <w:p>
      <w:pPr>
        <w:ind w:right="40" w:firstLine="348"/>
        <w:spacing w:after="0" w:line="259" w:lineRule="auto"/>
        <w:rPr>
          <w:sz w:val="20"/>
          <w:szCs w:val="20"/>
          <w:color w:val="auto"/>
        </w:rPr>
      </w:pPr>
      <w:r>
        <w:rPr>
          <w:rFonts w:ascii="Arial" w:cs="Arial" w:eastAsia="Arial" w:hAnsi="Arial"/>
          <w:sz w:val="18"/>
          <w:szCs w:val="18"/>
          <w:color w:val="auto"/>
        </w:rPr>
        <w:t>The manufacturing processes for our other vaccine and immunotherapeutic delivery systems and vaccines utilize known technologies. We believe that the products we currently have under development can be scaled up to permit manufacture in commercial quantities. However, there can be no assurance that we will not encounter difficulties in scaling up the manufacturing processes.</w:t>
      </w:r>
    </w:p>
    <w:p>
      <w:pPr>
        <w:spacing w:after="0" w:line="194" w:lineRule="exact"/>
        <w:rPr>
          <w:sz w:val="20"/>
          <w:szCs w:val="20"/>
          <w:color w:val="auto"/>
        </w:rPr>
      </w:pPr>
    </w:p>
    <w:p>
      <w:pPr>
        <w:ind w:right="80" w:firstLine="351"/>
        <w:spacing w:after="0" w:line="255" w:lineRule="auto"/>
        <w:rPr>
          <w:sz w:val="20"/>
          <w:szCs w:val="20"/>
          <w:color w:val="auto"/>
        </w:rPr>
      </w:pPr>
      <w:r>
        <w:rPr>
          <w:rFonts w:ascii="Arial" w:cs="Arial" w:eastAsia="Arial" w:hAnsi="Arial"/>
          <w:sz w:val="18"/>
          <w:szCs w:val="18"/>
          <w:color w:val="auto"/>
        </w:rPr>
        <w:t>Use of third party manufacturers limits our control over and ability to monitor the manufacturing process. As a result, we may not be able to detect a variety of problems that may arise and may face additional costs in the process of interfacing with and monitoring the progress of our contract manufacturers. If third party manufacturers fail to meet our manufacturing needs in an acceptable manner, we would face delays and additional costs while we develop internal manufacturing capabilities or find alternative third party manufacturers. It may not be possible to have multiple third party manufacturers ready to supply us with needed material at all or without incurring significant costs.</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Marketing</w:t>
      </w:r>
    </w:p>
    <w:p>
      <w:pPr>
        <w:spacing w:after="0" w:line="231" w:lineRule="exact"/>
        <w:rPr>
          <w:sz w:val="20"/>
          <w:szCs w:val="20"/>
          <w:color w:val="auto"/>
        </w:rPr>
      </w:pPr>
    </w:p>
    <w:p>
      <w:pPr>
        <w:jc w:val="both"/>
        <w:ind w:firstLine="351"/>
        <w:spacing w:after="0" w:line="306" w:lineRule="auto"/>
        <w:rPr>
          <w:sz w:val="20"/>
          <w:szCs w:val="20"/>
          <w:color w:val="auto"/>
        </w:rPr>
      </w:pPr>
      <w:r>
        <w:rPr>
          <w:rFonts w:ascii="Arial" w:cs="Arial" w:eastAsia="Arial" w:hAnsi="Arial"/>
          <w:sz w:val="16"/>
          <w:szCs w:val="16"/>
          <w:color w:val="auto"/>
        </w:rPr>
        <w:t>Under the terms of existing and future partnership agreements, we rely and expect to continue to rely on the efforts of our collaborators, including Glaxo, for the sale and marketing of our products. There can be no assurance that our collaborators will develop and market vaccine products incorporating our technologies, or, if marketed, that such efforts will be successful. The failure of our collaborators to successfully market products would harm our business.</w:t>
      </w:r>
    </w:p>
    <w:p>
      <w:pPr>
        <w:spacing w:after="0" w:line="161" w:lineRule="exact"/>
        <w:rPr>
          <w:sz w:val="20"/>
          <w:szCs w:val="20"/>
          <w:color w:val="auto"/>
        </w:rPr>
      </w:pPr>
    </w:p>
    <w:p>
      <w:pPr>
        <w:ind w:right="80" w:firstLine="348"/>
        <w:spacing w:after="0" w:line="294" w:lineRule="auto"/>
        <w:rPr>
          <w:sz w:val="20"/>
          <w:szCs w:val="20"/>
          <w:color w:val="auto"/>
        </w:rPr>
      </w:pPr>
      <w:r>
        <w:rPr>
          <w:rFonts w:ascii="Arial" w:cs="Arial" w:eastAsia="Arial" w:hAnsi="Arial"/>
          <w:sz w:val="16"/>
          <w:szCs w:val="16"/>
          <w:color w:val="auto"/>
        </w:rPr>
        <w:t>We have retained, and in the future intend to retain, marketing rights to some of our product candidates, including vaccine and immunotherapeutic delivery systems and vaccine candidates, in selected geographic areas and for specified indications. We intend to seek marketing and distribution agreements and/or co-promotion agreements for the distribution of our products in these geographic areas and for these indications. We believe that these arrangements could enable us to generate greater financial return than might be obtained from early stage licensing and collaboration agreements. We currently have no marketing and sales staff and limited experience relating to marketing and</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22" w:name="page23"/>
    <w:bookmarkEnd w:id="22"/>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spacing w:after="0" w:line="294" w:lineRule="auto"/>
        <w:rPr>
          <w:sz w:val="20"/>
          <w:szCs w:val="20"/>
          <w:color w:val="auto"/>
        </w:rPr>
      </w:pPr>
      <w:r>
        <w:rPr>
          <w:rFonts w:ascii="Arial" w:cs="Arial" w:eastAsia="Arial" w:hAnsi="Arial"/>
          <w:sz w:val="16"/>
          <w:szCs w:val="16"/>
          <w:color w:val="auto"/>
        </w:rPr>
        <w:t>distribution of commercial products, including vaccines. If we determine in the future to engage in direct marketing of our products, we will be required to recruit an experienced marketing group, develop a supporting distribution capability and incur significant additional expenditures. There can be no assurance that we will be able to establish a successful marketing force. We may choose or find it necessary to enter into strategic partnerships on uncertain, but potentially unfavorable, terms to sell, market and distribute our products. Any delay in the marketing or distribution of our products, whether it results from problems with internal capabilities or with a collaborative relationship, could harm the value of an investment in us.</w:t>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Patents, Licenses and Proprietary Rights</w:t>
      </w:r>
    </w:p>
    <w:p>
      <w:pPr>
        <w:spacing w:after="0" w:line="231" w:lineRule="exact"/>
        <w:rPr>
          <w:sz w:val="20"/>
          <w:szCs w:val="20"/>
          <w:color w:val="auto"/>
        </w:rPr>
      </w:pPr>
    </w:p>
    <w:p>
      <w:pPr>
        <w:ind w:right="20" w:firstLine="351"/>
        <w:spacing w:after="0" w:line="298" w:lineRule="auto"/>
        <w:rPr>
          <w:sz w:val="20"/>
          <w:szCs w:val="20"/>
          <w:color w:val="auto"/>
        </w:rPr>
      </w:pPr>
      <w:r>
        <w:rPr>
          <w:rFonts w:ascii="Arial" w:cs="Arial" w:eastAsia="Arial" w:hAnsi="Arial"/>
          <w:sz w:val="16"/>
          <w:szCs w:val="16"/>
          <w:color w:val="auto"/>
        </w:rPr>
        <w:t>In general, our intellectual property strategy is to protect our technology by filing patent applications and obtaining patent rights covering our own technology, both in the United States and in foreign countries that we consider important to our business. In addition, we have acquired and will seek to acquire as needed or desired, exclusive rights of others through assignment or license to complement our portfolio of patent rights. We also rely on trade secrets, unpatented know-how and technological expertise and innovation to develop and maintain our competitive position.</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Patents</w:t>
      </w:r>
    </w:p>
    <w:p>
      <w:pPr>
        <w:spacing w:after="0" w:line="225" w:lineRule="exact"/>
        <w:rPr>
          <w:sz w:val="20"/>
          <w:szCs w:val="20"/>
          <w:color w:val="auto"/>
        </w:rPr>
      </w:pPr>
    </w:p>
    <w:p>
      <w:pPr>
        <w:ind w:right="20" w:firstLine="348"/>
        <w:spacing w:after="0" w:line="291" w:lineRule="auto"/>
        <w:rPr>
          <w:sz w:val="20"/>
          <w:szCs w:val="20"/>
          <w:color w:val="auto"/>
        </w:rPr>
      </w:pPr>
      <w:r>
        <w:rPr>
          <w:rFonts w:ascii="Arial" w:cs="Arial" w:eastAsia="Arial" w:hAnsi="Arial"/>
          <w:sz w:val="16"/>
          <w:szCs w:val="16"/>
          <w:color w:val="auto"/>
        </w:rPr>
        <w:t>The successful development and marketing of products by us will depend in part on our ability to create and maintain intellectual property, including patent rights. We are the owner or exclusive licensee to proprietary patent positions in the areas of vaccine technologies, antibody technologies and complement inhibitor technology. Although we continue to pursue patent protection for our products, no assurance can be given that any pending application will issue as a patent, that any issued patent will have a scope that will be of commercial benefit, or that we will be able to successfully enforce our patent position against infringers. We routinely review our patent portfolio and adjusts its strategies for prosecution and maintenance of individual cases according to a number of factors including program priorities, stage of development, and patent term.</w:t>
      </w:r>
    </w:p>
    <w:p>
      <w:pPr>
        <w:spacing w:after="0" w:line="174" w:lineRule="exact"/>
        <w:rPr>
          <w:sz w:val="20"/>
          <w:szCs w:val="20"/>
          <w:color w:val="auto"/>
        </w:rPr>
      </w:pPr>
    </w:p>
    <w:p>
      <w:pPr>
        <w:jc w:val="both"/>
        <w:ind w:right="80" w:firstLine="348"/>
        <w:spacing w:after="0" w:line="306" w:lineRule="auto"/>
        <w:rPr>
          <w:sz w:val="20"/>
          <w:szCs w:val="20"/>
          <w:color w:val="auto"/>
        </w:rPr>
      </w:pPr>
      <w:r>
        <w:rPr>
          <w:rFonts w:ascii="Arial" w:cs="Arial" w:eastAsia="Arial" w:hAnsi="Arial"/>
          <w:sz w:val="16"/>
          <w:szCs w:val="16"/>
          <w:color w:val="auto"/>
        </w:rPr>
        <w:t>We own or license rights under more than 400 granted patents and national and regional patent applications around the world covering inventions relating to our business. The key patents owned by us or licensed to us that we consider important to our business include the following (the indicated and estimated patent expiry dates do not include any possible Patent Term Extensions or Supplementary Protection Certificates, if these may be secured in due course):</w:t>
      </w:r>
    </w:p>
    <w:p>
      <w:pPr>
        <w:spacing w:after="0" w:line="174" w:lineRule="exact"/>
        <w:rPr>
          <w:sz w:val="20"/>
          <w:szCs w:val="20"/>
          <w:color w:val="auto"/>
        </w:rPr>
      </w:pPr>
    </w:p>
    <w:p>
      <w:pPr>
        <w:ind w:left="1080" w:right="100" w:hanging="532"/>
        <w:spacing w:after="0" w:line="256" w:lineRule="auto"/>
        <w:tabs>
          <w:tab w:leader="none" w:pos="1080" w:val="left"/>
        </w:tabs>
        <w:numPr>
          <w:ilvl w:val="0"/>
          <w:numId w:val="7"/>
        </w:numPr>
        <w:rPr>
          <w:rFonts w:ascii="Arial" w:cs="Arial" w:eastAsia="Arial" w:hAnsi="Arial"/>
          <w:sz w:val="18"/>
          <w:szCs w:val="18"/>
          <w:color w:val="auto"/>
        </w:rPr>
      </w:pPr>
      <w:r>
        <w:rPr>
          <w:rFonts w:ascii="Arial" w:cs="Arial" w:eastAsia="Arial" w:hAnsi="Arial"/>
          <w:sz w:val="18"/>
          <w:szCs w:val="18"/>
          <w:color w:val="auto"/>
        </w:rPr>
        <w:t>Patents for the technology used in CDX-110 have expiration dates through 2014 in the United States and through 2015 in the United Kingdom, Germany and France. We also have rights under patent applications around the world relating to uses of CDX-110 which are currently pending. If issued and maintained to full term in a form which covers commercial use of CDX-110, the latter filings could potentially provide additional patent protection for the relevant use in the relevant territories to 2026.</w:t>
      </w:r>
    </w:p>
    <w:p>
      <w:pPr>
        <w:spacing w:after="0" w:line="224" w:lineRule="exact"/>
        <w:rPr>
          <w:rFonts w:ascii="Arial" w:cs="Arial" w:eastAsia="Arial" w:hAnsi="Arial"/>
          <w:sz w:val="18"/>
          <w:szCs w:val="18"/>
          <w:color w:val="auto"/>
        </w:rPr>
      </w:pPr>
    </w:p>
    <w:p>
      <w:pPr>
        <w:ind w:left="1080" w:right="240" w:hanging="532"/>
        <w:spacing w:after="0" w:line="259" w:lineRule="auto"/>
        <w:tabs>
          <w:tab w:leader="none" w:pos="1080" w:val="left"/>
        </w:tabs>
        <w:numPr>
          <w:ilvl w:val="0"/>
          <w:numId w:val="7"/>
        </w:numPr>
        <w:rPr>
          <w:rFonts w:ascii="Arial" w:cs="Arial" w:eastAsia="Arial" w:hAnsi="Arial"/>
          <w:sz w:val="18"/>
          <w:szCs w:val="18"/>
          <w:color w:val="auto"/>
        </w:rPr>
      </w:pPr>
      <w:r>
        <w:rPr>
          <w:rFonts w:ascii="Arial" w:cs="Arial" w:eastAsia="Arial" w:hAnsi="Arial"/>
          <w:sz w:val="18"/>
          <w:szCs w:val="18"/>
          <w:color w:val="auto"/>
        </w:rPr>
        <w:t>Our patent portfolio for CDX-011 includes an issued patent in Europe and pending patent applications in the US and Japan. If issued and maintained to full term in due course, these would have estimated patent expiry dates in 2025. In addition, patent rights relating to the toxin and conjugation technology used in CDX-011 have been licensed from Seattle Genetics.</w:t>
      </w:r>
    </w:p>
    <w:p>
      <w:pPr>
        <w:spacing w:after="0" w:line="207" w:lineRule="exact"/>
        <w:rPr>
          <w:rFonts w:ascii="Arial" w:cs="Arial" w:eastAsia="Arial" w:hAnsi="Arial"/>
          <w:sz w:val="18"/>
          <w:szCs w:val="18"/>
          <w:color w:val="auto"/>
        </w:rPr>
      </w:pPr>
    </w:p>
    <w:p>
      <w:pPr>
        <w:ind w:left="1080" w:right="40" w:hanging="532"/>
        <w:spacing w:after="0" w:line="268" w:lineRule="auto"/>
        <w:tabs>
          <w:tab w:leader="none" w:pos="1080" w:val="left"/>
        </w:tabs>
        <w:numPr>
          <w:ilvl w:val="0"/>
          <w:numId w:val="7"/>
        </w:numPr>
        <w:rPr>
          <w:rFonts w:ascii="Arial" w:cs="Arial" w:eastAsia="Arial" w:hAnsi="Arial"/>
          <w:sz w:val="18"/>
          <w:szCs w:val="18"/>
          <w:color w:val="auto"/>
        </w:rPr>
      </w:pPr>
      <w:r>
        <w:rPr>
          <w:rFonts w:ascii="Arial" w:cs="Arial" w:eastAsia="Arial" w:hAnsi="Arial"/>
          <w:sz w:val="18"/>
          <w:szCs w:val="18"/>
          <w:color w:val="auto"/>
        </w:rPr>
        <w:t>US patents and worldwide pending patent applications for the technology used in CDX-1307 have current or estimated expiration dates (subject to issue in the case of pending applications) that range from 2021 to 2024.</w:t>
      </w:r>
    </w:p>
    <w:p>
      <w:pPr>
        <w:spacing w:after="0" w:line="18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23" w:name="page24"/>
    <w:bookmarkEnd w:id="23"/>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39" w:lineRule="exact"/>
        <w:rPr>
          <w:sz w:val="20"/>
          <w:szCs w:val="20"/>
          <w:color w:val="auto"/>
        </w:rPr>
      </w:pPr>
    </w:p>
    <w:p>
      <w:pPr>
        <w:ind w:left="1080" w:hanging="532"/>
        <w:spacing w:after="0" w:line="268" w:lineRule="auto"/>
        <w:tabs>
          <w:tab w:leader="none" w:pos="1080" w:val="left"/>
        </w:tabs>
        <w:numPr>
          <w:ilvl w:val="0"/>
          <w:numId w:val="8"/>
        </w:numPr>
        <w:rPr>
          <w:rFonts w:ascii="Arial" w:cs="Arial" w:eastAsia="Arial" w:hAnsi="Arial"/>
          <w:sz w:val="18"/>
          <w:szCs w:val="18"/>
          <w:color w:val="auto"/>
        </w:rPr>
      </w:pPr>
      <w:r>
        <w:rPr>
          <w:rFonts w:ascii="Arial" w:cs="Arial" w:eastAsia="Arial" w:hAnsi="Arial"/>
          <w:sz w:val="18"/>
          <w:szCs w:val="18"/>
          <w:color w:val="auto"/>
        </w:rPr>
        <w:t>We have a pending international patent application relating to the technology used in CDX-1401 which, if issued in the main designated territories and maintained to full term in due course, would have estimated patent expiry dates in 2028.</w:t>
      </w:r>
    </w:p>
    <w:p>
      <w:pPr>
        <w:spacing w:after="0" w:line="212" w:lineRule="exact"/>
        <w:rPr>
          <w:rFonts w:ascii="Arial" w:cs="Arial" w:eastAsia="Arial" w:hAnsi="Arial"/>
          <w:sz w:val="18"/>
          <w:szCs w:val="18"/>
          <w:color w:val="auto"/>
        </w:rPr>
      </w:pPr>
    </w:p>
    <w:p>
      <w:pPr>
        <w:ind w:left="1080" w:right="220" w:hanging="532"/>
        <w:spacing w:after="0" w:line="268" w:lineRule="auto"/>
        <w:tabs>
          <w:tab w:leader="none" w:pos="1080" w:val="left"/>
        </w:tabs>
        <w:numPr>
          <w:ilvl w:val="0"/>
          <w:numId w:val="8"/>
        </w:numPr>
        <w:rPr>
          <w:rFonts w:ascii="Arial" w:cs="Arial" w:eastAsia="Arial" w:hAnsi="Arial"/>
          <w:sz w:val="18"/>
          <w:szCs w:val="18"/>
          <w:color w:val="auto"/>
        </w:rPr>
      </w:pPr>
      <w:r>
        <w:rPr>
          <w:rFonts w:ascii="Arial" w:cs="Arial" w:eastAsia="Arial" w:hAnsi="Arial"/>
          <w:sz w:val="18"/>
          <w:szCs w:val="18"/>
          <w:color w:val="auto"/>
        </w:rPr>
        <w:t>Patents for the technology used in CDX-301 have current expiration dates that range from 2016 in the major European territories to 2020 in the US.</w:t>
      </w:r>
    </w:p>
    <w:p>
      <w:pPr>
        <w:spacing w:after="0" w:line="199" w:lineRule="exact"/>
        <w:rPr>
          <w:rFonts w:ascii="Arial" w:cs="Arial" w:eastAsia="Arial" w:hAnsi="Arial"/>
          <w:sz w:val="18"/>
          <w:szCs w:val="18"/>
          <w:color w:val="auto"/>
        </w:rPr>
      </w:pPr>
    </w:p>
    <w:p>
      <w:pPr>
        <w:ind w:left="1080" w:right="40" w:hanging="532"/>
        <w:spacing w:after="0" w:line="332" w:lineRule="auto"/>
        <w:tabs>
          <w:tab w:leader="none" w:pos="1080" w:val="left"/>
        </w:tabs>
        <w:numPr>
          <w:ilvl w:val="0"/>
          <w:numId w:val="8"/>
        </w:numPr>
        <w:rPr>
          <w:rFonts w:ascii="Arial" w:cs="Arial" w:eastAsia="Arial" w:hAnsi="Arial"/>
          <w:sz w:val="16"/>
          <w:szCs w:val="16"/>
          <w:color w:val="auto"/>
        </w:rPr>
      </w:pPr>
      <w:r>
        <w:rPr>
          <w:rFonts w:ascii="Arial" w:cs="Arial" w:eastAsia="Arial" w:hAnsi="Arial"/>
          <w:sz w:val="16"/>
          <w:szCs w:val="16"/>
          <w:color w:val="auto"/>
        </w:rPr>
        <w:t>We have licensed pending patent applications in the US, Europe and Japan relating to the technology used in CDX-1127. If issued and maintained to full term in due course, these would have estimated patent expiry dates in 2027. Further filings are also under preparation.</w:t>
      </w:r>
    </w:p>
    <w:p>
      <w:pPr>
        <w:spacing w:after="0" w:line="152" w:lineRule="exact"/>
        <w:rPr>
          <w:rFonts w:ascii="Arial" w:cs="Arial" w:eastAsia="Arial" w:hAnsi="Arial"/>
          <w:sz w:val="16"/>
          <w:szCs w:val="16"/>
          <w:color w:val="auto"/>
        </w:rPr>
      </w:pPr>
    </w:p>
    <w:p>
      <w:pPr>
        <w:ind w:left="1080" w:right="140" w:hanging="532"/>
        <w:spacing w:after="0" w:line="268" w:lineRule="auto"/>
        <w:tabs>
          <w:tab w:leader="none" w:pos="1080" w:val="left"/>
        </w:tabs>
        <w:numPr>
          <w:ilvl w:val="0"/>
          <w:numId w:val="8"/>
        </w:numPr>
        <w:rPr>
          <w:rFonts w:ascii="Arial" w:cs="Arial" w:eastAsia="Arial" w:hAnsi="Arial"/>
          <w:sz w:val="18"/>
          <w:szCs w:val="18"/>
          <w:color w:val="auto"/>
        </w:rPr>
      </w:pPr>
      <w:r>
        <w:rPr>
          <w:rFonts w:ascii="Arial" w:cs="Arial" w:eastAsia="Arial" w:hAnsi="Arial"/>
          <w:sz w:val="18"/>
          <w:szCs w:val="18"/>
          <w:color w:val="auto"/>
        </w:rPr>
        <w:t>Our patent portfolio for CDX-014 includes pending patent applications in the US, Europe and Japan. If issued and maintained to full term in due course, these would have estimated patent expiry dates in 2024.</w:t>
      </w:r>
    </w:p>
    <w:p>
      <w:pPr>
        <w:spacing w:after="0" w:line="212" w:lineRule="exact"/>
        <w:rPr>
          <w:rFonts w:ascii="Arial" w:cs="Arial" w:eastAsia="Arial" w:hAnsi="Arial"/>
          <w:sz w:val="18"/>
          <w:szCs w:val="18"/>
          <w:color w:val="auto"/>
        </w:rPr>
      </w:pPr>
    </w:p>
    <w:p>
      <w:pPr>
        <w:ind w:left="1080" w:hanging="532"/>
        <w:spacing w:after="0"/>
        <w:tabs>
          <w:tab w:leader="none" w:pos="1080" w:val="left"/>
        </w:tabs>
        <w:numPr>
          <w:ilvl w:val="0"/>
          <w:numId w:val="8"/>
        </w:numPr>
        <w:rPr>
          <w:rFonts w:ascii="Arial" w:cs="Arial" w:eastAsia="Arial" w:hAnsi="Arial"/>
          <w:sz w:val="18"/>
          <w:szCs w:val="18"/>
          <w:color w:val="auto"/>
        </w:rPr>
      </w:pPr>
      <w:r>
        <w:rPr>
          <w:rFonts w:ascii="Arial" w:cs="Arial" w:eastAsia="Arial" w:hAnsi="Arial"/>
          <w:sz w:val="18"/>
          <w:szCs w:val="18"/>
          <w:color w:val="auto"/>
        </w:rPr>
        <w:t>Patents for the technology used in CDX-1135 have expiration dates that range from 2013 to 2016.</w:t>
      </w:r>
    </w:p>
    <w:p>
      <w:pPr>
        <w:spacing w:after="0" w:line="238" w:lineRule="exact"/>
        <w:rPr>
          <w:rFonts w:ascii="Arial" w:cs="Arial" w:eastAsia="Arial" w:hAnsi="Arial"/>
          <w:sz w:val="18"/>
          <w:szCs w:val="18"/>
          <w:color w:val="auto"/>
        </w:rPr>
      </w:pPr>
    </w:p>
    <w:p>
      <w:pPr>
        <w:ind w:left="1080" w:right="40" w:hanging="532"/>
        <w:spacing w:after="0" w:line="259" w:lineRule="auto"/>
        <w:tabs>
          <w:tab w:leader="none" w:pos="1080" w:val="left"/>
        </w:tabs>
        <w:numPr>
          <w:ilvl w:val="0"/>
          <w:numId w:val="8"/>
        </w:numPr>
        <w:rPr>
          <w:rFonts w:ascii="Arial" w:cs="Arial" w:eastAsia="Arial" w:hAnsi="Arial"/>
          <w:sz w:val="18"/>
          <w:szCs w:val="18"/>
          <w:color w:val="auto"/>
        </w:rPr>
      </w:pPr>
      <w:r>
        <w:rPr>
          <w:rFonts w:ascii="Arial" w:cs="Arial" w:eastAsia="Arial" w:hAnsi="Arial"/>
          <w:sz w:val="18"/>
          <w:szCs w:val="18"/>
          <w:color w:val="auto"/>
        </w:rPr>
        <w:t>Patents for the technology used in the cholera and typhoid vaccines expire between 2013 and 2016. Our patent portfolio for ETEC includes pending patent applications around the world which, if issued and maintained to full term in due course, would have estimated patent expiry dates in 2028.</w:t>
      </w:r>
    </w:p>
    <w:p>
      <w:pPr>
        <w:spacing w:after="0" w:line="207" w:lineRule="exact"/>
        <w:rPr>
          <w:rFonts w:ascii="Arial" w:cs="Arial" w:eastAsia="Arial" w:hAnsi="Arial"/>
          <w:sz w:val="18"/>
          <w:szCs w:val="18"/>
          <w:color w:val="auto"/>
        </w:rPr>
      </w:pPr>
    </w:p>
    <w:p>
      <w:pPr>
        <w:ind w:left="1080" w:hanging="532"/>
        <w:spacing w:after="0"/>
        <w:tabs>
          <w:tab w:leader="none" w:pos="1080" w:val="left"/>
        </w:tabs>
        <w:numPr>
          <w:ilvl w:val="0"/>
          <w:numId w:val="8"/>
        </w:numPr>
        <w:rPr>
          <w:rFonts w:ascii="Arial" w:cs="Arial" w:eastAsia="Arial" w:hAnsi="Arial"/>
          <w:sz w:val="18"/>
          <w:szCs w:val="18"/>
          <w:color w:val="auto"/>
        </w:rPr>
      </w:pPr>
      <w:r>
        <w:rPr>
          <w:rFonts w:ascii="Arial" w:cs="Arial" w:eastAsia="Arial" w:hAnsi="Arial"/>
          <w:sz w:val="18"/>
          <w:szCs w:val="18"/>
          <w:color w:val="auto"/>
        </w:rPr>
        <w:t>Licensed patents for our rotavirus strain that we licensed to Glaxo have expiration dates in 2011 and 2012.</w:t>
      </w:r>
    </w:p>
    <w:p>
      <w:pPr>
        <w:spacing w:after="0" w:line="225" w:lineRule="exact"/>
        <w:rPr>
          <w:sz w:val="20"/>
          <w:szCs w:val="20"/>
          <w:color w:val="auto"/>
        </w:rPr>
      </w:pPr>
    </w:p>
    <w:p>
      <w:pPr>
        <w:ind w:firstLine="348"/>
        <w:spacing w:after="0" w:line="314" w:lineRule="auto"/>
        <w:rPr>
          <w:sz w:val="20"/>
          <w:szCs w:val="20"/>
          <w:color w:val="auto"/>
        </w:rPr>
      </w:pPr>
      <w:r>
        <w:rPr>
          <w:rFonts w:ascii="Arial" w:cs="Arial" w:eastAsia="Arial" w:hAnsi="Arial"/>
          <w:sz w:val="15"/>
          <w:szCs w:val="15"/>
          <w:color w:val="auto"/>
        </w:rPr>
        <w:t>There can be no assurance that patent applications owned by or licensed to us will result in granted patents or that, if granted, the resultant patents will afford protection against competitors with similar technology. It is also possible that third parties may obtain patents or other proprietary rights that may be necessary or useful to us. In cases where third parties are first to invent a particular product or technology, it is possible that those parties will obtain patents that will be sufficiently broad to prevent us from using important technology or from further developing or commercializing important vaccine and immunotherapeutic systems and vaccine candidates. If licenses from third parties are necessary but cannot be obtained, commercialization of the covered products might be delayed or prevented. Even if these licenses can be obtained, they would probably require us to pay ongoing royalties and other costs, which could be substantial.</w:t>
      </w:r>
    </w:p>
    <w:p>
      <w:pPr>
        <w:spacing w:after="0" w:line="159" w:lineRule="exact"/>
        <w:rPr>
          <w:sz w:val="20"/>
          <w:szCs w:val="20"/>
          <w:color w:val="auto"/>
        </w:rPr>
      </w:pPr>
    </w:p>
    <w:p>
      <w:pPr>
        <w:ind w:firstLine="341"/>
        <w:spacing w:after="0" w:line="314" w:lineRule="auto"/>
        <w:rPr>
          <w:sz w:val="20"/>
          <w:szCs w:val="20"/>
          <w:color w:val="auto"/>
        </w:rPr>
      </w:pPr>
      <w:r>
        <w:rPr>
          <w:rFonts w:ascii="Arial" w:cs="Arial" w:eastAsia="Arial" w:hAnsi="Arial"/>
          <w:sz w:val="15"/>
          <w:szCs w:val="15"/>
          <w:color w:val="auto"/>
        </w:rPr>
        <w:t>Although a patent has a statutory presumption of validity in the United States, the issuance of a patent is not conclusive as to validity or as to the enforceable scope of the patent claims. The validity or enforceability of a patent after its issuance by the Patent and Trademark Office can be challenged in litigation. As a business that uses a substantial amount of intellectual property, we face a heightened risk of intellectual property litigation. If the outcome of the litigation is adverse to the owner of the patent, third parties may then be able to use the invention covered by the patent without authorization or payment. There can be no assurance that our issued patents or any patents subsequently issued to or licensed by us will not be successfully challenged in the future. In addition, there can be no assurance that our patents will not be infringed or that the coverage of our patents will not be successfully avoided by competitors through design innovation.</w:t>
      </w:r>
    </w:p>
    <w:p>
      <w:pPr>
        <w:spacing w:after="0" w:line="159" w:lineRule="exact"/>
        <w:rPr>
          <w:sz w:val="20"/>
          <w:szCs w:val="20"/>
          <w:color w:val="auto"/>
        </w:rPr>
      </w:pPr>
    </w:p>
    <w:p>
      <w:pPr>
        <w:ind w:right="140" w:firstLine="348"/>
        <w:spacing w:after="0" w:line="256" w:lineRule="auto"/>
        <w:rPr>
          <w:sz w:val="20"/>
          <w:szCs w:val="20"/>
          <w:color w:val="auto"/>
        </w:rPr>
      </w:pPr>
      <w:r>
        <w:rPr>
          <w:rFonts w:ascii="Arial" w:cs="Arial" w:eastAsia="Arial" w:hAnsi="Arial"/>
          <w:sz w:val="18"/>
          <w:szCs w:val="18"/>
          <w:color w:val="auto"/>
        </w:rPr>
        <w:t>We are aware that others, including universities and companies, have filed patent applications and have been granted patents in the United States and other countries which claim subject matter potentially useful or necessary to the commercialization of our products. The ultimate scope and validity of existing or future patents which have been or may be granted to third parties, and the availability and cost of acquiring rights in those patents necessary to the manufacture, use or sale of our products presently cannot be determined by us.</w:t>
      </w:r>
    </w:p>
    <w:p>
      <w:pPr>
        <w:spacing w:after="0" w:line="19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131" w:right="279" w:bottom="1440" w:gutter="0" w:footer="0" w:header="0"/>
        </w:sectPr>
      </w:pPr>
    </w:p>
    <w:bookmarkStart w:id="24" w:name="page25"/>
    <w:bookmarkEnd w:id="24"/>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20" w:firstLine="348"/>
        <w:spacing w:after="0" w:line="268" w:lineRule="auto"/>
        <w:rPr>
          <w:sz w:val="20"/>
          <w:szCs w:val="20"/>
          <w:color w:val="auto"/>
        </w:rPr>
      </w:pPr>
      <w:r>
        <w:rPr>
          <w:rFonts w:ascii="Arial" w:cs="Arial" w:eastAsia="Arial" w:hAnsi="Arial"/>
          <w:sz w:val="18"/>
          <w:szCs w:val="18"/>
          <w:color w:val="auto"/>
        </w:rPr>
        <w:t>Third parties may have or may obtain valid and enforceable patents or proprietary rights that could block us from developing products using our technology, including:</w:t>
      </w:r>
    </w:p>
    <w:p>
      <w:pPr>
        <w:spacing w:after="0" w:line="199" w:lineRule="exact"/>
        <w:rPr>
          <w:sz w:val="20"/>
          <w:szCs w:val="20"/>
          <w:color w:val="auto"/>
        </w:rPr>
      </w:pPr>
    </w:p>
    <w:p>
      <w:pPr>
        <w:ind w:left="1080" w:right="500" w:hanging="532"/>
        <w:spacing w:after="0" w:line="268" w:lineRule="auto"/>
        <w:tabs>
          <w:tab w:leader="none" w:pos="1080" w:val="left"/>
        </w:tabs>
        <w:numPr>
          <w:ilvl w:val="0"/>
          <w:numId w:val="9"/>
        </w:numPr>
        <w:rPr>
          <w:rFonts w:ascii="Arial" w:cs="Arial" w:eastAsia="Arial" w:hAnsi="Arial"/>
          <w:sz w:val="18"/>
          <w:szCs w:val="18"/>
          <w:color w:val="auto"/>
        </w:rPr>
      </w:pPr>
      <w:r>
        <w:rPr>
          <w:rFonts w:ascii="Arial" w:cs="Arial" w:eastAsia="Arial" w:hAnsi="Arial"/>
          <w:sz w:val="18"/>
          <w:szCs w:val="18"/>
          <w:color w:val="auto"/>
        </w:rPr>
        <w:t>certain patents and applications in the United States and Europe owned by Sanofi-Aventis, which relate to antibody-antigen conjugates and methods of their use for eliciting an immune response against the antigen;</w:t>
      </w:r>
    </w:p>
    <w:p>
      <w:pPr>
        <w:spacing w:after="0" w:line="212" w:lineRule="exact"/>
        <w:rPr>
          <w:rFonts w:ascii="Arial" w:cs="Arial" w:eastAsia="Arial" w:hAnsi="Arial"/>
          <w:sz w:val="18"/>
          <w:szCs w:val="18"/>
          <w:color w:val="auto"/>
        </w:rPr>
      </w:pPr>
    </w:p>
    <w:p>
      <w:pPr>
        <w:ind w:left="1080" w:right="260" w:hanging="532"/>
        <w:spacing w:after="0" w:line="268" w:lineRule="auto"/>
        <w:tabs>
          <w:tab w:leader="none" w:pos="1080" w:val="left"/>
        </w:tabs>
        <w:numPr>
          <w:ilvl w:val="0"/>
          <w:numId w:val="9"/>
        </w:numPr>
        <w:rPr>
          <w:rFonts w:ascii="Arial" w:cs="Arial" w:eastAsia="Arial" w:hAnsi="Arial"/>
          <w:sz w:val="18"/>
          <w:szCs w:val="18"/>
          <w:color w:val="auto"/>
        </w:rPr>
      </w:pPr>
      <w:r>
        <w:rPr>
          <w:rFonts w:ascii="Arial" w:cs="Arial" w:eastAsia="Arial" w:hAnsi="Arial"/>
          <w:sz w:val="18"/>
          <w:szCs w:val="18"/>
          <w:color w:val="auto"/>
        </w:rPr>
        <w:t>certain patents and applications in the United States and foreign countries covering particular antigens and antigenic fragments targeted by our current vaccine product candidates, including CDX-1307 and CDX-1401;</w:t>
      </w:r>
    </w:p>
    <w:p>
      <w:pPr>
        <w:spacing w:after="0" w:line="199" w:lineRule="exact"/>
        <w:rPr>
          <w:rFonts w:ascii="Arial" w:cs="Arial" w:eastAsia="Arial" w:hAnsi="Arial"/>
          <w:sz w:val="18"/>
          <w:szCs w:val="18"/>
          <w:color w:val="auto"/>
        </w:rPr>
      </w:pPr>
    </w:p>
    <w:p>
      <w:pPr>
        <w:ind w:left="1080" w:right="40" w:hanging="532"/>
        <w:spacing w:after="0" w:line="268" w:lineRule="auto"/>
        <w:tabs>
          <w:tab w:leader="none" w:pos="1080" w:val="left"/>
        </w:tabs>
        <w:numPr>
          <w:ilvl w:val="0"/>
          <w:numId w:val="9"/>
        </w:numPr>
        <w:rPr>
          <w:rFonts w:ascii="Arial" w:cs="Arial" w:eastAsia="Arial" w:hAnsi="Arial"/>
          <w:sz w:val="18"/>
          <w:szCs w:val="18"/>
          <w:color w:val="auto"/>
        </w:rPr>
      </w:pPr>
      <w:r>
        <w:rPr>
          <w:rFonts w:ascii="Arial" w:cs="Arial" w:eastAsia="Arial" w:hAnsi="Arial"/>
          <w:sz w:val="18"/>
          <w:szCs w:val="18"/>
          <w:color w:val="auto"/>
        </w:rPr>
        <w:t>certain patents and pending applications related to particular receptors and other molecules on dendritic cells and macrophages that may be useful for generating monoclonal antibodies and can be employed in our APC Targeting Technology;</w:t>
      </w:r>
    </w:p>
    <w:p>
      <w:pPr>
        <w:spacing w:after="0" w:line="199" w:lineRule="exact"/>
        <w:rPr>
          <w:rFonts w:ascii="Arial" w:cs="Arial" w:eastAsia="Arial" w:hAnsi="Arial"/>
          <w:sz w:val="18"/>
          <w:szCs w:val="18"/>
          <w:color w:val="auto"/>
        </w:rPr>
      </w:pPr>
    </w:p>
    <w:p>
      <w:pPr>
        <w:ind w:left="1080" w:right="200" w:hanging="532"/>
        <w:spacing w:after="0" w:line="268" w:lineRule="auto"/>
        <w:tabs>
          <w:tab w:leader="none" w:pos="1080" w:val="left"/>
        </w:tabs>
        <w:numPr>
          <w:ilvl w:val="0"/>
          <w:numId w:val="9"/>
        </w:numPr>
        <w:rPr>
          <w:rFonts w:ascii="Arial" w:cs="Arial" w:eastAsia="Arial" w:hAnsi="Arial"/>
          <w:sz w:val="18"/>
          <w:szCs w:val="18"/>
          <w:color w:val="auto"/>
        </w:rPr>
      </w:pPr>
      <w:r>
        <w:rPr>
          <w:rFonts w:ascii="Arial" w:cs="Arial" w:eastAsia="Arial" w:hAnsi="Arial"/>
          <w:sz w:val="18"/>
          <w:szCs w:val="18"/>
          <w:color w:val="auto"/>
        </w:rPr>
        <w:t>two United States patents and related foreign patents and applications covering methods of diagnosing gliomas by detecting the presence of the EGFRvIII (tumor specific splice variant) protein;</w:t>
      </w:r>
    </w:p>
    <w:p>
      <w:pPr>
        <w:spacing w:after="0" w:line="212" w:lineRule="exact"/>
        <w:rPr>
          <w:rFonts w:ascii="Arial" w:cs="Arial" w:eastAsia="Arial" w:hAnsi="Arial"/>
          <w:sz w:val="18"/>
          <w:szCs w:val="18"/>
          <w:color w:val="auto"/>
        </w:rPr>
      </w:pPr>
    </w:p>
    <w:p>
      <w:pPr>
        <w:ind w:left="1080" w:hanging="532"/>
        <w:spacing w:after="0"/>
        <w:tabs>
          <w:tab w:leader="none" w:pos="1080" w:val="left"/>
        </w:tabs>
        <w:numPr>
          <w:ilvl w:val="0"/>
          <w:numId w:val="9"/>
        </w:numPr>
        <w:rPr>
          <w:rFonts w:ascii="Arial" w:cs="Arial" w:eastAsia="Arial" w:hAnsi="Arial"/>
          <w:sz w:val="18"/>
          <w:szCs w:val="18"/>
          <w:color w:val="auto"/>
        </w:rPr>
      </w:pPr>
      <w:r>
        <w:rPr>
          <w:rFonts w:ascii="Arial" w:cs="Arial" w:eastAsia="Arial" w:hAnsi="Arial"/>
          <w:sz w:val="18"/>
          <w:szCs w:val="18"/>
          <w:color w:val="auto"/>
        </w:rPr>
        <w:t>a United States patent relating to certain uses of GM-CSF;</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9"/>
        </w:numPr>
        <w:rPr>
          <w:rFonts w:ascii="Arial" w:cs="Arial" w:eastAsia="Arial" w:hAnsi="Arial"/>
          <w:sz w:val="18"/>
          <w:szCs w:val="18"/>
          <w:color w:val="auto"/>
        </w:rPr>
      </w:pPr>
      <w:r>
        <w:rPr>
          <w:rFonts w:ascii="Arial" w:cs="Arial" w:eastAsia="Arial" w:hAnsi="Arial"/>
          <w:sz w:val="18"/>
          <w:szCs w:val="18"/>
          <w:color w:val="auto"/>
        </w:rPr>
        <w:t>a European patent relating to certain tumor antigen splice variants;</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9"/>
        </w:numPr>
        <w:rPr>
          <w:rFonts w:ascii="Arial" w:cs="Arial" w:eastAsia="Arial" w:hAnsi="Arial"/>
          <w:sz w:val="18"/>
          <w:szCs w:val="18"/>
          <w:color w:val="auto"/>
        </w:rPr>
      </w:pPr>
      <w:r>
        <w:rPr>
          <w:rFonts w:ascii="Arial" w:cs="Arial" w:eastAsia="Arial" w:hAnsi="Arial"/>
          <w:sz w:val="18"/>
          <w:szCs w:val="18"/>
          <w:color w:val="auto"/>
        </w:rPr>
        <w:t>a United States patent owned by Genentech, Inc., relating to the production of recombinant antibodies in host cells;</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9"/>
        </w:numPr>
        <w:rPr>
          <w:rFonts w:ascii="Arial" w:cs="Arial" w:eastAsia="Arial" w:hAnsi="Arial"/>
          <w:sz w:val="18"/>
          <w:szCs w:val="18"/>
          <w:color w:val="auto"/>
        </w:rPr>
      </w:pPr>
      <w:r>
        <w:rPr>
          <w:rFonts w:ascii="Arial" w:cs="Arial" w:eastAsia="Arial" w:hAnsi="Arial"/>
          <w:sz w:val="18"/>
          <w:szCs w:val="18"/>
          <w:color w:val="auto"/>
        </w:rPr>
        <w:t>a United States patent owned by GlaxoSmithKline plc related to methods of culturing cells under certain conditions; and</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9"/>
        </w:numPr>
        <w:rPr>
          <w:rFonts w:ascii="Arial" w:cs="Arial" w:eastAsia="Arial" w:hAnsi="Arial"/>
          <w:sz w:val="18"/>
          <w:szCs w:val="18"/>
          <w:color w:val="auto"/>
        </w:rPr>
      </w:pPr>
      <w:r>
        <w:rPr>
          <w:rFonts w:ascii="Arial" w:cs="Arial" w:eastAsia="Arial" w:hAnsi="Arial"/>
          <w:sz w:val="18"/>
          <w:szCs w:val="18"/>
          <w:color w:val="auto"/>
        </w:rPr>
        <w:t>certain patents held by third parties relating to antibody expression in particular types of host cells.</w:t>
      </w:r>
    </w:p>
    <w:p>
      <w:pPr>
        <w:spacing w:after="0" w:line="225" w:lineRule="exact"/>
        <w:rPr>
          <w:sz w:val="20"/>
          <w:szCs w:val="20"/>
          <w:color w:val="auto"/>
        </w:rPr>
      </w:pPr>
    </w:p>
    <w:p>
      <w:pPr>
        <w:ind w:firstLine="348"/>
        <w:spacing w:after="0" w:line="294" w:lineRule="auto"/>
        <w:rPr>
          <w:sz w:val="20"/>
          <w:szCs w:val="20"/>
          <w:color w:val="auto"/>
        </w:rPr>
      </w:pPr>
      <w:r>
        <w:rPr>
          <w:rFonts w:ascii="Arial" w:cs="Arial" w:eastAsia="Arial" w:hAnsi="Arial"/>
          <w:sz w:val="16"/>
          <w:szCs w:val="16"/>
          <w:color w:val="auto"/>
        </w:rPr>
        <w:t xml:space="preserve">The CholeraGarde® vaccine candidate and our VibrioVec® vaccine delivery system utilize mutated </w:t>
      </w:r>
      <w:r>
        <w:rPr>
          <w:rFonts w:ascii="Arial" w:cs="Arial" w:eastAsia="Arial" w:hAnsi="Arial"/>
          <w:sz w:val="16"/>
          <w:szCs w:val="16"/>
          <w:i w:val="1"/>
          <w:iCs w:val="1"/>
          <w:color w:val="auto"/>
        </w:rPr>
        <w:t>Vibrio cholerae</w:t>
      </w:r>
      <w:r>
        <w:rPr>
          <w:rFonts w:ascii="Arial" w:cs="Arial" w:eastAsia="Arial" w:hAnsi="Arial"/>
          <w:sz w:val="16"/>
          <w:szCs w:val="16"/>
          <w:color w:val="auto"/>
        </w:rPr>
        <w:t xml:space="preserve"> strains. We are aware of an issued U.S. patent which claims a culture of mutated </w:t>
      </w:r>
      <w:r>
        <w:rPr>
          <w:rFonts w:ascii="Arial" w:cs="Arial" w:eastAsia="Arial" w:hAnsi="Arial"/>
          <w:sz w:val="16"/>
          <w:szCs w:val="16"/>
          <w:i w:val="1"/>
          <w:iCs w:val="1"/>
          <w:color w:val="auto"/>
        </w:rPr>
        <w:t>Vibrio cholerae</w:t>
      </w:r>
      <w:r>
        <w:rPr>
          <w:rFonts w:ascii="Arial" w:cs="Arial" w:eastAsia="Arial" w:hAnsi="Arial"/>
          <w:sz w:val="16"/>
          <w:szCs w:val="16"/>
          <w:color w:val="auto"/>
        </w:rPr>
        <w:t>. We believe that only one claim (the "Claim") of the patent may be pertinent to our CholeraGarde® and VibrioVec® products. The remaining claims of the patent cover other cultures, which we believe are not pertinent to the CholeraGarde® or VibrioVec® products. Our assessment is that the Claim is invalid. While a party challenging the validity of a patent has the burden of proving invalidity, the outcome of any litigation cannot be predicted with certainty. Accordingly, there can be no assurance that, if litigated, a court would conclude that the Claim is invalid.</w:t>
      </w:r>
    </w:p>
    <w:p>
      <w:pPr>
        <w:spacing w:after="0" w:line="170" w:lineRule="exact"/>
        <w:rPr>
          <w:sz w:val="20"/>
          <w:szCs w:val="20"/>
          <w:color w:val="auto"/>
        </w:rPr>
      </w:pPr>
    </w:p>
    <w:p>
      <w:pPr>
        <w:ind w:right="20" w:firstLine="351"/>
        <w:spacing w:after="0" w:line="289" w:lineRule="auto"/>
        <w:rPr>
          <w:sz w:val="20"/>
          <w:szCs w:val="20"/>
          <w:color w:val="auto"/>
        </w:rPr>
      </w:pPr>
      <w:r>
        <w:rPr>
          <w:rFonts w:ascii="Arial" w:cs="Arial" w:eastAsia="Arial" w:hAnsi="Arial"/>
          <w:sz w:val="16"/>
          <w:szCs w:val="16"/>
          <w:color w:val="auto"/>
        </w:rPr>
        <w:t>In addition to the patents referred to in the previous paragraphs, there may be other patent applications and issued patents belonging to competitors that may require us to alter our vaccine candidates and vaccine and immunotherapeutic delivery systems, pay licensing fees or cease some of our activities. If our product candidates conflict with patents that have been or may be granted to competitors, universities or others, the patent owners could bring legal action against us claiming damages and seeking to enjoin manufacturing and marketing of the patented products. If any of these actions is successful, in addition to any potential liability for damages, we could be required to obtain a license in order to continue to manufacture or market the affected products. There can be no assurance that we would prevail in any such action or that any license required under any such third party patent would be made available on acceptable terms or at all. We believe that there may be significant litigation in the biotechnology and vaccine industries regarding patent and other intellectual property rights. If we become involved in that litigation, we could consume substantial resources.</w:t>
      </w:r>
    </w:p>
    <w:p>
      <w:pPr>
        <w:spacing w:after="0" w:line="172"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60"/>
          </w:cols>
          <w:pgMar w:left="240" w:top="131" w:right="299" w:bottom="1440" w:gutter="0" w:footer="0" w:header="0"/>
        </w:sectPr>
      </w:pPr>
    </w:p>
    <w:bookmarkStart w:id="25" w:name="page26"/>
    <w:bookmarkEnd w:id="25"/>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Licenses</w:t>
      </w:r>
    </w:p>
    <w:p>
      <w:pPr>
        <w:spacing w:after="0" w:line="225" w:lineRule="exact"/>
        <w:rPr>
          <w:sz w:val="20"/>
          <w:szCs w:val="20"/>
          <w:color w:val="auto"/>
        </w:rPr>
      </w:pPr>
    </w:p>
    <w:p>
      <w:pPr>
        <w:ind w:right="20" w:firstLine="348"/>
        <w:spacing w:after="0" w:line="289" w:lineRule="auto"/>
        <w:rPr>
          <w:sz w:val="20"/>
          <w:szCs w:val="20"/>
          <w:color w:val="auto"/>
        </w:rPr>
      </w:pPr>
      <w:r>
        <w:rPr>
          <w:rFonts w:ascii="Arial" w:cs="Arial" w:eastAsia="Arial" w:hAnsi="Arial"/>
          <w:sz w:val="16"/>
          <w:szCs w:val="16"/>
          <w:color w:val="auto"/>
        </w:rPr>
        <w:t>We have entered into several significant license agreements relating to technology that is being developed by us and/or our collaborators. In general, these institutions have granted us an exclusive worldwide license (with right to sublicense) to make, use and sell products embodying the licensed technology, subject to the reservation by the licensor of a non-exclusive right to use the technologies for non-commercial research purposes. Generally, the term of each license is through the expiration of the last of the patents issued with respect to the technologies covered by the license. We have generally agreed to use reasonable efforts to develop and commercialize licensed products and to achieve specified milestones and pay license fees, milestone payments and royalties based on the net sales of the licensed products or to pay a percentage of sublicense income. If we breach our obligations, the licensor has the right to terminate the license, and, in some cases, convert the license to a non-exclusive license. Generally, we control and are responsible for the cost of defending the patent rights of the technologies that we license.</w:t>
      </w:r>
    </w:p>
    <w:p>
      <w:pPr>
        <w:spacing w:after="0" w:line="17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Proprietary Rights</w:t>
      </w:r>
    </w:p>
    <w:p>
      <w:pPr>
        <w:spacing w:after="0" w:line="225" w:lineRule="exact"/>
        <w:rPr>
          <w:sz w:val="20"/>
          <w:szCs w:val="20"/>
          <w:color w:val="auto"/>
        </w:rPr>
      </w:pPr>
    </w:p>
    <w:p>
      <w:pPr>
        <w:ind w:firstLine="348"/>
        <w:spacing w:after="0" w:line="289" w:lineRule="auto"/>
        <w:rPr>
          <w:sz w:val="20"/>
          <w:szCs w:val="20"/>
          <w:color w:val="auto"/>
        </w:rPr>
      </w:pPr>
      <w:r>
        <w:rPr>
          <w:rFonts w:ascii="Arial" w:cs="Arial" w:eastAsia="Arial" w:hAnsi="Arial"/>
          <w:sz w:val="16"/>
          <w:szCs w:val="16"/>
          <w:color w:val="auto"/>
        </w:rPr>
        <w:t>We also rely on unpatented technology, trade secrets and confidential information, and no assurance can be given that others will not independently develop substantially equivalent information and techniques or otherwise gain access to our know-how and information, or that we can meaningfully protect our rights in such unpatented technology, trade secrets and information. We require each of our employees, consultants and advisors to execute a confidentiality agreement at the commencement of an employment or consulting relationship with us. The agreements generally provide that all inventions conceived by the individual in the course of employment or in providing services to us and all confidential information developed by, or made known to, the individual during the term of the relationship shall be the exclusive property of us and shall be kept confidential and not disclosed to third parties except in limited specified circumstances. There can be no assurance, however, that these agreements will provide meaningful protection for our information in the event of unauthorized use or disclosure of such confidential information.</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Government Regulation</w:t>
      </w:r>
    </w:p>
    <w:p>
      <w:pPr>
        <w:spacing w:after="0" w:line="231" w:lineRule="exact"/>
        <w:rPr>
          <w:sz w:val="20"/>
          <w:szCs w:val="20"/>
          <w:color w:val="auto"/>
        </w:rPr>
      </w:pPr>
    </w:p>
    <w:p>
      <w:pPr>
        <w:ind w:firstLine="351"/>
        <w:spacing w:after="0" w:line="254" w:lineRule="auto"/>
        <w:rPr>
          <w:sz w:val="20"/>
          <w:szCs w:val="20"/>
          <w:color w:val="auto"/>
        </w:rPr>
      </w:pPr>
      <w:r>
        <w:rPr>
          <w:rFonts w:ascii="Arial" w:cs="Arial" w:eastAsia="Arial" w:hAnsi="Arial"/>
          <w:sz w:val="18"/>
          <w:szCs w:val="18"/>
          <w:color w:val="auto"/>
        </w:rPr>
        <w:t>Our activities and products are significantly regulated by a number of governmental entities, including the FDA in the United States and by comparable authorities in other countries. These entities regulate, among other things, the manufacture, testing, safety, effectiveness, labeling, documentation, advertising and sale of our products. We must obtain regulatory approval for a product in all of these areas before we can commercialize the product. Product development within this regulatory framework takes a number of years and involves the expenditure of substantial resources. Many products that initially appear promising ultimately do not reach the market because they are found to be unsafe or ineffective when tested. Our inability to commercialize a product would impair our ability to earn future revenues.</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FDA Approval Process</w:t>
      </w:r>
    </w:p>
    <w:p>
      <w:pPr>
        <w:spacing w:after="0" w:line="225" w:lineRule="exact"/>
        <w:rPr>
          <w:sz w:val="20"/>
          <w:szCs w:val="20"/>
          <w:color w:val="auto"/>
        </w:rPr>
      </w:pPr>
    </w:p>
    <w:p>
      <w:pPr>
        <w:ind w:right="100" w:firstLine="351"/>
        <w:spacing w:after="0" w:line="306" w:lineRule="auto"/>
        <w:rPr>
          <w:sz w:val="20"/>
          <w:szCs w:val="20"/>
          <w:color w:val="auto"/>
        </w:rPr>
      </w:pPr>
      <w:r>
        <w:rPr>
          <w:rFonts w:ascii="Arial" w:cs="Arial" w:eastAsia="Arial" w:hAnsi="Arial"/>
          <w:sz w:val="16"/>
          <w:szCs w:val="16"/>
          <w:color w:val="auto"/>
        </w:rPr>
        <w:t>In the United States, vaccines and immunotherapeutics for human use are subject to FDA approval as "biologics" under the Public Health Service Act and "drugs" under the Federal Food, Drug and Cosmetic Act. The steps required before a new product can be commercialized include: preclinical studies in animals, clinical trials in humans to determine safety and efficacy and FDA approval of the product for commercial sale.</w:t>
      </w:r>
    </w:p>
    <w:p>
      <w:pPr>
        <w:spacing w:after="0" w:line="161" w:lineRule="exact"/>
        <w:rPr>
          <w:sz w:val="20"/>
          <w:szCs w:val="20"/>
          <w:color w:val="auto"/>
        </w:rPr>
      </w:pPr>
    </w:p>
    <w:p>
      <w:pPr>
        <w:ind w:right="120" w:firstLine="351"/>
        <w:spacing w:after="0" w:line="332" w:lineRule="auto"/>
        <w:rPr>
          <w:sz w:val="20"/>
          <w:szCs w:val="20"/>
          <w:color w:val="auto"/>
        </w:rPr>
      </w:pPr>
      <w:r>
        <w:rPr>
          <w:rFonts w:ascii="Arial" w:cs="Arial" w:eastAsia="Arial" w:hAnsi="Arial"/>
          <w:sz w:val="16"/>
          <w:szCs w:val="16"/>
          <w:color w:val="auto"/>
        </w:rPr>
        <w:t>Data obtained at any stage of testing is susceptible to varying interpretations, which could delay, limit or prevent regulatory approval. Moreover, during the regulatory process, new or changed drug approval policies may cause unanticipated delays or rejection of our product. We may not obtain</w:t>
      </w:r>
    </w:p>
    <w:p>
      <w:pPr>
        <w:spacing w:after="0" w:line="13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131" w:right="279" w:bottom="1440" w:gutter="0" w:footer="0" w:header="0"/>
        </w:sectPr>
      </w:pPr>
    </w:p>
    <w:bookmarkStart w:id="26" w:name="page27"/>
    <w:bookmarkEnd w:id="26"/>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ind w:right="460"/>
        <w:spacing w:after="0" w:line="332" w:lineRule="auto"/>
        <w:rPr>
          <w:sz w:val="20"/>
          <w:szCs w:val="20"/>
          <w:color w:val="auto"/>
        </w:rPr>
      </w:pPr>
      <w:r>
        <w:rPr>
          <w:rFonts w:ascii="Arial" w:cs="Arial" w:eastAsia="Arial" w:hAnsi="Arial"/>
          <w:sz w:val="16"/>
          <w:szCs w:val="16"/>
          <w:color w:val="auto"/>
        </w:rPr>
        <w:t>necessary regulatory approvals within a reasonable period of time, if at all, or avoid delays or other problems in testing our products. Moreover, even if we received regulatory approval for a product, the approval may require limitations on use, which could restrict the size of the potential market for the product.</w:t>
      </w:r>
    </w:p>
    <w:p>
      <w:pPr>
        <w:spacing w:after="0" w:line="139" w:lineRule="exact"/>
        <w:rPr>
          <w:sz w:val="20"/>
          <w:szCs w:val="20"/>
          <w:color w:val="auto"/>
        </w:rPr>
      </w:pPr>
    </w:p>
    <w:p>
      <w:pPr>
        <w:ind w:firstLine="348"/>
        <w:spacing w:after="0" w:line="310" w:lineRule="auto"/>
        <w:rPr>
          <w:sz w:val="20"/>
          <w:szCs w:val="20"/>
          <w:color w:val="auto"/>
        </w:rPr>
      </w:pPr>
      <w:r>
        <w:rPr>
          <w:rFonts w:ascii="Arial" w:cs="Arial" w:eastAsia="Arial" w:hAnsi="Arial"/>
          <w:sz w:val="15"/>
          <w:szCs w:val="15"/>
          <w:color w:val="auto"/>
        </w:rPr>
        <w:t>The FDA provides that human clinical trials may begin thirty (30) days after receipt and review of an IND application, unless the FDA requests additional information or changes to the study protocol within that period. An IND must be sponsored and filed by us for each of our proposed products. Authorization to conduct a clinical trial in no way assures that the FDA will ultimately approve the product. Clinical trials are usually conducted in three sequential phases. In a Phase 1 trial, the product is given to a small number of healthy volunteers to test for safety (adverse effects). Phase 2 trials are conducted on a limited group of the target patient population; safety, optimal dosage and efficacy are studied. A Phase 3 trial is performed in a large patient population over a wide geographic area to provide evidence for the safety of the product and to prove and confirm efficacy. The FDA has ongoing oversight over all these trials and can order a temporary or permanent discontinuation if warranted. Such an action could materially harm us. Clinical tests are critical to the success of our products but are subject to unforeseen and uncontrollable delay, including delay in enrollment of patients. Any delay in clinical trials could delay our commercialization of a product.</w:t>
      </w:r>
    </w:p>
    <w:p>
      <w:pPr>
        <w:spacing w:after="0" w:line="162" w:lineRule="exact"/>
        <w:rPr>
          <w:sz w:val="20"/>
          <w:szCs w:val="20"/>
          <w:color w:val="auto"/>
        </w:rPr>
      </w:pPr>
    </w:p>
    <w:p>
      <w:pPr>
        <w:jc w:val="both"/>
        <w:ind w:firstLine="341"/>
        <w:spacing w:after="0" w:line="323" w:lineRule="auto"/>
        <w:rPr>
          <w:sz w:val="20"/>
          <w:szCs w:val="20"/>
          <w:color w:val="auto"/>
        </w:rPr>
      </w:pPr>
      <w:r>
        <w:rPr>
          <w:rFonts w:ascii="Arial" w:cs="Arial" w:eastAsia="Arial" w:hAnsi="Arial"/>
          <w:sz w:val="15"/>
          <w:szCs w:val="15"/>
          <w:color w:val="auto"/>
        </w:rPr>
        <w:t>A product's safety and effectiveness in one test is not necessarily indicative of its safety and effectiveness in another test. Moreover, we may not discover all potential problems with a product even after completing testing on it. Some of our products and technologies have undergone only preclinical testing. As a result, we do not know whether they are safe or effective for humans. Also, regulatory authorities may decide, contrary to our findings, that a product is unsafe or not as effective in actual use as its test results indicated. This could prevent the product's widespread use, require its withdrawal from the market or expose us to liability.</w:t>
      </w:r>
    </w:p>
    <w:p>
      <w:pPr>
        <w:spacing w:after="0" w:line="152" w:lineRule="exact"/>
        <w:rPr>
          <w:sz w:val="20"/>
          <w:szCs w:val="20"/>
          <w:color w:val="auto"/>
        </w:rPr>
      </w:pPr>
    </w:p>
    <w:p>
      <w:pPr>
        <w:ind w:firstLine="348"/>
        <w:spacing w:after="0" w:line="298" w:lineRule="auto"/>
        <w:rPr>
          <w:sz w:val="20"/>
          <w:szCs w:val="20"/>
          <w:color w:val="auto"/>
        </w:rPr>
      </w:pPr>
      <w:r>
        <w:rPr>
          <w:rFonts w:ascii="Arial" w:cs="Arial" w:eastAsia="Arial" w:hAnsi="Arial"/>
          <w:sz w:val="16"/>
          <w:szCs w:val="16"/>
          <w:color w:val="auto"/>
        </w:rPr>
        <w:t>The results of the clinical trials and all supporting data are submitted to the FDA for approval. A Biologics License Application ("BLA") is submitted for a biologic product; a New Drug Application ("NDA") for a drug product. The interval between IND filing and BLA/NDA filing is usually at least several years due to the length of the clinical trials, and the BLA/NDA review process can take over a year. During this time the FDA may request further testing or additional trials or may turn down the application. Even with approval, the FDA frequently requires post-marketing safety studies (known as Phase 4 trials) to be performed.</w:t>
      </w:r>
    </w:p>
    <w:p>
      <w:pPr>
        <w:spacing w:after="0" w:line="167" w:lineRule="exact"/>
        <w:rPr>
          <w:sz w:val="20"/>
          <w:szCs w:val="20"/>
          <w:color w:val="auto"/>
        </w:rPr>
      </w:pPr>
    </w:p>
    <w:p>
      <w:pPr>
        <w:ind w:right="240" w:firstLine="348"/>
        <w:spacing w:after="0" w:line="298" w:lineRule="auto"/>
        <w:rPr>
          <w:sz w:val="20"/>
          <w:szCs w:val="20"/>
          <w:color w:val="auto"/>
        </w:rPr>
      </w:pPr>
      <w:r>
        <w:rPr>
          <w:rFonts w:ascii="Arial" w:cs="Arial" w:eastAsia="Arial" w:hAnsi="Arial"/>
          <w:sz w:val="16"/>
          <w:szCs w:val="16"/>
          <w:color w:val="auto"/>
        </w:rPr>
        <w:t>The FDA requires that the manufacturing facility that produces a licensed product meet specified standards, undergo an inspection and obtain an establishment license prior to commercial marketing. Subsequent discovery of previously unknown problems with a product or its manufacturing process may result in restrictions on the product or the manufacturer, including withdrawal of the product from the market. Failure to comply with the applicable regulatory requirements can result in fines, suspensions of regulatory approvals, product recalls, operating restrictions and criminal prosecution.</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Expedited Review and Approval</w:t>
      </w:r>
    </w:p>
    <w:p>
      <w:pPr>
        <w:spacing w:after="0" w:line="225" w:lineRule="exact"/>
        <w:rPr>
          <w:sz w:val="20"/>
          <w:szCs w:val="20"/>
          <w:color w:val="auto"/>
        </w:rPr>
      </w:pPr>
    </w:p>
    <w:p>
      <w:pPr>
        <w:ind w:right="40" w:firstLine="348"/>
        <w:spacing w:after="0" w:line="318" w:lineRule="auto"/>
        <w:rPr>
          <w:sz w:val="20"/>
          <w:szCs w:val="20"/>
          <w:color w:val="auto"/>
        </w:rPr>
      </w:pPr>
      <w:r>
        <w:rPr>
          <w:rFonts w:ascii="Arial" w:cs="Arial" w:eastAsia="Arial" w:hAnsi="Arial"/>
          <w:sz w:val="15"/>
          <w:szCs w:val="15"/>
          <w:color w:val="auto"/>
        </w:rPr>
        <w:t>The FDA has various programs, including fast track, priority review, and accelerated approval, that are intended to expedite or simplify the process for reviewing drugs, and/or provide for approval on the basis of surrogate endpoints. Generally, drugs that may be eligible for these programs are those for serious or life-threatening conditions, those with the potential to address unmet medical needs, and those that offer meaningful benefits over existing treatments, however, these programs do not affect the standards for approval. Fast track designation applies to the combination of the product and the specific indication for which it is being studied. As a condition of approval, the FDA may require that a sponsor of a drug receiving accelerated approval perform post-marketing clinical trials.</w:t>
      </w:r>
    </w:p>
    <w:p>
      <w:pPr>
        <w:spacing w:after="0" w:line="15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27" w:name="page28"/>
    <w:bookmarkEnd w:id="27"/>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Orphan Drug</w:t>
      </w:r>
    </w:p>
    <w:p>
      <w:pPr>
        <w:spacing w:after="0" w:line="225" w:lineRule="exact"/>
        <w:rPr>
          <w:sz w:val="20"/>
          <w:szCs w:val="20"/>
          <w:color w:val="auto"/>
        </w:rPr>
      </w:pPr>
    </w:p>
    <w:p>
      <w:pPr>
        <w:ind w:firstLine="351"/>
        <w:spacing w:after="0" w:line="291" w:lineRule="auto"/>
        <w:rPr>
          <w:sz w:val="20"/>
          <w:szCs w:val="20"/>
          <w:color w:val="auto"/>
        </w:rPr>
      </w:pPr>
      <w:r>
        <w:rPr>
          <w:rFonts w:ascii="Arial" w:cs="Arial" w:eastAsia="Arial" w:hAnsi="Arial"/>
          <w:sz w:val="16"/>
          <w:szCs w:val="16"/>
          <w:color w:val="auto"/>
        </w:rPr>
        <w:t>Under the Orphan Drug Act, the FDA may grant orphan drug designation to drugs intended to treat a rare disease or condition, which is generally a disease or condition that affects fewer than 200,000 individuals in the United States, or more than 200,000 individuals in the United States and for which there is no reasonable expectation that the cost of developing and making available in the United States a drug for this type of disease or condition will be recovered from sales in the United States for that drug. If a product that has orphan drug designation subsequently receives the first FDA approval for the disease for which it has such designation, the product is entitled to orphan product exclusivity, which means that the FDA may not approve any other applications to market the same drug for the same indication, except in very limited circumstances, for seven years.</w:t>
      </w:r>
    </w:p>
    <w:p>
      <w:pPr>
        <w:spacing w:after="0" w:line="174" w:lineRule="exact"/>
        <w:rPr>
          <w:sz w:val="20"/>
          <w:szCs w:val="20"/>
          <w:color w:val="auto"/>
        </w:rPr>
      </w:pPr>
    </w:p>
    <w:p>
      <w:pPr>
        <w:ind w:right="80" w:firstLine="351"/>
        <w:spacing w:after="0" w:line="255" w:lineRule="auto"/>
        <w:rPr>
          <w:sz w:val="20"/>
          <w:szCs w:val="20"/>
          <w:color w:val="auto"/>
        </w:rPr>
      </w:pPr>
      <w:r>
        <w:rPr>
          <w:rFonts w:ascii="Arial" w:cs="Arial" w:eastAsia="Arial" w:hAnsi="Arial"/>
          <w:sz w:val="18"/>
          <w:szCs w:val="18"/>
          <w:color w:val="auto"/>
        </w:rPr>
        <w:t>Once an approval is granted, the FDA may withdraw the approval if compliance with regulatory standards is not maintained or if problems occur after the product reaches the market. After approval, some types of changes to the approved product, such as adding new indications, manufacturing changes and additional labeling claims, are subject to further FDA review and approval. In addition, the FDA may require testing and surveillance programs to monitor the effect of approved products that have been commercialized, and the FDA has the power to prevent or limit further marketing of a product based on the results of these post-marketing programs.</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Foreign Regulation</w:t>
      </w:r>
    </w:p>
    <w:p>
      <w:pPr>
        <w:spacing w:after="0" w:line="225" w:lineRule="exact"/>
        <w:rPr>
          <w:sz w:val="20"/>
          <w:szCs w:val="20"/>
          <w:color w:val="auto"/>
        </w:rPr>
      </w:pPr>
    </w:p>
    <w:p>
      <w:pPr>
        <w:ind w:right="20" w:firstLine="351"/>
        <w:spacing w:after="0" w:line="255" w:lineRule="auto"/>
        <w:rPr>
          <w:sz w:val="20"/>
          <w:szCs w:val="20"/>
          <w:color w:val="auto"/>
        </w:rPr>
      </w:pPr>
      <w:r>
        <w:rPr>
          <w:rFonts w:ascii="Arial" w:cs="Arial" w:eastAsia="Arial" w:hAnsi="Arial"/>
          <w:sz w:val="18"/>
          <w:szCs w:val="18"/>
          <w:color w:val="auto"/>
        </w:rPr>
        <w:t>In addition to regulations in the United States, we will be subject to a variety of foreign regulations governing clinical trials and commercial sales and distribution of our products. Whether or not we obtain FDA approval for a product, we must obtain approval of a product by the comparable regulatory authorities of foreign countries before we can commence clinical trials or marketing of the product in those countries. The approval process varies from country to country and the time may be longer or shorter than that required for FDA approval. Approval by the FDA does not ensure approval by the regulatory bodies of other countries.</w:t>
      </w:r>
    </w:p>
    <w:p>
      <w:pPr>
        <w:spacing w:after="0" w:line="197" w:lineRule="exact"/>
        <w:rPr>
          <w:sz w:val="20"/>
          <w:szCs w:val="20"/>
          <w:color w:val="auto"/>
        </w:rPr>
      </w:pPr>
    </w:p>
    <w:p>
      <w:pPr>
        <w:ind w:right="20" w:firstLine="351"/>
        <w:spacing w:after="0" w:line="287" w:lineRule="auto"/>
        <w:rPr>
          <w:sz w:val="20"/>
          <w:szCs w:val="20"/>
          <w:color w:val="auto"/>
        </w:rPr>
      </w:pPr>
      <w:r>
        <w:rPr>
          <w:rFonts w:ascii="Arial" w:cs="Arial" w:eastAsia="Arial" w:hAnsi="Arial"/>
          <w:sz w:val="16"/>
          <w:szCs w:val="16"/>
          <w:color w:val="auto"/>
        </w:rPr>
        <w:t>Under European Union regulatory systems, we may submit marketing authorization applications either under a centralized or decentralized procedure. The centralized procedure, which is compulsory for medicines produced by biotechnology and optional for those which are highly innovative, provides for the grant of a single marketing authorization that is valid for all European Union member states. The decentralized procedure provides for mutual recognition of national approval decisions. Under the decentralized procedure, the holder of a national marketing authorization may submit an application to the remaining member states. Within 90 days of receiving the applications and assessments report each member state must decide whether to recognize approval. If a member state does not recognize the marketing authorization, the disputed points are eventually referred to the European Commission, whose decision is binding on all member states. As in the United States, we may apply for designation of our products as orphan drug for the treatment of a specific indication in the European Union before the application for marketing authorization is made. Orphan drugs in Europe enjoy economic and marketing benefits, including a 10-year market exclusivity period for the approved indication, but not for the same drug, unless another applicant can show that its product is safer, more effective or otherwise clinically superior to the orphan-designated product.</w:t>
      </w:r>
    </w:p>
    <w:p>
      <w:pPr>
        <w:spacing w:after="0" w:line="177" w:lineRule="exact"/>
        <w:rPr>
          <w:sz w:val="20"/>
          <w:szCs w:val="20"/>
          <w:color w:val="auto"/>
        </w:rPr>
      </w:pPr>
    </w:p>
    <w:p>
      <w:pPr>
        <w:jc w:val="center"/>
        <w:ind w:right="-159"/>
        <w:spacing w:after="0"/>
        <w:rPr>
          <w:sz w:val="20"/>
          <w:szCs w:val="20"/>
          <w:color w:val="auto"/>
        </w:rPr>
      </w:pPr>
      <w:r>
        <w:rPr>
          <w:rFonts w:ascii="Arial" w:cs="Arial" w:eastAsia="Arial" w:hAnsi="Arial"/>
          <w:sz w:val="16"/>
          <w:szCs w:val="16"/>
          <w:color w:val="auto"/>
        </w:rPr>
        <w:t>Our collaborators are also subject to all of the above-described regulations in connection with the commercialization of products utilizing our technology.</w:t>
      </w:r>
    </w:p>
    <w:p>
      <w:pPr>
        <w:spacing w:after="0" w:line="248"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60"/>
          </w:cols>
          <w:pgMar w:left="240" w:top="131" w:right="299" w:bottom="1440" w:gutter="0" w:footer="0" w:header="0"/>
        </w:sectPr>
      </w:pPr>
    </w:p>
    <w:bookmarkStart w:id="28" w:name="page29"/>
    <w:bookmarkEnd w:id="28"/>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Other Regulatory Processes</w:t>
      </w:r>
    </w:p>
    <w:p>
      <w:pPr>
        <w:spacing w:after="0" w:line="225" w:lineRule="exact"/>
        <w:rPr>
          <w:sz w:val="20"/>
          <w:szCs w:val="20"/>
          <w:color w:val="auto"/>
        </w:rPr>
      </w:pPr>
    </w:p>
    <w:p>
      <w:pPr>
        <w:ind w:firstLine="348"/>
        <w:spacing w:after="0" w:line="256" w:lineRule="auto"/>
        <w:rPr>
          <w:sz w:val="20"/>
          <w:szCs w:val="20"/>
          <w:color w:val="auto"/>
        </w:rPr>
      </w:pPr>
      <w:r>
        <w:rPr>
          <w:rFonts w:ascii="Arial" w:cs="Arial" w:eastAsia="Arial" w:hAnsi="Arial"/>
          <w:sz w:val="18"/>
          <w:szCs w:val="18"/>
          <w:color w:val="auto"/>
        </w:rPr>
        <w:t>We are subject to a variety of financial disclosure and securities trading regulations as a public company in the U.S., including laws relating to the oversight activities of the SEC and the regulations of the NASDAQ Global Market, on which our shares are traded. We are also subject to regulation under other federal laws and regulation under state and local laws, including laws relating to occupational safety, laboratory practices, environmental regulations, and hazardous substance control.</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Product Liability</w:t>
      </w:r>
    </w:p>
    <w:p>
      <w:pPr>
        <w:spacing w:after="0" w:line="231" w:lineRule="exact"/>
        <w:rPr>
          <w:sz w:val="20"/>
          <w:szCs w:val="20"/>
          <w:color w:val="auto"/>
        </w:rPr>
      </w:pPr>
    </w:p>
    <w:p>
      <w:pPr>
        <w:ind w:right="20" w:firstLine="348"/>
        <w:spacing w:after="0" w:line="256" w:lineRule="auto"/>
        <w:rPr>
          <w:sz w:val="20"/>
          <w:szCs w:val="20"/>
          <w:color w:val="auto"/>
        </w:rPr>
      </w:pPr>
      <w:r>
        <w:rPr>
          <w:rFonts w:ascii="Arial" w:cs="Arial" w:eastAsia="Arial" w:hAnsi="Arial"/>
          <w:sz w:val="18"/>
          <w:szCs w:val="18"/>
          <w:color w:val="auto"/>
        </w:rPr>
        <w:t>The risk of product liability claims, product recalls and associated adverse publicity is inherent in the testing, manufacturing, marketing and sale of medical products. If and when we manufacture vaccines that are recommended for routine administration to children, we will be required to participate in the National Vaccine Injury Compensation Program. This program compensates children having adverse reactions to certain routine childhood immunizations with funds collected through an excise tax from the manufacturers of these vaccines.</w:t>
      </w:r>
    </w:p>
    <w:p>
      <w:pPr>
        <w:spacing w:after="0" w:line="197" w:lineRule="exact"/>
        <w:rPr>
          <w:sz w:val="20"/>
          <w:szCs w:val="20"/>
          <w:color w:val="auto"/>
        </w:rPr>
      </w:pPr>
    </w:p>
    <w:p>
      <w:pPr>
        <w:jc w:val="both"/>
        <w:ind w:right="60" w:firstLine="351"/>
        <w:spacing w:after="0" w:line="291" w:lineRule="auto"/>
        <w:rPr>
          <w:sz w:val="20"/>
          <w:szCs w:val="20"/>
          <w:color w:val="auto"/>
        </w:rPr>
      </w:pPr>
      <w:r>
        <w:rPr>
          <w:rFonts w:ascii="Arial" w:cs="Arial" w:eastAsia="Arial" w:hAnsi="Arial"/>
          <w:sz w:val="16"/>
          <w:szCs w:val="16"/>
          <w:color w:val="auto"/>
        </w:rPr>
        <w:t>Under our license agreements, we are required to maintain clinical trial liability insurance coverage up to $14 million. However, there can be no assurance that such insurance coverage is or will continue to be adequate or available. We may choose or find it necessary under our collaborative agreements to increase our insurance coverage in the future. We may not be able to secure greater or broader product liability insurance coverage on acceptable terms or at reasonable costs when needed. Any liability for mandatory damages could exceed the amount of our coverage. A successful product liability claim against us could require us to pay a substantial monetary award. Moreover, a product recall could generate substantial negative publicity about our products and business and inhibit or prevent commercialization of other product candidates.</w:t>
      </w:r>
    </w:p>
    <w:p>
      <w:pPr>
        <w:spacing w:after="0" w:line="16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Employees</w:t>
      </w:r>
    </w:p>
    <w:p>
      <w:pPr>
        <w:spacing w:after="0" w:line="231" w:lineRule="exact"/>
        <w:rPr>
          <w:sz w:val="20"/>
          <w:szCs w:val="20"/>
          <w:color w:val="auto"/>
        </w:rPr>
      </w:pPr>
    </w:p>
    <w:p>
      <w:pPr>
        <w:jc w:val="both"/>
        <w:ind w:right="80" w:firstLine="341"/>
        <w:spacing w:after="0" w:line="306" w:lineRule="auto"/>
        <w:rPr>
          <w:sz w:val="20"/>
          <w:szCs w:val="20"/>
          <w:color w:val="auto"/>
        </w:rPr>
      </w:pPr>
      <w:r>
        <w:rPr>
          <w:rFonts w:ascii="Arial" w:cs="Arial" w:eastAsia="Arial" w:hAnsi="Arial"/>
          <w:sz w:val="16"/>
          <w:szCs w:val="16"/>
          <w:color w:val="auto"/>
        </w:rPr>
        <w:t>As of December 31, 2010, we employed 94 full time employees and 6 part time or temporary employees, 13 of whom have Ph.D. and/or M.D. degrees. Of these employees, 83 were engaged in or directly support research and development activities. We believe that our employee relations are good. We believe that our future success will depend in large part on our ability to attract and retain experienced and skilled employees.</w:t>
      </w:r>
    </w:p>
    <w:p>
      <w:pPr>
        <w:spacing w:after="0" w:line="155" w:lineRule="exact"/>
        <w:rPr>
          <w:sz w:val="20"/>
          <w:szCs w:val="20"/>
          <w:color w:val="auto"/>
        </w:rPr>
      </w:pPr>
    </w:p>
    <w:p>
      <w:pPr>
        <w:spacing w:after="0"/>
        <w:tabs>
          <w:tab w:leader="none" w:pos="820" w:val="left"/>
        </w:tabs>
        <w:rPr>
          <w:sz w:val="20"/>
          <w:szCs w:val="20"/>
          <w:color w:val="auto"/>
        </w:rPr>
      </w:pPr>
      <w:r>
        <w:rPr>
          <w:rFonts w:ascii="Arial" w:cs="Arial" w:eastAsia="Arial" w:hAnsi="Arial"/>
          <w:sz w:val="18"/>
          <w:szCs w:val="18"/>
          <w:b w:val="1"/>
          <w:bCs w:val="1"/>
          <w:color w:val="auto"/>
        </w:rPr>
        <w:t>Item 1A.</w:t>
      </w:r>
      <w:r>
        <w:rPr>
          <w:sz w:val="20"/>
          <w:szCs w:val="20"/>
          <w:color w:val="auto"/>
        </w:rPr>
        <w:tab/>
      </w:r>
      <w:r>
        <w:rPr>
          <w:rFonts w:ascii="Arial" w:cs="Arial" w:eastAsia="Arial" w:hAnsi="Arial"/>
          <w:sz w:val="16"/>
          <w:szCs w:val="16"/>
          <w:b w:val="1"/>
          <w:bCs w:val="1"/>
          <w:color w:val="auto"/>
        </w:rPr>
        <w:t>RISK FACTORS</w:t>
      </w:r>
    </w:p>
    <w:p>
      <w:pPr>
        <w:spacing w:after="0" w:line="231" w:lineRule="exact"/>
        <w:rPr>
          <w:sz w:val="20"/>
          <w:szCs w:val="20"/>
          <w:color w:val="auto"/>
        </w:rPr>
      </w:pPr>
    </w:p>
    <w:p>
      <w:pPr>
        <w:ind w:right="60" w:firstLine="345"/>
        <w:spacing w:after="0" w:line="268" w:lineRule="auto"/>
        <w:rPr>
          <w:sz w:val="20"/>
          <w:szCs w:val="20"/>
          <w:color w:val="auto"/>
        </w:rPr>
      </w:pPr>
      <w:r>
        <w:rPr>
          <w:rFonts w:ascii="Arial" w:cs="Arial" w:eastAsia="Arial" w:hAnsi="Arial"/>
          <w:sz w:val="18"/>
          <w:szCs w:val="18"/>
          <w:color w:val="auto"/>
        </w:rPr>
        <w:t>You should consider carefully these risk factors together with all of the information included or incorporated by reference in this Annual Report in addition to our financial statements and the notes to our financial statements. This section includes forward-looking statements.</w:t>
      </w:r>
    </w:p>
    <w:p>
      <w:pPr>
        <w:spacing w:after="0" w:line="186" w:lineRule="exact"/>
        <w:rPr>
          <w:sz w:val="20"/>
          <w:szCs w:val="20"/>
          <w:color w:val="auto"/>
        </w:rPr>
      </w:pPr>
    </w:p>
    <w:p>
      <w:pPr>
        <w:jc w:val="both"/>
        <w:ind w:right="100" w:firstLine="348"/>
        <w:spacing w:after="0" w:line="259" w:lineRule="auto"/>
        <w:rPr>
          <w:sz w:val="20"/>
          <w:szCs w:val="20"/>
          <w:color w:val="auto"/>
        </w:rPr>
      </w:pPr>
      <w:r>
        <w:rPr>
          <w:rFonts w:ascii="Arial" w:cs="Arial" w:eastAsia="Arial" w:hAnsi="Arial"/>
          <w:sz w:val="18"/>
          <w:szCs w:val="18"/>
          <w:color w:val="auto"/>
        </w:rPr>
        <w:t>The following is a discussion of the risk factors that we believe are material to us at this time. These risks and uncertainties are not the only ones facing us and there may be additional matters that we are unaware of or that we currently consider immaterial. All of these could adversely affect our business, results of operations, financial condition and cash flows.</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Risks Related to our Business</w:t>
      </w:r>
    </w:p>
    <w:p>
      <w:pPr>
        <w:spacing w:after="0" w:line="219" w:lineRule="exact"/>
        <w:rPr>
          <w:sz w:val="20"/>
          <w:szCs w:val="20"/>
          <w:color w:val="auto"/>
        </w:rPr>
      </w:pPr>
    </w:p>
    <w:p>
      <w:pPr>
        <w:jc w:val="both"/>
        <w:ind w:right="180"/>
        <w:spacing w:after="0" w:line="262" w:lineRule="auto"/>
        <w:rPr>
          <w:sz w:val="20"/>
          <w:szCs w:val="20"/>
          <w:color w:val="auto"/>
        </w:rPr>
      </w:pPr>
      <w:r>
        <w:rPr>
          <w:rFonts w:ascii="Arial" w:cs="Arial" w:eastAsia="Arial" w:hAnsi="Arial"/>
          <w:sz w:val="18"/>
          <w:szCs w:val="18"/>
          <w:b w:val="1"/>
          <w:bCs w:val="1"/>
          <w:color w:val="auto"/>
        </w:rPr>
        <w:t>Pfizer's termination of its global development and commercialization agreement with us may cause uncertainty surrounding, as well as delays in and increased costs for, the development of our lead clinical development program, which could adversely affect the value of our common stock, our cash position and results of operations.</w:t>
      </w:r>
    </w:p>
    <w:p>
      <w:pPr>
        <w:spacing w:after="0" w:line="192" w:lineRule="exact"/>
        <w:rPr>
          <w:sz w:val="20"/>
          <w:szCs w:val="20"/>
          <w:color w:val="auto"/>
        </w:rPr>
      </w:pPr>
    </w:p>
    <w:p>
      <w:pPr>
        <w:ind w:right="20" w:firstLine="348"/>
        <w:spacing w:after="0" w:line="268" w:lineRule="auto"/>
        <w:rPr>
          <w:sz w:val="20"/>
          <w:szCs w:val="20"/>
          <w:color w:val="auto"/>
        </w:rPr>
      </w:pPr>
      <w:r>
        <w:rPr>
          <w:rFonts w:ascii="Arial" w:cs="Arial" w:eastAsia="Arial" w:hAnsi="Arial"/>
          <w:sz w:val="18"/>
          <w:szCs w:val="18"/>
          <w:color w:val="auto"/>
        </w:rPr>
        <w:t>We had licensed our lead clinical development program, rindopepimut, a therapeutic cancer vaccine candidate sometimes referred to as CDX-110, to Pfizer pursuant to the Pfizer Agreement,</w:t>
      </w:r>
    </w:p>
    <w:p>
      <w:pPr>
        <w:spacing w:after="0" w:line="186"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00"/>
          </w:cols>
          <w:pgMar w:left="240" w:top="131" w:right="359" w:bottom="1440" w:gutter="0" w:footer="0" w:header="0"/>
        </w:sectPr>
      </w:pPr>
    </w:p>
    <w:bookmarkStart w:id="29" w:name="page30"/>
    <w:bookmarkEnd w:id="29"/>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ind w:right="20"/>
        <w:spacing w:after="0" w:line="287" w:lineRule="auto"/>
        <w:rPr>
          <w:sz w:val="20"/>
          <w:szCs w:val="20"/>
          <w:color w:val="auto"/>
        </w:rPr>
      </w:pPr>
      <w:r>
        <w:rPr>
          <w:rFonts w:ascii="Arial" w:cs="Arial" w:eastAsia="Arial" w:hAnsi="Arial"/>
          <w:sz w:val="16"/>
          <w:szCs w:val="16"/>
          <w:color w:val="auto"/>
        </w:rPr>
        <w:t>under which Pfizer was granted an exclusive worldwide license to rindopepimut and Pfizer would have funded all development costs for the program and would have commercialized the product. On September 1, 2010, Pfizer provided a sixty day written notice to terminate the Pfizer Agreement. In November 2010, all rights to the rindopepimut program were returned to us. We are currently evaluating our options with respect to rindopepimut, which may include licensing all or specific portions of the rights to the rindopepimut program to another third party collaborator or retaining the rights and funding the development of the rindopepimut program ourselves. If we retain the rights to the rindopepimut program and are fully responsible for its development and commercialization, we may face delays, difficulties or unanticipated costs in completing the development and commercialization of the product and will need substantial additional financing. Also, our management team does not have significant experience in completing Phase 3 clinical trials and bringing a drug candidate to commercialization. If we elect to enter into an agreement with a new third party collaborator for the licensing, development and commercialization of the product, the process of identifying a new collaborator and negotiating a new collaboration agreement may cause delays and increased costs. In addition, we may not be able to enter into a new collaboration agreement on terms as favorable as the terms in the Pfizer Agreement.</w:t>
      </w:r>
    </w:p>
    <w:p>
      <w:pPr>
        <w:spacing w:after="0" w:line="17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We may be unable to manage one Phase 3 clinical trial or multiple late stage clinical trials for a variety of product candidates simultaneously.</w:t>
      </w:r>
    </w:p>
    <w:p>
      <w:pPr>
        <w:spacing w:after="0" w:line="254" w:lineRule="exact"/>
        <w:rPr>
          <w:sz w:val="20"/>
          <w:szCs w:val="20"/>
          <w:color w:val="auto"/>
        </w:rPr>
      </w:pPr>
    </w:p>
    <w:p>
      <w:pPr>
        <w:ind w:firstLine="341"/>
        <w:spacing w:after="0" w:line="288" w:lineRule="auto"/>
        <w:rPr>
          <w:sz w:val="20"/>
          <w:szCs w:val="20"/>
          <w:color w:val="auto"/>
        </w:rPr>
      </w:pPr>
      <w:r>
        <w:rPr>
          <w:rFonts w:ascii="Arial" w:cs="Arial" w:eastAsia="Arial" w:hAnsi="Arial"/>
          <w:sz w:val="16"/>
          <w:szCs w:val="16"/>
          <w:color w:val="auto"/>
        </w:rPr>
        <w:t>As our current clinical trials progress, we may need to manage multiple late stage clinical trials simultaneously in order to continue developing all of our current products. The management of late stage clinical trials is more complex and time consuming than early stage trials. Typically early stage trials involve several hundred patients in no more than 10-30 clinical sites. Late stage (Phase 3) trials may involve up to several thousand patients in up to several hundred clinical sites and may require facilities in several countries. Therefore, the project management required to supervise and control such an extensive program is substantially larger than early stage programs. As the need for these resources is not known until some months before the trials begin it is necessary to recruit large numbers of experienced and talented individuals very quickly. If the labor market does not allow this team to be recruited quickly the sponsor is faced with a decision to delay the program or to initiate it with inadequate management resources. This may result in recruitment of inappropriate patients, inadequate monitoring of clinical investigators and inappropriate handling of data or data analysis. Consequently it is possible that conclusions of efficacy or safety may not be acceptable to permit filing of a BLA or NDA for any one of the above reasons or a combination of several.</w:t>
      </w:r>
    </w:p>
    <w:p>
      <w:pPr>
        <w:spacing w:after="0" w:line="16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If we cannot sell capital stock to raise necessary funds, we may be forced to limit our research, development and testing programs.</w:t>
      </w:r>
    </w:p>
    <w:p>
      <w:pPr>
        <w:spacing w:after="0" w:line="231" w:lineRule="exact"/>
        <w:rPr>
          <w:sz w:val="20"/>
          <w:szCs w:val="20"/>
          <w:color w:val="auto"/>
        </w:rPr>
      </w:pPr>
    </w:p>
    <w:p>
      <w:pPr>
        <w:ind w:right="40" w:firstLine="348"/>
        <w:spacing w:after="0" w:line="298" w:lineRule="auto"/>
        <w:rPr>
          <w:sz w:val="20"/>
          <w:szCs w:val="20"/>
          <w:color w:val="auto"/>
        </w:rPr>
      </w:pPr>
      <w:r>
        <w:rPr>
          <w:rFonts w:ascii="Arial" w:cs="Arial" w:eastAsia="Arial" w:hAnsi="Arial"/>
          <w:sz w:val="16"/>
          <w:szCs w:val="16"/>
          <w:color w:val="auto"/>
        </w:rPr>
        <w:t>We will need to raise more capital from investors to advance our clinical and preclinical products and to fund our operations until we receive final FDA approval and our products begin to generate revenues for us. However, based on our history of losses and the on-going uncertainty of the U.S. capital markets, we may have difficulty raising sufficient capital on terms that are acceptable to us, or at all. As of December 31, 2010, we had cash, cash equivalents and marketable securities of $61.1 million, which, at that time, we believed would support expected operations for more than 12 months.</w:t>
      </w:r>
    </w:p>
    <w:p>
      <w:pPr>
        <w:spacing w:after="0" w:line="167" w:lineRule="exact"/>
        <w:rPr>
          <w:sz w:val="20"/>
          <w:szCs w:val="20"/>
          <w:color w:val="auto"/>
        </w:rPr>
      </w:pPr>
    </w:p>
    <w:p>
      <w:pPr>
        <w:ind w:firstLine="348"/>
        <w:spacing w:after="0" w:line="298" w:lineRule="auto"/>
        <w:rPr>
          <w:sz w:val="20"/>
          <w:szCs w:val="20"/>
          <w:color w:val="auto"/>
        </w:rPr>
      </w:pPr>
      <w:r>
        <w:rPr>
          <w:rFonts w:ascii="Arial" w:cs="Arial" w:eastAsia="Arial" w:hAnsi="Arial"/>
          <w:sz w:val="16"/>
          <w:szCs w:val="16"/>
          <w:color w:val="auto"/>
        </w:rPr>
        <w:t>We continue to seek partnerships with pharmaceutical and biotech companies and with other organizations to support the clinical development of our programs, in addition to funded research grants. This kind of funding is at the discretion of other organizations and companies which have limited funds and many companies compete with us for those funds. As a result, we may not receive any research grants or funds from collaborators. If we are unable to raise the necessary funds, we may have to delay or discontinue the clinical development of programs, license out programs earlier than</w:t>
      </w:r>
    </w:p>
    <w:p>
      <w:pPr>
        <w:spacing w:after="0" w:line="16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30" w:name="page31"/>
    <w:bookmarkEnd w:id="30"/>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spacing w:after="0"/>
        <w:rPr>
          <w:sz w:val="20"/>
          <w:szCs w:val="20"/>
          <w:color w:val="auto"/>
        </w:rPr>
      </w:pPr>
      <w:r>
        <w:rPr>
          <w:rFonts w:ascii="Arial" w:cs="Arial" w:eastAsia="Arial" w:hAnsi="Arial"/>
          <w:sz w:val="18"/>
          <w:szCs w:val="18"/>
          <w:color w:val="auto"/>
        </w:rPr>
        <w:t>expected, raise funds at significant discount or on other unfavorable terms, if at all, or evaluate a sale of all or part of our business.</w:t>
      </w:r>
    </w:p>
    <w:p>
      <w:pPr>
        <w:spacing w:after="0" w:line="225" w:lineRule="exact"/>
        <w:rPr>
          <w:sz w:val="20"/>
          <w:szCs w:val="20"/>
          <w:color w:val="auto"/>
        </w:rPr>
      </w:pPr>
    </w:p>
    <w:p>
      <w:pPr>
        <w:ind w:right="220" w:firstLine="351"/>
        <w:spacing w:after="0" w:line="259" w:lineRule="auto"/>
        <w:rPr>
          <w:sz w:val="20"/>
          <w:szCs w:val="20"/>
          <w:color w:val="auto"/>
        </w:rPr>
      </w:pPr>
      <w:r>
        <w:rPr>
          <w:rFonts w:ascii="Arial" w:cs="Arial" w:eastAsia="Arial" w:hAnsi="Arial"/>
          <w:sz w:val="18"/>
          <w:szCs w:val="18"/>
          <w:color w:val="auto"/>
        </w:rPr>
        <w:t>Until we begin generating revenue, we may seek funding through the sale of equity, or securities convertible into equity, and further dilution to the then existing stockholders may result. If we raise additional capital through the incurrence of debt, our business may be affected by the amount of leverage it incurs, and its borrowings may subject it to restrictive covenants.</w:t>
      </w:r>
    </w:p>
    <w:p>
      <w:pPr>
        <w:spacing w:after="0" w:line="194" w:lineRule="exact"/>
        <w:rPr>
          <w:sz w:val="20"/>
          <w:szCs w:val="20"/>
          <w:color w:val="auto"/>
        </w:rPr>
      </w:pPr>
    </w:p>
    <w:p>
      <w:pPr>
        <w:ind w:firstLine="351"/>
        <w:spacing w:after="0" w:line="288" w:lineRule="auto"/>
        <w:rPr>
          <w:sz w:val="20"/>
          <w:szCs w:val="20"/>
          <w:color w:val="auto"/>
        </w:rPr>
      </w:pPr>
      <w:r>
        <w:rPr>
          <w:rFonts w:ascii="Arial" w:cs="Arial" w:eastAsia="Arial" w:hAnsi="Arial"/>
          <w:sz w:val="16"/>
          <w:szCs w:val="16"/>
          <w:color w:val="auto"/>
        </w:rPr>
        <w:t>In January 2011, we entered into a financing facility with Cantor Fitzgerald &amp; Co., providing for the sale of up to 5 million shares of our common stock from time to time into the open market at prevailing prices. As of March 2, 2011, we had not sold any shares under this facility. We may or may not sell shares under this facility, depending on the volume and price of our common stock, as well as our capital needs and potential alternative sources of capital. If we actively sell shares under this facility, a significant number of shares of common stock could be issued in a short period of time, although we would attempt to structure the volume and price thresholds in a way that minimizes market impact. Notwithstanding these control efforts, these sales, or the perceived risk of dilution from potential sales of stock through this facility, may depress our stock price or cause holders of our common stock to sell their shares, or it may encourage short selling by market participants, which could contribute to a decline in our stock price. A decline in our stock price might impede our ability to raise capital through the issuance of additional shares of common stock or other equity securities, and may cause our stockholders to lose part or all of the value of their investment in our stock.</w:t>
      </w:r>
    </w:p>
    <w:p>
      <w:pPr>
        <w:spacing w:after="0" w:line="168" w:lineRule="exact"/>
        <w:rPr>
          <w:sz w:val="20"/>
          <w:szCs w:val="20"/>
          <w:color w:val="auto"/>
        </w:rPr>
      </w:pPr>
    </w:p>
    <w:p>
      <w:pPr>
        <w:ind w:right="540"/>
        <w:spacing w:after="0" w:line="275" w:lineRule="auto"/>
        <w:rPr>
          <w:sz w:val="20"/>
          <w:szCs w:val="20"/>
          <w:color w:val="auto"/>
        </w:rPr>
      </w:pPr>
      <w:r>
        <w:rPr>
          <w:rFonts w:ascii="Arial" w:cs="Arial" w:eastAsia="Arial" w:hAnsi="Arial"/>
          <w:sz w:val="18"/>
          <w:szCs w:val="18"/>
          <w:b w:val="1"/>
          <w:bCs w:val="1"/>
          <w:color w:val="auto"/>
        </w:rPr>
        <w:t>We rely on third parties to plan, conduct and monitor our clinical tests, and their failure to perform as required would interfere with our product development.</w:t>
      </w:r>
    </w:p>
    <w:p>
      <w:pPr>
        <w:spacing w:after="0" w:line="180" w:lineRule="exact"/>
        <w:rPr>
          <w:sz w:val="20"/>
          <w:szCs w:val="20"/>
          <w:color w:val="auto"/>
        </w:rPr>
      </w:pPr>
    </w:p>
    <w:p>
      <w:pPr>
        <w:ind w:right="20" w:firstLine="348"/>
        <w:spacing w:after="0" w:line="298" w:lineRule="auto"/>
        <w:rPr>
          <w:sz w:val="20"/>
          <w:szCs w:val="20"/>
          <w:color w:val="auto"/>
        </w:rPr>
      </w:pPr>
      <w:r>
        <w:rPr>
          <w:rFonts w:ascii="Arial" w:cs="Arial" w:eastAsia="Arial" w:hAnsi="Arial"/>
          <w:sz w:val="16"/>
          <w:szCs w:val="16"/>
          <w:color w:val="auto"/>
        </w:rPr>
        <w:t>We rely on third parties to conduct a significant portion of our clinical development activities. These activities include clinical patient recruitment and observation, clinical trial monitoring, clinical data management and analysis, safety monitoring and project management. We conduct project management and medical and safety monitoring in-house for some of our programs and rely on third parties for the remainder of our clinical development activities. If any of these third parties fails to perform as we expect or if their work fails to meet regulatory standards, our testing could be delayed, cancelled or rendered ineffective.</w:t>
      </w:r>
    </w:p>
    <w:p>
      <w:pPr>
        <w:spacing w:after="0" w:line="16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We depend greatly on third party collaborators to license, develop and commercialize some of our products, and they may not meet our expectations.</w:t>
      </w:r>
    </w:p>
    <w:p>
      <w:pPr>
        <w:spacing w:after="0" w:line="254" w:lineRule="exact"/>
        <w:rPr>
          <w:sz w:val="20"/>
          <w:szCs w:val="20"/>
          <w:color w:val="auto"/>
        </w:rPr>
      </w:pPr>
    </w:p>
    <w:p>
      <w:pPr>
        <w:ind w:firstLine="348"/>
        <w:spacing w:after="0" w:line="254" w:lineRule="auto"/>
        <w:rPr>
          <w:sz w:val="20"/>
          <w:szCs w:val="20"/>
          <w:color w:val="auto"/>
        </w:rPr>
      </w:pPr>
      <w:r>
        <w:rPr>
          <w:rFonts w:ascii="Arial" w:cs="Arial" w:eastAsia="Arial" w:hAnsi="Arial"/>
          <w:sz w:val="18"/>
          <w:szCs w:val="18"/>
          <w:color w:val="auto"/>
        </w:rPr>
        <w:t>We have agreements with third party collaborators for the licensing, development and ultimate commercialization of some of our products. Some of those agreements give substantial responsibility over the products to the collaborator. Some collaborators may be unable or unwilling to devote sufficient resources to develop our products as their agreements require. They often face business risks similar to ours, and this could interfere with their efforts. Also, collaborators may choose to devote their resources to products that compete with ours. If a collaborator does not successfully develop any one of our products, we will need to find another collaborator to do so. The success of our search for a new collaborator will depend on our legal right to do so at the time and whether the product remains commercially viable.</w:t>
      </w:r>
    </w:p>
    <w:p>
      <w:pPr>
        <w:spacing w:after="0" w:line="198" w:lineRule="exact"/>
        <w:rPr>
          <w:sz w:val="20"/>
          <w:szCs w:val="20"/>
          <w:color w:val="auto"/>
        </w:rPr>
      </w:pPr>
    </w:p>
    <w:p>
      <w:pPr>
        <w:ind w:right="20" w:firstLine="348"/>
        <w:spacing w:after="0" w:line="256" w:lineRule="auto"/>
        <w:rPr>
          <w:sz w:val="20"/>
          <w:szCs w:val="20"/>
          <w:color w:val="auto"/>
        </w:rPr>
      </w:pPr>
      <w:r>
        <w:rPr>
          <w:rFonts w:ascii="Arial" w:cs="Arial" w:eastAsia="Arial" w:hAnsi="Arial"/>
          <w:sz w:val="18"/>
          <w:szCs w:val="18"/>
          <w:color w:val="auto"/>
        </w:rPr>
        <w:t>The success of our products depends in great part upon our and our collaborators' success in promoting them as superior to other treatment alternatives. We believe that our products can be proven to offer disease prevention and treatment with notable advantages over drugs in terms of patient compliance and effectiveness. However, there can be no assurance that we will be able to prove these advantages or that the advantages will be sufficient to support the successful commercialization of our products.</w:t>
      </w:r>
    </w:p>
    <w:p>
      <w:pPr>
        <w:spacing w:after="0" w:line="1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31" w:name="page32"/>
    <w:bookmarkEnd w:id="31"/>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ind w:right="380"/>
        <w:spacing w:after="0" w:line="275" w:lineRule="auto"/>
        <w:rPr>
          <w:sz w:val="20"/>
          <w:szCs w:val="20"/>
          <w:color w:val="auto"/>
        </w:rPr>
      </w:pPr>
      <w:r>
        <w:rPr>
          <w:rFonts w:ascii="Arial" w:cs="Arial" w:eastAsia="Arial" w:hAnsi="Arial"/>
          <w:sz w:val="18"/>
          <w:szCs w:val="18"/>
          <w:b w:val="1"/>
          <w:bCs w:val="1"/>
          <w:color w:val="auto"/>
        </w:rPr>
        <w:t>We may face delays, difficulties or unanticipated costs in establishing sales, distribution and manufacturing capabilities for our commercially ready products.</w:t>
      </w:r>
    </w:p>
    <w:p>
      <w:pPr>
        <w:spacing w:after="0" w:line="180" w:lineRule="exact"/>
        <w:rPr>
          <w:sz w:val="20"/>
          <w:szCs w:val="20"/>
          <w:color w:val="auto"/>
        </w:rPr>
      </w:pPr>
    </w:p>
    <w:p>
      <w:pPr>
        <w:ind w:right="80" w:firstLine="348"/>
        <w:spacing w:after="0" w:line="254" w:lineRule="auto"/>
        <w:rPr>
          <w:sz w:val="20"/>
          <w:szCs w:val="20"/>
          <w:color w:val="auto"/>
        </w:rPr>
      </w:pPr>
      <w:r>
        <w:rPr>
          <w:rFonts w:ascii="Arial" w:cs="Arial" w:eastAsia="Arial" w:hAnsi="Arial"/>
          <w:sz w:val="18"/>
          <w:szCs w:val="18"/>
          <w:color w:val="auto"/>
        </w:rPr>
        <w:t>We may chose to retain, rather than license to another third party, all rights to rindopepimut, CDX-011 and our APC Targeting Technology programs. If we proceed with this strategy, we will have full responsibility for commercialization of these products if and when they are approved for sale. We currently lack the marketing, sales and distribution capabilities that we will need to carry out this strategy. To market any of our products directly, we must develop a substantial marketing and sales force with technical expertise and a supporting distribution capability. We have little expertise in this area, and we may not succeed. We may find it necessary to enter into strategic partnerships on uncertain but potentially unfavorable terms to sell, market and distribute our products when they are approved for sale.</w:t>
      </w:r>
    </w:p>
    <w:p>
      <w:pPr>
        <w:spacing w:after="0" w:line="198" w:lineRule="exact"/>
        <w:rPr>
          <w:sz w:val="20"/>
          <w:szCs w:val="20"/>
          <w:color w:val="auto"/>
        </w:rPr>
      </w:pPr>
    </w:p>
    <w:p>
      <w:pPr>
        <w:ind w:right="160" w:firstLine="351"/>
        <w:spacing w:after="0" w:line="255" w:lineRule="auto"/>
        <w:rPr>
          <w:sz w:val="20"/>
          <w:szCs w:val="20"/>
          <w:color w:val="auto"/>
        </w:rPr>
      </w:pPr>
      <w:r>
        <w:rPr>
          <w:rFonts w:ascii="Arial" w:cs="Arial" w:eastAsia="Arial" w:hAnsi="Arial"/>
          <w:sz w:val="18"/>
          <w:szCs w:val="18"/>
          <w:color w:val="auto"/>
        </w:rPr>
        <w:t>Some of our products are difficult to manufacture, especially in large quantities, and we have not yet developed commercial scale manufacturing processes for any of our products. We do not currently plan to develop internal manufacturing capabilities to produce any of our products at commercial scale if they are approved for sale. To the extent that we choose to market and distribute these products ourselves, this strategy will make us dependent on other companies to produce our products in adequate quantities, in compliance with regulatory requirements, and at a competitive cost. We may not find third parties capable of meeting those manufacturing needs.</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products and product candidates are subject to extensive regulatory scrutiny.</w:t>
      </w:r>
    </w:p>
    <w:p>
      <w:pPr>
        <w:spacing w:after="0" w:line="231" w:lineRule="exact"/>
        <w:rPr>
          <w:sz w:val="20"/>
          <w:szCs w:val="20"/>
          <w:color w:val="auto"/>
        </w:rPr>
      </w:pPr>
    </w:p>
    <w:p>
      <w:pPr>
        <w:ind w:right="120" w:firstLine="341"/>
        <w:spacing w:after="0" w:line="309" w:lineRule="auto"/>
        <w:rPr>
          <w:sz w:val="20"/>
          <w:szCs w:val="20"/>
          <w:color w:val="auto"/>
        </w:rPr>
      </w:pPr>
      <w:r>
        <w:rPr>
          <w:rFonts w:ascii="Arial" w:cs="Arial" w:eastAsia="Arial" w:hAnsi="Arial"/>
          <w:sz w:val="15"/>
          <w:szCs w:val="15"/>
          <w:color w:val="auto"/>
        </w:rPr>
        <w:t>All of our products and product candidates are at various stages of development and commercialization and our activities, products and product candidates are significantly regulated by a number of governmental entities, including the FDA in the United States and by comparable authorities in other countries. These entities regulate, among other things, the manufacture, testing, safety, effectiveness, labeling, documentation, advertising and sale of our products and product candidates. We or our partners must obtain regulatory approval for a product candidate in all of these areas before we can commercialize the product candidate. Product development within this regulatory framework takes a number of years and involves the expenditure of substantial resources. This process typically requires extensive preclinical and clinical testing, which may take longer or cost more than we anticipate, and may prove unsuccessful due to numerous factors. Many product candidates that initially appear promising ultimately do not reach the market because they are found to be unsafe or ineffective when tested. Companies in the pharmaceutical, biotechnology and vaccines industries have suffered significant setbacks in advanced clinical trials, even after obtaining promising results in earlier trials. Our inability to commercialize a product or product candidate would impair our ability to earn future revenues.</w:t>
      </w:r>
    </w:p>
    <w:p>
      <w:pPr>
        <w:spacing w:after="0" w:line="15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If our products do not pass required tests for safety and effectiveness, we will not be able to derive commercial revenue from them.</w:t>
      </w:r>
    </w:p>
    <w:p>
      <w:pPr>
        <w:spacing w:after="0" w:line="231" w:lineRule="exact"/>
        <w:rPr>
          <w:sz w:val="20"/>
          <w:szCs w:val="20"/>
          <w:color w:val="auto"/>
        </w:rPr>
      </w:pPr>
    </w:p>
    <w:p>
      <w:pPr>
        <w:ind w:firstLine="351"/>
        <w:spacing w:after="0" w:line="312" w:lineRule="auto"/>
        <w:rPr>
          <w:sz w:val="20"/>
          <w:szCs w:val="20"/>
          <w:color w:val="auto"/>
        </w:rPr>
      </w:pPr>
      <w:r>
        <w:rPr>
          <w:rFonts w:ascii="Arial" w:cs="Arial" w:eastAsia="Arial" w:hAnsi="Arial"/>
          <w:sz w:val="15"/>
          <w:szCs w:val="15"/>
          <w:color w:val="auto"/>
        </w:rPr>
        <w:t>In order to succeed, we will need to derive commercial revenue from the products we have under development. The FDA has not approved our rindopepimut or CDX-011 product candidates or any of our other lead products for sale to date. Our product candidates are in various stages of preclinical and clinical testing. Preclinical tests are performed at an early stage of a product's development and provide information about a product's safety and effectiveness on laboratory animals. Preclinical tests can last years. If a product passes its preclinical tests satisfactorily, and we determine that further development is warranted, we would file an IND application for the product with the FDA, and if the FDA gives its approval we would begin Phase 1 clinical tests. Phase 1 testing generally lasts between 6 and 24 months. If Phase 1 test results are satisfactory and the FDA gives its approval, we can begin Phase 2 clinical tests. Phase 2 testing generally lasts between 6 and 36 months. If Phase 2 test results are satisfactory and the FDA gives its approval, we can begin Phase 3 pivotal studies. Phase 3 studies</w:t>
      </w:r>
    </w:p>
    <w:p>
      <w:pPr>
        <w:spacing w:after="0" w:line="15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32" w:name="page33"/>
    <w:bookmarkEnd w:id="32"/>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ind w:right="300"/>
        <w:spacing w:after="0" w:line="268" w:lineRule="auto"/>
        <w:rPr>
          <w:sz w:val="20"/>
          <w:szCs w:val="20"/>
          <w:color w:val="auto"/>
        </w:rPr>
      </w:pPr>
      <w:r>
        <w:rPr>
          <w:rFonts w:ascii="Arial" w:cs="Arial" w:eastAsia="Arial" w:hAnsi="Arial"/>
          <w:sz w:val="18"/>
          <w:szCs w:val="18"/>
          <w:color w:val="auto"/>
        </w:rPr>
        <w:t>generally last between 12 and 48 months. Once clinical testing is completed and a new drug application is filed with the FDA, it may take more than a year to receive FDA approval.</w:t>
      </w:r>
    </w:p>
    <w:p>
      <w:pPr>
        <w:spacing w:after="0" w:line="186" w:lineRule="exact"/>
        <w:rPr>
          <w:sz w:val="20"/>
          <w:szCs w:val="20"/>
          <w:color w:val="auto"/>
        </w:rPr>
      </w:pPr>
    </w:p>
    <w:p>
      <w:pPr>
        <w:ind w:firstLine="351"/>
        <w:spacing w:after="0" w:line="291" w:lineRule="auto"/>
        <w:rPr>
          <w:sz w:val="20"/>
          <w:szCs w:val="20"/>
          <w:color w:val="auto"/>
        </w:rPr>
      </w:pPr>
      <w:r>
        <w:rPr>
          <w:rFonts w:ascii="Arial" w:cs="Arial" w:eastAsia="Arial" w:hAnsi="Arial"/>
          <w:sz w:val="16"/>
          <w:szCs w:val="16"/>
          <w:color w:val="auto"/>
        </w:rPr>
        <w:t>In all cases we must show that a pharmaceutical product is both safe and effective before the FDA, or drug approval agencies of other countries where we intend to sell the product, will approve it for sale. Our research and testing programs must comply with drug approval requirements both in the United States and in other countries, since we are developing our lead products with the intention to, or could later decide to, commercialize them both in the U.S. and abroad. A product may fail for safety or effectiveness at any stage of the testing process. A major risk we face is the possibility that none of our products under development will come through the testing process to final approval for sale, with the result that we cannot derive any commercial revenue from them after investing significant amounts of capital in multiple stages of preclinical and clinical testing.</w:t>
      </w:r>
    </w:p>
    <w:p>
      <w:pPr>
        <w:spacing w:after="0" w:line="16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Product testing is critical to the success of our products but subject to delay or cancellation if we have difficulty enrolling patients.</w:t>
      </w:r>
    </w:p>
    <w:p>
      <w:pPr>
        <w:spacing w:after="0" w:line="231" w:lineRule="exact"/>
        <w:rPr>
          <w:sz w:val="20"/>
          <w:szCs w:val="20"/>
          <w:color w:val="auto"/>
        </w:rPr>
      </w:pPr>
    </w:p>
    <w:p>
      <w:pPr>
        <w:ind w:right="120" w:firstLine="341"/>
        <w:spacing w:after="0" w:line="256" w:lineRule="auto"/>
        <w:rPr>
          <w:sz w:val="20"/>
          <w:szCs w:val="20"/>
          <w:color w:val="auto"/>
        </w:rPr>
      </w:pPr>
      <w:r>
        <w:rPr>
          <w:rFonts w:ascii="Arial" w:cs="Arial" w:eastAsia="Arial" w:hAnsi="Arial"/>
          <w:sz w:val="18"/>
          <w:szCs w:val="18"/>
          <w:color w:val="auto"/>
        </w:rPr>
        <w:t>As our portfolio of potential products moves from preclinical testing to clinical testing, and then through progressively larger and more complex clinical trials, we will need to enroll an increasing number of patients with the appropriate characteristics. At times we have experienced difficulty enrolling patients and we may experience more difficulty as the scale of our clinical testing program increases. The factors that affect our ability to enroll patients are largely uncontrollable and include principally the following:</w:t>
      </w:r>
    </w:p>
    <w:p>
      <w:pPr>
        <w:spacing w:after="0" w:line="211" w:lineRule="exact"/>
        <w:rPr>
          <w:sz w:val="20"/>
          <w:szCs w:val="20"/>
          <w:color w:val="auto"/>
        </w:rPr>
      </w:pPr>
    </w:p>
    <w:p>
      <w:pPr>
        <w:ind w:left="1080" w:hanging="532"/>
        <w:spacing w:after="0"/>
        <w:tabs>
          <w:tab w:leader="none" w:pos="10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nature of the clinical test;</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size of the patient population;</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patients' willingness to receive a placebo or less effective treatment on the control arm of a clinical study;</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distance between patients and clinical test sites; and</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eligibility criteria for the trial.</w:t>
      </w:r>
    </w:p>
    <w:p>
      <w:pPr>
        <w:spacing w:after="0" w:line="225" w:lineRule="exact"/>
        <w:rPr>
          <w:sz w:val="20"/>
          <w:szCs w:val="20"/>
          <w:color w:val="auto"/>
        </w:rPr>
      </w:pPr>
    </w:p>
    <w:p>
      <w:pPr>
        <w:ind w:left="360"/>
        <w:spacing w:after="0"/>
        <w:rPr>
          <w:sz w:val="20"/>
          <w:szCs w:val="20"/>
          <w:color w:val="auto"/>
        </w:rPr>
      </w:pPr>
      <w:r>
        <w:rPr>
          <w:rFonts w:ascii="Arial" w:cs="Arial" w:eastAsia="Arial" w:hAnsi="Arial"/>
          <w:sz w:val="18"/>
          <w:szCs w:val="18"/>
          <w:color w:val="auto"/>
        </w:rPr>
        <w:t>If we cannot enroll patients as needed, our costs may increase or it could force us to delay or terminate testing for a product.</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Any delay in obtaining regulatory approval would have an adverse impact on our ability to earn future revenues.</w:t>
      </w:r>
    </w:p>
    <w:p>
      <w:pPr>
        <w:spacing w:after="0" w:line="231" w:lineRule="exact"/>
        <w:rPr>
          <w:sz w:val="20"/>
          <w:szCs w:val="20"/>
          <w:color w:val="auto"/>
        </w:rPr>
      </w:pPr>
    </w:p>
    <w:p>
      <w:pPr>
        <w:ind w:right="40" w:firstLine="351"/>
        <w:spacing w:after="0" w:line="290" w:lineRule="auto"/>
        <w:rPr>
          <w:sz w:val="20"/>
          <w:szCs w:val="20"/>
          <w:color w:val="auto"/>
        </w:rPr>
      </w:pPr>
      <w:r>
        <w:rPr>
          <w:rFonts w:ascii="Arial" w:cs="Arial" w:eastAsia="Arial" w:hAnsi="Arial"/>
          <w:sz w:val="16"/>
          <w:szCs w:val="16"/>
          <w:color w:val="auto"/>
        </w:rPr>
        <w:t>It is possible that none of the products or product candidates that we develop will obtain the regulatory approvals necessary for us to begin commercializing them. The time required to obtain FDA and other approvals is unpredictable but often can take years following the commencement of clinical trials, depending upon the nature of the product candidate. Any analysis we perform of data from clinical activities is subject to confirmation and interpretation by regulatory authorities, which could delay, limit or prevent regulatory approval. Any delay or failure in obtaining required approvals could have a material adverse effect on our ability to generate revenues from the particular product candidate including, but not limited to, loss of patent term during the approval period. Furthermore, if we, or our partners, do not reach the market with our products before our competitors offer products for the same or similar uses, or if we, or our partners, are not effective in marketing our products, our revenues from product sales, if any, will be reduced.</w:t>
      </w:r>
    </w:p>
    <w:p>
      <w:pPr>
        <w:spacing w:after="0" w:line="172" w:lineRule="exact"/>
        <w:rPr>
          <w:sz w:val="20"/>
          <w:szCs w:val="20"/>
          <w:color w:val="auto"/>
        </w:rPr>
      </w:pPr>
    </w:p>
    <w:p>
      <w:pPr>
        <w:ind w:right="120" w:firstLine="348"/>
        <w:spacing w:after="0" w:line="259" w:lineRule="auto"/>
        <w:rPr>
          <w:sz w:val="20"/>
          <w:szCs w:val="20"/>
          <w:color w:val="auto"/>
        </w:rPr>
      </w:pPr>
      <w:r>
        <w:rPr>
          <w:rFonts w:ascii="Arial" w:cs="Arial" w:eastAsia="Arial" w:hAnsi="Arial"/>
          <w:sz w:val="18"/>
          <w:szCs w:val="18"/>
          <w:color w:val="auto"/>
        </w:rPr>
        <w:t>We face intense competition in our development activities. We face competition from many companies in the United States and abroad, including a number of large pharmaceutical companies, firms specialized in the development and production of vaccines, adjuvants and vaccine and immunotherapeutic delivery systems and major universities and research institutions. The competitors</w:t>
      </w:r>
    </w:p>
    <w:p>
      <w:pPr>
        <w:spacing w:after="0" w:line="19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33" w:name="page34"/>
    <w:bookmarkEnd w:id="33"/>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ind w:right="40"/>
        <w:spacing w:after="0" w:line="291" w:lineRule="auto"/>
        <w:rPr>
          <w:sz w:val="20"/>
          <w:szCs w:val="20"/>
          <w:color w:val="auto"/>
        </w:rPr>
      </w:pPr>
      <w:r>
        <w:rPr>
          <w:rFonts w:ascii="Arial" w:cs="Arial" w:eastAsia="Arial" w:hAnsi="Arial"/>
          <w:sz w:val="16"/>
          <w:szCs w:val="16"/>
          <w:color w:val="auto"/>
        </w:rPr>
        <w:t>for which we are aware have initiated a Phase 3 study or have obtained marketing approval for a potentially competitive drug include Alexion, Agenus, Baxter, Dendreon, Eli Lilly, GlaxoSmithKline, ImmunoGen, Merck, Northwest Biotherapeutics, Pfizer, Roche, Sanofi-Aventis, Seattle Genetics, and Takeda. Most of our competitors have substantially greater resources, more extensive experience in conducting preclinical studies and clinical testing and obtaining regulatory approvals for their products, greater operating experience, greater research and development and marketing capabilities and greater production capabilities than those of ours. These companies might succeed in obtaining regulatory approval for competitive products more rapidly than we can for our products, especially if we experience any delay in obtaining required regulatory approvals.</w:t>
      </w:r>
    </w:p>
    <w:p>
      <w:pPr>
        <w:spacing w:after="0" w:line="16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Failure to comply with applicable regulatory requirements would adversely impact our operations.</w:t>
      </w:r>
    </w:p>
    <w:p>
      <w:pPr>
        <w:spacing w:after="0" w:line="231" w:lineRule="exact"/>
        <w:rPr>
          <w:sz w:val="20"/>
          <w:szCs w:val="20"/>
          <w:color w:val="auto"/>
        </w:rPr>
      </w:pPr>
    </w:p>
    <w:p>
      <w:pPr>
        <w:ind w:right="80" w:firstLine="351"/>
        <w:spacing w:after="0" w:line="254" w:lineRule="auto"/>
        <w:rPr>
          <w:sz w:val="20"/>
          <w:szCs w:val="20"/>
          <w:color w:val="auto"/>
        </w:rPr>
      </w:pPr>
      <w:r>
        <w:rPr>
          <w:rFonts w:ascii="Arial" w:cs="Arial" w:eastAsia="Arial" w:hAnsi="Arial"/>
          <w:sz w:val="18"/>
          <w:szCs w:val="18"/>
          <w:color w:val="auto"/>
        </w:rPr>
        <w:t>Even after receiving regulatory approval, our products would be subject to extensive regulatory requirements, and our failure to comply with applicable regulatory requirements will adversely impact our operations. In the United States, the FDA requires that the manufacturing facility that produces a product meet specified standards, undergo an inspection and obtain an establishment license prior to commercial marketing. Subsequent discovery of previously unknown problems with a product or its manufacturing process may result in restrictions on the product or the manufacturer, including withdrawal of the product from the market. Failure to comply with the applicable regulatory requirements can result in fines, suspensions of regulatory approvals, product recalls, operating restrictions and criminal prosecution.</w:t>
      </w:r>
    </w:p>
    <w:p>
      <w:pPr>
        <w:spacing w:after="0" w:line="192" w:lineRule="exact"/>
        <w:rPr>
          <w:sz w:val="20"/>
          <w:szCs w:val="20"/>
          <w:color w:val="auto"/>
        </w:rPr>
      </w:pPr>
    </w:p>
    <w:p>
      <w:pPr>
        <w:ind w:right="120"/>
        <w:spacing w:after="0" w:line="275" w:lineRule="auto"/>
        <w:rPr>
          <w:sz w:val="20"/>
          <w:szCs w:val="20"/>
          <w:color w:val="auto"/>
        </w:rPr>
      </w:pPr>
      <w:r>
        <w:rPr>
          <w:rFonts w:ascii="Arial" w:cs="Arial" w:eastAsia="Arial" w:hAnsi="Arial"/>
          <w:sz w:val="18"/>
          <w:szCs w:val="18"/>
          <w:b w:val="1"/>
          <w:bCs w:val="1"/>
          <w:color w:val="auto"/>
        </w:rPr>
        <w:t>We depend greatly on the intellectual capabilities and experience of our key executives and scientists and the loss of any of them could affect our ability to develop our products.</w:t>
      </w:r>
    </w:p>
    <w:p>
      <w:pPr>
        <w:spacing w:after="0" w:line="180" w:lineRule="exact"/>
        <w:rPr>
          <w:sz w:val="20"/>
          <w:szCs w:val="20"/>
          <w:color w:val="auto"/>
        </w:rPr>
      </w:pPr>
    </w:p>
    <w:p>
      <w:pPr>
        <w:ind w:right="120" w:firstLine="348"/>
        <w:spacing w:after="0" w:line="287" w:lineRule="auto"/>
        <w:rPr>
          <w:sz w:val="20"/>
          <w:szCs w:val="20"/>
          <w:color w:val="auto"/>
        </w:rPr>
      </w:pPr>
      <w:r>
        <w:rPr>
          <w:rFonts w:ascii="Arial" w:cs="Arial" w:eastAsia="Arial" w:hAnsi="Arial"/>
          <w:sz w:val="16"/>
          <w:szCs w:val="16"/>
          <w:color w:val="auto"/>
        </w:rPr>
        <w:t>The loss of Anthony S. Marucci, our President and Chief Executive Officer, or other key members of our staff, including Avery W. Catlin, our Chief Financial Officer, Dr. Thomas Davis, our Chief Medical Officer, or Dr. Tibor Keler, our Chief Scientific Officer, could harm us. We entered into employment agreements with Messrs. Marucci, Catlin, Davis and Keler. We also depend on our scientific and clinical collaborators and advisors, all of whom have outside commitments that may limit their availability to us. In addition, we believe that our future success will depend in large part upon our ability to attract and retain highly skilled scientific, managerial and marketing personnel, particularly as we expand our activities in clinical trials, the regulatory approval process and sales and manufacturing. We routinely enter into consulting agreements with our scientific and clinical collaborators and advisors, opinion leaders and heads of academic departments in the ordinary course of our business. We also enter into contractual agreements with physicians and institutions who recruit patients into our clinical trials on our behalf in the ordinary course of our business. Notwithstanding these arrangements, we face significant competition for this type of personnel from other companies, research and academic institutions, government entities and other organizations. We cannot predict our success in hiring or retaining the personnel we require for continued growth.</w:t>
      </w:r>
    </w:p>
    <w:p>
      <w:pPr>
        <w:spacing w:after="0" w:line="171" w:lineRule="exact"/>
        <w:rPr>
          <w:sz w:val="20"/>
          <w:szCs w:val="20"/>
          <w:color w:val="auto"/>
        </w:rPr>
      </w:pPr>
    </w:p>
    <w:p>
      <w:pPr>
        <w:spacing w:after="0" w:line="275" w:lineRule="auto"/>
        <w:rPr>
          <w:sz w:val="20"/>
          <w:szCs w:val="20"/>
          <w:color w:val="auto"/>
        </w:rPr>
      </w:pPr>
      <w:r>
        <w:rPr>
          <w:rFonts w:ascii="Arial" w:cs="Arial" w:eastAsia="Arial" w:hAnsi="Arial"/>
          <w:sz w:val="18"/>
          <w:szCs w:val="18"/>
          <w:b w:val="1"/>
          <w:bCs w:val="1"/>
          <w:color w:val="auto"/>
        </w:rPr>
        <w:t>We rely on contract manufacturers. Should the cost, delivery and quality of clinical and commercial grade materials supplied by contract manufacturers vary to our disadvantage, our business operations could suffer significant harm.</w:t>
      </w:r>
    </w:p>
    <w:p>
      <w:pPr>
        <w:spacing w:after="0" w:line="180" w:lineRule="exact"/>
        <w:rPr>
          <w:sz w:val="20"/>
          <w:szCs w:val="20"/>
          <w:color w:val="auto"/>
        </w:rPr>
      </w:pPr>
    </w:p>
    <w:p>
      <w:pPr>
        <w:ind w:right="120" w:firstLine="341"/>
        <w:spacing w:after="0" w:line="294" w:lineRule="auto"/>
        <w:rPr>
          <w:sz w:val="20"/>
          <w:szCs w:val="20"/>
          <w:color w:val="auto"/>
        </w:rPr>
      </w:pPr>
      <w:r>
        <w:rPr>
          <w:rFonts w:ascii="Arial" w:cs="Arial" w:eastAsia="Arial" w:hAnsi="Arial"/>
          <w:sz w:val="16"/>
          <w:szCs w:val="16"/>
          <w:color w:val="auto"/>
        </w:rPr>
        <w:t>Although we have small-lot manufacturing capability at our Fall River facility, we rely on sourcing from third-party manufacturers for suitable quantities of some of our clinical and commercial grade materials essential to preclinical and clinical studies currently underway and to planned clinical trials in addition to those currently being conducted by third parties or us. The inability to have suitable quality and quantities of these essential materials produced in a timely manner would result in significant delays in the clinical development and commercialization of products, which could adversely affect our business, financial condition and results of operations. We also rely on collaborators and contract</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34" w:name="page35"/>
    <w:bookmarkEnd w:id="34"/>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ind w:right="400"/>
        <w:spacing w:after="0" w:line="268" w:lineRule="auto"/>
        <w:rPr>
          <w:sz w:val="20"/>
          <w:szCs w:val="20"/>
          <w:color w:val="auto"/>
        </w:rPr>
      </w:pPr>
      <w:r>
        <w:rPr>
          <w:rFonts w:ascii="Arial" w:cs="Arial" w:eastAsia="Arial" w:hAnsi="Arial"/>
          <w:sz w:val="18"/>
          <w:szCs w:val="18"/>
          <w:color w:val="auto"/>
        </w:rPr>
        <w:t>manufacturers to manufacture proposed products in both clinical and commercial quantities in the future. Our leading vaccine candidates require specialized manufacturing capabilities and processes.</w:t>
      </w:r>
    </w:p>
    <w:p>
      <w:pPr>
        <w:spacing w:after="0" w:line="186" w:lineRule="exact"/>
        <w:rPr>
          <w:sz w:val="20"/>
          <w:szCs w:val="20"/>
          <w:color w:val="auto"/>
        </w:rPr>
      </w:pPr>
    </w:p>
    <w:p>
      <w:pPr>
        <w:ind w:right="40" w:firstLine="348"/>
        <w:spacing w:after="0" w:line="294" w:lineRule="auto"/>
        <w:rPr>
          <w:sz w:val="20"/>
          <w:szCs w:val="20"/>
          <w:color w:val="auto"/>
        </w:rPr>
      </w:pPr>
      <w:r>
        <w:rPr>
          <w:rFonts w:ascii="Arial" w:cs="Arial" w:eastAsia="Arial" w:hAnsi="Arial"/>
          <w:sz w:val="16"/>
          <w:szCs w:val="16"/>
          <w:color w:val="auto"/>
        </w:rPr>
        <w:t>We may face difficulty in securing commitments from U.S. and foreign contract manufacturers as these manufacturers could be unwilling or unable to accommodate our needs. Relying on foreign manufacturers involves peculiar and increased risks, including the risk relating to the difficulty foreign manufacturers may face in complying with GMP requirements as a result of language barriers, lack of familiarity with GMP or the FDA regulatory process or other causes, economic or political instability in or affecting the home countries of our foreign manufacturers, shipping delays, potential changes in foreign regulatory laws governing the sales of our product supplies, fluctuations in foreign currency exchange rates and the imposition or application of trade restrictions.</w:t>
      </w:r>
    </w:p>
    <w:p>
      <w:pPr>
        <w:spacing w:after="0" w:line="170" w:lineRule="exact"/>
        <w:rPr>
          <w:sz w:val="20"/>
          <w:szCs w:val="20"/>
          <w:color w:val="auto"/>
        </w:rPr>
      </w:pPr>
    </w:p>
    <w:p>
      <w:pPr>
        <w:ind w:right="200" w:firstLine="348"/>
        <w:spacing w:after="0" w:line="290" w:lineRule="auto"/>
        <w:rPr>
          <w:sz w:val="20"/>
          <w:szCs w:val="20"/>
          <w:color w:val="auto"/>
        </w:rPr>
      </w:pPr>
      <w:r>
        <w:rPr>
          <w:rFonts w:ascii="Arial" w:cs="Arial" w:eastAsia="Arial" w:hAnsi="Arial"/>
          <w:sz w:val="16"/>
          <w:szCs w:val="16"/>
          <w:color w:val="auto"/>
        </w:rPr>
        <w:t>There can be no assurances that we will be able to enter into long-term arrangements with third party manufacturers on acceptable terms, or at all. Further, contract manufacturers must also be able to meet our timetable and requirements, and must operate in compliance with GMP; failure to do so could result in, among other things, the disruption of product supplies. As noted above, non-U.S. contract manufacturers may face special challenges in complying with GMP requirements, and although we are not currently dependent on non-U.S. collaborators or contract manufacturers, we may choose or be required to rely on non-U.S. sources in the future as we seek to develop stable supplies of increasing quantities of materials for ongoing clinical trials of larger scale. Our dependence upon third parties for the manufacture of our products may adversely affect our profit margins and our ability to develop and deliver products on a timely and competitive basis.</w:t>
      </w:r>
    </w:p>
    <w:p>
      <w:pPr>
        <w:spacing w:after="0" w:line="172"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The significant third-parties who we currently rely on for sourcing of suitable quantities of some of our clinical and commercial grade materials include:</w:t>
      </w:r>
    </w:p>
    <w:p>
      <w:pPr>
        <w:spacing w:after="0" w:line="262" w:lineRule="exact"/>
        <w:rPr>
          <w:sz w:val="20"/>
          <w:szCs w:val="20"/>
          <w:color w:val="auto"/>
        </w:rPr>
      </w:pPr>
    </w:p>
    <w:p>
      <w:pPr>
        <w:ind w:left="1080" w:hanging="532"/>
        <w:spacing w:after="0"/>
        <w:tabs>
          <w:tab w:leader="none" w:pos="10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Pfizer, on a transitional basis, Bayer, and Genzyme for rindopepimut;</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Dalton for Hiltonol which is an integral part of several of our drug products;</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3M for Resiquimod which is an integral part of several of our drug products; and</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Piramal for the CDX-011 drug product.</w:t>
      </w:r>
    </w:p>
    <w:p>
      <w:pPr>
        <w:spacing w:after="0" w:line="225" w:lineRule="exact"/>
        <w:rPr>
          <w:sz w:val="20"/>
          <w:szCs w:val="20"/>
          <w:color w:val="auto"/>
        </w:rPr>
      </w:pPr>
    </w:p>
    <w:p>
      <w:pPr>
        <w:ind w:right="140" w:firstLine="351"/>
        <w:spacing w:after="0" w:line="268" w:lineRule="auto"/>
        <w:rPr>
          <w:sz w:val="20"/>
          <w:szCs w:val="20"/>
          <w:color w:val="auto"/>
        </w:rPr>
      </w:pPr>
      <w:r>
        <w:rPr>
          <w:rFonts w:ascii="Arial" w:cs="Arial" w:eastAsia="Arial" w:hAnsi="Arial"/>
          <w:sz w:val="18"/>
          <w:szCs w:val="18"/>
          <w:color w:val="auto"/>
        </w:rPr>
        <w:t>If we or our third-party manufacturers are unable to produce drug material in suitable quantities of appropriate quality, in a timely manner, and at a feasible cost, our clinical tests will face delays.</w:t>
      </w:r>
    </w:p>
    <w:p>
      <w:pPr>
        <w:spacing w:after="0" w:line="180" w:lineRule="exact"/>
        <w:rPr>
          <w:sz w:val="20"/>
          <w:szCs w:val="20"/>
          <w:color w:val="auto"/>
        </w:rPr>
      </w:pPr>
    </w:p>
    <w:p>
      <w:pPr>
        <w:ind w:right="540"/>
        <w:spacing w:after="0" w:line="275" w:lineRule="auto"/>
        <w:rPr>
          <w:sz w:val="20"/>
          <w:szCs w:val="20"/>
          <w:color w:val="auto"/>
        </w:rPr>
      </w:pPr>
      <w:r>
        <w:rPr>
          <w:rFonts w:ascii="Arial" w:cs="Arial" w:eastAsia="Arial" w:hAnsi="Arial"/>
          <w:sz w:val="18"/>
          <w:szCs w:val="18"/>
          <w:b w:val="1"/>
          <w:bCs w:val="1"/>
          <w:color w:val="auto"/>
        </w:rPr>
        <w:t>Certain factors could negatively affect the demand for and sales and profitability of Rotarix®, which would have a material adverse affect on our revenues.</w:t>
      </w:r>
    </w:p>
    <w:p>
      <w:pPr>
        <w:spacing w:after="0" w:line="180" w:lineRule="exact"/>
        <w:rPr>
          <w:sz w:val="20"/>
          <w:szCs w:val="20"/>
          <w:color w:val="auto"/>
        </w:rPr>
      </w:pPr>
    </w:p>
    <w:p>
      <w:pPr>
        <w:ind w:firstLine="348"/>
        <w:spacing w:after="0" w:line="253" w:lineRule="auto"/>
        <w:rPr>
          <w:sz w:val="20"/>
          <w:szCs w:val="20"/>
          <w:color w:val="auto"/>
        </w:rPr>
      </w:pPr>
      <w:r>
        <w:rPr>
          <w:rFonts w:ascii="Arial" w:cs="Arial" w:eastAsia="Arial" w:hAnsi="Arial"/>
          <w:sz w:val="18"/>
          <w:szCs w:val="18"/>
          <w:color w:val="auto"/>
        </w:rPr>
        <w:t>We have licensed a rotavirus strain to Glaxo for the purposes of Glaxo developing and commercializing their Rotarix® vaccine worldwide. The term of the Glaxo agreement is through the expiration of the last of the relevant patents covered by the agreement, although Glaxo may terminate the agreement upon 90 days prior written notice. The last relevant patent is scheduled to expire in December 2012. Glaxo gained approval for Rotarix® in Mexico in July 2004, in the European Union in February 2006 and in the United States in April 2008. In May 2005, we entered into an agreement whereby an affiliate of PRF purchased a 70% interest in the net royalties we receive on worldwide sales of Rotarix®. In addition, we retain upside participation in the worldwide net royalties from Rotarix® once, and if, PRF receives an agreed upon return on capital invested (2.45 times PRF's aggregate cash payments to us of $60 million). The PRF agreement terminates on December 12, 2012, unless otherwise extended. The following are potential factors, among others, that may negatively affect the demand for Rotarix®:</w:t>
      </w:r>
    </w:p>
    <w:p>
      <w:pPr>
        <w:spacing w:after="0" w:line="19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35" w:name="page36"/>
    <w:bookmarkEnd w:id="35"/>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39" w:lineRule="exact"/>
        <w:rPr>
          <w:sz w:val="20"/>
          <w:szCs w:val="20"/>
          <w:color w:val="auto"/>
        </w:rPr>
      </w:pPr>
    </w:p>
    <w:p>
      <w:pPr>
        <w:ind w:left="1080" w:right="40" w:hanging="532"/>
        <w:spacing w:after="0" w:line="259" w:lineRule="auto"/>
        <w:tabs>
          <w:tab w:leader="none" w:pos="10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Competitors in the pharmaceuticals, biotechnology and vaccines market have greater financial and management resources, and significantly more experience in bringing products to market, and may develop, manufacture and market products that are more effective or less expensive than Rotarix®;</w:t>
      </w:r>
    </w:p>
    <w:p>
      <w:pPr>
        <w:spacing w:after="0" w:line="221" w:lineRule="exact"/>
        <w:rPr>
          <w:rFonts w:ascii="Arial" w:cs="Arial" w:eastAsia="Arial" w:hAnsi="Arial"/>
          <w:sz w:val="18"/>
          <w:szCs w:val="18"/>
          <w:color w:val="auto"/>
        </w:rPr>
      </w:pPr>
    </w:p>
    <w:p>
      <w:pPr>
        <w:ind w:left="1080" w:hanging="532"/>
        <w:spacing w:after="0"/>
        <w:tabs>
          <w:tab w:leader="none" w:pos="10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Rotarix® could be replaced by a novel product and may become obsolete;</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Glaxo may be unable to prevent third parties from infringing upon their proprietary rights related to Rotarix®;</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Users may not accept such a recently approved product without years of proven history; and</w:t>
      </w:r>
    </w:p>
    <w:p>
      <w:pPr>
        <w:spacing w:after="0" w:line="252" w:lineRule="exact"/>
        <w:rPr>
          <w:rFonts w:ascii="Arial" w:cs="Arial" w:eastAsia="Arial" w:hAnsi="Arial"/>
          <w:sz w:val="18"/>
          <w:szCs w:val="18"/>
          <w:color w:val="auto"/>
        </w:rPr>
      </w:pPr>
    </w:p>
    <w:p>
      <w:pPr>
        <w:ind w:left="1080" w:right="120" w:hanging="532"/>
        <w:spacing w:after="0" w:line="268" w:lineRule="auto"/>
        <w:tabs>
          <w:tab w:leader="none" w:pos="10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We are dependent on Glaxo for the manufacturing, testing, acquisition of regulatory approvals, marketing, distribution and commercialization of Rotarix®.</w:t>
      </w:r>
    </w:p>
    <w:p>
      <w:pPr>
        <w:spacing w:after="0" w:line="186" w:lineRule="exact"/>
        <w:rPr>
          <w:sz w:val="20"/>
          <w:szCs w:val="20"/>
          <w:color w:val="auto"/>
        </w:rPr>
      </w:pPr>
    </w:p>
    <w:p>
      <w:pPr>
        <w:ind w:left="340"/>
        <w:spacing w:after="0"/>
        <w:rPr>
          <w:sz w:val="20"/>
          <w:szCs w:val="20"/>
          <w:color w:val="auto"/>
        </w:rPr>
      </w:pPr>
      <w:r>
        <w:rPr>
          <w:rFonts w:ascii="Arial" w:cs="Arial" w:eastAsia="Arial" w:hAnsi="Arial"/>
          <w:sz w:val="18"/>
          <w:szCs w:val="18"/>
          <w:color w:val="auto"/>
        </w:rPr>
        <w:t>Any of these factors could have a material adverse effect on the sales of Rotarix® and our revenues.</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factors could affect the demand for and sales and profitability of Rotarix® and any other of our current or future products.</w:t>
      </w:r>
    </w:p>
    <w:p>
      <w:pPr>
        <w:spacing w:after="0" w:line="231" w:lineRule="exact"/>
        <w:rPr>
          <w:sz w:val="20"/>
          <w:szCs w:val="20"/>
          <w:color w:val="auto"/>
        </w:rPr>
      </w:pPr>
    </w:p>
    <w:p>
      <w:pPr>
        <w:ind w:left="360"/>
        <w:spacing w:after="0"/>
        <w:rPr>
          <w:sz w:val="20"/>
          <w:szCs w:val="20"/>
          <w:color w:val="auto"/>
        </w:rPr>
      </w:pPr>
      <w:r>
        <w:rPr>
          <w:rFonts w:ascii="Arial" w:cs="Arial" w:eastAsia="Arial" w:hAnsi="Arial"/>
          <w:sz w:val="18"/>
          <w:szCs w:val="18"/>
          <w:color w:val="auto"/>
        </w:rPr>
        <w:t>In general, other factors that could affect the demand for and sales and profitability of our products include, but are not limited to:</w:t>
      </w:r>
    </w:p>
    <w:p>
      <w:pPr>
        <w:spacing w:after="0" w:line="239" w:lineRule="exact"/>
        <w:rPr>
          <w:sz w:val="20"/>
          <w:szCs w:val="20"/>
          <w:color w:val="auto"/>
        </w:rPr>
      </w:pPr>
    </w:p>
    <w:p>
      <w:pPr>
        <w:ind w:left="1080" w:hanging="532"/>
        <w:spacing w:after="0"/>
        <w:tabs>
          <w:tab w:leader="none" w:pos="10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timing of regulatory approval, if any, of competitive products;</w:t>
      </w:r>
    </w:p>
    <w:p>
      <w:pPr>
        <w:spacing w:after="0" w:line="238" w:lineRule="exact"/>
        <w:rPr>
          <w:rFonts w:ascii="Arial" w:cs="Arial" w:eastAsia="Arial" w:hAnsi="Arial"/>
          <w:sz w:val="18"/>
          <w:szCs w:val="18"/>
          <w:color w:val="auto"/>
        </w:rPr>
      </w:pPr>
    </w:p>
    <w:p>
      <w:pPr>
        <w:ind w:left="1080" w:right="80" w:hanging="532"/>
        <w:spacing w:after="0" w:line="268" w:lineRule="auto"/>
        <w:tabs>
          <w:tab w:leader="none" w:pos="10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Our, Glaxo's, or any other of our partners' pricing decisions, as applicable, including a decision to increase or decrease the price of a product, and the pricing decisions of our competitors;</w:t>
      </w:r>
    </w:p>
    <w:p>
      <w:pPr>
        <w:spacing w:after="0" w:line="212" w:lineRule="exact"/>
        <w:rPr>
          <w:rFonts w:ascii="Arial" w:cs="Arial" w:eastAsia="Arial" w:hAnsi="Arial"/>
          <w:sz w:val="18"/>
          <w:szCs w:val="18"/>
          <w:color w:val="auto"/>
        </w:rPr>
      </w:pPr>
    </w:p>
    <w:p>
      <w:pPr>
        <w:ind w:left="1080" w:hanging="532"/>
        <w:spacing w:after="0"/>
        <w:tabs>
          <w:tab w:leader="none" w:pos="1080" w:val="left"/>
        </w:tabs>
        <w:numPr>
          <w:ilvl w:val="0"/>
          <w:numId w:val="13"/>
        </w:numPr>
        <w:rPr>
          <w:rFonts w:ascii="Arial" w:cs="Arial" w:eastAsia="Arial" w:hAnsi="Arial"/>
          <w:sz w:val="16"/>
          <w:szCs w:val="16"/>
          <w:color w:val="auto"/>
        </w:rPr>
      </w:pPr>
      <w:r>
        <w:rPr>
          <w:rFonts w:ascii="Arial" w:cs="Arial" w:eastAsia="Arial" w:hAnsi="Arial"/>
          <w:sz w:val="16"/>
          <w:szCs w:val="16"/>
          <w:color w:val="auto"/>
        </w:rPr>
        <w:t>Government and third-party payer reimbursement and coverage decisions that affect the utilization of our products and competing products;</w:t>
      </w:r>
    </w:p>
    <w:p>
      <w:pPr>
        <w:spacing w:after="0" w:line="261" w:lineRule="exact"/>
        <w:rPr>
          <w:rFonts w:ascii="Arial" w:cs="Arial" w:eastAsia="Arial" w:hAnsi="Arial"/>
          <w:sz w:val="16"/>
          <w:szCs w:val="16"/>
          <w:color w:val="auto"/>
        </w:rPr>
      </w:pPr>
    </w:p>
    <w:p>
      <w:pPr>
        <w:ind w:left="1080" w:right="60" w:hanging="532"/>
        <w:spacing w:after="0" w:line="268" w:lineRule="auto"/>
        <w:tabs>
          <w:tab w:leader="none" w:pos="10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Negative safety or efficacy data from new clinical studies conducted either in the U.S. or internationally by any party could cause the sales of our products to decrease or a product to be recalled;</w:t>
      </w:r>
    </w:p>
    <w:p>
      <w:pPr>
        <w:spacing w:after="0" w:line="199" w:lineRule="exact"/>
        <w:rPr>
          <w:rFonts w:ascii="Arial" w:cs="Arial" w:eastAsia="Arial" w:hAnsi="Arial"/>
          <w:sz w:val="18"/>
          <w:szCs w:val="18"/>
          <w:color w:val="auto"/>
        </w:rPr>
      </w:pPr>
    </w:p>
    <w:p>
      <w:pPr>
        <w:ind w:left="1080" w:hanging="532"/>
        <w:spacing w:after="0" w:line="268" w:lineRule="auto"/>
        <w:tabs>
          <w:tab w:leader="none" w:pos="10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degree of patent protection afforded our products by patents granted to or licensed by us and by the outcome of litigation involving our or any of our licensor's patents;</w:t>
      </w:r>
    </w:p>
    <w:p>
      <w:pPr>
        <w:spacing w:after="0" w:line="212" w:lineRule="exact"/>
        <w:rPr>
          <w:rFonts w:ascii="Arial" w:cs="Arial" w:eastAsia="Arial" w:hAnsi="Arial"/>
          <w:sz w:val="18"/>
          <w:szCs w:val="18"/>
          <w:color w:val="auto"/>
        </w:rPr>
      </w:pPr>
    </w:p>
    <w:p>
      <w:pPr>
        <w:ind w:left="1080" w:right="300" w:hanging="532"/>
        <w:spacing w:after="0" w:line="268" w:lineRule="auto"/>
        <w:tabs>
          <w:tab w:leader="none" w:pos="10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outcome of litigation involving patents of other companies concerning our products or processes related to production and formulation of those products or uses of those products;</w:t>
      </w:r>
    </w:p>
    <w:p>
      <w:pPr>
        <w:spacing w:after="0" w:line="199" w:lineRule="exact"/>
        <w:rPr>
          <w:rFonts w:ascii="Arial" w:cs="Arial" w:eastAsia="Arial" w:hAnsi="Arial"/>
          <w:sz w:val="18"/>
          <w:szCs w:val="18"/>
          <w:color w:val="auto"/>
        </w:rPr>
      </w:pPr>
    </w:p>
    <w:p>
      <w:pPr>
        <w:ind w:left="1080" w:hanging="532"/>
        <w:spacing w:after="0"/>
        <w:tabs>
          <w:tab w:leader="none" w:pos="10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increasing use and development of alternate therapies;</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rate of market penetration by competing products; and</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termination of, or change in, existing arrangements with our partners.</w:t>
      </w:r>
    </w:p>
    <w:p>
      <w:pPr>
        <w:spacing w:after="0" w:line="225" w:lineRule="exact"/>
        <w:rPr>
          <w:sz w:val="20"/>
          <w:szCs w:val="20"/>
          <w:color w:val="auto"/>
        </w:rPr>
      </w:pPr>
    </w:p>
    <w:p>
      <w:pPr>
        <w:ind w:right="420" w:firstLine="341"/>
        <w:spacing w:after="0" w:line="268" w:lineRule="auto"/>
        <w:rPr>
          <w:sz w:val="20"/>
          <w:szCs w:val="20"/>
          <w:color w:val="auto"/>
        </w:rPr>
      </w:pPr>
      <w:r>
        <w:rPr>
          <w:rFonts w:ascii="Arial" w:cs="Arial" w:eastAsia="Arial" w:hAnsi="Arial"/>
          <w:sz w:val="18"/>
          <w:szCs w:val="18"/>
          <w:color w:val="auto"/>
        </w:rPr>
        <w:t>Any of these factors could have a material adverse effect on Glaxo's sales of Rotarix® and on any other of our current or future products and results of operations.</w:t>
      </w:r>
    </w:p>
    <w:p>
      <w:pPr>
        <w:spacing w:after="0" w:line="180" w:lineRule="exact"/>
        <w:rPr>
          <w:sz w:val="20"/>
          <w:szCs w:val="20"/>
          <w:color w:val="auto"/>
        </w:rPr>
      </w:pPr>
    </w:p>
    <w:p>
      <w:pPr>
        <w:ind w:right="480"/>
        <w:spacing w:after="0" w:line="275" w:lineRule="auto"/>
        <w:rPr>
          <w:sz w:val="20"/>
          <w:szCs w:val="20"/>
          <w:color w:val="auto"/>
        </w:rPr>
      </w:pPr>
      <w:r>
        <w:rPr>
          <w:rFonts w:ascii="Arial" w:cs="Arial" w:eastAsia="Arial" w:hAnsi="Arial"/>
          <w:sz w:val="18"/>
          <w:szCs w:val="18"/>
          <w:b w:val="1"/>
          <w:bCs w:val="1"/>
          <w:color w:val="auto"/>
        </w:rPr>
        <w:t>We face the risk of product liability claims, which could exceed our insurance coverage, and produce recalls, each of which could deplete our cash resources.</w:t>
      </w:r>
    </w:p>
    <w:p>
      <w:pPr>
        <w:spacing w:after="0" w:line="180" w:lineRule="exact"/>
        <w:rPr>
          <w:sz w:val="20"/>
          <w:szCs w:val="20"/>
          <w:color w:val="auto"/>
        </w:rPr>
      </w:pPr>
    </w:p>
    <w:p>
      <w:pPr>
        <w:ind w:right="140" w:firstLine="341"/>
        <w:spacing w:after="0" w:line="256" w:lineRule="auto"/>
        <w:rPr>
          <w:sz w:val="20"/>
          <w:szCs w:val="20"/>
          <w:color w:val="auto"/>
        </w:rPr>
      </w:pPr>
      <w:r>
        <w:rPr>
          <w:rFonts w:ascii="Arial" w:cs="Arial" w:eastAsia="Arial" w:hAnsi="Arial"/>
          <w:sz w:val="18"/>
          <w:szCs w:val="18"/>
          <w:color w:val="auto"/>
        </w:rPr>
        <w:t>As a participant in the pharmaceutical, biotechnology and vaccines industries, we are exposed to the risk of product liability claims alleging that use of our products or product candidates caused an injury or harm. These claims can arise at any point in the development, testing, manufacture, marketing or sale of our products or product candidates and may be made directly by patients involved in clinical trials of our products, by consumers or healthcare providers or by individuals, organizations or</w:t>
      </w:r>
    </w:p>
    <w:p>
      <w:pPr>
        <w:spacing w:after="0" w:line="197"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60"/>
          </w:cols>
          <w:pgMar w:left="240" w:top="131" w:right="299" w:bottom="1440" w:gutter="0" w:footer="0" w:header="0"/>
        </w:sectPr>
      </w:pPr>
    </w:p>
    <w:bookmarkStart w:id="36" w:name="page37"/>
    <w:bookmarkEnd w:id="36"/>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ind w:right="280"/>
        <w:spacing w:after="0" w:line="268" w:lineRule="auto"/>
        <w:rPr>
          <w:sz w:val="20"/>
          <w:szCs w:val="20"/>
          <w:color w:val="auto"/>
        </w:rPr>
      </w:pPr>
      <w:r>
        <w:rPr>
          <w:rFonts w:ascii="Arial" w:cs="Arial" w:eastAsia="Arial" w:hAnsi="Arial"/>
          <w:sz w:val="18"/>
          <w:szCs w:val="18"/>
          <w:color w:val="auto"/>
        </w:rPr>
        <w:t>companies selling our products. Product liability claims can be expensive to defend, even if the product or product candidate did not actually cause the alleged injury or harm.</w:t>
      </w:r>
    </w:p>
    <w:p>
      <w:pPr>
        <w:spacing w:after="0" w:line="186" w:lineRule="exact"/>
        <w:rPr>
          <w:sz w:val="20"/>
          <w:szCs w:val="20"/>
          <w:color w:val="auto"/>
        </w:rPr>
      </w:pPr>
    </w:p>
    <w:p>
      <w:pPr>
        <w:ind w:right="40" w:firstLine="351"/>
        <w:spacing w:after="0" w:line="289" w:lineRule="auto"/>
        <w:rPr>
          <w:sz w:val="20"/>
          <w:szCs w:val="20"/>
          <w:color w:val="auto"/>
        </w:rPr>
      </w:pPr>
      <w:r>
        <w:rPr>
          <w:rFonts w:ascii="Arial" w:cs="Arial" w:eastAsia="Arial" w:hAnsi="Arial"/>
          <w:sz w:val="16"/>
          <w:szCs w:val="16"/>
          <w:color w:val="auto"/>
        </w:rPr>
        <w:t>Insurance covering product liability claims becomes increasingly expensive as a product candidate moves through the development pipeline to commercialization. Under our license agreements, we are required to maintain clinical trial liability insurance coverage up to $14 million. However, there can be no assurance that such insurance coverage is or will continue to be adequate or available to us at a cost acceptable to us or at all. We may choose or find it necessary under our collaborative agreements to increase our insurance coverage in the future. We may not be able to secure greater or broader product liability insurance coverage on acceptable terms or at reasonable costs when needed. Any liability for damages resulting from a product liability claim could exceed the amount of our coverage, require us to pay a substantial monetary award from our own cash resources and have a material adverse effect on our business, financial condition and results of operations. Moreover, a product recall, if required, could generate substantial negative publicity about our products and business and inhibit or prevent commercialization of other products and product candidates.</w:t>
      </w:r>
    </w:p>
    <w:p>
      <w:pPr>
        <w:spacing w:after="0" w:line="172" w:lineRule="exact"/>
        <w:rPr>
          <w:sz w:val="20"/>
          <w:szCs w:val="20"/>
          <w:color w:val="auto"/>
        </w:rPr>
      </w:pPr>
    </w:p>
    <w:p>
      <w:pPr>
        <w:ind w:right="280" w:firstLine="351"/>
        <w:spacing w:after="0" w:line="306" w:lineRule="auto"/>
        <w:rPr>
          <w:sz w:val="20"/>
          <w:szCs w:val="20"/>
          <w:color w:val="auto"/>
        </w:rPr>
      </w:pPr>
      <w:r>
        <w:rPr>
          <w:rFonts w:ascii="Arial" w:cs="Arial" w:eastAsia="Arial" w:hAnsi="Arial"/>
          <w:sz w:val="16"/>
          <w:szCs w:val="16"/>
          <w:color w:val="auto"/>
        </w:rPr>
        <w:t>In addition, some of our licensing and other agreements with third parties require or might require us to maintain product liability insurance. If we cannot maintain acceptable amounts of coverage on commercially reasonable terms in accordance with the terms set forth in these agreements, the corresponding agreements would be subject to termination, which could have a material adverse impact on our operations.</w:t>
      </w:r>
    </w:p>
    <w:p>
      <w:pPr>
        <w:spacing w:after="0" w:line="155"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Our reliance on third parties requires us to share our trade secrets, which increases the possibility that a competitor will discover them.</w:t>
      </w:r>
    </w:p>
    <w:p>
      <w:pPr>
        <w:spacing w:after="0" w:line="254" w:lineRule="exact"/>
        <w:rPr>
          <w:sz w:val="20"/>
          <w:szCs w:val="20"/>
          <w:color w:val="auto"/>
        </w:rPr>
      </w:pPr>
    </w:p>
    <w:p>
      <w:pPr>
        <w:ind w:firstLine="351"/>
        <w:spacing w:after="0" w:line="308" w:lineRule="auto"/>
        <w:rPr>
          <w:sz w:val="20"/>
          <w:szCs w:val="20"/>
          <w:color w:val="auto"/>
        </w:rPr>
      </w:pPr>
      <w:r>
        <w:rPr>
          <w:rFonts w:ascii="Arial" w:cs="Arial" w:eastAsia="Arial" w:hAnsi="Arial"/>
          <w:sz w:val="15"/>
          <w:szCs w:val="15"/>
          <w:color w:val="auto"/>
        </w:rPr>
        <w:t>Because we rely on third parties to develop our products, we must share trade secrets with them. We seek to protect our proprietary technology in part by entering into confidentiality agreements and, if applicable, material transfer agreements, collaborative research agreements, consulting agreements or other similar agreements with our collaborators, advisors, employees and consultants prior to beginning research or disclosing proprietary information. These agreements will typically restrict the ability of our collaborators, advisors, employees and consultants to publish data potentially relating to our trade secrets. Our academic collaborators typically have rights to publish data, provided that we are notified in advance and may delay publication for a specified time in order to secure our intellectual property rights arising from the collaboration. In other cases, publication rights are typically controlled exclusively by us, although in some cases we may share these rights with other parties. We also conduct joint research and development programs which may require us to share trade secrets under the terms of research and development partnership or similar agreements. Despite our efforts to protect our trade secrets, our competitors may discover our trade secrets, either through breach of these agreements, independent development or publication of information including our trade secrets in cases where we do not have proprietary or otherwise protected rights at the time of publication. A competitor's discovery of our trade secrets would impair our competitive position.</w:t>
      </w:r>
    </w:p>
    <w:p>
      <w:pPr>
        <w:spacing w:after="0" w:line="157" w:lineRule="exact"/>
        <w:rPr>
          <w:sz w:val="20"/>
          <w:szCs w:val="20"/>
          <w:color w:val="auto"/>
        </w:rPr>
      </w:pPr>
    </w:p>
    <w:p>
      <w:pPr>
        <w:ind w:right="620"/>
        <w:spacing w:after="0" w:line="275" w:lineRule="auto"/>
        <w:rPr>
          <w:sz w:val="20"/>
          <w:szCs w:val="20"/>
          <w:color w:val="auto"/>
        </w:rPr>
      </w:pPr>
      <w:r>
        <w:rPr>
          <w:rFonts w:ascii="Arial" w:cs="Arial" w:eastAsia="Arial" w:hAnsi="Arial"/>
          <w:sz w:val="18"/>
          <w:szCs w:val="18"/>
          <w:b w:val="1"/>
          <w:bCs w:val="1"/>
          <w:color w:val="auto"/>
        </w:rPr>
        <w:t>We may not be able to successfully integrate newly-acquired technology with our existing technology or to modify our technologies to create new vaccines.</w:t>
      </w:r>
    </w:p>
    <w:p>
      <w:pPr>
        <w:spacing w:after="0" w:line="180" w:lineRule="exact"/>
        <w:rPr>
          <w:sz w:val="20"/>
          <w:szCs w:val="20"/>
          <w:color w:val="auto"/>
        </w:rPr>
      </w:pPr>
    </w:p>
    <w:p>
      <w:pPr>
        <w:ind w:right="260" w:firstLine="341"/>
        <w:spacing w:after="0" w:line="294" w:lineRule="auto"/>
        <w:rPr>
          <w:sz w:val="20"/>
          <w:szCs w:val="20"/>
          <w:color w:val="auto"/>
        </w:rPr>
      </w:pPr>
      <w:r>
        <w:rPr>
          <w:rFonts w:ascii="Arial" w:cs="Arial" w:eastAsia="Arial" w:hAnsi="Arial"/>
          <w:sz w:val="16"/>
          <w:szCs w:val="16"/>
          <w:color w:val="auto"/>
        </w:rPr>
        <w:t>As part of our acquisition of technology assets from entities such as 3M Company and Amgen, we have acquired access to Resiquimod™ (a TLR 7/8 agonist) and Flt3L, which may improve the immunogenicity of our vaccines. If we are able to integrate these licensed assets with our vaccine technologies, we believe these assets will give our vaccines a competitive advantage. However, if we are unable to successfully integrate licensed assets, or other technologies which we have acquired or may acquire in the future, with our existing technologies and potential products currently under development, we may be unable to realize any benefit from our acquisition of these assets, or other</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37" w:name="page38"/>
    <w:bookmarkEnd w:id="37"/>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ind w:right="460"/>
        <w:spacing w:after="0" w:line="268" w:lineRule="auto"/>
        <w:rPr>
          <w:sz w:val="20"/>
          <w:szCs w:val="20"/>
          <w:color w:val="auto"/>
        </w:rPr>
      </w:pPr>
      <w:r>
        <w:rPr>
          <w:rFonts w:ascii="Arial" w:cs="Arial" w:eastAsia="Arial" w:hAnsi="Arial"/>
          <w:sz w:val="18"/>
          <w:szCs w:val="18"/>
          <w:color w:val="auto"/>
        </w:rPr>
        <w:t>technologies which we have acquired or may acquire in the future and may face the loss of our investment of financial resources and time in the integration process.</w:t>
      </w:r>
    </w:p>
    <w:p>
      <w:pPr>
        <w:spacing w:after="0" w:line="186" w:lineRule="exact"/>
        <w:rPr>
          <w:sz w:val="20"/>
          <w:szCs w:val="20"/>
          <w:color w:val="auto"/>
        </w:rPr>
      </w:pPr>
    </w:p>
    <w:p>
      <w:pPr>
        <w:ind w:right="20" w:firstLine="348"/>
        <w:spacing w:after="0" w:line="306" w:lineRule="auto"/>
        <w:rPr>
          <w:sz w:val="20"/>
          <w:szCs w:val="20"/>
          <w:color w:val="auto"/>
        </w:rPr>
      </w:pPr>
      <w:r>
        <w:rPr>
          <w:rFonts w:ascii="Arial" w:cs="Arial" w:eastAsia="Arial" w:hAnsi="Arial"/>
          <w:sz w:val="16"/>
          <w:szCs w:val="16"/>
          <w:color w:val="auto"/>
        </w:rPr>
        <w:t>We believe that our vaccine technology portfolio may offer opportunities to develop vaccines that treat a variety of oncology, inflammatory and infectious diseases by stimulating a patient's immune system against those disease organisms. If our vaccine technology portfolio cannot be used to create effective vaccines against a variety of disease organisms, we may lose all or portions of our investment in development efforts for new vaccine candidates.</w:t>
      </w:r>
    </w:p>
    <w:p>
      <w:pPr>
        <w:spacing w:after="0" w:line="155" w:lineRule="exact"/>
        <w:rPr>
          <w:sz w:val="20"/>
          <w:szCs w:val="20"/>
          <w:color w:val="auto"/>
        </w:rPr>
      </w:pPr>
    </w:p>
    <w:p>
      <w:pPr>
        <w:ind w:right="140"/>
        <w:spacing w:after="0" w:line="275" w:lineRule="auto"/>
        <w:rPr>
          <w:sz w:val="20"/>
          <w:szCs w:val="20"/>
          <w:color w:val="auto"/>
        </w:rPr>
      </w:pPr>
      <w:r>
        <w:rPr>
          <w:rFonts w:ascii="Arial" w:cs="Arial" w:eastAsia="Arial" w:hAnsi="Arial"/>
          <w:sz w:val="18"/>
          <w:szCs w:val="18"/>
          <w:b w:val="1"/>
          <w:bCs w:val="1"/>
          <w:color w:val="auto"/>
        </w:rPr>
        <w:t>We license technology from other companies to develop products, and those companies could influence research and development or restrict our use of it.</w:t>
      </w:r>
    </w:p>
    <w:p>
      <w:pPr>
        <w:spacing w:after="0" w:line="180" w:lineRule="exact"/>
        <w:rPr>
          <w:sz w:val="20"/>
          <w:szCs w:val="20"/>
          <w:color w:val="auto"/>
        </w:rPr>
      </w:pPr>
    </w:p>
    <w:p>
      <w:pPr>
        <w:ind w:firstLine="351"/>
        <w:spacing w:after="0" w:line="291" w:lineRule="auto"/>
        <w:rPr>
          <w:sz w:val="20"/>
          <w:szCs w:val="20"/>
          <w:color w:val="auto"/>
        </w:rPr>
      </w:pPr>
      <w:r>
        <w:rPr>
          <w:rFonts w:ascii="Arial" w:cs="Arial" w:eastAsia="Arial" w:hAnsi="Arial"/>
          <w:sz w:val="16"/>
          <w:szCs w:val="16"/>
          <w:color w:val="auto"/>
        </w:rPr>
        <w:t>Companies that license technologies to us that we use in our research and development programs may require us to achieve milestones or devote minimum amounts of resources to develop products using those technologies. They may also require us to make significant royalty and milestone payments, including a percentage of any sublicensing income, as well as payments to reimburse them for patent costs. The number and variety of our research and development programs require us to establish priorities and to allocate available resources among competing programs. From time to time we may choose to slow down or cease our efforts on particular products. If in doing so we fail to fully perform our obligations under a license, the licensor can terminate the licenses or permit our competitors to use the technology. Moreover, we may lose our right to market and sell any products based on the licensed technology.</w:t>
      </w:r>
    </w:p>
    <w:p>
      <w:pPr>
        <w:spacing w:after="0" w:line="16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We have many competitors in our field and they may develop technologies that make ours obsolete.</w:t>
      </w:r>
    </w:p>
    <w:p>
      <w:pPr>
        <w:spacing w:after="0" w:line="231" w:lineRule="exact"/>
        <w:rPr>
          <w:sz w:val="20"/>
          <w:szCs w:val="20"/>
          <w:color w:val="auto"/>
        </w:rPr>
      </w:pPr>
    </w:p>
    <w:p>
      <w:pPr>
        <w:ind w:right="20" w:firstLine="351"/>
        <w:spacing w:after="0" w:line="291" w:lineRule="auto"/>
        <w:rPr>
          <w:sz w:val="20"/>
          <w:szCs w:val="20"/>
          <w:color w:val="auto"/>
        </w:rPr>
      </w:pPr>
      <w:r>
        <w:rPr>
          <w:rFonts w:ascii="Arial" w:cs="Arial" w:eastAsia="Arial" w:hAnsi="Arial"/>
          <w:sz w:val="16"/>
          <w:szCs w:val="16"/>
          <w:color w:val="auto"/>
        </w:rPr>
        <w:t>Biotechnology, pharmaceuticals and therapeutics are rapidly evolving fields in which scientific and technological developments are expected to continue at a rapid pace. We have many competitors in the U.S. and abroad. The competitors for which we are aware have initiated a Phase 3 study or have obtained marketing approval for a potentially competitive drug include Alexion, Agenus, Baxter, Dendreon, Eli Lilly, GlaxoSmithKline, ImmunoGen, Merck, Northwest Biotherapeutics, Pfizer, Roche, Sanofi-Aventis, Seattle Genetics, and Takeda. Our success depends upon our ability to develop and maintain a competitive position in the product categories and technologies on which we focus. Many of our competitors have greater capabilities, experience and financial resources than we do. Competition is intense and is expected to increase as new products enter the market and new technologies become available. Our competitors may:</w:t>
      </w:r>
    </w:p>
    <w:p>
      <w:pPr>
        <w:spacing w:after="0" w:line="188" w:lineRule="exact"/>
        <w:rPr>
          <w:sz w:val="20"/>
          <w:szCs w:val="20"/>
          <w:color w:val="auto"/>
        </w:rPr>
      </w:pPr>
    </w:p>
    <w:p>
      <w:pPr>
        <w:ind w:left="1080" w:hanging="532"/>
        <w:spacing w:after="0"/>
        <w:tabs>
          <w:tab w:leader="none" w:pos="10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develop technologies and products that are more effective than ours, making ours obsolete or otherwise noncompetitive;</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obtain regulatory approval for products more rapidly or effectively than us; and</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obtain patent protection or other intellectual property rights that would block our ability to develop competitive products.</w:t>
      </w:r>
    </w:p>
    <w:p>
      <w:pPr>
        <w:spacing w:after="0" w:line="219" w:lineRule="exact"/>
        <w:rPr>
          <w:sz w:val="20"/>
          <w:szCs w:val="20"/>
          <w:color w:val="auto"/>
        </w:rPr>
      </w:pPr>
    </w:p>
    <w:p>
      <w:pPr>
        <w:ind w:right="80"/>
        <w:spacing w:after="0" w:line="275" w:lineRule="auto"/>
        <w:rPr>
          <w:sz w:val="20"/>
          <w:szCs w:val="20"/>
          <w:color w:val="auto"/>
        </w:rPr>
      </w:pPr>
      <w:r>
        <w:rPr>
          <w:rFonts w:ascii="Arial" w:cs="Arial" w:eastAsia="Arial" w:hAnsi="Arial"/>
          <w:sz w:val="18"/>
          <w:szCs w:val="18"/>
          <w:b w:val="1"/>
          <w:bCs w:val="1"/>
          <w:color w:val="auto"/>
        </w:rPr>
        <w:t>We rely on patents, patent applications and other intellectual property protections to protect our technology and trade secrets; which are expensive and may not provide sufficient protection.</w:t>
      </w:r>
    </w:p>
    <w:p>
      <w:pPr>
        <w:spacing w:after="0" w:line="180" w:lineRule="exact"/>
        <w:rPr>
          <w:sz w:val="20"/>
          <w:szCs w:val="20"/>
          <w:color w:val="auto"/>
        </w:rPr>
      </w:pPr>
    </w:p>
    <w:p>
      <w:pPr>
        <w:ind w:right="60" w:firstLine="351"/>
        <w:spacing w:after="0" w:line="255" w:lineRule="auto"/>
        <w:rPr>
          <w:sz w:val="20"/>
          <w:szCs w:val="20"/>
          <w:color w:val="auto"/>
        </w:rPr>
      </w:pPr>
      <w:r>
        <w:rPr>
          <w:rFonts w:ascii="Arial" w:cs="Arial" w:eastAsia="Arial" w:hAnsi="Arial"/>
          <w:sz w:val="18"/>
          <w:szCs w:val="18"/>
          <w:color w:val="auto"/>
        </w:rPr>
        <w:t>Our success depends in part on our ability to obtain and maintain patent protection for technologies that we use. Biotechnology patents involve complex legal, scientific and factual questions and are highly uncertain. To date, there is no consistent policy regarding the breadth of claims allowed in biotechnology patents, particularly in regard to patents for technologies for human uses like those we use in our business. We cannot predict whether the patents we seek will issue. If they do issue, a competitor may challenge them and limit their scope. Moreover, our patents may not afford effective protection against competitors with similar technology. A successful challenge to any one of our patents</w:t>
      </w:r>
    </w:p>
    <w:p>
      <w:pPr>
        <w:spacing w:after="0" w:line="19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38" w:name="page39"/>
    <w:bookmarkEnd w:id="38"/>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ind w:right="180"/>
        <w:spacing w:after="0" w:line="256" w:lineRule="auto"/>
        <w:rPr>
          <w:sz w:val="20"/>
          <w:szCs w:val="20"/>
          <w:color w:val="auto"/>
        </w:rPr>
      </w:pPr>
      <w:r>
        <w:rPr>
          <w:rFonts w:ascii="Arial" w:cs="Arial" w:eastAsia="Arial" w:hAnsi="Arial"/>
          <w:sz w:val="18"/>
          <w:szCs w:val="18"/>
          <w:color w:val="auto"/>
        </w:rPr>
        <w:t>could result in a third party's ability to use the technology covered by the patent. We also face the risk that others will infringe, avoid or circumvent our patents. Technology that we license from others is subject to similar risks and this could harm our ability to use that technology. If we, or a company that licenses technology to us, were not the first creator of an invention that we use, our use of the underlying product or technology will face restrictions, including elimination.</w:t>
      </w:r>
    </w:p>
    <w:p>
      <w:pPr>
        <w:spacing w:after="0" w:line="197" w:lineRule="exact"/>
        <w:rPr>
          <w:sz w:val="20"/>
          <w:szCs w:val="20"/>
          <w:color w:val="auto"/>
        </w:rPr>
      </w:pPr>
    </w:p>
    <w:p>
      <w:pPr>
        <w:ind w:firstLine="351"/>
        <w:spacing w:after="0" w:line="298" w:lineRule="auto"/>
        <w:rPr>
          <w:sz w:val="20"/>
          <w:szCs w:val="20"/>
          <w:color w:val="auto"/>
        </w:rPr>
      </w:pPr>
      <w:r>
        <w:rPr>
          <w:rFonts w:ascii="Arial" w:cs="Arial" w:eastAsia="Arial" w:hAnsi="Arial"/>
          <w:sz w:val="16"/>
          <w:szCs w:val="16"/>
          <w:color w:val="auto"/>
        </w:rPr>
        <w:t>If we must defend against suits brought against us or prosecute suits against others involving intellectual property rights, we will incur substantial costs. In addition to any potential liability for significant monetary damages, a decision against us may require us to obtain licenses to patents or other intellectual property rights of others on potentially unfavorable terms. If those licenses from third parties are necessary but we cannot acquire them, we would attempt to design around the relevant technology, which would cause higher development costs and delays, and may ultimately prove impracticable.</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business requires us to use hazardous materials, which increases our exposure to dangerous and costly accidents.</w:t>
      </w:r>
    </w:p>
    <w:p>
      <w:pPr>
        <w:spacing w:after="0" w:line="231" w:lineRule="exact"/>
        <w:rPr>
          <w:sz w:val="20"/>
          <w:szCs w:val="20"/>
          <w:color w:val="auto"/>
        </w:rPr>
      </w:pPr>
    </w:p>
    <w:p>
      <w:pPr>
        <w:ind w:firstLine="351"/>
        <w:spacing w:after="0" w:line="255" w:lineRule="auto"/>
        <w:rPr>
          <w:sz w:val="20"/>
          <w:szCs w:val="20"/>
          <w:color w:val="auto"/>
        </w:rPr>
      </w:pPr>
      <w:r>
        <w:rPr>
          <w:rFonts w:ascii="Arial" w:cs="Arial" w:eastAsia="Arial" w:hAnsi="Arial"/>
          <w:sz w:val="18"/>
          <w:szCs w:val="18"/>
          <w:color w:val="auto"/>
        </w:rPr>
        <w:t>Our research and development activities involve the use of hazardous chemicals, biological materials and radioactive compounds. Although we believe that our safety procedures for handling and disposing of hazardous materials comply with the standards prescribed by applicable laws and regulations, we cannot completely eliminate the risk of accidental contamination or injury from these materials. In the event of an accident, an injured party will likely sue us for any resulting damages with potentially significant liability. The ongoing cost of complying with environmental laws and regulations is significant and may increase in the future.</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Health care reform and restrictions on reimbursement may limit our returns on potential products.</w:t>
      </w:r>
    </w:p>
    <w:p>
      <w:pPr>
        <w:spacing w:after="0" w:line="231" w:lineRule="exact"/>
        <w:rPr>
          <w:sz w:val="20"/>
          <w:szCs w:val="20"/>
          <w:color w:val="auto"/>
        </w:rPr>
      </w:pPr>
    </w:p>
    <w:p>
      <w:pPr>
        <w:ind w:right="40" w:firstLine="351"/>
        <w:spacing w:after="0" w:line="294" w:lineRule="auto"/>
        <w:rPr>
          <w:sz w:val="20"/>
          <w:szCs w:val="20"/>
          <w:color w:val="auto"/>
        </w:rPr>
      </w:pPr>
      <w:r>
        <w:rPr>
          <w:rFonts w:ascii="Arial" w:cs="Arial" w:eastAsia="Arial" w:hAnsi="Arial"/>
          <w:sz w:val="16"/>
          <w:szCs w:val="16"/>
          <w:color w:val="auto"/>
        </w:rPr>
        <w:t>Because our strategy ultimately depends on the commercial success of our products, we assume, among other things, that end users of our products will be able to pay for them. In the United States and other countries, in most cases, the volume of sales of products like those we are developing depends on the availability of reimbursement from third-party payors, including national health care agencies, private health insurance plans and health maintenance organizations. Third-party payors increasingly challenge the prices charged for medical products and services. Accordingly, if we succeed in bringing products to market, and reimbursement is not available or is insufficient, we could be prevented from successfully commercializing our potential products.</w:t>
      </w:r>
    </w:p>
    <w:p>
      <w:pPr>
        <w:spacing w:after="0" w:line="170" w:lineRule="exact"/>
        <w:rPr>
          <w:sz w:val="20"/>
          <w:szCs w:val="20"/>
          <w:color w:val="auto"/>
        </w:rPr>
      </w:pPr>
    </w:p>
    <w:p>
      <w:pPr>
        <w:ind w:right="40" w:firstLine="348"/>
        <w:spacing w:after="0" w:line="290" w:lineRule="auto"/>
        <w:rPr>
          <w:sz w:val="20"/>
          <w:szCs w:val="20"/>
          <w:color w:val="auto"/>
        </w:rPr>
      </w:pPr>
      <w:r>
        <w:rPr>
          <w:rFonts w:ascii="Arial" w:cs="Arial" w:eastAsia="Arial" w:hAnsi="Arial"/>
          <w:sz w:val="16"/>
          <w:szCs w:val="16"/>
          <w:color w:val="auto"/>
        </w:rPr>
        <w:t>The health care industry in the United States and in Europe is undergoing fundamental changes as a result of political, economic and regulatory influences. Reforms proposed from time to time include mandated basic health care benefits, controls on health care spending, the establishment of governmental controls over the cost of therapies, creation of large medical services and products purchasing groups and fundamental changes to the health care delivery system. We anticipate ongoing review and assessment of health care delivery systems and methods of payment in the United States and other countries. We cannot predict whether any particular reform initiatives will result or, if adopted, what their impact on us will be. However, we expect that adoption of any reform proposed will impair our ability to market products at acceptable prices and that uncertainty concerning future government regulation of consumer healthcare purchasing and insurance may result in difficulties for drug development companies, like Celldex, in raising capital.</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Changes in laws affecting the health care industry could adversely affect our business.</w:t>
      </w:r>
    </w:p>
    <w:p>
      <w:pPr>
        <w:spacing w:after="0" w:line="231" w:lineRule="exact"/>
        <w:rPr>
          <w:sz w:val="20"/>
          <w:szCs w:val="20"/>
          <w:color w:val="auto"/>
        </w:rPr>
      </w:pPr>
    </w:p>
    <w:p>
      <w:pPr>
        <w:ind w:right="320" w:firstLine="351"/>
        <w:spacing w:after="0" w:line="332" w:lineRule="auto"/>
        <w:rPr>
          <w:sz w:val="20"/>
          <w:szCs w:val="20"/>
          <w:color w:val="auto"/>
        </w:rPr>
      </w:pPr>
      <w:r>
        <w:rPr>
          <w:rFonts w:ascii="Arial" w:cs="Arial" w:eastAsia="Arial" w:hAnsi="Arial"/>
          <w:sz w:val="16"/>
          <w:szCs w:val="16"/>
          <w:color w:val="auto"/>
        </w:rPr>
        <w:t>In the U.S., there have been numerous proposals considered at the federal and state levels for comprehensive reforms of health care and its cost, and it is likely that federal and state legislatures and health agencies will continue to focus on health care reform in the future. Congress has considered</w:t>
      </w:r>
    </w:p>
    <w:p>
      <w:pPr>
        <w:spacing w:after="0" w:line="139"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131" w:right="279" w:bottom="1440" w:gutter="0" w:footer="0" w:header="0"/>
        </w:sectPr>
      </w:pPr>
    </w:p>
    <w:bookmarkStart w:id="39" w:name="page40"/>
    <w:bookmarkEnd w:id="39"/>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ind w:right="20"/>
        <w:spacing w:after="0" w:line="287" w:lineRule="auto"/>
        <w:rPr>
          <w:sz w:val="20"/>
          <w:szCs w:val="20"/>
          <w:color w:val="auto"/>
        </w:rPr>
      </w:pPr>
      <w:r>
        <w:rPr>
          <w:rFonts w:ascii="Arial" w:cs="Arial" w:eastAsia="Arial" w:hAnsi="Arial"/>
          <w:sz w:val="16"/>
          <w:szCs w:val="16"/>
          <w:color w:val="auto"/>
        </w:rPr>
        <w:t>legislation to reform the U.S. health care system by expanding health insurance coverage, reducing health care costs and making other changes. While health care reform may increase the number of patients who have insurance coverage for our products, it may also include cost containment measures that adversely affect reimbursement for our products. Congress has also considered legislation to change the Medicare reimbursement system for outpatient drugs, increase the amount of rebates that manufacturers pay for coverage of their drugs by Medicaid programs and facilitate the importation of lower-cost prescription drugs that are marketed outside the U.S. Some states are also considering legislation that would control the prices of drugs, and state Medicaid programs are increasingly requesting manufacturers to pay supplemental rebates and requiring prior authorization by the state program for use of any drug for which supplemental rebates are not being paid. Managed care organizations continue to seek price discounts and, in some cases, to impose restrictions on the coverage of particular drugs. Government efforts to reduce Medicaid expenses may lead to increased use of managed care organizations by Medicaid programs. This may result in managed care organizations influencing prescription decisions for a larger segment of the population and a corresponding constraint on prices and reimbursement for our products.</w:t>
      </w:r>
    </w:p>
    <w:p>
      <w:pPr>
        <w:spacing w:after="0" w:line="177" w:lineRule="exact"/>
        <w:rPr>
          <w:sz w:val="20"/>
          <w:szCs w:val="20"/>
          <w:color w:val="auto"/>
        </w:rPr>
      </w:pPr>
    </w:p>
    <w:p>
      <w:pPr>
        <w:ind w:right="60" w:firstLine="348"/>
        <w:spacing w:after="0" w:line="268" w:lineRule="auto"/>
        <w:rPr>
          <w:sz w:val="20"/>
          <w:szCs w:val="20"/>
          <w:color w:val="auto"/>
        </w:rPr>
      </w:pPr>
      <w:r>
        <w:rPr>
          <w:rFonts w:ascii="Arial" w:cs="Arial" w:eastAsia="Arial" w:hAnsi="Arial"/>
          <w:sz w:val="18"/>
          <w:szCs w:val="18"/>
          <w:color w:val="auto"/>
        </w:rPr>
        <w:t>We and our collaborators and partners operate in a highly regulated industry. As a result, governmental actions may adversely affect our business, operations or financial condition, including:</w:t>
      </w:r>
    </w:p>
    <w:p>
      <w:pPr>
        <w:spacing w:after="0" w:line="199" w:lineRule="exact"/>
        <w:rPr>
          <w:sz w:val="20"/>
          <w:szCs w:val="20"/>
          <w:color w:val="auto"/>
        </w:rPr>
      </w:pPr>
    </w:p>
    <w:p>
      <w:pPr>
        <w:ind w:left="1080" w:right="380" w:hanging="532"/>
        <w:spacing w:after="0" w:line="268" w:lineRule="auto"/>
        <w:tabs>
          <w:tab w:leader="none" w:pos="10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new laws, regulations or judicial decisions, or new interpretations of existing laws, regulations or decisions, related to health care availability, method of delivery and payment for health care products and services;</w:t>
      </w:r>
    </w:p>
    <w:p>
      <w:pPr>
        <w:spacing w:after="0" w:line="212" w:lineRule="exact"/>
        <w:rPr>
          <w:rFonts w:ascii="Arial" w:cs="Arial" w:eastAsia="Arial" w:hAnsi="Arial"/>
          <w:sz w:val="18"/>
          <w:szCs w:val="18"/>
          <w:color w:val="auto"/>
        </w:rPr>
      </w:pPr>
    </w:p>
    <w:p>
      <w:pPr>
        <w:ind w:left="1080" w:right="280" w:hanging="532"/>
        <w:spacing w:after="0" w:line="268" w:lineRule="auto"/>
        <w:tabs>
          <w:tab w:leader="none" w:pos="10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changes in the FDA and foreign regulatory approval processes that may delay or prevent the approval of new products and result in lost market opportunity;</w:t>
      </w:r>
    </w:p>
    <w:p>
      <w:pPr>
        <w:spacing w:after="0" w:line="199" w:lineRule="exact"/>
        <w:rPr>
          <w:rFonts w:ascii="Arial" w:cs="Arial" w:eastAsia="Arial" w:hAnsi="Arial"/>
          <w:sz w:val="18"/>
          <w:szCs w:val="18"/>
          <w:color w:val="auto"/>
        </w:rPr>
      </w:pPr>
    </w:p>
    <w:p>
      <w:pPr>
        <w:ind w:left="1080" w:right="320" w:hanging="532"/>
        <w:spacing w:after="0" w:line="306" w:lineRule="auto"/>
        <w:tabs>
          <w:tab w:leader="none" w:pos="1080" w:val="left"/>
        </w:tabs>
        <w:numPr>
          <w:ilvl w:val="0"/>
          <w:numId w:val="15"/>
        </w:numPr>
        <w:rPr>
          <w:rFonts w:ascii="Arial" w:cs="Arial" w:eastAsia="Arial" w:hAnsi="Arial"/>
          <w:sz w:val="16"/>
          <w:szCs w:val="16"/>
          <w:color w:val="auto"/>
        </w:rPr>
      </w:pPr>
      <w:r>
        <w:rPr>
          <w:rFonts w:ascii="Arial" w:cs="Arial" w:eastAsia="Arial" w:hAnsi="Arial"/>
          <w:sz w:val="16"/>
          <w:szCs w:val="16"/>
          <w:color w:val="auto"/>
        </w:rPr>
        <w:t>changes in FDA and foreign regulations that may require additional safety monitoring, labeling changes, restrictions on product distribution or use, or other measures after the introduction of our products to market, which could increase our costs of doing business, adversely affect the future permitted uses of approved products, or otherwise adversely affect the market for our products;</w:t>
      </w:r>
    </w:p>
    <w:p>
      <w:pPr>
        <w:spacing w:after="0" w:line="174" w:lineRule="exact"/>
        <w:rPr>
          <w:rFonts w:ascii="Arial" w:cs="Arial" w:eastAsia="Arial" w:hAnsi="Arial"/>
          <w:sz w:val="16"/>
          <w:szCs w:val="16"/>
          <w:color w:val="auto"/>
        </w:rPr>
      </w:pPr>
    </w:p>
    <w:p>
      <w:pPr>
        <w:ind w:left="1080" w:hanging="532"/>
        <w:spacing w:after="0"/>
        <w:tabs>
          <w:tab w:leader="none" w:pos="10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new laws, regulations and judicial decisions affecting pricing or marketing practices; and</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changes in the tax laws relating to our operations.</w:t>
      </w:r>
    </w:p>
    <w:p>
      <w:pPr>
        <w:spacing w:after="0" w:line="225" w:lineRule="exact"/>
        <w:rPr>
          <w:sz w:val="20"/>
          <w:szCs w:val="20"/>
          <w:color w:val="auto"/>
        </w:rPr>
      </w:pPr>
    </w:p>
    <w:p>
      <w:pPr>
        <w:ind w:right="100" w:firstLine="348"/>
        <w:spacing w:after="0" w:line="254" w:lineRule="auto"/>
        <w:rPr>
          <w:sz w:val="20"/>
          <w:szCs w:val="20"/>
          <w:color w:val="auto"/>
        </w:rPr>
      </w:pPr>
      <w:r>
        <w:rPr>
          <w:rFonts w:ascii="Arial" w:cs="Arial" w:eastAsia="Arial" w:hAnsi="Arial"/>
          <w:sz w:val="18"/>
          <w:szCs w:val="18"/>
          <w:color w:val="auto"/>
        </w:rPr>
        <w:t>The enactment in the U.S. of health care reform, possible legislation which could ease the entry of competing follow-on biologics in the marketplace, new legislation or implementation of existing statutory provisions on importation of lower-cost competing drugs from other jurisdictions, and legislation on comparative effectiveness research are examples of previously enacted and possible future changes in laws that could adversely affect our business. In addition, the Food and Drug Administration Amendments Act of 2007 included new authorization for the FDA to require post-market safety monitoring, along with an expanded clinical trials registry and clinical trials results database, and expanded authority for the FDA to impose civil monetary penalties on companies that fail to meet certain commitments.</w:t>
      </w:r>
    </w:p>
    <w:p>
      <w:pPr>
        <w:spacing w:after="0" w:line="192" w:lineRule="exact"/>
        <w:rPr>
          <w:sz w:val="20"/>
          <w:szCs w:val="20"/>
          <w:color w:val="auto"/>
        </w:rPr>
      </w:pPr>
    </w:p>
    <w:p>
      <w:pPr>
        <w:ind w:right="120"/>
        <w:spacing w:after="0" w:line="275" w:lineRule="auto"/>
        <w:rPr>
          <w:sz w:val="20"/>
          <w:szCs w:val="20"/>
          <w:color w:val="auto"/>
        </w:rPr>
      </w:pPr>
      <w:r>
        <w:rPr>
          <w:rFonts w:ascii="Arial" w:cs="Arial" w:eastAsia="Arial" w:hAnsi="Arial"/>
          <w:sz w:val="18"/>
          <w:szCs w:val="18"/>
          <w:b w:val="1"/>
          <w:bCs w:val="1"/>
          <w:color w:val="auto"/>
        </w:rPr>
        <w:t>If physicians, patients and third-party payors do not accept any future drugs that we may develop, we may be unable to generate significant revenue, if any.</w:t>
      </w:r>
    </w:p>
    <w:p>
      <w:pPr>
        <w:spacing w:after="0" w:line="180" w:lineRule="exact"/>
        <w:rPr>
          <w:sz w:val="20"/>
          <w:szCs w:val="20"/>
          <w:color w:val="auto"/>
        </w:rPr>
      </w:pPr>
    </w:p>
    <w:p>
      <w:pPr>
        <w:ind w:firstLine="351"/>
        <w:spacing w:after="0" w:line="332" w:lineRule="auto"/>
        <w:rPr>
          <w:sz w:val="20"/>
          <w:szCs w:val="20"/>
          <w:color w:val="auto"/>
        </w:rPr>
      </w:pPr>
      <w:r>
        <w:rPr>
          <w:rFonts w:ascii="Arial" w:cs="Arial" w:eastAsia="Arial" w:hAnsi="Arial"/>
          <w:sz w:val="16"/>
          <w:szCs w:val="16"/>
          <w:color w:val="auto"/>
        </w:rPr>
        <w:t>Even if our drug candidates as well as any drug candidates that we may develop or acquire in the future obtain regulatory approval, they may not gain market acceptance among physicians, patients and health care payors. Physicians may elect not to recommend these drugs for a variety of reasons including:</w:t>
      </w:r>
    </w:p>
    <w:p>
      <w:pPr>
        <w:spacing w:after="0" w:line="153" w:lineRule="exact"/>
        <w:rPr>
          <w:sz w:val="20"/>
          <w:szCs w:val="20"/>
          <w:color w:val="auto"/>
        </w:rPr>
      </w:pPr>
    </w:p>
    <w:p>
      <w:pPr>
        <w:ind w:left="1080" w:hanging="532"/>
        <w:spacing w:after="0"/>
        <w:tabs>
          <w:tab w:leader="none" w:pos="10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timing of market introduction of competitive drugs;</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40" w:name="page41"/>
    <w:bookmarkEnd w:id="40"/>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39" w:lineRule="exact"/>
        <w:rPr>
          <w:sz w:val="20"/>
          <w:szCs w:val="20"/>
          <w:color w:val="auto"/>
        </w:rPr>
      </w:pPr>
    </w:p>
    <w:p>
      <w:pPr>
        <w:ind w:left="1080" w:hanging="532"/>
        <w:spacing w:after="0"/>
        <w:tabs>
          <w:tab w:leader="none" w:pos="10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lower demonstrated clinical safety and efficacy compared to other drugs;</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lack of cost-effectiveness;</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lack of availability of reimbursement from third-party payors;</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convenience and ease of administration;</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prevalence and severity of adverse side effects;</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other potential advantages of alternative treatment methods; and</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ineffective marketing and distribution support.</w:t>
      </w:r>
    </w:p>
    <w:p>
      <w:pPr>
        <w:spacing w:after="0" w:line="225" w:lineRule="exact"/>
        <w:rPr>
          <w:sz w:val="20"/>
          <w:szCs w:val="20"/>
          <w:color w:val="auto"/>
        </w:rPr>
      </w:pPr>
    </w:p>
    <w:p>
      <w:pPr>
        <w:ind w:right="380" w:firstLine="351"/>
        <w:spacing w:after="0" w:line="268" w:lineRule="auto"/>
        <w:rPr>
          <w:sz w:val="20"/>
          <w:szCs w:val="20"/>
          <w:color w:val="auto"/>
        </w:rPr>
      </w:pPr>
      <w:r>
        <w:rPr>
          <w:rFonts w:ascii="Arial" w:cs="Arial" w:eastAsia="Arial" w:hAnsi="Arial"/>
          <w:sz w:val="18"/>
          <w:szCs w:val="18"/>
          <w:color w:val="auto"/>
        </w:rPr>
        <w:t>If our approved drugs fail to achieve market acceptance, we would not be able to generate sufficient revenue from product sales to maintain or grow our business.</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Risks Related to our Capital Stock</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history of losses and uncertainty of future profitability make our common stock a highly speculative investment.</w:t>
      </w:r>
    </w:p>
    <w:p>
      <w:pPr>
        <w:spacing w:after="0" w:line="231" w:lineRule="exact"/>
        <w:rPr>
          <w:sz w:val="20"/>
          <w:szCs w:val="20"/>
          <w:color w:val="auto"/>
        </w:rPr>
      </w:pPr>
    </w:p>
    <w:p>
      <w:pPr>
        <w:ind w:right="340" w:firstLine="348"/>
        <w:spacing w:after="0" w:line="306" w:lineRule="auto"/>
        <w:rPr>
          <w:sz w:val="20"/>
          <w:szCs w:val="20"/>
          <w:color w:val="auto"/>
        </w:rPr>
      </w:pPr>
      <w:r>
        <w:rPr>
          <w:rFonts w:ascii="Arial" w:cs="Arial" w:eastAsia="Arial" w:hAnsi="Arial"/>
          <w:sz w:val="16"/>
          <w:szCs w:val="16"/>
          <w:color w:val="auto"/>
        </w:rPr>
        <w:t>We have had no commercial revenues to date from sales of our human therapeutic or vaccine products and cannot predict when we will. We have an accumulated deficit of $160.2 million as of December 31, 2010. We expect to spend substantial funds to continue the research and development testing of our products that we have in the preclinical and clinical testing stages of development that have not been partnered.</w:t>
      </w:r>
    </w:p>
    <w:p>
      <w:pPr>
        <w:spacing w:after="0" w:line="161" w:lineRule="exact"/>
        <w:rPr>
          <w:sz w:val="20"/>
          <w:szCs w:val="20"/>
          <w:color w:val="auto"/>
        </w:rPr>
      </w:pPr>
    </w:p>
    <w:p>
      <w:pPr>
        <w:ind w:right="40" w:firstLine="351"/>
        <w:spacing w:after="0" w:line="306" w:lineRule="auto"/>
        <w:rPr>
          <w:sz w:val="20"/>
          <w:szCs w:val="20"/>
          <w:color w:val="auto"/>
        </w:rPr>
      </w:pPr>
      <w:r>
        <w:rPr>
          <w:rFonts w:ascii="Arial" w:cs="Arial" w:eastAsia="Arial" w:hAnsi="Arial"/>
          <w:sz w:val="16"/>
          <w:szCs w:val="16"/>
          <w:color w:val="auto"/>
        </w:rPr>
        <w:t>In anticipation of FDA approval of these products, we will need to make substantial investments to establish sales, marketing, quality control, and regulatory compliance capabilities. These investments will increase if and when any of these products receive FDA approval. We cannot predict how quickly our lead products will progress through the regulatory approval process. As a result, we may continue to lose money for several years.</w:t>
      </w:r>
    </w:p>
    <w:p>
      <w:pPr>
        <w:spacing w:after="0" w:line="161" w:lineRule="exact"/>
        <w:rPr>
          <w:sz w:val="20"/>
          <w:szCs w:val="20"/>
          <w:color w:val="auto"/>
        </w:rPr>
      </w:pPr>
    </w:p>
    <w:p>
      <w:pPr>
        <w:ind w:firstLine="348"/>
        <w:spacing w:after="0" w:line="332" w:lineRule="auto"/>
        <w:rPr>
          <w:sz w:val="20"/>
          <w:szCs w:val="20"/>
          <w:color w:val="auto"/>
        </w:rPr>
      </w:pPr>
      <w:r>
        <w:rPr>
          <w:rFonts w:ascii="Arial" w:cs="Arial" w:eastAsia="Arial" w:hAnsi="Arial"/>
          <w:sz w:val="16"/>
          <w:szCs w:val="16"/>
          <w:color w:val="auto"/>
        </w:rPr>
        <w:t>We cannot be certain that we will achieve or sustain profitability in the future. Failure to achieve profitability could diminish our ability to sustain operations, pay dividends on our common stock, obtain additional required funds and make required payments on our present or future indebtedness.</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share price has been and could remain volatile.</w:t>
      </w:r>
    </w:p>
    <w:p>
      <w:pPr>
        <w:spacing w:after="0" w:line="231" w:lineRule="exact"/>
        <w:rPr>
          <w:sz w:val="20"/>
          <w:szCs w:val="20"/>
          <w:color w:val="auto"/>
        </w:rPr>
      </w:pPr>
    </w:p>
    <w:p>
      <w:pPr>
        <w:ind w:right="20" w:firstLine="348"/>
        <w:spacing w:after="0" w:line="286" w:lineRule="auto"/>
        <w:rPr>
          <w:sz w:val="20"/>
          <w:szCs w:val="20"/>
          <w:color w:val="auto"/>
        </w:rPr>
      </w:pPr>
      <w:r>
        <w:rPr>
          <w:rFonts w:ascii="Arial" w:cs="Arial" w:eastAsia="Arial" w:hAnsi="Arial"/>
          <w:sz w:val="16"/>
          <w:szCs w:val="16"/>
          <w:color w:val="auto"/>
        </w:rPr>
        <w:t>The market price of our common stock has historically experienced and may continue to experience significant volatility. From January 2010 through December 2010, the market price of our common stock has fluctuated from a high of $9.49 per share in the second quarter of 2010, to a low of $2.91 per share in the third quarter of 2010. Our progress in developing and commercializing our products, the impact of government regulations on our products and industry, the potential sale of a large volume of our common stock by stockholders, our quarterly operating results, changes in general conditions in the economy or the financial markets and other developments affecting us or our competitors could cause the market price of our common stock to fluctuate substantially with significant market losses. If our stockholders sell a substantial number of shares of common stock, especially if those sales are made during a short period of time, those sales could adversely affect the market price of our common stock and could impair our ability to raise capital. In addition, in recent years, the stock market has experienced significant price and volume fluctuations. This volatility has affected the market prices of securities issued by many companies for reasons unrelated to their operating performance and may adversely affect the price of our common stock. In addition, we could be subject to a securities class action litigation as a result of volatility in the price of our stock, which could result in substantial costs and diversion of management's attention and resources and could harm our stock price, business, prospects, results of operations and financial condition.</w:t>
      </w:r>
    </w:p>
    <w:p>
      <w:pPr>
        <w:spacing w:after="0" w:line="1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41" w:name="page42"/>
    <w:bookmarkEnd w:id="41"/>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The restrictive covenants contained in our credit agreement may limit our activities.</w:t>
      </w:r>
    </w:p>
    <w:p>
      <w:pPr>
        <w:spacing w:after="0" w:line="231" w:lineRule="exact"/>
        <w:rPr>
          <w:sz w:val="20"/>
          <w:szCs w:val="20"/>
          <w:color w:val="auto"/>
        </w:rPr>
      </w:pPr>
    </w:p>
    <w:p>
      <w:pPr>
        <w:ind w:right="40" w:firstLine="351"/>
        <w:spacing w:after="0" w:line="286" w:lineRule="auto"/>
        <w:rPr>
          <w:sz w:val="20"/>
          <w:szCs w:val="20"/>
          <w:color w:val="auto"/>
        </w:rPr>
      </w:pPr>
      <w:r>
        <w:rPr>
          <w:rFonts w:ascii="Arial" w:cs="Arial" w:eastAsia="Arial" w:hAnsi="Arial"/>
          <w:sz w:val="16"/>
          <w:szCs w:val="16"/>
          <w:color w:val="auto"/>
        </w:rPr>
        <w:t>On December 30, 2010, we entered into a Loan and Security Agreement (the "Loan Agreement") with MidCap Financial, LLC ("MidCap") pursuant to which we borrowed $10 million (the "Term Loan") from MidCap. In March 2011, we amended the Loan Agreement and borrowed an additional $5 million from General Electric Capital Corporation ("GECC") (collectively with MidCap, the "Lenders") to increase the amount owed under the Term Loan to $15 million. Our obligations under the Term Loan are secured by a first priority lien upon and security interest in substantially all of our existing and after-acquired assets, excluding our intellectual property assets (the "Collateral"). Under the Term Loan, we are subject to specified affirmative covenants customary for loans of this type, including but not limited to the obligations to maintain good standing, provide various notices to the Lenders, deliver financial statements to the Lenders, maintain adequate insurance, promptly discharge all taxes, protect our intellectual property and protect the Collateral. The Company is also subject to certain negative covenants customary for loans of this type, including but not limited to prohibitions against certain mergers and consolidations, certain management and ownership changes constituting a "change of control," and the imposition of additional liens on Collateral or other of our assets, as well as prohibitions against additional indebtedness, certain dispositions of property, changes in our business, name or location, payment of dividends, prepayment of certain other indebtedness, certain investments or acquisitions, and certain transactions with affiliates, in each case subject to certain customary exceptions, including exceptions that allow us to enter into non-exclusive and/or exclusive licenses and similar agreements providing for the use of our intellectual property in collaboration with third parties provided certain conditions are met.</w:t>
      </w:r>
    </w:p>
    <w:p>
      <w:pPr>
        <w:spacing w:after="0" w:line="175" w:lineRule="exact"/>
        <w:rPr>
          <w:sz w:val="20"/>
          <w:szCs w:val="20"/>
          <w:color w:val="auto"/>
        </w:rPr>
      </w:pPr>
    </w:p>
    <w:p>
      <w:pPr>
        <w:ind w:right="540" w:firstLine="351"/>
        <w:spacing w:after="0" w:line="259" w:lineRule="auto"/>
        <w:rPr>
          <w:sz w:val="20"/>
          <w:szCs w:val="20"/>
          <w:color w:val="auto"/>
        </w:rPr>
      </w:pPr>
      <w:r>
        <w:rPr>
          <w:rFonts w:ascii="Arial" w:cs="Arial" w:eastAsia="Arial" w:hAnsi="Arial"/>
          <w:sz w:val="18"/>
          <w:szCs w:val="18"/>
          <w:color w:val="auto"/>
        </w:rPr>
        <w:t>Failure to comply with the restrictive covenants in our Term Loan could accelerate the repayment of any debt outstanding under the Term Loan. Additionally, as a result of these restrictive covenants, we may be at a disadvantage compared to our competitors that have greater operating and financing flexibility than we do.</w:t>
      </w:r>
    </w:p>
    <w:p>
      <w:pPr>
        <w:spacing w:after="0" w:line="18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Our ability to use our net operating loss carryforwards will be subject to limitation and, under certain circumstances, may be eliminated.</w:t>
      </w:r>
    </w:p>
    <w:p>
      <w:pPr>
        <w:spacing w:after="0" w:line="254" w:lineRule="exact"/>
        <w:rPr>
          <w:sz w:val="20"/>
          <w:szCs w:val="20"/>
          <w:color w:val="auto"/>
        </w:rPr>
      </w:pPr>
    </w:p>
    <w:p>
      <w:pPr>
        <w:ind w:firstLine="351"/>
        <w:spacing w:after="0" w:line="298" w:lineRule="auto"/>
        <w:rPr>
          <w:sz w:val="20"/>
          <w:szCs w:val="20"/>
          <w:color w:val="auto"/>
        </w:rPr>
      </w:pPr>
      <w:r>
        <w:rPr>
          <w:rFonts w:ascii="Arial" w:cs="Arial" w:eastAsia="Arial" w:hAnsi="Arial"/>
          <w:sz w:val="16"/>
          <w:szCs w:val="16"/>
          <w:color w:val="auto"/>
        </w:rPr>
        <w:t>Utilization of our net operating loss ("NOL") and research and development ("R&amp;D") credit carryforwards may be subject to substantial annual limitation due to ownership change limitations that have occurred previously or that could occur in the future provided by Section 382 of the Internal Revenue Code of 1986 ("Section 382"), as well as similar state provisions. In general, an ownership change, as defined by Section 382, results from transactions increasing the ownership of certain shareholders or public groups in the stock of a corporation by more than 50 percentage points over a three-year period.</w:t>
      </w:r>
    </w:p>
    <w:p>
      <w:pPr>
        <w:spacing w:after="0" w:line="167" w:lineRule="exact"/>
        <w:rPr>
          <w:sz w:val="20"/>
          <w:szCs w:val="20"/>
          <w:color w:val="auto"/>
        </w:rPr>
      </w:pPr>
    </w:p>
    <w:p>
      <w:pPr>
        <w:ind w:firstLine="351"/>
        <w:spacing w:after="0" w:line="289" w:lineRule="auto"/>
        <w:rPr>
          <w:sz w:val="20"/>
          <w:szCs w:val="20"/>
          <w:color w:val="auto"/>
        </w:rPr>
      </w:pPr>
      <w:r>
        <w:rPr>
          <w:rFonts w:ascii="Arial" w:cs="Arial" w:eastAsia="Arial" w:hAnsi="Arial"/>
          <w:sz w:val="16"/>
          <w:szCs w:val="16"/>
          <w:color w:val="auto"/>
        </w:rPr>
        <w:t>In October 2007, June 2009 and in December 2009, Celldex Research experienced a change in ownership as defined by Section 382 of the Internal Revenue Code. Celldex Research, since its formation, had raised capital through the issuance of capital stock on several occasions which, combined with shareholders' subsequent disposition of those shares, has resulted in three changes of control, as defined by Section 382. As a result of the ownership change in October 2007, utilization of its Federal NOLs is subject to an annual limitation. Any unused annual limitation may be carried over to later years, and the amount of the limitation may, under certain circumstances, be subject to adjustment if the fair value of the our net assets are determined to be below or in excess of the tax basis of such assets at the time of the ownership change, and such unrealized loss or gain is recognized during the five-year period after the ownership change. Subsequent ownership changes, as defined in Section 382, could further limit the amount of net operating loss carryforwards and research and development credits that can be utilized annually to offset future taxable income.</w:t>
      </w:r>
    </w:p>
    <w:p>
      <w:pPr>
        <w:spacing w:after="0" w:line="17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42" w:name="page43"/>
    <w:bookmarkEnd w:id="42"/>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left="360"/>
        <w:spacing w:after="0"/>
        <w:rPr>
          <w:sz w:val="20"/>
          <w:szCs w:val="20"/>
          <w:color w:val="auto"/>
        </w:rPr>
      </w:pPr>
      <w:r>
        <w:rPr>
          <w:rFonts w:ascii="Arial" w:cs="Arial" w:eastAsia="Arial" w:hAnsi="Arial"/>
          <w:sz w:val="16"/>
          <w:szCs w:val="16"/>
          <w:color w:val="auto"/>
        </w:rPr>
        <w:t>We have not undertaken a study to assess whether an ownership change or multiple ownership changes has occurred for (i) Celldex Therapeutics,</w:t>
      </w:r>
    </w:p>
    <w:p>
      <w:pPr>
        <w:spacing w:after="0" w:line="38" w:lineRule="exact"/>
        <w:rPr>
          <w:sz w:val="20"/>
          <w:szCs w:val="20"/>
          <w:color w:val="auto"/>
        </w:rPr>
      </w:pPr>
    </w:p>
    <w:p>
      <w:pPr>
        <w:ind w:right="260" w:firstLine="8"/>
        <w:spacing w:after="0" w:line="261" w:lineRule="auto"/>
        <w:tabs>
          <w:tab w:leader="none" w:pos="258" w:val="left"/>
        </w:tabs>
        <w:numPr>
          <w:ilvl w:val="0"/>
          <w:numId w:val="18"/>
        </w:numPr>
        <w:rPr>
          <w:rFonts w:ascii="Arial" w:cs="Arial" w:eastAsia="Arial" w:hAnsi="Arial"/>
          <w:sz w:val="18"/>
          <w:szCs w:val="18"/>
          <w:color w:val="auto"/>
        </w:rPr>
      </w:pPr>
      <w:r>
        <w:rPr>
          <w:rFonts w:ascii="Arial" w:cs="Arial" w:eastAsia="Arial" w:hAnsi="Arial"/>
          <w:sz w:val="18"/>
          <w:szCs w:val="18"/>
          <w:color w:val="auto"/>
        </w:rPr>
        <w:t>CuraGen, (iii) Celldex Research on the state level, or (iv) R&amp;D credits. If there has been an ownership change at any time since its formation, utilization of NOL or tax credit carryforwards would be subject to an annual limitation under Section 382.</w:t>
      </w:r>
    </w:p>
    <w:p>
      <w:pPr>
        <w:spacing w:after="0" w:line="192" w:lineRule="exact"/>
        <w:rPr>
          <w:sz w:val="20"/>
          <w:szCs w:val="20"/>
          <w:color w:val="auto"/>
        </w:rPr>
      </w:pPr>
    </w:p>
    <w:p>
      <w:pPr>
        <w:ind w:left="360"/>
        <w:spacing w:after="0"/>
        <w:rPr>
          <w:sz w:val="20"/>
          <w:szCs w:val="20"/>
          <w:color w:val="auto"/>
        </w:rPr>
      </w:pPr>
      <w:r>
        <w:rPr>
          <w:rFonts w:ascii="Arial" w:cs="Arial" w:eastAsia="Arial" w:hAnsi="Arial"/>
          <w:sz w:val="16"/>
          <w:szCs w:val="16"/>
          <w:color w:val="auto"/>
        </w:rPr>
        <w:t>Refer to Note 15, "Income Taxes," in the accompanying notes to the consolidated financial statements for additional discussion on income taxes.</w:t>
      </w:r>
    </w:p>
    <w:p>
      <w:pPr>
        <w:spacing w:after="0" w:line="242" w:lineRule="exact"/>
        <w:rPr>
          <w:sz w:val="20"/>
          <w:szCs w:val="20"/>
          <w:color w:val="auto"/>
        </w:rPr>
      </w:pPr>
    </w:p>
    <w:p>
      <w:pPr>
        <w:spacing w:after="0"/>
        <w:tabs>
          <w:tab w:leader="none" w:pos="800" w:val="left"/>
        </w:tabs>
        <w:rPr>
          <w:sz w:val="20"/>
          <w:szCs w:val="20"/>
          <w:color w:val="auto"/>
        </w:rPr>
      </w:pPr>
      <w:r>
        <w:rPr>
          <w:rFonts w:ascii="Arial" w:cs="Arial" w:eastAsia="Arial" w:hAnsi="Arial"/>
          <w:sz w:val="18"/>
          <w:szCs w:val="18"/>
          <w:b w:val="1"/>
          <w:bCs w:val="1"/>
          <w:color w:val="auto"/>
        </w:rPr>
        <w:t>Item 1B.</w:t>
      </w:r>
      <w:r>
        <w:rPr>
          <w:sz w:val="20"/>
          <w:szCs w:val="20"/>
          <w:color w:val="auto"/>
        </w:rPr>
        <w:tab/>
      </w:r>
      <w:r>
        <w:rPr>
          <w:rFonts w:ascii="Arial" w:cs="Arial" w:eastAsia="Arial" w:hAnsi="Arial"/>
          <w:sz w:val="16"/>
          <w:szCs w:val="16"/>
          <w:b w:val="1"/>
          <w:bCs w:val="1"/>
          <w:color w:val="auto"/>
        </w:rPr>
        <w:t>UNRESOLVED STAFF COMMENTS</w:t>
      </w:r>
    </w:p>
    <w:p>
      <w:pPr>
        <w:spacing w:after="0" w:line="231" w:lineRule="exact"/>
        <w:rPr>
          <w:sz w:val="20"/>
          <w:szCs w:val="20"/>
          <w:color w:val="auto"/>
        </w:rPr>
      </w:pPr>
    </w:p>
    <w:p>
      <w:pPr>
        <w:ind w:left="360"/>
        <w:spacing w:after="0"/>
        <w:rPr>
          <w:sz w:val="20"/>
          <w:szCs w:val="20"/>
          <w:color w:val="auto"/>
        </w:rPr>
      </w:pPr>
      <w:r>
        <w:rPr>
          <w:rFonts w:ascii="Arial" w:cs="Arial" w:eastAsia="Arial" w:hAnsi="Arial"/>
          <w:sz w:val="18"/>
          <w:szCs w:val="18"/>
          <w:color w:val="auto"/>
        </w:rPr>
        <w:t>None.</w:t>
      </w:r>
    </w:p>
    <w:p>
      <w:pPr>
        <w:spacing w:after="0" w:line="219" w:lineRule="exact"/>
        <w:rPr>
          <w:sz w:val="20"/>
          <w:szCs w:val="20"/>
          <w:color w:val="auto"/>
        </w:rPr>
      </w:pPr>
    </w:p>
    <w:p>
      <w:pPr>
        <w:spacing w:after="0"/>
        <w:tabs>
          <w:tab w:leader="none" w:pos="70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6"/>
          <w:szCs w:val="16"/>
          <w:b w:val="1"/>
          <w:bCs w:val="1"/>
          <w:color w:val="auto"/>
        </w:rPr>
        <w:t>PROPERTIES</w:t>
      </w:r>
    </w:p>
    <w:p>
      <w:pPr>
        <w:spacing w:after="0" w:line="231" w:lineRule="exact"/>
        <w:rPr>
          <w:sz w:val="20"/>
          <w:szCs w:val="20"/>
          <w:color w:val="auto"/>
        </w:rPr>
      </w:pPr>
    </w:p>
    <w:p>
      <w:pPr>
        <w:ind w:left="360"/>
        <w:spacing w:after="0"/>
        <w:rPr>
          <w:sz w:val="20"/>
          <w:szCs w:val="20"/>
          <w:color w:val="auto"/>
        </w:rPr>
      </w:pPr>
      <w:r>
        <w:rPr>
          <w:rFonts w:ascii="Arial" w:cs="Arial" w:eastAsia="Arial" w:hAnsi="Arial"/>
          <w:sz w:val="18"/>
          <w:szCs w:val="18"/>
          <w:color w:val="auto"/>
        </w:rPr>
        <w:t>Our significant leased properties are described below.</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900" w:type="dxa"/>
            <w:vAlign w:val="bottom"/>
            <w:gridSpan w:val="2"/>
          </w:tcPr>
          <w:p>
            <w:pPr>
              <w:jc w:val="right"/>
              <w:ind w:right="80"/>
              <w:spacing w:after="0"/>
              <w:rPr>
                <w:sz w:val="20"/>
                <w:szCs w:val="20"/>
                <w:color w:val="auto"/>
              </w:rPr>
            </w:pPr>
            <w:r>
              <w:rPr>
                <w:rFonts w:ascii="Arial" w:cs="Arial" w:eastAsia="Arial" w:hAnsi="Arial"/>
                <w:sz w:val="14"/>
                <w:szCs w:val="14"/>
                <w:b w:val="1"/>
                <w:bCs w:val="1"/>
                <w:color w:val="auto"/>
                <w:w w:val="93"/>
              </w:rPr>
              <w:t>Approximate</w:t>
            </w:r>
          </w:p>
        </w:tc>
        <w:tc>
          <w:tcPr>
            <w:tcW w:w="160" w:type="dxa"/>
            <w:vAlign w:val="bottom"/>
          </w:tcPr>
          <w:p>
            <w:pPr>
              <w:spacing w:after="0"/>
              <w:rPr>
                <w:sz w:val="14"/>
                <w:szCs w:val="14"/>
                <w:color w:val="auto"/>
              </w:rPr>
            </w:pPr>
          </w:p>
        </w:tc>
        <w:tc>
          <w:tcPr>
            <w:tcW w:w="64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1"/>
        </w:trPr>
        <w:tc>
          <w:tcPr>
            <w:tcW w:w="2300" w:type="dxa"/>
            <w:vAlign w:val="bottom"/>
            <w:gridSpan w:val="3"/>
          </w:tcPr>
          <w:p>
            <w:pPr>
              <w:spacing w:after="0"/>
              <w:rPr>
                <w:sz w:val="20"/>
                <w:szCs w:val="20"/>
                <w:color w:val="auto"/>
              </w:rPr>
            </w:pPr>
            <w:r>
              <w:rPr>
                <w:rFonts w:ascii="Arial" w:cs="Arial" w:eastAsia="Arial" w:hAnsi="Arial"/>
                <w:sz w:val="14"/>
                <w:szCs w:val="14"/>
                <w:b w:val="1"/>
                <w:bCs w:val="1"/>
                <w:color w:val="auto"/>
              </w:rPr>
              <w:t>Property Location</w:t>
            </w:r>
          </w:p>
        </w:tc>
        <w:tc>
          <w:tcPr>
            <w:tcW w:w="900" w:type="dxa"/>
            <w:vAlign w:val="bottom"/>
            <w:gridSpan w:val="2"/>
          </w:tcPr>
          <w:p>
            <w:pPr>
              <w:jc w:val="right"/>
              <w:ind w:right="120"/>
              <w:spacing w:after="0"/>
              <w:rPr>
                <w:sz w:val="20"/>
                <w:szCs w:val="20"/>
                <w:color w:val="auto"/>
              </w:rPr>
            </w:pPr>
            <w:r>
              <w:rPr>
                <w:rFonts w:ascii="Arial" w:cs="Arial" w:eastAsia="Arial" w:hAnsi="Arial"/>
                <w:sz w:val="14"/>
                <w:szCs w:val="14"/>
                <w:b w:val="1"/>
                <w:bCs w:val="1"/>
                <w:color w:val="auto"/>
                <w:w w:val="94"/>
              </w:rPr>
              <w:t>Square Feet</w:t>
            </w:r>
          </w:p>
        </w:tc>
        <w:tc>
          <w:tcPr>
            <w:tcW w:w="160" w:type="dxa"/>
            <w:vAlign w:val="bottom"/>
          </w:tcPr>
          <w:p>
            <w:pPr>
              <w:spacing w:after="0"/>
              <w:rPr>
                <w:sz w:val="14"/>
                <w:szCs w:val="14"/>
                <w:color w:val="auto"/>
              </w:rPr>
            </w:pPr>
          </w:p>
        </w:tc>
        <w:tc>
          <w:tcPr>
            <w:tcW w:w="6460" w:type="dxa"/>
            <w:vAlign w:val="bottom"/>
          </w:tcPr>
          <w:p>
            <w:pPr>
              <w:ind w:left="3120"/>
              <w:spacing w:after="0"/>
              <w:rPr>
                <w:sz w:val="20"/>
                <w:szCs w:val="20"/>
                <w:color w:val="auto"/>
              </w:rPr>
            </w:pPr>
            <w:r>
              <w:rPr>
                <w:rFonts w:ascii="Arial" w:cs="Arial" w:eastAsia="Arial" w:hAnsi="Arial"/>
                <w:sz w:val="14"/>
                <w:szCs w:val="14"/>
                <w:b w:val="1"/>
                <w:bCs w:val="1"/>
                <w:color w:val="auto"/>
              </w:rPr>
              <w:t>Use</w:t>
            </w:r>
          </w:p>
        </w:tc>
        <w:tc>
          <w:tcPr>
            <w:tcW w:w="160" w:type="dxa"/>
            <w:vAlign w:val="bottom"/>
          </w:tcPr>
          <w:p>
            <w:pPr>
              <w:spacing w:after="0"/>
              <w:rPr>
                <w:sz w:val="14"/>
                <w:szCs w:val="14"/>
                <w:color w:val="auto"/>
              </w:rPr>
            </w:pPr>
          </w:p>
        </w:tc>
        <w:tc>
          <w:tcPr>
            <w:tcW w:w="1440" w:type="dxa"/>
            <w:vAlign w:val="bottom"/>
          </w:tcPr>
          <w:p>
            <w:pPr>
              <w:ind w:left="80"/>
              <w:spacing w:after="0"/>
              <w:rPr>
                <w:sz w:val="20"/>
                <w:szCs w:val="20"/>
                <w:color w:val="auto"/>
              </w:rPr>
            </w:pPr>
            <w:r>
              <w:rPr>
                <w:rFonts w:ascii="Arial" w:cs="Arial" w:eastAsia="Arial" w:hAnsi="Arial"/>
                <w:sz w:val="14"/>
                <w:szCs w:val="14"/>
                <w:b w:val="1"/>
                <w:bCs w:val="1"/>
                <w:color w:val="auto"/>
                <w:w w:val="91"/>
              </w:rPr>
              <w:t>Lease Expiration Date</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4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4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22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Needham, Massachusetts</w:t>
            </w: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35,200</w:t>
            </w:r>
          </w:p>
        </w:tc>
        <w:tc>
          <w:tcPr>
            <w:tcW w:w="160" w:type="dxa"/>
            <w:vAlign w:val="bottom"/>
            <w:shd w:val="clear" w:color="auto" w:fill="CCEEFF"/>
          </w:tcPr>
          <w:p>
            <w:pPr>
              <w:spacing w:after="0"/>
              <w:rPr>
                <w:sz w:val="18"/>
                <w:szCs w:val="18"/>
                <w:color w:val="auto"/>
              </w:rPr>
            </w:pPr>
          </w:p>
        </w:tc>
        <w:tc>
          <w:tcPr>
            <w:tcW w:w="6460" w:type="dxa"/>
            <w:vAlign w:val="bottom"/>
            <w:shd w:val="clear" w:color="auto" w:fill="CCEEFF"/>
          </w:tcPr>
          <w:p>
            <w:pPr>
              <w:spacing w:after="0"/>
              <w:rPr>
                <w:sz w:val="20"/>
                <w:szCs w:val="20"/>
                <w:color w:val="auto"/>
              </w:rPr>
            </w:pPr>
            <w:r>
              <w:rPr>
                <w:rFonts w:ascii="Arial" w:cs="Arial" w:eastAsia="Arial" w:hAnsi="Arial"/>
                <w:sz w:val="18"/>
                <w:szCs w:val="18"/>
                <w:color w:val="auto"/>
              </w:rPr>
              <w:t>Office Headquarters and Laboratory</w:t>
            </w:r>
          </w:p>
        </w:tc>
        <w:tc>
          <w:tcPr>
            <w:tcW w:w="160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April 2017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280" w:type="dxa"/>
            <w:vAlign w:val="bottom"/>
            <w:gridSpan w:val="2"/>
          </w:tcPr>
          <w:p>
            <w:pPr>
              <w:spacing w:after="0"/>
              <w:rPr>
                <w:sz w:val="20"/>
                <w:szCs w:val="20"/>
                <w:color w:val="auto"/>
              </w:rPr>
            </w:pPr>
            <w:r>
              <w:rPr>
                <w:rFonts w:ascii="Arial" w:cs="Arial" w:eastAsia="Arial" w:hAnsi="Arial"/>
                <w:sz w:val="18"/>
                <w:szCs w:val="18"/>
                <w:color w:val="auto"/>
              </w:rPr>
              <w:t>Fall River, Massachusetts</w:t>
            </w:r>
          </w:p>
        </w:tc>
        <w:tc>
          <w:tcPr>
            <w:tcW w:w="900" w:type="dxa"/>
            <w:vAlign w:val="bottom"/>
            <w:gridSpan w:val="2"/>
          </w:tcPr>
          <w:p>
            <w:pPr>
              <w:jc w:val="right"/>
              <w:spacing w:after="0"/>
              <w:rPr>
                <w:sz w:val="20"/>
                <w:szCs w:val="20"/>
                <w:color w:val="auto"/>
              </w:rPr>
            </w:pPr>
            <w:r>
              <w:rPr>
                <w:rFonts w:ascii="Arial" w:cs="Arial" w:eastAsia="Arial" w:hAnsi="Arial"/>
                <w:sz w:val="18"/>
                <w:szCs w:val="18"/>
                <w:color w:val="auto"/>
              </w:rPr>
              <w:t>23,400</w:t>
            </w:r>
          </w:p>
        </w:tc>
        <w:tc>
          <w:tcPr>
            <w:tcW w:w="160" w:type="dxa"/>
            <w:vAlign w:val="bottom"/>
          </w:tcPr>
          <w:p>
            <w:pPr>
              <w:spacing w:after="0"/>
              <w:rPr>
                <w:sz w:val="18"/>
                <w:szCs w:val="18"/>
                <w:color w:val="auto"/>
              </w:rPr>
            </w:pPr>
          </w:p>
        </w:tc>
        <w:tc>
          <w:tcPr>
            <w:tcW w:w="6460" w:type="dxa"/>
            <w:vAlign w:val="bottom"/>
          </w:tcPr>
          <w:p>
            <w:pPr>
              <w:spacing w:after="0"/>
              <w:rPr>
                <w:sz w:val="20"/>
                <w:szCs w:val="20"/>
                <w:color w:val="auto"/>
              </w:rPr>
            </w:pPr>
            <w:r>
              <w:rPr>
                <w:rFonts w:ascii="Arial" w:cs="Arial" w:eastAsia="Arial" w:hAnsi="Arial"/>
                <w:sz w:val="18"/>
                <w:szCs w:val="18"/>
                <w:color w:val="auto"/>
              </w:rPr>
              <w:t>Manufacturing Facility</w:t>
            </w:r>
          </w:p>
        </w:tc>
        <w:tc>
          <w:tcPr>
            <w:tcW w:w="1600" w:type="dxa"/>
            <w:vAlign w:val="bottom"/>
            <w:gridSpan w:val="2"/>
          </w:tcPr>
          <w:p>
            <w:pPr>
              <w:ind w:left="160"/>
              <w:spacing w:after="0"/>
              <w:rPr>
                <w:sz w:val="20"/>
                <w:szCs w:val="20"/>
                <w:color w:val="auto"/>
              </w:rPr>
            </w:pPr>
            <w:r>
              <w:rPr>
                <w:rFonts w:ascii="Arial" w:cs="Arial" w:eastAsia="Arial" w:hAnsi="Arial"/>
                <w:sz w:val="18"/>
                <w:szCs w:val="18"/>
                <w:color w:val="auto"/>
                <w:w w:val="94"/>
              </w:rPr>
              <w:t>December 2017(1)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2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Phillipsburg, New Jersey</w:t>
            </w: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19,400</w:t>
            </w:r>
          </w:p>
        </w:tc>
        <w:tc>
          <w:tcPr>
            <w:tcW w:w="160" w:type="dxa"/>
            <w:vAlign w:val="bottom"/>
            <w:shd w:val="clear" w:color="auto" w:fill="CCEEFF"/>
          </w:tcPr>
          <w:p>
            <w:pPr>
              <w:spacing w:after="0"/>
              <w:rPr>
                <w:sz w:val="18"/>
                <w:szCs w:val="18"/>
                <w:color w:val="auto"/>
              </w:rPr>
            </w:pPr>
          </w:p>
        </w:tc>
        <w:tc>
          <w:tcPr>
            <w:tcW w:w="6460" w:type="dxa"/>
            <w:vAlign w:val="bottom"/>
            <w:shd w:val="clear" w:color="auto" w:fill="CCEEFF"/>
          </w:tcPr>
          <w:p>
            <w:pPr>
              <w:spacing w:after="0"/>
              <w:rPr>
                <w:sz w:val="20"/>
                <w:szCs w:val="20"/>
                <w:color w:val="auto"/>
              </w:rPr>
            </w:pPr>
            <w:r>
              <w:rPr>
                <w:rFonts w:ascii="Arial" w:cs="Arial" w:eastAsia="Arial" w:hAnsi="Arial"/>
                <w:sz w:val="18"/>
                <w:szCs w:val="18"/>
                <w:color w:val="auto"/>
              </w:rPr>
              <w:t>Office and Laboratory</w:t>
            </w:r>
          </w:p>
        </w:tc>
        <w:tc>
          <w:tcPr>
            <w:tcW w:w="160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August 2016(2)</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2280" w:type="dxa"/>
            <w:vAlign w:val="bottom"/>
            <w:gridSpan w:val="2"/>
          </w:tcPr>
          <w:p>
            <w:pPr>
              <w:spacing w:after="0"/>
              <w:rPr>
                <w:sz w:val="20"/>
                <w:szCs w:val="20"/>
                <w:color w:val="auto"/>
              </w:rPr>
            </w:pPr>
            <w:r>
              <w:rPr>
                <w:rFonts w:ascii="Arial" w:cs="Arial" w:eastAsia="Arial" w:hAnsi="Arial"/>
                <w:sz w:val="18"/>
                <w:szCs w:val="18"/>
                <w:color w:val="auto"/>
              </w:rPr>
              <w:t>New Haven, Connecticut</w:t>
            </w:r>
          </w:p>
        </w:tc>
        <w:tc>
          <w:tcPr>
            <w:tcW w:w="900" w:type="dxa"/>
            <w:vAlign w:val="bottom"/>
            <w:gridSpan w:val="2"/>
          </w:tcPr>
          <w:p>
            <w:pPr>
              <w:jc w:val="right"/>
              <w:spacing w:after="0"/>
              <w:rPr>
                <w:sz w:val="20"/>
                <w:szCs w:val="20"/>
                <w:color w:val="auto"/>
              </w:rPr>
            </w:pPr>
            <w:r>
              <w:rPr>
                <w:rFonts w:ascii="Arial" w:cs="Arial" w:eastAsia="Arial" w:hAnsi="Arial"/>
                <w:sz w:val="18"/>
                <w:szCs w:val="18"/>
                <w:color w:val="auto"/>
              </w:rPr>
              <w:t>3,000</w:t>
            </w:r>
          </w:p>
        </w:tc>
        <w:tc>
          <w:tcPr>
            <w:tcW w:w="160" w:type="dxa"/>
            <w:vAlign w:val="bottom"/>
          </w:tcPr>
          <w:p>
            <w:pPr>
              <w:spacing w:after="0"/>
              <w:rPr>
                <w:sz w:val="19"/>
                <w:szCs w:val="19"/>
                <w:color w:val="auto"/>
              </w:rPr>
            </w:pPr>
          </w:p>
        </w:tc>
        <w:tc>
          <w:tcPr>
            <w:tcW w:w="6460" w:type="dxa"/>
            <w:vAlign w:val="bottom"/>
          </w:tcPr>
          <w:p>
            <w:pPr>
              <w:spacing w:after="0"/>
              <w:rPr>
                <w:sz w:val="20"/>
                <w:szCs w:val="20"/>
                <w:color w:val="auto"/>
              </w:rPr>
            </w:pPr>
            <w:r>
              <w:rPr>
                <w:rFonts w:ascii="Arial" w:cs="Arial" w:eastAsia="Arial" w:hAnsi="Arial"/>
                <w:sz w:val="18"/>
                <w:szCs w:val="18"/>
                <w:color w:val="auto"/>
              </w:rPr>
              <w:t>Office</w:t>
            </w:r>
          </w:p>
        </w:tc>
        <w:tc>
          <w:tcPr>
            <w:tcW w:w="1600" w:type="dxa"/>
            <w:vAlign w:val="bottom"/>
            <w:gridSpan w:val="2"/>
          </w:tcPr>
          <w:p>
            <w:pPr>
              <w:ind w:left="160"/>
              <w:spacing w:after="0"/>
              <w:rPr>
                <w:sz w:val="20"/>
                <w:szCs w:val="20"/>
                <w:color w:val="auto"/>
              </w:rPr>
            </w:pPr>
            <w:r>
              <w:rPr>
                <w:rFonts w:ascii="Arial" w:cs="Arial" w:eastAsia="Arial" w:hAnsi="Arial"/>
                <w:sz w:val="18"/>
                <w:szCs w:val="18"/>
                <w:color w:val="auto"/>
              </w:rPr>
              <w:t>January 2013(3)</w:t>
            </w:r>
          </w:p>
        </w:tc>
        <w:tc>
          <w:tcPr>
            <w:tcW w:w="0" w:type="dxa"/>
            <w:vAlign w:val="bottom"/>
          </w:tcPr>
          <w:p>
            <w:pPr>
              <w:spacing w:after="0"/>
              <w:rPr>
                <w:sz w:val="1"/>
                <w:szCs w:val="1"/>
                <w:color w:val="auto"/>
              </w:rPr>
            </w:pPr>
          </w:p>
        </w:tc>
      </w:tr>
      <w:tr>
        <w:trPr>
          <w:trHeight w:val="102"/>
        </w:trPr>
        <w:tc>
          <w:tcPr>
            <w:tcW w:w="20" w:type="dxa"/>
            <w:vAlign w:val="bottom"/>
            <w:tcBorders>
              <w:bottom w:val="single" w:sz="8" w:color="auto"/>
            </w:tcBorders>
          </w:tcPr>
          <w:p>
            <w:pPr>
              <w:spacing w:after="0"/>
              <w:rPr>
                <w:sz w:val="8"/>
                <w:szCs w:val="8"/>
                <w:color w:val="auto"/>
              </w:rPr>
            </w:pPr>
          </w:p>
        </w:tc>
        <w:tc>
          <w:tcPr>
            <w:tcW w:w="1140" w:type="dxa"/>
            <w:vAlign w:val="bottom"/>
            <w:tcBorders>
              <w:bottom w:val="single" w:sz="8" w:color="auto"/>
            </w:tcBorders>
          </w:tcPr>
          <w:p>
            <w:pPr>
              <w:spacing w:after="0"/>
              <w:rPr>
                <w:sz w:val="8"/>
                <w:szCs w:val="8"/>
                <w:color w:val="auto"/>
              </w:rPr>
            </w:pPr>
          </w:p>
        </w:tc>
        <w:tc>
          <w:tcPr>
            <w:tcW w:w="1140" w:type="dxa"/>
            <w:vAlign w:val="bottom"/>
            <w:tcBorders>
              <w:bottom w:val="single" w:sz="8" w:color="auto"/>
            </w:tcBorders>
          </w:tcPr>
          <w:p>
            <w:pPr>
              <w:spacing w:after="0"/>
              <w:rPr>
                <w:sz w:val="8"/>
                <w:szCs w:val="8"/>
                <w:color w:val="auto"/>
              </w:rPr>
            </w:pPr>
          </w:p>
        </w:tc>
        <w:tc>
          <w:tcPr>
            <w:tcW w:w="700" w:type="dxa"/>
            <w:vAlign w:val="bottom"/>
            <w:tcBorders>
              <w:bottom w:val="single" w:sz="8" w:color="auto"/>
            </w:tcBorders>
          </w:tcPr>
          <w:p>
            <w:pPr>
              <w:spacing w:after="0"/>
              <w:rPr>
                <w:sz w:val="8"/>
                <w:szCs w:val="8"/>
                <w:color w:val="auto"/>
              </w:rPr>
            </w:pPr>
          </w:p>
        </w:tc>
        <w:tc>
          <w:tcPr>
            <w:tcW w:w="200" w:type="dxa"/>
            <w:vAlign w:val="bottom"/>
          </w:tcPr>
          <w:p>
            <w:pPr>
              <w:spacing w:after="0"/>
              <w:rPr>
                <w:sz w:val="8"/>
                <w:szCs w:val="8"/>
                <w:color w:val="auto"/>
              </w:rPr>
            </w:pPr>
          </w:p>
        </w:tc>
        <w:tc>
          <w:tcPr>
            <w:tcW w:w="160" w:type="dxa"/>
            <w:vAlign w:val="bottom"/>
          </w:tcPr>
          <w:p>
            <w:pPr>
              <w:spacing w:after="0"/>
              <w:rPr>
                <w:sz w:val="8"/>
                <w:szCs w:val="8"/>
                <w:color w:val="auto"/>
              </w:rPr>
            </w:pPr>
          </w:p>
        </w:tc>
        <w:tc>
          <w:tcPr>
            <w:tcW w:w="6460" w:type="dxa"/>
            <w:vAlign w:val="bottom"/>
          </w:tcPr>
          <w:p>
            <w:pPr>
              <w:spacing w:after="0"/>
              <w:rPr>
                <w:sz w:val="8"/>
                <w:szCs w:val="8"/>
                <w:color w:val="auto"/>
              </w:rPr>
            </w:pPr>
          </w:p>
        </w:tc>
        <w:tc>
          <w:tcPr>
            <w:tcW w:w="160" w:type="dxa"/>
            <w:vAlign w:val="bottom"/>
          </w:tcPr>
          <w:p>
            <w:pPr>
              <w:spacing w:after="0"/>
              <w:rPr>
                <w:sz w:val="8"/>
                <w:szCs w:val="8"/>
                <w:color w:val="auto"/>
              </w:rPr>
            </w:pPr>
          </w:p>
        </w:tc>
        <w:tc>
          <w:tcPr>
            <w:tcW w:w="144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221" w:lineRule="exact"/>
        <w:rPr>
          <w:sz w:val="20"/>
          <w:szCs w:val="20"/>
          <w:color w:val="auto"/>
        </w:rPr>
      </w:pPr>
    </w:p>
    <w:p>
      <w:pPr>
        <w:ind w:left="540" w:hanging="532"/>
        <w:spacing w:after="0"/>
        <w:tabs>
          <w:tab w:leader="none" w:pos="540" w:val="left"/>
        </w:tabs>
        <w:numPr>
          <w:ilvl w:val="0"/>
          <w:numId w:val="19"/>
        </w:numPr>
        <w:rPr>
          <w:rFonts w:ascii="Arial" w:cs="Arial" w:eastAsia="Arial" w:hAnsi="Arial"/>
          <w:sz w:val="18"/>
          <w:szCs w:val="18"/>
          <w:color w:val="auto"/>
        </w:rPr>
      </w:pPr>
      <w:r>
        <w:rPr>
          <w:rFonts w:ascii="Arial" w:cs="Arial" w:eastAsia="Arial" w:hAnsi="Arial"/>
          <w:sz w:val="18"/>
          <w:szCs w:val="18"/>
          <w:color w:val="auto"/>
        </w:rPr>
        <w:t>Lease includes two renewal options of five years each.</w:t>
      </w:r>
    </w:p>
    <w:p>
      <w:pPr>
        <w:spacing w:after="0" w:line="252" w:lineRule="exact"/>
        <w:rPr>
          <w:rFonts w:ascii="Arial" w:cs="Arial" w:eastAsia="Arial" w:hAnsi="Arial"/>
          <w:sz w:val="18"/>
          <w:szCs w:val="18"/>
          <w:color w:val="auto"/>
        </w:rPr>
      </w:pPr>
    </w:p>
    <w:p>
      <w:pPr>
        <w:ind w:left="540" w:hanging="532"/>
        <w:spacing w:after="0"/>
        <w:tabs>
          <w:tab w:leader="none" w:pos="540" w:val="left"/>
        </w:tabs>
        <w:numPr>
          <w:ilvl w:val="0"/>
          <w:numId w:val="19"/>
        </w:numPr>
        <w:rPr>
          <w:rFonts w:ascii="Arial" w:cs="Arial" w:eastAsia="Arial" w:hAnsi="Arial"/>
          <w:sz w:val="18"/>
          <w:szCs w:val="18"/>
          <w:color w:val="auto"/>
        </w:rPr>
      </w:pPr>
      <w:r>
        <w:rPr>
          <w:rFonts w:ascii="Arial" w:cs="Arial" w:eastAsia="Arial" w:hAnsi="Arial"/>
          <w:sz w:val="18"/>
          <w:szCs w:val="18"/>
          <w:color w:val="auto"/>
        </w:rPr>
        <w:t>Lease includes one renewal option of five years.</w:t>
      </w:r>
    </w:p>
    <w:p>
      <w:pPr>
        <w:spacing w:after="0" w:line="238" w:lineRule="exact"/>
        <w:rPr>
          <w:rFonts w:ascii="Arial" w:cs="Arial" w:eastAsia="Arial" w:hAnsi="Arial"/>
          <w:sz w:val="18"/>
          <w:szCs w:val="18"/>
          <w:color w:val="auto"/>
        </w:rPr>
      </w:pPr>
    </w:p>
    <w:p>
      <w:pPr>
        <w:ind w:left="540" w:hanging="532"/>
        <w:spacing w:after="0"/>
        <w:tabs>
          <w:tab w:leader="none" w:pos="540" w:val="left"/>
        </w:tabs>
        <w:numPr>
          <w:ilvl w:val="0"/>
          <w:numId w:val="19"/>
        </w:numPr>
        <w:rPr>
          <w:rFonts w:ascii="Arial" w:cs="Arial" w:eastAsia="Arial" w:hAnsi="Arial"/>
          <w:sz w:val="18"/>
          <w:szCs w:val="18"/>
          <w:color w:val="auto"/>
        </w:rPr>
      </w:pPr>
      <w:r>
        <w:rPr>
          <w:rFonts w:ascii="Arial" w:cs="Arial" w:eastAsia="Arial" w:hAnsi="Arial"/>
          <w:sz w:val="18"/>
          <w:szCs w:val="18"/>
          <w:color w:val="auto"/>
        </w:rPr>
        <w:t>Lease includes one renewal option of three years.</w:t>
      </w:r>
    </w:p>
    <w:p>
      <w:pPr>
        <w:spacing w:after="0" w:line="219" w:lineRule="exact"/>
        <w:rPr>
          <w:sz w:val="20"/>
          <w:szCs w:val="20"/>
          <w:color w:val="auto"/>
        </w:rPr>
      </w:pPr>
    </w:p>
    <w:p>
      <w:pPr>
        <w:spacing w:after="0"/>
        <w:tabs>
          <w:tab w:leader="none" w:pos="70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6"/>
          <w:szCs w:val="16"/>
          <w:b w:val="1"/>
          <w:bCs w:val="1"/>
          <w:color w:val="auto"/>
        </w:rPr>
        <w:t>LEGAL PROCEEDINGS</w:t>
      </w:r>
    </w:p>
    <w:p>
      <w:pPr>
        <w:spacing w:after="0" w:line="231" w:lineRule="exact"/>
        <w:rPr>
          <w:sz w:val="20"/>
          <w:szCs w:val="20"/>
          <w:color w:val="auto"/>
        </w:rPr>
      </w:pPr>
    </w:p>
    <w:p>
      <w:pPr>
        <w:ind w:left="360"/>
        <w:spacing w:after="0"/>
        <w:rPr>
          <w:sz w:val="20"/>
          <w:szCs w:val="20"/>
          <w:color w:val="auto"/>
        </w:rPr>
      </w:pPr>
      <w:r>
        <w:rPr>
          <w:rFonts w:ascii="Arial" w:cs="Arial" w:eastAsia="Arial" w:hAnsi="Arial"/>
          <w:sz w:val="18"/>
          <w:szCs w:val="18"/>
          <w:color w:val="auto"/>
        </w:rPr>
        <w:t>We are not currently a party to any material legal proceedings.</w:t>
      </w:r>
    </w:p>
    <w:p>
      <w:pPr>
        <w:spacing w:after="0" w:line="219" w:lineRule="exact"/>
        <w:rPr>
          <w:sz w:val="20"/>
          <w:szCs w:val="20"/>
          <w:color w:val="auto"/>
        </w:rPr>
      </w:pPr>
    </w:p>
    <w:p>
      <w:pPr>
        <w:spacing w:after="0"/>
        <w:tabs>
          <w:tab w:leader="none" w:pos="70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6"/>
          <w:szCs w:val="16"/>
          <w:b w:val="1"/>
          <w:bCs w:val="1"/>
          <w:color w:val="auto"/>
        </w:rPr>
        <w:t>RESERVED</w:t>
      </w:r>
    </w:p>
    <w:p>
      <w:pPr>
        <w:spacing w:after="0" w:line="23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43" w:name="page44"/>
    <w:bookmarkEnd w:id="43"/>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PART II</w:t>
      </w:r>
    </w:p>
    <w:p>
      <w:pPr>
        <w:spacing w:after="0" w:line="225" w:lineRule="exact"/>
        <w:rPr>
          <w:sz w:val="20"/>
          <w:szCs w:val="20"/>
          <w:color w:val="auto"/>
        </w:rPr>
      </w:pPr>
    </w:p>
    <w:p>
      <w:pPr>
        <w:ind w:right="60"/>
        <w:spacing w:after="0" w:line="275" w:lineRule="auto"/>
        <w:rPr>
          <w:sz w:val="20"/>
          <w:szCs w:val="20"/>
          <w:color w:val="auto"/>
        </w:rPr>
      </w:pPr>
      <w:r>
        <w:rPr>
          <w:rFonts w:ascii="Arial" w:cs="Arial" w:eastAsia="Arial" w:hAnsi="Arial"/>
          <w:sz w:val="18"/>
          <w:szCs w:val="18"/>
          <w:b w:val="1"/>
          <w:bCs w:val="1"/>
          <w:color w:val="auto"/>
        </w:rPr>
        <w:t>Item 5. MARKET FOR REGISTRANT'S COMMON EQUITY, RELATED STOCKHOLDER MATTERS AND ISSUER PURCHASES OF EQUITY SECURITIES</w:t>
      </w:r>
    </w:p>
    <w:p>
      <w:pPr>
        <w:spacing w:after="0" w:line="180" w:lineRule="exact"/>
        <w:rPr>
          <w:sz w:val="20"/>
          <w:szCs w:val="20"/>
          <w:color w:val="auto"/>
        </w:rPr>
      </w:pPr>
    </w:p>
    <w:p>
      <w:pPr>
        <w:ind w:right="60" w:firstLine="351"/>
        <w:spacing w:after="0" w:line="306" w:lineRule="auto"/>
        <w:rPr>
          <w:sz w:val="20"/>
          <w:szCs w:val="20"/>
          <w:color w:val="auto"/>
        </w:rPr>
      </w:pPr>
      <w:r>
        <w:rPr>
          <w:rFonts w:ascii="Arial" w:cs="Arial" w:eastAsia="Arial" w:hAnsi="Arial"/>
          <w:sz w:val="16"/>
          <w:szCs w:val="16"/>
          <w:color w:val="auto"/>
        </w:rPr>
        <w:t>Our common stock currently trades on The Nasdaq Global Market (the "NASDAQ") under the symbol "CLDX". Effective October 1, 2008, we changed our name from AVANT Immunotherapeutics, Inc. to Celldex Therapeutics, Inc. Prior to October 1, 2008, our common stock traded on NASDAQ under the symbol "AVAN". The following table sets forth for the periods indicated the high and low sale prices per share for our common stock, as reported by NASDAQ.</w:t>
      </w:r>
    </w:p>
    <w:p>
      <w:pPr>
        <w:spacing w:after="0" w:line="156" w:lineRule="exact"/>
        <w:rPr>
          <w:sz w:val="20"/>
          <w:szCs w:val="20"/>
          <w:color w:val="auto"/>
        </w:rPr>
      </w:pPr>
    </w:p>
    <w:tbl>
      <w:tblPr>
        <w:tblLayout w:type="fixed"/>
        <w:tblInd w:w="2300" w:type="dxa"/>
        <w:tblCellMar>
          <w:top w:w="0" w:type="dxa"/>
          <w:left w:w="0" w:type="dxa"/>
          <w:bottom w:w="0" w:type="dxa"/>
          <w:right w:w="0" w:type="dxa"/>
        </w:tblCellMar>
      </w:tblPr>
      <w:tr>
        <w:trPr>
          <w:trHeight w:val="161"/>
        </w:trPr>
        <w:tc>
          <w:tcPr>
            <w:tcW w:w="5360" w:type="dxa"/>
            <w:vAlign w:val="bottom"/>
            <w:gridSpan w:val="3"/>
          </w:tcPr>
          <w:p>
            <w:pPr>
              <w:spacing w:after="0"/>
              <w:rPr>
                <w:sz w:val="20"/>
                <w:szCs w:val="20"/>
                <w:color w:val="auto"/>
              </w:rPr>
            </w:pPr>
            <w:r>
              <w:rPr>
                <w:rFonts w:ascii="Arial" w:cs="Arial" w:eastAsia="Arial" w:hAnsi="Arial"/>
                <w:sz w:val="14"/>
                <w:szCs w:val="14"/>
                <w:b w:val="1"/>
                <w:bCs w:val="1"/>
                <w:color w:val="auto"/>
              </w:rPr>
              <w:t>Fiscal Period</w:t>
            </w:r>
          </w:p>
        </w:tc>
        <w:tc>
          <w:tcPr>
            <w:tcW w:w="140" w:type="dxa"/>
            <w:vAlign w:val="bottom"/>
          </w:tcPr>
          <w:p>
            <w:pPr>
              <w:spacing w:after="0"/>
              <w:rPr>
                <w:sz w:val="14"/>
                <w:szCs w:val="14"/>
                <w:color w:val="auto"/>
              </w:rPr>
            </w:pPr>
          </w:p>
        </w:tc>
        <w:tc>
          <w:tcPr>
            <w:tcW w:w="640" w:type="dxa"/>
            <w:vAlign w:val="bottom"/>
            <w:gridSpan w:val="2"/>
          </w:tcPr>
          <w:p>
            <w:pPr>
              <w:jc w:val="right"/>
              <w:ind w:right="320"/>
              <w:spacing w:after="0"/>
              <w:rPr>
                <w:sz w:val="20"/>
                <w:szCs w:val="20"/>
                <w:color w:val="auto"/>
              </w:rPr>
            </w:pPr>
            <w:r>
              <w:rPr>
                <w:rFonts w:ascii="Arial" w:cs="Arial" w:eastAsia="Arial" w:hAnsi="Arial"/>
                <w:sz w:val="14"/>
                <w:szCs w:val="14"/>
                <w:b w:val="1"/>
                <w:bCs w:val="1"/>
                <w:color w:val="auto"/>
                <w:w w:val="96"/>
              </w:rPr>
              <w:t>High</w:t>
            </w:r>
          </w:p>
        </w:tc>
        <w:tc>
          <w:tcPr>
            <w:tcW w:w="120" w:type="dxa"/>
            <w:vAlign w:val="bottom"/>
          </w:tcPr>
          <w:p>
            <w:pPr>
              <w:spacing w:after="0"/>
              <w:rPr>
                <w:sz w:val="14"/>
                <w:szCs w:val="14"/>
                <w:color w:val="auto"/>
              </w:rPr>
            </w:pPr>
          </w:p>
        </w:tc>
        <w:tc>
          <w:tcPr>
            <w:tcW w:w="580" w:type="dxa"/>
            <w:vAlign w:val="bottom"/>
            <w:gridSpan w:val="2"/>
          </w:tcPr>
          <w:p>
            <w:pPr>
              <w:ind w:left="20"/>
              <w:spacing w:after="0"/>
              <w:rPr>
                <w:sz w:val="20"/>
                <w:szCs w:val="20"/>
                <w:color w:val="auto"/>
              </w:rPr>
            </w:pPr>
            <w:r>
              <w:rPr>
                <w:rFonts w:ascii="Arial" w:cs="Arial" w:eastAsia="Arial" w:hAnsi="Arial"/>
                <w:sz w:val="14"/>
                <w:szCs w:val="14"/>
                <w:b w:val="1"/>
                <w:bCs w:val="1"/>
                <w:color w:val="auto"/>
              </w:rPr>
              <w:t>Low</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454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534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Year Ended December 31, 2010</w:t>
            </w:r>
          </w:p>
        </w:tc>
        <w:tc>
          <w:tcPr>
            <w:tcW w:w="14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40" w:type="dxa"/>
            <w:vAlign w:val="bottom"/>
            <w:gridSpan w:val="2"/>
          </w:tcPr>
          <w:p>
            <w:pPr>
              <w:ind w:left="100"/>
              <w:spacing w:after="0"/>
              <w:rPr>
                <w:sz w:val="20"/>
                <w:szCs w:val="20"/>
                <w:color w:val="auto"/>
              </w:rPr>
            </w:pPr>
            <w:r>
              <w:rPr>
                <w:rFonts w:ascii="Arial" w:cs="Arial" w:eastAsia="Arial" w:hAnsi="Arial"/>
                <w:sz w:val="18"/>
                <w:szCs w:val="18"/>
                <w:color w:val="auto"/>
              </w:rPr>
              <w:t>First Quarter</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gridSpan w:val="2"/>
          </w:tcPr>
          <w:p>
            <w:pPr>
              <w:jc w:val="right"/>
              <w:ind w:right="160"/>
              <w:spacing w:after="0"/>
              <w:rPr>
                <w:sz w:val="20"/>
                <w:szCs w:val="20"/>
                <w:color w:val="auto"/>
              </w:rPr>
            </w:pPr>
            <w:r>
              <w:rPr>
                <w:rFonts w:ascii="Arial" w:cs="Arial" w:eastAsia="Arial" w:hAnsi="Arial"/>
                <w:sz w:val="18"/>
                <w:szCs w:val="18"/>
                <w:color w:val="auto"/>
              </w:rPr>
              <w:t>6.48</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580" w:type="dxa"/>
            <w:vAlign w:val="bottom"/>
            <w:gridSpan w:val="2"/>
          </w:tcPr>
          <w:p>
            <w:pPr>
              <w:jc w:val="right"/>
              <w:ind w:right="160"/>
              <w:spacing w:after="0"/>
              <w:rPr>
                <w:sz w:val="20"/>
                <w:szCs w:val="20"/>
                <w:color w:val="auto"/>
              </w:rPr>
            </w:pPr>
            <w:r>
              <w:rPr>
                <w:rFonts w:ascii="Arial" w:cs="Arial" w:eastAsia="Arial" w:hAnsi="Arial"/>
                <w:sz w:val="18"/>
                <w:szCs w:val="18"/>
                <w:color w:val="auto"/>
              </w:rPr>
              <w:t>4.35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4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Second Quarter</w:t>
            </w:r>
          </w:p>
        </w:tc>
        <w:tc>
          <w:tcPr>
            <w:tcW w:w="1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9.49</w:t>
            </w:r>
          </w:p>
        </w:tc>
        <w:tc>
          <w:tcPr>
            <w:tcW w:w="12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4.53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40" w:type="dxa"/>
            <w:vAlign w:val="bottom"/>
            <w:gridSpan w:val="2"/>
          </w:tcPr>
          <w:p>
            <w:pPr>
              <w:ind w:left="100"/>
              <w:spacing w:after="0"/>
              <w:rPr>
                <w:sz w:val="20"/>
                <w:szCs w:val="20"/>
                <w:color w:val="auto"/>
              </w:rPr>
            </w:pPr>
            <w:r>
              <w:rPr>
                <w:rFonts w:ascii="Arial" w:cs="Arial" w:eastAsia="Arial" w:hAnsi="Arial"/>
                <w:sz w:val="18"/>
                <w:szCs w:val="18"/>
                <w:color w:val="auto"/>
              </w:rPr>
              <w:t>Third Quarter</w:t>
            </w:r>
          </w:p>
        </w:tc>
        <w:tc>
          <w:tcPr>
            <w:tcW w:w="140" w:type="dxa"/>
            <w:vAlign w:val="bottom"/>
          </w:tcPr>
          <w:p>
            <w:pPr>
              <w:spacing w:after="0"/>
              <w:rPr>
                <w:sz w:val="18"/>
                <w:szCs w:val="18"/>
                <w:color w:val="auto"/>
              </w:rPr>
            </w:pPr>
          </w:p>
        </w:tc>
        <w:tc>
          <w:tcPr>
            <w:tcW w:w="640" w:type="dxa"/>
            <w:vAlign w:val="bottom"/>
            <w:gridSpan w:val="2"/>
          </w:tcPr>
          <w:p>
            <w:pPr>
              <w:jc w:val="right"/>
              <w:ind w:right="160"/>
              <w:spacing w:after="0"/>
              <w:rPr>
                <w:sz w:val="20"/>
                <w:szCs w:val="20"/>
                <w:color w:val="auto"/>
              </w:rPr>
            </w:pPr>
            <w:r>
              <w:rPr>
                <w:rFonts w:ascii="Arial" w:cs="Arial" w:eastAsia="Arial" w:hAnsi="Arial"/>
                <w:sz w:val="18"/>
                <w:szCs w:val="18"/>
                <w:color w:val="auto"/>
              </w:rPr>
              <w:t>5.59</w:t>
            </w:r>
          </w:p>
        </w:tc>
        <w:tc>
          <w:tcPr>
            <w:tcW w:w="120" w:type="dxa"/>
            <w:vAlign w:val="bottom"/>
          </w:tcPr>
          <w:p>
            <w:pPr>
              <w:spacing w:after="0"/>
              <w:rPr>
                <w:sz w:val="18"/>
                <w:szCs w:val="18"/>
                <w:color w:val="auto"/>
              </w:rPr>
            </w:pPr>
          </w:p>
        </w:tc>
        <w:tc>
          <w:tcPr>
            <w:tcW w:w="580" w:type="dxa"/>
            <w:vAlign w:val="bottom"/>
            <w:gridSpan w:val="2"/>
          </w:tcPr>
          <w:p>
            <w:pPr>
              <w:jc w:val="right"/>
              <w:ind w:right="160"/>
              <w:spacing w:after="0"/>
              <w:rPr>
                <w:sz w:val="20"/>
                <w:szCs w:val="20"/>
                <w:color w:val="auto"/>
              </w:rPr>
            </w:pPr>
            <w:r>
              <w:rPr>
                <w:rFonts w:ascii="Arial" w:cs="Arial" w:eastAsia="Arial" w:hAnsi="Arial"/>
                <w:sz w:val="18"/>
                <w:szCs w:val="18"/>
                <w:color w:val="auto"/>
              </w:rPr>
              <w:t>2.91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4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Fourth Quarter</w:t>
            </w:r>
          </w:p>
        </w:tc>
        <w:tc>
          <w:tcPr>
            <w:tcW w:w="1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4.98</w:t>
            </w:r>
          </w:p>
        </w:tc>
        <w:tc>
          <w:tcPr>
            <w:tcW w:w="12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3.90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40" w:type="dxa"/>
            <w:vAlign w:val="bottom"/>
            <w:gridSpan w:val="2"/>
          </w:tcPr>
          <w:p>
            <w:pPr>
              <w:spacing w:after="0"/>
              <w:rPr>
                <w:sz w:val="20"/>
                <w:szCs w:val="20"/>
                <w:color w:val="auto"/>
              </w:rPr>
            </w:pPr>
            <w:r>
              <w:rPr>
                <w:rFonts w:ascii="Arial" w:cs="Arial" w:eastAsia="Arial" w:hAnsi="Arial"/>
                <w:sz w:val="18"/>
                <w:szCs w:val="18"/>
                <w:b w:val="1"/>
                <w:bCs w:val="1"/>
                <w:color w:val="auto"/>
              </w:rPr>
              <w:t>Year Ended December 31, 2009</w:t>
            </w:r>
          </w:p>
        </w:tc>
        <w:tc>
          <w:tcPr>
            <w:tcW w:w="1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4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First Quarter</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11.75</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5.13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40" w:type="dxa"/>
            <w:vAlign w:val="bottom"/>
            <w:gridSpan w:val="2"/>
          </w:tcPr>
          <w:p>
            <w:pPr>
              <w:ind w:left="100"/>
              <w:spacing w:after="0"/>
              <w:rPr>
                <w:sz w:val="20"/>
                <w:szCs w:val="20"/>
                <w:color w:val="auto"/>
              </w:rPr>
            </w:pPr>
            <w:r>
              <w:rPr>
                <w:rFonts w:ascii="Arial" w:cs="Arial" w:eastAsia="Arial" w:hAnsi="Arial"/>
                <w:sz w:val="18"/>
                <w:szCs w:val="18"/>
                <w:color w:val="auto"/>
              </w:rPr>
              <w:t>Second Quarter</w:t>
            </w:r>
          </w:p>
        </w:tc>
        <w:tc>
          <w:tcPr>
            <w:tcW w:w="140" w:type="dxa"/>
            <w:vAlign w:val="bottom"/>
          </w:tcPr>
          <w:p>
            <w:pPr>
              <w:spacing w:after="0"/>
              <w:rPr>
                <w:sz w:val="18"/>
                <w:szCs w:val="18"/>
                <w:color w:val="auto"/>
              </w:rPr>
            </w:pPr>
          </w:p>
        </w:tc>
        <w:tc>
          <w:tcPr>
            <w:tcW w:w="640" w:type="dxa"/>
            <w:vAlign w:val="bottom"/>
            <w:gridSpan w:val="2"/>
          </w:tcPr>
          <w:p>
            <w:pPr>
              <w:jc w:val="right"/>
              <w:ind w:right="160"/>
              <w:spacing w:after="0"/>
              <w:rPr>
                <w:sz w:val="20"/>
                <w:szCs w:val="20"/>
                <w:color w:val="auto"/>
              </w:rPr>
            </w:pPr>
            <w:r>
              <w:rPr>
                <w:rFonts w:ascii="Arial" w:cs="Arial" w:eastAsia="Arial" w:hAnsi="Arial"/>
                <w:sz w:val="18"/>
                <w:szCs w:val="18"/>
                <w:color w:val="auto"/>
              </w:rPr>
              <w:t>14.19</w:t>
            </w:r>
          </w:p>
        </w:tc>
        <w:tc>
          <w:tcPr>
            <w:tcW w:w="120" w:type="dxa"/>
            <w:vAlign w:val="bottom"/>
          </w:tcPr>
          <w:p>
            <w:pPr>
              <w:spacing w:after="0"/>
              <w:rPr>
                <w:sz w:val="18"/>
                <w:szCs w:val="18"/>
                <w:color w:val="auto"/>
              </w:rPr>
            </w:pPr>
          </w:p>
        </w:tc>
        <w:tc>
          <w:tcPr>
            <w:tcW w:w="580" w:type="dxa"/>
            <w:vAlign w:val="bottom"/>
            <w:gridSpan w:val="2"/>
          </w:tcPr>
          <w:p>
            <w:pPr>
              <w:jc w:val="right"/>
              <w:ind w:right="160"/>
              <w:spacing w:after="0"/>
              <w:rPr>
                <w:sz w:val="20"/>
                <w:szCs w:val="20"/>
                <w:color w:val="auto"/>
              </w:rPr>
            </w:pPr>
            <w:r>
              <w:rPr>
                <w:rFonts w:ascii="Arial" w:cs="Arial" w:eastAsia="Arial" w:hAnsi="Arial"/>
                <w:sz w:val="18"/>
                <w:szCs w:val="18"/>
                <w:color w:val="auto"/>
              </w:rPr>
              <w:t>6.28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4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Third Quarter</w:t>
            </w:r>
          </w:p>
        </w:tc>
        <w:tc>
          <w:tcPr>
            <w:tcW w:w="1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8.10</w:t>
            </w:r>
          </w:p>
        </w:tc>
        <w:tc>
          <w:tcPr>
            <w:tcW w:w="12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4.80</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5340" w:type="dxa"/>
            <w:vAlign w:val="bottom"/>
            <w:gridSpan w:val="2"/>
          </w:tcPr>
          <w:p>
            <w:pPr>
              <w:ind w:left="100"/>
              <w:spacing w:after="0"/>
              <w:rPr>
                <w:sz w:val="20"/>
                <w:szCs w:val="20"/>
                <w:color w:val="auto"/>
              </w:rPr>
            </w:pPr>
            <w:r>
              <w:rPr>
                <w:rFonts w:ascii="Arial" w:cs="Arial" w:eastAsia="Arial" w:hAnsi="Arial"/>
                <w:sz w:val="18"/>
                <w:szCs w:val="18"/>
                <w:color w:val="auto"/>
              </w:rPr>
              <w:t>Fourth Quarter</w:t>
            </w:r>
          </w:p>
        </w:tc>
        <w:tc>
          <w:tcPr>
            <w:tcW w:w="140" w:type="dxa"/>
            <w:vAlign w:val="bottom"/>
          </w:tcPr>
          <w:p>
            <w:pPr>
              <w:spacing w:after="0"/>
              <w:rPr>
                <w:sz w:val="19"/>
                <w:szCs w:val="19"/>
                <w:color w:val="auto"/>
              </w:rPr>
            </w:pPr>
          </w:p>
        </w:tc>
        <w:tc>
          <w:tcPr>
            <w:tcW w:w="640" w:type="dxa"/>
            <w:vAlign w:val="bottom"/>
            <w:gridSpan w:val="2"/>
          </w:tcPr>
          <w:p>
            <w:pPr>
              <w:jc w:val="right"/>
              <w:ind w:right="160"/>
              <w:spacing w:after="0"/>
              <w:rPr>
                <w:sz w:val="20"/>
                <w:szCs w:val="20"/>
                <w:color w:val="auto"/>
              </w:rPr>
            </w:pPr>
            <w:r>
              <w:rPr>
                <w:rFonts w:ascii="Arial" w:cs="Arial" w:eastAsia="Arial" w:hAnsi="Arial"/>
                <w:sz w:val="18"/>
                <w:szCs w:val="18"/>
                <w:color w:val="auto"/>
              </w:rPr>
              <w:t>5.75</w:t>
            </w:r>
          </w:p>
        </w:tc>
        <w:tc>
          <w:tcPr>
            <w:tcW w:w="120" w:type="dxa"/>
            <w:vAlign w:val="bottom"/>
          </w:tcPr>
          <w:p>
            <w:pPr>
              <w:spacing w:after="0"/>
              <w:rPr>
                <w:sz w:val="19"/>
                <w:szCs w:val="19"/>
                <w:color w:val="auto"/>
              </w:rPr>
            </w:pPr>
          </w:p>
        </w:tc>
        <w:tc>
          <w:tcPr>
            <w:tcW w:w="580" w:type="dxa"/>
            <w:vAlign w:val="bottom"/>
            <w:gridSpan w:val="2"/>
          </w:tcPr>
          <w:p>
            <w:pPr>
              <w:jc w:val="right"/>
              <w:ind w:right="160"/>
              <w:spacing w:after="0"/>
              <w:rPr>
                <w:sz w:val="20"/>
                <w:szCs w:val="20"/>
                <w:color w:val="auto"/>
              </w:rPr>
            </w:pPr>
            <w:r>
              <w:rPr>
                <w:rFonts w:ascii="Arial" w:cs="Arial" w:eastAsia="Arial" w:hAnsi="Arial"/>
                <w:sz w:val="18"/>
                <w:szCs w:val="18"/>
                <w:color w:val="auto"/>
              </w:rPr>
              <w:t>4.16</w:t>
            </w:r>
          </w:p>
        </w:tc>
        <w:tc>
          <w:tcPr>
            <w:tcW w:w="0" w:type="dxa"/>
            <w:vAlign w:val="bottom"/>
          </w:tcPr>
          <w:p>
            <w:pPr>
              <w:spacing w:after="0"/>
              <w:rPr>
                <w:sz w:val="1"/>
                <w:szCs w:val="1"/>
                <w:color w:val="auto"/>
              </w:rPr>
            </w:pPr>
          </w:p>
        </w:tc>
      </w:tr>
    </w:tbl>
    <w:p>
      <w:pPr>
        <w:spacing w:after="0" w:line="201" w:lineRule="exact"/>
        <w:rPr>
          <w:sz w:val="20"/>
          <w:szCs w:val="20"/>
          <w:color w:val="auto"/>
        </w:rPr>
      </w:pPr>
    </w:p>
    <w:p>
      <w:pPr>
        <w:ind w:right="40" w:firstLine="341"/>
        <w:spacing w:after="0" w:line="259" w:lineRule="auto"/>
        <w:rPr>
          <w:sz w:val="20"/>
          <w:szCs w:val="20"/>
          <w:color w:val="auto"/>
        </w:rPr>
      </w:pPr>
      <w:r>
        <w:rPr>
          <w:rFonts w:ascii="Arial" w:cs="Arial" w:eastAsia="Arial" w:hAnsi="Arial"/>
          <w:sz w:val="18"/>
          <w:szCs w:val="18"/>
          <w:color w:val="auto"/>
        </w:rPr>
        <w:t>As of February 28, 2011, there were approximately 723 shareholders of record of our common stock. On February 28, 2011 the closing price of our common stock, as reported by NASDAQ, was $3.94 per share. We have not paid any dividends on our common stock since our inception and do not intend to pay any dividends in the foreseeable future.</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Equity Compensation Plan Information</w:t>
      </w:r>
    </w:p>
    <w:p>
      <w:pPr>
        <w:spacing w:after="0" w:line="231" w:lineRule="exact"/>
        <w:rPr>
          <w:sz w:val="20"/>
          <w:szCs w:val="20"/>
          <w:color w:val="auto"/>
        </w:rPr>
      </w:pPr>
    </w:p>
    <w:p>
      <w:pPr>
        <w:ind w:right="200" w:firstLine="348"/>
        <w:spacing w:after="0" w:line="259" w:lineRule="auto"/>
        <w:rPr>
          <w:sz w:val="20"/>
          <w:szCs w:val="20"/>
          <w:color w:val="auto"/>
        </w:rPr>
      </w:pPr>
      <w:r>
        <w:rPr>
          <w:rFonts w:ascii="Arial" w:cs="Arial" w:eastAsia="Arial" w:hAnsi="Arial"/>
          <w:sz w:val="18"/>
          <w:szCs w:val="18"/>
          <w:color w:val="auto"/>
        </w:rPr>
        <w:t>The following table provides information as of December 31, 2010 regarding shares of our common stock that may be issued under our existing equity compensation plans, including Celldex's 2008 Stock Option and Incentive Plan (the "2008 Plan") and Celldex's 2004 Employee Stock Purchase Plan (the "2004 Plan").</w:t>
      </w:r>
    </w:p>
    <w:p>
      <w:pPr>
        <w:spacing w:after="0" w:line="24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160" w:type="dxa"/>
            <w:vAlign w:val="bottom"/>
          </w:tcPr>
          <w:p>
            <w:pPr>
              <w:spacing w:after="0"/>
              <w:rPr>
                <w:sz w:val="14"/>
                <w:szCs w:val="14"/>
                <w:color w:val="auto"/>
              </w:rPr>
            </w:pPr>
          </w:p>
        </w:tc>
        <w:tc>
          <w:tcPr>
            <w:tcW w:w="1840" w:type="dxa"/>
            <w:vAlign w:val="bottom"/>
          </w:tcPr>
          <w:p>
            <w:pPr>
              <w:spacing w:after="0"/>
              <w:rPr>
                <w:sz w:val="14"/>
                <w:szCs w:val="14"/>
                <w:color w:val="auto"/>
              </w:rPr>
            </w:pPr>
          </w:p>
        </w:tc>
        <w:tc>
          <w:tcPr>
            <w:tcW w:w="1780" w:type="dxa"/>
            <w:vAlign w:val="bottom"/>
          </w:tcPr>
          <w:p>
            <w:pPr>
              <w:spacing w:after="0"/>
              <w:rPr>
                <w:sz w:val="14"/>
                <w:szCs w:val="14"/>
                <w:color w:val="auto"/>
              </w:rPr>
            </w:pPr>
          </w:p>
        </w:tc>
        <w:tc>
          <w:tcPr>
            <w:tcW w:w="5580" w:type="dxa"/>
            <w:vAlign w:val="bottom"/>
            <w:gridSpan w:val="7"/>
          </w:tcPr>
          <w:p>
            <w:pPr>
              <w:jc w:val="right"/>
              <w:ind w:right="1760"/>
              <w:spacing w:after="0"/>
              <w:rPr>
                <w:sz w:val="20"/>
                <w:szCs w:val="20"/>
                <w:color w:val="auto"/>
              </w:rPr>
            </w:pPr>
            <w:r>
              <w:rPr>
                <w:rFonts w:ascii="Arial" w:cs="Arial" w:eastAsia="Arial" w:hAnsi="Arial"/>
                <w:sz w:val="14"/>
                <w:szCs w:val="14"/>
                <w:b w:val="1"/>
                <w:bCs w:val="1"/>
                <w:color w:val="auto"/>
              </w:rPr>
              <w:t>Equity Compensation Plan Information</w:t>
            </w:r>
          </w:p>
        </w:tc>
      </w:tr>
      <w:tr>
        <w:trPr>
          <w:trHeight w:val="129"/>
        </w:trPr>
        <w:tc>
          <w:tcPr>
            <w:tcW w:w="1160" w:type="dxa"/>
            <w:vAlign w:val="bottom"/>
          </w:tcPr>
          <w:p>
            <w:pPr>
              <w:spacing w:after="0"/>
              <w:rPr>
                <w:sz w:val="11"/>
                <w:szCs w:val="11"/>
                <w:color w:val="auto"/>
              </w:rPr>
            </w:pPr>
          </w:p>
        </w:tc>
        <w:tc>
          <w:tcPr>
            <w:tcW w:w="1840" w:type="dxa"/>
            <w:vAlign w:val="bottom"/>
          </w:tcPr>
          <w:p>
            <w:pPr>
              <w:spacing w:after="0"/>
              <w:rPr>
                <w:sz w:val="11"/>
                <w:szCs w:val="11"/>
                <w:color w:val="auto"/>
              </w:rPr>
            </w:pPr>
          </w:p>
        </w:tc>
        <w:tc>
          <w:tcPr>
            <w:tcW w:w="1780" w:type="dxa"/>
            <w:vAlign w:val="bottom"/>
          </w:tcPr>
          <w:p>
            <w:pPr>
              <w:spacing w:after="0"/>
              <w:rPr>
                <w:sz w:val="11"/>
                <w:szCs w:val="11"/>
                <w:color w:val="auto"/>
              </w:rPr>
            </w:pPr>
          </w:p>
        </w:tc>
        <w:tc>
          <w:tcPr>
            <w:tcW w:w="1780" w:type="dxa"/>
            <w:vAlign w:val="bottom"/>
            <w:tcBorders>
              <w:top w:val="single" w:sz="8" w:color="auto"/>
            </w:tcBorders>
          </w:tcPr>
          <w:p>
            <w:pPr>
              <w:spacing w:after="0"/>
              <w:rPr>
                <w:sz w:val="11"/>
                <w:szCs w:val="11"/>
                <w:color w:val="auto"/>
              </w:rPr>
            </w:pPr>
          </w:p>
        </w:tc>
        <w:tc>
          <w:tcPr>
            <w:tcW w:w="220" w:type="dxa"/>
            <w:vAlign w:val="bottom"/>
            <w:tcBorders>
              <w:top w:val="single" w:sz="8" w:color="auto"/>
            </w:tcBorders>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1260" w:type="dxa"/>
            <w:vAlign w:val="bottom"/>
            <w:tcBorders>
              <w:top w:val="single" w:sz="8" w:color="auto"/>
            </w:tcBorders>
          </w:tcPr>
          <w:p>
            <w:pPr>
              <w:spacing w:after="0"/>
              <w:rPr>
                <w:sz w:val="11"/>
                <w:szCs w:val="11"/>
                <w:color w:val="auto"/>
              </w:rPr>
            </w:pPr>
          </w:p>
        </w:tc>
        <w:tc>
          <w:tcPr>
            <w:tcW w:w="160" w:type="dxa"/>
            <w:vAlign w:val="bottom"/>
            <w:tcBorders>
              <w:top w:val="single" w:sz="8" w:color="auto"/>
            </w:tcBorders>
          </w:tcPr>
          <w:p>
            <w:pPr>
              <w:spacing w:after="0"/>
              <w:rPr>
                <w:sz w:val="11"/>
                <w:szCs w:val="11"/>
                <w:color w:val="auto"/>
              </w:rPr>
            </w:pPr>
          </w:p>
        </w:tc>
        <w:tc>
          <w:tcPr>
            <w:tcW w:w="1860" w:type="dxa"/>
            <w:vAlign w:val="bottom"/>
            <w:tcBorders>
              <w:top w:val="single" w:sz="8" w:color="auto"/>
            </w:tcBorders>
          </w:tcPr>
          <w:p>
            <w:pPr>
              <w:jc w:val="center"/>
              <w:spacing w:after="0" w:line="129" w:lineRule="exact"/>
              <w:rPr>
                <w:sz w:val="20"/>
                <w:szCs w:val="20"/>
                <w:color w:val="auto"/>
              </w:rPr>
            </w:pPr>
            <w:r>
              <w:rPr>
                <w:rFonts w:ascii="Arial" w:cs="Arial" w:eastAsia="Arial" w:hAnsi="Arial"/>
                <w:sz w:val="14"/>
                <w:szCs w:val="14"/>
                <w:b w:val="1"/>
                <w:bCs w:val="1"/>
                <w:color w:val="auto"/>
                <w:w w:val="86"/>
              </w:rPr>
              <w:t>Number of securities</w:t>
            </w:r>
          </w:p>
        </w:tc>
        <w:tc>
          <w:tcPr>
            <w:tcW w:w="220" w:type="dxa"/>
            <w:vAlign w:val="bottom"/>
          </w:tcPr>
          <w:p>
            <w:pPr>
              <w:spacing w:after="0"/>
              <w:rPr>
                <w:sz w:val="11"/>
                <w:szCs w:val="11"/>
                <w:color w:val="auto"/>
              </w:rPr>
            </w:pPr>
          </w:p>
        </w:tc>
      </w:tr>
      <w:tr>
        <w:trPr>
          <w:trHeight w:val="149"/>
        </w:trPr>
        <w:tc>
          <w:tcPr>
            <w:tcW w:w="1160" w:type="dxa"/>
            <w:vAlign w:val="bottom"/>
          </w:tcPr>
          <w:p>
            <w:pPr>
              <w:spacing w:after="0"/>
              <w:rPr>
                <w:sz w:val="12"/>
                <w:szCs w:val="12"/>
                <w:color w:val="auto"/>
              </w:rPr>
            </w:pPr>
          </w:p>
        </w:tc>
        <w:tc>
          <w:tcPr>
            <w:tcW w:w="1840" w:type="dxa"/>
            <w:vAlign w:val="bottom"/>
          </w:tcPr>
          <w:p>
            <w:pPr>
              <w:spacing w:after="0"/>
              <w:rPr>
                <w:sz w:val="12"/>
                <w:szCs w:val="12"/>
                <w:color w:val="auto"/>
              </w:rPr>
            </w:pPr>
          </w:p>
        </w:tc>
        <w:tc>
          <w:tcPr>
            <w:tcW w:w="1780" w:type="dxa"/>
            <w:vAlign w:val="bottom"/>
          </w:tcPr>
          <w:p>
            <w:pPr>
              <w:spacing w:after="0"/>
              <w:rPr>
                <w:sz w:val="12"/>
                <w:szCs w:val="12"/>
                <w:color w:val="auto"/>
              </w:rPr>
            </w:pPr>
          </w:p>
        </w:tc>
        <w:tc>
          <w:tcPr>
            <w:tcW w:w="17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08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89"/>
              </w:rPr>
              <w:t>remaining available for</w:t>
            </w:r>
          </w:p>
        </w:tc>
      </w:tr>
      <w:tr>
        <w:trPr>
          <w:trHeight w:val="149"/>
        </w:trPr>
        <w:tc>
          <w:tcPr>
            <w:tcW w:w="1160" w:type="dxa"/>
            <w:vAlign w:val="bottom"/>
          </w:tcPr>
          <w:p>
            <w:pPr>
              <w:spacing w:after="0"/>
              <w:rPr>
                <w:sz w:val="12"/>
                <w:szCs w:val="12"/>
                <w:color w:val="auto"/>
              </w:rPr>
            </w:pPr>
          </w:p>
        </w:tc>
        <w:tc>
          <w:tcPr>
            <w:tcW w:w="1840" w:type="dxa"/>
            <w:vAlign w:val="bottom"/>
          </w:tcPr>
          <w:p>
            <w:pPr>
              <w:spacing w:after="0"/>
              <w:rPr>
                <w:sz w:val="12"/>
                <w:szCs w:val="12"/>
                <w:color w:val="auto"/>
              </w:rPr>
            </w:pPr>
          </w:p>
        </w:tc>
        <w:tc>
          <w:tcPr>
            <w:tcW w:w="1780" w:type="dxa"/>
            <w:vAlign w:val="bottom"/>
          </w:tcPr>
          <w:p>
            <w:pPr>
              <w:spacing w:after="0"/>
              <w:rPr>
                <w:sz w:val="12"/>
                <w:szCs w:val="12"/>
                <w:color w:val="auto"/>
              </w:rPr>
            </w:pPr>
          </w:p>
        </w:tc>
        <w:tc>
          <w:tcPr>
            <w:tcW w:w="2080" w:type="dxa"/>
            <w:vAlign w:val="bottom"/>
            <w:gridSpan w:val="3"/>
          </w:tcPr>
          <w:p>
            <w:pPr>
              <w:jc w:val="center"/>
              <w:ind w:right="320"/>
              <w:spacing w:after="0" w:line="149" w:lineRule="exact"/>
              <w:rPr>
                <w:sz w:val="20"/>
                <w:szCs w:val="20"/>
                <w:color w:val="auto"/>
              </w:rPr>
            </w:pPr>
            <w:r>
              <w:rPr>
                <w:rFonts w:ascii="Arial" w:cs="Arial" w:eastAsia="Arial" w:hAnsi="Arial"/>
                <w:sz w:val="14"/>
                <w:szCs w:val="14"/>
                <w:b w:val="1"/>
                <w:bCs w:val="1"/>
                <w:color w:val="auto"/>
                <w:w w:val="86"/>
              </w:rPr>
              <w:t>Number of securities</w:t>
            </w:r>
          </w:p>
        </w:tc>
        <w:tc>
          <w:tcPr>
            <w:tcW w:w="1260" w:type="dxa"/>
            <w:vAlign w:val="bottom"/>
          </w:tcPr>
          <w:p>
            <w:pPr>
              <w:jc w:val="center"/>
              <w:ind w:right="29"/>
              <w:spacing w:after="0" w:line="149" w:lineRule="exact"/>
              <w:rPr>
                <w:sz w:val="20"/>
                <w:szCs w:val="20"/>
                <w:color w:val="auto"/>
              </w:rPr>
            </w:pPr>
            <w:r>
              <w:rPr>
                <w:rFonts w:ascii="Arial" w:cs="Arial" w:eastAsia="Arial" w:hAnsi="Arial"/>
                <w:sz w:val="14"/>
                <w:szCs w:val="14"/>
                <w:b w:val="1"/>
                <w:bCs w:val="1"/>
                <w:color w:val="auto"/>
                <w:w w:val="85"/>
              </w:rPr>
              <w:t>Weighted Average</w:t>
            </w:r>
          </w:p>
        </w:tc>
        <w:tc>
          <w:tcPr>
            <w:tcW w:w="160" w:type="dxa"/>
            <w:vAlign w:val="bottom"/>
          </w:tcPr>
          <w:p>
            <w:pPr>
              <w:spacing w:after="0"/>
              <w:rPr>
                <w:sz w:val="12"/>
                <w:szCs w:val="12"/>
                <w:color w:val="auto"/>
              </w:rPr>
            </w:pPr>
          </w:p>
        </w:tc>
        <w:tc>
          <w:tcPr>
            <w:tcW w:w="208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85"/>
              </w:rPr>
              <w:t>future issuance under equity</w:t>
            </w:r>
          </w:p>
        </w:tc>
      </w:tr>
      <w:tr>
        <w:trPr>
          <w:trHeight w:val="149"/>
        </w:trPr>
        <w:tc>
          <w:tcPr>
            <w:tcW w:w="1160" w:type="dxa"/>
            <w:vAlign w:val="bottom"/>
          </w:tcPr>
          <w:p>
            <w:pPr>
              <w:spacing w:after="0"/>
              <w:rPr>
                <w:sz w:val="12"/>
                <w:szCs w:val="12"/>
                <w:color w:val="auto"/>
              </w:rPr>
            </w:pPr>
          </w:p>
        </w:tc>
        <w:tc>
          <w:tcPr>
            <w:tcW w:w="1840" w:type="dxa"/>
            <w:vAlign w:val="bottom"/>
          </w:tcPr>
          <w:p>
            <w:pPr>
              <w:spacing w:after="0"/>
              <w:rPr>
                <w:sz w:val="12"/>
                <w:szCs w:val="12"/>
                <w:color w:val="auto"/>
              </w:rPr>
            </w:pPr>
          </w:p>
        </w:tc>
        <w:tc>
          <w:tcPr>
            <w:tcW w:w="1780" w:type="dxa"/>
            <w:vAlign w:val="bottom"/>
          </w:tcPr>
          <w:p>
            <w:pPr>
              <w:spacing w:after="0"/>
              <w:rPr>
                <w:sz w:val="12"/>
                <w:szCs w:val="12"/>
                <w:color w:val="auto"/>
              </w:rPr>
            </w:pPr>
          </w:p>
        </w:tc>
        <w:tc>
          <w:tcPr>
            <w:tcW w:w="2080" w:type="dxa"/>
            <w:vAlign w:val="bottom"/>
            <w:gridSpan w:val="3"/>
          </w:tcPr>
          <w:p>
            <w:pPr>
              <w:jc w:val="center"/>
              <w:ind w:right="320"/>
              <w:spacing w:after="0" w:line="149" w:lineRule="exact"/>
              <w:rPr>
                <w:sz w:val="20"/>
                <w:szCs w:val="20"/>
                <w:color w:val="auto"/>
              </w:rPr>
            </w:pPr>
            <w:r>
              <w:rPr>
                <w:rFonts w:ascii="Arial" w:cs="Arial" w:eastAsia="Arial" w:hAnsi="Arial"/>
                <w:sz w:val="14"/>
                <w:szCs w:val="14"/>
                <w:b w:val="1"/>
                <w:bCs w:val="1"/>
                <w:color w:val="auto"/>
                <w:w w:val="82"/>
              </w:rPr>
              <w:t>to be issued upon exercise</w:t>
            </w:r>
          </w:p>
        </w:tc>
        <w:tc>
          <w:tcPr>
            <w:tcW w:w="1260" w:type="dxa"/>
            <w:vAlign w:val="bottom"/>
          </w:tcPr>
          <w:p>
            <w:pPr>
              <w:jc w:val="center"/>
              <w:ind w:right="29"/>
              <w:spacing w:after="0" w:line="149" w:lineRule="exact"/>
              <w:rPr>
                <w:sz w:val="20"/>
                <w:szCs w:val="20"/>
                <w:color w:val="auto"/>
              </w:rPr>
            </w:pPr>
            <w:r>
              <w:rPr>
                <w:rFonts w:ascii="Arial" w:cs="Arial" w:eastAsia="Arial" w:hAnsi="Arial"/>
                <w:sz w:val="14"/>
                <w:szCs w:val="14"/>
                <w:b w:val="1"/>
                <w:bCs w:val="1"/>
                <w:color w:val="auto"/>
                <w:w w:val="83"/>
              </w:rPr>
              <w:t>exercise price of</w:t>
            </w:r>
          </w:p>
        </w:tc>
        <w:tc>
          <w:tcPr>
            <w:tcW w:w="160" w:type="dxa"/>
            <w:vAlign w:val="bottom"/>
          </w:tcPr>
          <w:p>
            <w:pPr>
              <w:spacing w:after="0"/>
              <w:rPr>
                <w:sz w:val="12"/>
                <w:szCs w:val="12"/>
                <w:color w:val="auto"/>
              </w:rPr>
            </w:pPr>
          </w:p>
        </w:tc>
        <w:tc>
          <w:tcPr>
            <w:tcW w:w="208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84"/>
              </w:rPr>
              <w:t>compensation plan</w:t>
            </w:r>
          </w:p>
        </w:tc>
      </w:tr>
      <w:tr>
        <w:trPr>
          <w:trHeight w:val="149"/>
        </w:trPr>
        <w:tc>
          <w:tcPr>
            <w:tcW w:w="1160" w:type="dxa"/>
            <w:vAlign w:val="bottom"/>
          </w:tcPr>
          <w:p>
            <w:pPr>
              <w:spacing w:after="0"/>
              <w:rPr>
                <w:sz w:val="12"/>
                <w:szCs w:val="12"/>
                <w:color w:val="auto"/>
              </w:rPr>
            </w:pPr>
          </w:p>
        </w:tc>
        <w:tc>
          <w:tcPr>
            <w:tcW w:w="1840" w:type="dxa"/>
            <w:vAlign w:val="bottom"/>
          </w:tcPr>
          <w:p>
            <w:pPr>
              <w:spacing w:after="0"/>
              <w:rPr>
                <w:sz w:val="12"/>
                <w:szCs w:val="12"/>
                <w:color w:val="auto"/>
              </w:rPr>
            </w:pPr>
          </w:p>
        </w:tc>
        <w:tc>
          <w:tcPr>
            <w:tcW w:w="1780" w:type="dxa"/>
            <w:vAlign w:val="bottom"/>
          </w:tcPr>
          <w:p>
            <w:pPr>
              <w:spacing w:after="0"/>
              <w:rPr>
                <w:sz w:val="12"/>
                <w:szCs w:val="12"/>
                <w:color w:val="auto"/>
              </w:rPr>
            </w:pPr>
          </w:p>
        </w:tc>
        <w:tc>
          <w:tcPr>
            <w:tcW w:w="2080" w:type="dxa"/>
            <w:vAlign w:val="bottom"/>
            <w:gridSpan w:val="3"/>
          </w:tcPr>
          <w:p>
            <w:pPr>
              <w:jc w:val="center"/>
              <w:ind w:right="300"/>
              <w:spacing w:after="0" w:line="149" w:lineRule="exact"/>
              <w:rPr>
                <w:sz w:val="20"/>
                <w:szCs w:val="20"/>
                <w:color w:val="auto"/>
              </w:rPr>
            </w:pPr>
            <w:r>
              <w:rPr>
                <w:rFonts w:ascii="Arial" w:cs="Arial" w:eastAsia="Arial" w:hAnsi="Arial"/>
                <w:sz w:val="14"/>
                <w:szCs w:val="14"/>
                <w:b w:val="1"/>
                <w:bCs w:val="1"/>
                <w:color w:val="auto"/>
                <w:w w:val="85"/>
              </w:rPr>
              <w:t>of outstanding options and</w:t>
            </w:r>
          </w:p>
        </w:tc>
        <w:tc>
          <w:tcPr>
            <w:tcW w:w="1260" w:type="dxa"/>
            <w:vAlign w:val="bottom"/>
          </w:tcPr>
          <w:p>
            <w:pPr>
              <w:jc w:val="center"/>
              <w:ind w:right="49"/>
              <w:spacing w:after="0" w:line="149" w:lineRule="exact"/>
              <w:rPr>
                <w:sz w:val="20"/>
                <w:szCs w:val="20"/>
                <w:color w:val="auto"/>
              </w:rPr>
            </w:pPr>
            <w:r>
              <w:rPr>
                <w:rFonts w:ascii="Arial" w:cs="Arial" w:eastAsia="Arial" w:hAnsi="Arial"/>
                <w:sz w:val="14"/>
                <w:szCs w:val="14"/>
                <w:b w:val="1"/>
                <w:bCs w:val="1"/>
                <w:color w:val="auto"/>
                <w:w w:val="84"/>
              </w:rPr>
              <w:t>outstanding options</w:t>
            </w:r>
          </w:p>
        </w:tc>
        <w:tc>
          <w:tcPr>
            <w:tcW w:w="160" w:type="dxa"/>
            <w:vAlign w:val="bottom"/>
          </w:tcPr>
          <w:p>
            <w:pPr>
              <w:spacing w:after="0"/>
              <w:rPr>
                <w:sz w:val="12"/>
                <w:szCs w:val="12"/>
                <w:color w:val="auto"/>
              </w:rPr>
            </w:pPr>
          </w:p>
        </w:tc>
        <w:tc>
          <w:tcPr>
            <w:tcW w:w="208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83"/>
              </w:rPr>
              <w:t>(excluding securities</w:t>
            </w:r>
          </w:p>
        </w:tc>
      </w:tr>
      <w:tr>
        <w:trPr>
          <w:trHeight w:val="161"/>
        </w:trPr>
        <w:tc>
          <w:tcPr>
            <w:tcW w:w="1160" w:type="dxa"/>
            <w:vAlign w:val="bottom"/>
          </w:tcPr>
          <w:p>
            <w:pPr>
              <w:spacing w:after="0"/>
              <w:rPr>
                <w:sz w:val="14"/>
                <w:szCs w:val="14"/>
                <w:color w:val="auto"/>
              </w:rPr>
            </w:pPr>
          </w:p>
        </w:tc>
        <w:tc>
          <w:tcPr>
            <w:tcW w:w="1840" w:type="dxa"/>
            <w:vAlign w:val="bottom"/>
          </w:tcPr>
          <w:p>
            <w:pPr>
              <w:spacing w:after="0"/>
              <w:rPr>
                <w:sz w:val="14"/>
                <w:szCs w:val="14"/>
                <w:color w:val="auto"/>
              </w:rPr>
            </w:pPr>
          </w:p>
        </w:tc>
        <w:tc>
          <w:tcPr>
            <w:tcW w:w="1780" w:type="dxa"/>
            <w:vAlign w:val="bottom"/>
          </w:tcPr>
          <w:p>
            <w:pPr>
              <w:spacing w:after="0"/>
              <w:rPr>
                <w:sz w:val="14"/>
                <w:szCs w:val="14"/>
                <w:color w:val="auto"/>
              </w:rPr>
            </w:pPr>
          </w:p>
        </w:tc>
        <w:tc>
          <w:tcPr>
            <w:tcW w:w="2080" w:type="dxa"/>
            <w:vAlign w:val="bottom"/>
            <w:gridSpan w:val="3"/>
          </w:tcPr>
          <w:p>
            <w:pPr>
              <w:jc w:val="center"/>
              <w:ind w:right="300"/>
              <w:spacing w:after="0"/>
              <w:rPr>
                <w:sz w:val="20"/>
                <w:szCs w:val="20"/>
                <w:color w:val="auto"/>
              </w:rPr>
            </w:pPr>
            <w:r>
              <w:rPr>
                <w:rFonts w:ascii="Arial" w:cs="Arial" w:eastAsia="Arial" w:hAnsi="Arial"/>
                <w:sz w:val="14"/>
                <w:szCs w:val="14"/>
                <w:b w:val="1"/>
                <w:bCs w:val="1"/>
                <w:color w:val="auto"/>
                <w:w w:val="89"/>
              </w:rPr>
              <w:t>rights(1)</w:t>
            </w:r>
          </w:p>
        </w:tc>
        <w:tc>
          <w:tcPr>
            <w:tcW w:w="1260" w:type="dxa"/>
            <w:vAlign w:val="bottom"/>
          </w:tcPr>
          <w:p>
            <w:pPr>
              <w:jc w:val="center"/>
              <w:ind w:right="29"/>
              <w:spacing w:after="0"/>
              <w:rPr>
                <w:sz w:val="20"/>
                <w:szCs w:val="20"/>
                <w:color w:val="auto"/>
              </w:rPr>
            </w:pPr>
            <w:r>
              <w:rPr>
                <w:rFonts w:ascii="Arial" w:cs="Arial" w:eastAsia="Arial" w:hAnsi="Arial"/>
                <w:sz w:val="14"/>
                <w:szCs w:val="14"/>
                <w:b w:val="1"/>
                <w:bCs w:val="1"/>
                <w:color w:val="auto"/>
                <w:w w:val="88"/>
              </w:rPr>
              <w:t>and rights</w:t>
            </w:r>
          </w:p>
        </w:tc>
        <w:tc>
          <w:tcPr>
            <w:tcW w:w="160" w:type="dxa"/>
            <w:vAlign w:val="bottom"/>
          </w:tcPr>
          <w:p>
            <w:pPr>
              <w:spacing w:after="0"/>
              <w:rPr>
                <w:sz w:val="14"/>
                <w:szCs w:val="14"/>
                <w:color w:val="auto"/>
              </w:rPr>
            </w:pPr>
          </w:p>
        </w:tc>
        <w:tc>
          <w:tcPr>
            <w:tcW w:w="208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86"/>
              </w:rPr>
              <w:t>referenced in column (a))</w:t>
            </w:r>
          </w:p>
        </w:tc>
      </w:tr>
      <w:tr>
        <w:trPr>
          <w:trHeight w:val="142"/>
        </w:trPr>
        <w:tc>
          <w:tcPr>
            <w:tcW w:w="1160" w:type="dxa"/>
            <w:vAlign w:val="bottom"/>
          </w:tcPr>
          <w:p>
            <w:pPr>
              <w:spacing w:after="0"/>
              <w:rPr>
                <w:sz w:val="12"/>
                <w:szCs w:val="12"/>
                <w:color w:val="auto"/>
              </w:rPr>
            </w:pPr>
          </w:p>
        </w:tc>
        <w:tc>
          <w:tcPr>
            <w:tcW w:w="1840" w:type="dxa"/>
            <w:vAlign w:val="bottom"/>
          </w:tcPr>
          <w:p>
            <w:pPr>
              <w:spacing w:after="0"/>
              <w:rPr>
                <w:sz w:val="12"/>
                <w:szCs w:val="12"/>
                <w:color w:val="auto"/>
              </w:rPr>
            </w:pPr>
          </w:p>
        </w:tc>
        <w:tc>
          <w:tcPr>
            <w:tcW w:w="1780" w:type="dxa"/>
            <w:vAlign w:val="bottom"/>
          </w:tcPr>
          <w:p>
            <w:pPr>
              <w:spacing w:after="0"/>
              <w:rPr>
                <w:sz w:val="12"/>
                <w:szCs w:val="12"/>
                <w:color w:val="auto"/>
              </w:rPr>
            </w:pPr>
          </w:p>
        </w:tc>
        <w:tc>
          <w:tcPr>
            <w:tcW w:w="1780" w:type="dxa"/>
            <w:vAlign w:val="bottom"/>
            <w:tcBorders>
              <w:top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w w:val="93"/>
              </w:rPr>
              <w:t>(a)</w:t>
            </w:r>
          </w:p>
        </w:tc>
        <w:tc>
          <w:tcPr>
            <w:tcW w:w="220" w:type="dxa"/>
            <w:vAlign w:val="bottom"/>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1260" w:type="dxa"/>
            <w:vAlign w:val="bottom"/>
            <w:tcBorders>
              <w:top w:val="single" w:sz="8" w:color="auto"/>
            </w:tcBorders>
          </w:tcPr>
          <w:p>
            <w:pPr>
              <w:jc w:val="center"/>
              <w:ind w:right="29"/>
              <w:spacing w:after="0" w:line="142" w:lineRule="exact"/>
              <w:rPr>
                <w:sz w:val="20"/>
                <w:szCs w:val="20"/>
                <w:color w:val="auto"/>
              </w:rPr>
            </w:pPr>
            <w:r>
              <w:rPr>
                <w:rFonts w:ascii="Arial" w:cs="Arial" w:eastAsia="Arial" w:hAnsi="Arial"/>
                <w:sz w:val="14"/>
                <w:szCs w:val="14"/>
                <w:b w:val="1"/>
                <w:bCs w:val="1"/>
                <w:color w:val="auto"/>
                <w:w w:val="89"/>
              </w:rPr>
              <w:t>(b)</w:t>
            </w:r>
          </w:p>
        </w:tc>
        <w:tc>
          <w:tcPr>
            <w:tcW w:w="160" w:type="dxa"/>
            <w:vAlign w:val="bottom"/>
          </w:tcPr>
          <w:p>
            <w:pPr>
              <w:spacing w:after="0"/>
              <w:rPr>
                <w:sz w:val="12"/>
                <w:szCs w:val="12"/>
                <w:color w:val="auto"/>
              </w:rPr>
            </w:pPr>
          </w:p>
        </w:tc>
        <w:tc>
          <w:tcPr>
            <w:tcW w:w="1860" w:type="dxa"/>
            <w:vAlign w:val="bottom"/>
            <w:tcBorders>
              <w:top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w w:val="93"/>
              </w:rPr>
              <w:t>(c)</w:t>
            </w:r>
          </w:p>
        </w:tc>
        <w:tc>
          <w:tcPr>
            <w:tcW w:w="220" w:type="dxa"/>
            <w:vAlign w:val="bottom"/>
          </w:tcPr>
          <w:p>
            <w:pPr>
              <w:spacing w:after="0"/>
              <w:rPr>
                <w:sz w:val="12"/>
                <w:szCs w:val="12"/>
                <w:color w:val="auto"/>
              </w:rPr>
            </w:pPr>
          </w:p>
        </w:tc>
      </w:tr>
      <w:tr>
        <w:trPr>
          <w:trHeight w:val="208"/>
        </w:trPr>
        <w:tc>
          <w:tcPr>
            <w:tcW w:w="1160" w:type="dxa"/>
            <w:vAlign w:val="bottom"/>
          </w:tcPr>
          <w:p>
            <w:pPr>
              <w:spacing w:after="0"/>
              <w:rPr>
                <w:sz w:val="18"/>
                <w:szCs w:val="18"/>
                <w:color w:val="auto"/>
              </w:rPr>
            </w:pPr>
          </w:p>
        </w:tc>
        <w:tc>
          <w:tcPr>
            <w:tcW w:w="3620" w:type="dxa"/>
            <w:vAlign w:val="bottom"/>
            <w:gridSpan w:val="2"/>
            <w:shd w:val="clear" w:color="auto" w:fill="CCEEFF"/>
          </w:tcPr>
          <w:p>
            <w:pPr>
              <w:spacing w:after="0"/>
              <w:rPr>
                <w:sz w:val="20"/>
                <w:szCs w:val="20"/>
                <w:color w:val="auto"/>
              </w:rPr>
            </w:pPr>
            <w:r>
              <w:rPr>
                <w:rFonts w:ascii="Arial" w:cs="Arial" w:eastAsia="Arial" w:hAnsi="Arial"/>
                <w:sz w:val="18"/>
                <w:szCs w:val="18"/>
                <w:color w:val="auto"/>
                <w:w w:val="93"/>
              </w:rPr>
              <w:t>Equity compensation plans approved by security</w:t>
            </w:r>
          </w:p>
        </w:tc>
        <w:tc>
          <w:tcPr>
            <w:tcW w:w="17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8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r>
      <w:tr>
        <w:trPr>
          <w:trHeight w:val="224"/>
        </w:trPr>
        <w:tc>
          <w:tcPr>
            <w:tcW w:w="1160" w:type="dxa"/>
            <w:vAlign w:val="bottom"/>
          </w:tcPr>
          <w:p>
            <w:pPr>
              <w:spacing w:after="0"/>
              <w:rPr>
                <w:sz w:val="19"/>
                <w:szCs w:val="19"/>
                <w:color w:val="auto"/>
              </w:rPr>
            </w:pPr>
          </w:p>
        </w:tc>
        <w:tc>
          <w:tcPr>
            <w:tcW w:w="362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holders(2)</w:t>
            </w:r>
          </w:p>
        </w:tc>
        <w:tc>
          <w:tcPr>
            <w:tcW w:w="208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4,019,982(3)$</w:t>
            </w: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6.93</w:t>
            </w:r>
          </w:p>
        </w:tc>
        <w:tc>
          <w:tcPr>
            <w:tcW w:w="224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1,705,259(4)</w:t>
            </w:r>
          </w:p>
        </w:tc>
      </w:tr>
      <w:tr>
        <w:trPr>
          <w:trHeight w:val="108"/>
        </w:trPr>
        <w:tc>
          <w:tcPr>
            <w:tcW w:w="1160" w:type="dxa"/>
            <w:vAlign w:val="bottom"/>
            <w:tcBorders>
              <w:bottom w:val="single" w:sz="8" w:color="auto"/>
            </w:tcBorders>
          </w:tcPr>
          <w:p>
            <w:pPr>
              <w:spacing w:after="0"/>
              <w:rPr>
                <w:sz w:val="9"/>
                <w:szCs w:val="9"/>
                <w:color w:val="auto"/>
              </w:rPr>
            </w:pPr>
          </w:p>
        </w:tc>
        <w:tc>
          <w:tcPr>
            <w:tcW w:w="1840" w:type="dxa"/>
            <w:vAlign w:val="bottom"/>
            <w:tcBorders>
              <w:bottom w:val="single" w:sz="8" w:color="auto"/>
            </w:tcBorders>
          </w:tcPr>
          <w:p>
            <w:pPr>
              <w:spacing w:after="0"/>
              <w:rPr>
                <w:sz w:val="9"/>
                <w:szCs w:val="9"/>
                <w:color w:val="auto"/>
              </w:rPr>
            </w:pPr>
          </w:p>
        </w:tc>
        <w:tc>
          <w:tcPr>
            <w:tcW w:w="1780" w:type="dxa"/>
            <w:vAlign w:val="bottom"/>
          </w:tcPr>
          <w:p>
            <w:pPr>
              <w:spacing w:after="0"/>
              <w:rPr>
                <w:sz w:val="9"/>
                <w:szCs w:val="9"/>
                <w:color w:val="auto"/>
              </w:rPr>
            </w:pPr>
          </w:p>
        </w:tc>
        <w:tc>
          <w:tcPr>
            <w:tcW w:w="1780" w:type="dxa"/>
            <w:vAlign w:val="bottom"/>
          </w:tcPr>
          <w:p>
            <w:pPr>
              <w:spacing w:after="0"/>
              <w:rPr>
                <w:sz w:val="9"/>
                <w:szCs w:val="9"/>
                <w:color w:val="auto"/>
              </w:rPr>
            </w:pPr>
          </w:p>
        </w:tc>
        <w:tc>
          <w:tcPr>
            <w:tcW w:w="220" w:type="dxa"/>
            <w:vAlign w:val="bottom"/>
          </w:tcPr>
          <w:p>
            <w:pPr>
              <w:spacing w:after="0"/>
              <w:rPr>
                <w:sz w:val="9"/>
                <w:szCs w:val="9"/>
                <w:color w:val="auto"/>
              </w:rPr>
            </w:pPr>
          </w:p>
        </w:tc>
        <w:tc>
          <w:tcPr>
            <w:tcW w:w="80" w:type="dxa"/>
            <w:vAlign w:val="bottom"/>
          </w:tcPr>
          <w:p>
            <w:pPr>
              <w:spacing w:after="0"/>
              <w:rPr>
                <w:sz w:val="9"/>
                <w:szCs w:val="9"/>
                <w:color w:val="auto"/>
              </w:rPr>
            </w:pPr>
          </w:p>
        </w:tc>
        <w:tc>
          <w:tcPr>
            <w:tcW w:w="1260" w:type="dxa"/>
            <w:vAlign w:val="bottom"/>
          </w:tcPr>
          <w:p>
            <w:pPr>
              <w:spacing w:after="0"/>
              <w:rPr>
                <w:sz w:val="9"/>
                <w:szCs w:val="9"/>
                <w:color w:val="auto"/>
              </w:rPr>
            </w:pPr>
          </w:p>
        </w:tc>
        <w:tc>
          <w:tcPr>
            <w:tcW w:w="160" w:type="dxa"/>
            <w:vAlign w:val="bottom"/>
          </w:tcPr>
          <w:p>
            <w:pPr>
              <w:spacing w:after="0"/>
              <w:rPr>
                <w:sz w:val="9"/>
                <w:szCs w:val="9"/>
                <w:color w:val="auto"/>
              </w:rPr>
            </w:pPr>
          </w:p>
        </w:tc>
        <w:tc>
          <w:tcPr>
            <w:tcW w:w="1860" w:type="dxa"/>
            <w:vAlign w:val="bottom"/>
          </w:tcPr>
          <w:p>
            <w:pPr>
              <w:spacing w:after="0"/>
              <w:rPr>
                <w:sz w:val="9"/>
                <w:szCs w:val="9"/>
                <w:color w:val="auto"/>
              </w:rPr>
            </w:pPr>
          </w:p>
        </w:tc>
        <w:tc>
          <w:tcPr>
            <w:tcW w:w="220" w:type="dxa"/>
            <w:vAlign w:val="bottom"/>
          </w:tcPr>
          <w:p>
            <w:pPr>
              <w:spacing w:after="0"/>
              <w:rPr>
                <w:sz w:val="9"/>
                <w:szCs w:val="9"/>
                <w:color w:val="auto"/>
              </w:rPr>
            </w:pPr>
          </w:p>
        </w:tc>
      </w:tr>
    </w:tbl>
    <w:p>
      <w:pPr>
        <w:spacing w:after="0" w:line="221" w:lineRule="exact"/>
        <w:rPr>
          <w:sz w:val="20"/>
          <w:szCs w:val="20"/>
          <w:color w:val="auto"/>
        </w:rPr>
      </w:pPr>
    </w:p>
    <w:p>
      <w:pPr>
        <w:ind w:left="540" w:hanging="532"/>
        <w:spacing w:after="0"/>
        <w:tabs>
          <w:tab w:leader="none" w:pos="540" w:val="left"/>
        </w:tabs>
        <w:numPr>
          <w:ilvl w:val="0"/>
          <w:numId w:val="20"/>
        </w:numPr>
        <w:rPr>
          <w:rFonts w:ascii="Arial" w:cs="Arial" w:eastAsia="Arial" w:hAnsi="Arial"/>
          <w:sz w:val="18"/>
          <w:szCs w:val="18"/>
          <w:color w:val="auto"/>
        </w:rPr>
      </w:pPr>
      <w:r>
        <w:rPr>
          <w:rFonts w:ascii="Arial" w:cs="Arial" w:eastAsia="Arial" w:hAnsi="Arial"/>
          <w:sz w:val="18"/>
          <w:szCs w:val="18"/>
          <w:color w:val="auto"/>
        </w:rPr>
        <w:t>Does not include any Restricted Stock as such shares are already reflected in our outstanding shares.</w:t>
      </w:r>
    </w:p>
    <w:p>
      <w:pPr>
        <w:spacing w:after="0" w:line="252" w:lineRule="exact"/>
        <w:rPr>
          <w:rFonts w:ascii="Arial" w:cs="Arial" w:eastAsia="Arial" w:hAnsi="Arial"/>
          <w:sz w:val="18"/>
          <w:szCs w:val="18"/>
          <w:color w:val="auto"/>
        </w:rPr>
      </w:pPr>
    </w:p>
    <w:p>
      <w:pPr>
        <w:ind w:left="540" w:hanging="532"/>
        <w:spacing w:after="0"/>
        <w:tabs>
          <w:tab w:leader="none" w:pos="540" w:val="left"/>
        </w:tabs>
        <w:numPr>
          <w:ilvl w:val="0"/>
          <w:numId w:val="20"/>
        </w:numPr>
        <w:rPr>
          <w:rFonts w:ascii="Arial" w:cs="Arial" w:eastAsia="Arial" w:hAnsi="Arial"/>
          <w:sz w:val="18"/>
          <w:szCs w:val="18"/>
          <w:color w:val="auto"/>
        </w:rPr>
      </w:pPr>
      <w:r>
        <w:rPr>
          <w:rFonts w:ascii="Arial" w:cs="Arial" w:eastAsia="Arial" w:hAnsi="Arial"/>
          <w:sz w:val="18"/>
          <w:szCs w:val="18"/>
          <w:color w:val="auto"/>
        </w:rPr>
        <w:t>Consists of the 2008 Plan, 2004 Plan, Celldex Research's 2005 Equity Incentive Plan and CuraGen's 2007 Stock Plan.</w:t>
      </w:r>
    </w:p>
    <w:p>
      <w:pPr>
        <w:spacing w:after="0" w:line="238" w:lineRule="exact"/>
        <w:rPr>
          <w:rFonts w:ascii="Arial" w:cs="Arial" w:eastAsia="Arial" w:hAnsi="Arial"/>
          <w:sz w:val="18"/>
          <w:szCs w:val="18"/>
          <w:color w:val="auto"/>
        </w:rPr>
      </w:pPr>
    </w:p>
    <w:p>
      <w:pPr>
        <w:ind w:left="540" w:hanging="532"/>
        <w:spacing w:after="0" w:line="268" w:lineRule="auto"/>
        <w:tabs>
          <w:tab w:leader="none" w:pos="540" w:val="left"/>
        </w:tabs>
        <w:numPr>
          <w:ilvl w:val="0"/>
          <w:numId w:val="20"/>
        </w:numPr>
        <w:rPr>
          <w:rFonts w:ascii="Arial" w:cs="Arial" w:eastAsia="Arial" w:hAnsi="Arial"/>
          <w:sz w:val="18"/>
          <w:szCs w:val="18"/>
          <w:color w:val="auto"/>
        </w:rPr>
      </w:pPr>
      <w:r>
        <w:rPr>
          <w:rFonts w:ascii="Arial" w:cs="Arial" w:eastAsia="Arial" w:hAnsi="Arial"/>
          <w:sz w:val="18"/>
          <w:szCs w:val="18"/>
          <w:color w:val="auto"/>
        </w:rPr>
        <w:t>Does not include purchase rights accruing under the 2004 Plan because the purchase price (and therefore the number of shares to be purchased) will not be determined until the end of the purchase period.</w:t>
      </w:r>
    </w:p>
    <w:p>
      <w:pPr>
        <w:spacing w:after="0" w:line="199" w:lineRule="exact"/>
        <w:rPr>
          <w:rFonts w:ascii="Arial" w:cs="Arial" w:eastAsia="Arial" w:hAnsi="Arial"/>
          <w:sz w:val="18"/>
          <w:szCs w:val="18"/>
          <w:color w:val="auto"/>
        </w:rPr>
      </w:pPr>
    </w:p>
    <w:p>
      <w:pPr>
        <w:ind w:left="540" w:hanging="532"/>
        <w:spacing w:after="0"/>
        <w:tabs>
          <w:tab w:leader="none" w:pos="540" w:val="left"/>
        </w:tabs>
        <w:numPr>
          <w:ilvl w:val="0"/>
          <w:numId w:val="20"/>
        </w:numPr>
        <w:rPr>
          <w:rFonts w:ascii="Arial" w:cs="Arial" w:eastAsia="Arial" w:hAnsi="Arial"/>
          <w:sz w:val="18"/>
          <w:szCs w:val="18"/>
          <w:color w:val="auto"/>
        </w:rPr>
      </w:pPr>
      <w:r>
        <w:rPr>
          <w:rFonts w:ascii="Arial" w:cs="Arial" w:eastAsia="Arial" w:hAnsi="Arial"/>
          <w:sz w:val="18"/>
          <w:szCs w:val="18"/>
          <w:color w:val="auto"/>
        </w:rPr>
        <w:t>Includes shares available for future issuance under the 2008 Plan and the 2004 Plan.</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44" w:name="page45"/>
    <w:bookmarkEnd w:id="44"/>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CELLDEX THEAPEUTICS, INC., NASDAQ MARKET INDEX—U.S. AND</w:t>
      </w:r>
    </w:p>
    <w:p>
      <w:pPr>
        <w:spacing w:after="0" w:line="21"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PEER GROUP INDICES</w:t>
      </w:r>
    </w:p>
    <w:p>
      <w:pPr>
        <w:spacing w:after="0" w:line="219" w:lineRule="exact"/>
        <w:rPr>
          <w:sz w:val="20"/>
          <w:szCs w:val="20"/>
          <w:color w:val="auto"/>
        </w:rPr>
      </w:pPr>
    </w:p>
    <w:p>
      <w:pPr>
        <w:ind w:firstLine="348"/>
        <w:spacing w:after="0" w:line="256" w:lineRule="auto"/>
        <w:rPr>
          <w:sz w:val="20"/>
          <w:szCs w:val="20"/>
          <w:color w:val="auto"/>
        </w:rPr>
      </w:pPr>
      <w:r>
        <w:rPr>
          <w:rFonts w:ascii="Arial" w:cs="Arial" w:eastAsia="Arial" w:hAnsi="Arial"/>
          <w:sz w:val="18"/>
          <w:szCs w:val="18"/>
          <w:color w:val="auto"/>
        </w:rPr>
        <w:t>The graph below compares the cumulative total stockholder return on the common stock for the period from December 31, 2005 through December 31, 2010, with the cumulative return on (i) NASDAQ Market Index—U.S. Companies and (ii) NASDAQ Pharmaceutical Index. The comparison assumes investment of $100 on December 31, 2005 in our common stock and in each of the indices and, in each case, assumes reinvestment of all dividends. The points on the graph are as of December 31 of the year indicated.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1299845</wp:posOffset>
            </wp:positionH>
            <wp:positionV relativeFrom="paragraph">
              <wp:posOffset>130810</wp:posOffset>
            </wp:positionV>
            <wp:extent cx="4656455" cy="259842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4656455" cy="25984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5" w:lineRule="exact"/>
        <w:rPr>
          <w:sz w:val="20"/>
          <w:szCs w:val="20"/>
          <w:color w:val="auto"/>
        </w:rPr>
      </w:pPr>
    </w:p>
    <w:tbl>
      <w:tblPr>
        <w:tblLayout w:type="fixed"/>
        <w:tblInd w:w="114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22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400" w:type="dxa"/>
            <w:vAlign w:val="bottom"/>
            <w:tcBorders>
              <w:bottom w:val="single" w:sz="8" w:color="auto"/>
            </w:tcBorders>
          </w:tcPr>
          <w:p>
            <w:pPr>
              <w:jc w:val="right"/>
              <w:ind w:right="37"/>
              <w:spacing w:after="0"/>
              <w:rPr>
                <w:sz w:val="20"/>
                <w:szCs w:val="20"/>
                <w:color w:val="auto"/>
              </w:rPr>
            </w:pPr>
            <w:r>
              <w:rPr>
                <w:rFonts w:ascii="Arial" w:cs="Arial" w:eastAsia="Arial" w:hAnsi="Arial"/>
                <w:sz w:val="14"/>
                <w:szCs w:val="14"/>
                <w:b w:val="1"/>
                <w:bCs w:val="1"/>
                <w:color w:val="auto"/>
                <w:w w:val="83"/>
              </w:rPr>
              <w:t>2005</w:t>
            </w:r>
          </w:p>
        </w:tc>
        <w:tc>
          <w:tcPr>
            <w:tcW w:w="16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400" w:type="dxa"/>
            <w:vAlign w:val="bottom"/>
            <w:tcBorders>
              <w:bottom w:val="single" w:sz="8" w:color="auto"/>
            </w:tcBorders>
          </w:tcPr>
          <w:p>
            <w:pPr>
              <w:jc w:val="right"/>
              <w:ind w:right="37"/>
              <w:spacing w:after="0"/>
              <w:rPr>
                <w:sz w:val="20"/>
                <w:szCs w:val="20"/>
                <w:color w:val="auto"/>
              </w:rPr>
            </w:pPr>
            <w:r>
              <w:rPr>
                <w:rFonts w:ascii="Arial" w:cs="Arial" w:eastAsia="Arial" w:hAnsi="Arial"/>
                <w:sz w:val="14"/>
                <w:szCs w:val="14"/>
                <w:b w:val="1"/>
                <w:bCs w:val="1"/>
                <w:color w:val="auto"/>
                <w:w w:val="83"/>
              </w:rPr>
              <w:t>2006</w:t>
            </w:r>
          </w:p>
        </w:tc>
        <w:tc>
          <w:tcPr>
            <w:tcW w:w="16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400" w:type="dxa"/>
            <w:vAlign w:val="bottom"/>
            <w:tcBorders>
              <w:bottom w:val="single" w:sz="8" w:color="auto"/>
            </w:tcBorders>
          </w:tcPr>
          <w:p>
            <w:pPr>
              <w:jc w:val="right"/>
              <w:ind w:right="37"/>
              <w:spacing w:after="0"/>
              <w:rPr>
                <w:sz w:val="20"/>
                <w:szCs w:val="20"/>
                <w:color w:val="auto"/>
              </w:rPr>
            </w:pPr>
            <w:r>
              <w:rPr>
                <w:rFonts w:ascii="Arial" w:cs="Arial" w:eastAsia="Arial" w:hAnsi="Arial"/>
                <w:sz w:val="14"/>
                <w:szCs w:val="14"/>
                <w:b w:val="1"/>
                <w:bCs w:val="1"/>
                <w:color w:val="auto"/>
                <w:w w:val="83"/>
              </w:rPr>
              <w:t>2007</w:t>
            </w:r>
          </w:p>
        </w:tc>
        <w:tc>
          <w:tcPr>
            <w:tcW w:w="160" w:type="dxa"/>
            <w:vAlign w:val="bottom"/>
          </w:tcPr>
          <w:p>
            <w:pPr>
              <w:spacing w:after="0"/>
              <w:rPr>
                <w:sz w:val="14"/>
                <w:szCs w:val="14"/>
                <w:color w:val="auto"/>
              </w:rPr>
            </w:pPr>
          </w:p>
        </w:tc>
        <w:tc>
          <w:tcPr>
            <w:tcW w:w="44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rPr>
              <w:t>2008</w:t>
            </w:r>
          </w:p>
        </w:tc>
        <w:tc>
          <w:tcPr>
            <w:tcW w:w="16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400" w:type="dxa"/>
            <w:vAlign w:val="bottom"/>
            <w:tcBorders>
              <w:bottom w:val="single" w:sz="8" w:color="auto"/>
            </w:tcBorders>
          </w:tcPr>
          <w:p>
            <w:pPr>
              <w:jc w:val="right"/>
              <w:ind w:right="37"/>
              <w:spacing w:after="0"/>
              <w:rPr>
                <w:sz w:val="20"/>
                <w:szCs w:val="20"/>
                <w:color w:val="auto"/>
              </w:rPr>
            </w:pPr>
            <w:r>
              <w:rPr>
                <w:rFonts w:ascii="Arial" w:cs="Arial" w:eastAsia="Arial" w:hAnsi="Arial"/>
                <w:sz w:val="14"/>
                <w:szCs w:val="14"/>
                <w:b w:val="1"/>
                <w:bCs w:val="1"/>
                <w:color w:val="auto"/>
                <w:w w:val="83"/>
              </w:rPr>
              <w:t>2009</w:t>
            </w:r>
          </w:p>
        </w:tc>
        <w:tc>
          <w:tcPr>
            <w:tcW w:w="16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400" w:type="dxa"/>
            <w:vAlign w:val="bottom"/>
            <w:tcBorders>
              <w:bottom w:val="single" w:sz="8" w:color="auto"/>
            </w:tcBorders>
          </w:tcPr>
          <w:p>
            <w:pPr>
              <w:jc w:val="right"/>
              <w:ind w:right="37"/>
              <w:spacing w:after="0"/>
              <w:rPr>
                <w:sz w:val="20"/>
                <w:szCs w:val="20"/>
                <w:color w:val="auto"/>
              </w:rPr>
            </w:pPr>
            <w:r>
              <w:rPr>
                <w:rFonts w:ascii="Arial" w:cs="Arial" w:eastAsia="Arial" w:hAnsi="Arial"/>
                <w:sz w:val="14"/>
                <w:szCs w:val="14"/>
                <w:b w:val="1"/>
                <w:bCs w:val="1"/>
                <w:color w:val="auto"/>
                <w:w w:val="83"/>
              </w:rPr>
              <w:t>2010</w:t>
            </w:r>
          </w:p>
        </w:tc>
        <w:tc>
          <w:tcPr>
            <w:tcW w:w="160" w:type="dxa"/>
            <w:vAlign w:val="bottom"/>
          </w:tcPr>
          <w:p>
            <w:pPr>
              <w:spacing w:after="0"/>
              <w:rPr>
                <w:sz w:val="14"/>
                <w:szCs w:val="14"/>
                <w:color w:val="auto"/>
              </w:rPr>
            </w:pPr>
          </w:p>
        </w:tc>
      </w:tr>
      <w:tr>
        <w:trPr>
          <w:trHeight w:val="210"/>
        </w:trPr>
        <w:tc>
          <w:tcPr>
            <w:tcW w:w="20" w:type="dxa"/>
            <w:vAlign w:val="bottom"/>
          </w:tcPr>
          <w:p>
            <w:pPr>
              <w:spacing w:after="0"/>
              <w:rPr>
                <w:sz w:val="18"/>
                <w:szCs w:val="18"/>
                <w:color w:val="auto"/>
              </w:rPr>
            </w:pPr>
          </w:p>
        </w:tc>
        <w:tc>
          <w:tcPr>
            <w:tcW w:w="5220" w:type="dxa"/>
            <w:vAlign w:val="bottom"/>
            <w:shd w:val="clear" w:color="auto" w:fill="CCEEFF"/>
          </w:tcPr>
          <w:p>
            <w:pPr>
              <w:spacing w:after="0"/>
              <w:rPr>
                <w:sz w:val="20"/>
                <w:szCs w:val="20"/>
                <w:color w:val="auto"/>
              </w:rPr>
            </w:pPr>
            <w:r>
              <w:rPr>
                <w:rFonts w:ascii="Arial" w:cs="Arial" w:eastAsia="Arial" w:hAnsi="Arial"/>
                <w:sz w:val="18"/>
                <w:szCs w:val="18"/>
                <w:color w:val="auto"/>
              </w:rPr>
              <w:t>Celldex Therapeutics, Inc.</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w:t>
            </w:r>
          </w:p>
        </w:tc>
        <w:tc>
          <w:tcPr>
            <w:tcW w:w="340" w:type="dxa"/>
            <w:vAlign w:val="bottom"/>
            <w:gridSpan w:val="2"/>
            <w:shd w:val="clear" w:color="auto" w:fill="CCEEFF"/>
          </w:tcPr>
          <w:p>
            <w:pPr>
              <w:jc w:val="right"/>
              <w:ind w:right="12"/>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w:t>
            </w:r>
          </w:p>
        </w:tc>
        <w:tc>
          <w:tcPr>
            <w:tcW w:w="2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w:t>
            </w:r>
          </w:p>
        </w:tc>
        <w:tc>
          <w:tcPr>
            <w:tcW w:w="16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220" w:type="dxa"/>
            <w:vAlign w:val="bottom"/>
          </w:tcPr>
          <w:p>
            <w:pPr>
              <w:spacing w:after="0"/>
              <w:rPr>
                <w:sz w:val="20"/>
                <w:szCs w:val="20"/>
                <w:color w:val="auto"/>
              </w:rPr>
            </w:pPr>
            <w:r>
              <w:rPr>
                <w:rFonts w:ascii="Arial" w:cs="Arial" w:eastAsia="Arial" w:hAnsi="Arial"/>
                <w:sz w:val="18"/>
                <w:szCs w:val="18"/>
                <w:color w:val="auto"/>
              </w:rPr>
              <w:t>NASDAQ Stock Market (U.S.) Index</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400" w:type="dxa"/>
            <w:vAlign w:val="bottom"/>
          </w:tcPr>
          <w:p>
            <w:pPr>
              <w:jc w:val="right"/>
              <w:spacing w:after="0"/>
              <w:rPr>
                <w:sz w:val="20"/>
                <w:szCs w:val="20"/>
                <w:color w:val="auto"/>
              </w:rPr>
            </w:pPr>
            <w:r>
              <w:rPr>
                <w:rFonts w:ascii="Arial" w:cs="Arial" w:eastAsia="Arial" w:hAnsi="Arial"/>
                <w:sz w:val="18"/>
                <w:szCs w:val="18"/>
                <w:color w:val="auto"/>
              </w:rPr>
              <w:t>100</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400" w:type="dxa"/>
            <w:vAlign w:val="bottom"/>
          </w:tcPr>
          <w:p>
            <w:pPr>
              <w:jc w:val="right"/>
              <w:spacing w:after="0"/>
              <w:rPr>
                <w:sz w:val="20"/>
                <w:szCs w:val="20"/>
                <w:color w:val="auto"/>
              </w:rPr>
            </w:pPr>
            <w:r>
              <w:rPr>
                <w:rFonts w:ascii="Arial" w:cs="Arial" w:eastAsia="Arial" w:hAnsi="Arial"/>
                <w:sz w:val="18"/>
                <w:szCs w:val="18"/>
                <w:color w:val="auto"/>
              </w:rPr>
              <w:t>110</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400" w:type="dxa"/>
            <w:vAlign w:val="bottom"/>
          </w:tcPr>
          <w:p>
            <w:pPr>
              <w:jc w:val="right"/>
              <w:spacing w:after="0"/>
              <w:rPr>
                <w:sz w:val="20"/>
                <w:szCs w:val="20"/>
                <w:color w:val="auto"/>
              </w:rPr>
            </w:pPr>
            <w:r>
              <w:rPr>
                <w:rFonts w:ascii="Arial" w:cs="Arial" w:eastAsia="Arial" w:hAnsi="Arial"/>
                <w:sz w:val="18"/>
                <w:szCs w:val="18"/>
                <w:color w:val="auto"/>
              </w:rPr>
              <w:t>119</w:t>
            </w:r>
          </w:p>
        </w:tc>
        <w:tc>
          <w:tcPr>
            <w:tcW w:w="340" w:type="dxa"/>
            <w:vAlign w:val="bottom"/>
            <w:gridSpan w:val="2"/>
          </w:tcPr>
          <w:p>
            <w:pPr>
              <w:jc w:val="right"/>
              <w:ind w:right="12"/>
              <w:spacing w:after="0"/>
              <w:rPr>
                <w:sz w:val="20"/>
                <w:szCs w:val="20"/>
                <w:color w:val="auto"/>
              </w:rPr>
            </w:pPr>
            <w:r>
              <w:rPr>
                <w:rFonts w:ascii="Arial" w:cs="Arial" w:eastAsia="Arial" w:hAnsi="Arial"/>
                <w:sz w:val="18"/>
                <w:szCs w:val="18"/>
                <w:color w:val="auto"/>
              </w:rPr>
              <w:t>$</w:t>
            </w:r>
          </w:p>
        </w:tc>
        <w:tc>
          <w:tcPr>
            <w:tcW w:w="260" w:type="dxa"/>
            <w:vAlign w:val="bottom"/>
          </w:tcPr>
          <w:p>
            <w:pPr>
              <w:jc w:val="right"/>
              <w:spacing w:after="0"/>
              <w:rPr>
                <w:sz w:val="20"/>
                <w:szCs w:val="20"/>
                <w:color w:val="auto"/>
              </w:rPr>
            </w:pPr>
            <w:r>
              <w:rPr>
                <w:rFonts w:ascii="Arial" w:cs="Arial" w:eastAsia="Arial" w:hAnsi="Arial"/>
                <w:sz w:val="18"/>
                <w:szCs w:val="18"/>
                <w:color w:val="auto"/>
              </w:rPr>
              <w:t>57</w:t>
            </w:r>
          </w:p>
        </w:tc>
        <w:tc>
          <w:tcPr>
            <w:tcW w:w="26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400" w:type="dxa"/>
            <w:vAlign w:val="bottom"/>
          </w:tcPr>
          <w:p>
            <w:pPr>
              <w:jc w:val="right"/>
              <w:spacing w:after="0"/>
              <w:rPr>
                <w:sz w:val="20"/>
                <w:szCs w:val="20"/>
                <w:color w:val="auto"/>
              </w:rPr>
            </w:pPr>
            <w:r>
              <w:rPr>
                <w:rFonts w:ascii="Arial" w:cs="Arial" w:eastAsia="Arial" w:hAnsi="Arial"/>
                <w:sz w:val="18"/>
                <w:szCs w:val="18"/>
                <w:color w:val="auto"/>
              </w:rPr>
              <w:t>83</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400" w:type="dxa"/>
            <w:vAlign w:val="bottom"/>
          </w:tcPr>
          <w:p>
            <w:pPr>
              <w:jc w:val="right"/>
              <w:spacing w:after="0"/>
              <w:rPr>
                <w:sz w:val="20"/>
                <w:szCs w:val="20"/>
                <w:color w:val="auto"/>
              </w:rPr>
            </w:pPr>
            <w:r>
              <w:rPr>
                <w:rFonts w:ascii="Arial" w:cs="Arial" w:eastAsia="Arial" w:hAnsi="Arial"/>
                <w:sz w:val="18"/>
                <w:szCs w:val="18"/>
                <w:color w:val="auto"/>
              </w:rPr>
              <w:t>98</w:t>
            </w:r>
          </w:p>
        </w:tc>
        <w:tc>
          <w:tcPr>
            <w:tcW w:w="16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220" w:type="dxa"/>
            <w:vAlign w:val="bottom"/>
            <w:shd w:val="clear" w:color="auto" w:fill="CCEEFF"/>
          </w:tcPr>
          <w:p>
            <w:pPr>
              <w:spacing w:after="0"/>
              <w:rPr>
                <w:sz w:val="20"/>
                <w:szCs w:val="20"/>
                <w:color w:val="auto"/>
              </w:rPr>
            </w:pPr>
            <w:r>
              <w:rPr>
                <w:rFonts w:ascii="Arial" w:cs="Arial" w:eastAsia="Arial" w:hAnsi="Arial"/>
                <w:sz w:val="18"/>
                <w:szCs w:val="18"/>
                <w:color w:val="auto"/>
              </w:rPr>
              <w:t>NASDAQ Pharmaceutical Stock Index</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98</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103</w:t>
            </w:r>
          </w:p>
        </w:tc>
        <w:tc>
          <w:tcPr>
            <w:tcW w:w="340" w:type="dxa"/>
            <w:vAlign w:val="bottom"/>
            <w:gridSpan w:val="2"/>
            <w:shd w:val="clear" w:color="auto" w:fill="CCEEFF"/>
          </w:tcPr>
          <w:p>
            <w:pPr>
              <w:jc w:val="right"/>
              <w:ind w:right="12"/>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96</w:t>
            </w:r>
          </w:p>
        </w:tc>
        <w:tc>
          <w:tcPr>
            <w:tcW w:w="2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108</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117</w:t>
            </w:r>
          </w:p>
        </w:tc>
        <w:tc>
          <w:tcPr>
            <w:tcW w:w="160" w:type="dxa"/>
            <w:vAlign w:val="bottom"/>
            <w:shd w:val="clear" w:color="auto" w:fill="CCEEFF"/>
          </w:tcPr>
          <w:p>
            <w:pPr>
              <w:spacing w:after="0"/>
              <w:rPr>
                <w:sz w:val="18"/>
                <w:szCs w:val="18"/>
                <w:color w:val="auto"/>
              </w:rPr>
            </w:pPr>
          </w:p>
        </w:tc>
      </w:tr>
    </w:tbl>
    <w:p>
      <w:pPr>
        <w:spacing w:after="0" w:line="202" w:lineRule="exact"/>
        <w:rPr>
          <w:sz w:val="20"/>
          <w:szCs w:val="20"/>
          <w:color w:val="auto"/>
        </w:rPr>
      </w:pPr>
    </w:p>
    <w:p>
      <w:pPr>
        <w:spacing w:after="0"/>
        <w:tabs>
          <w:tab w:leader="none" w:pos="700" w:val="left"/>
        </w:tabs>
        <w:rPr>
          <w:sz w:val="20"/>
          <w:szCs w:val="20"/>
          <w:color w:val="auto"/>
        </w:rPr>
      </w:pPr>
      <w:r>
        <w:rPr>
          <w:rFonts w:ascii="Arial" w:cs="Arial" w:eastAsia="Arial" w:hAnsi="Arial"/>
          <w:sz w:val="18"/>
          <w:szCs w:val="18"/>
          <w:b w:val="1"/>
          <w:bCs w:val="1"/>
          <w:color w:val="auto"/>
        </w:rPr>
        <w:t>Item 6.</w:t>
      </w:r>
      <w:r>
        <w:rPr>
          <w:sz w:val="20"/>
          <w:szCs w:val="20"/>
          <w:color w:val="auto"/>
        </w:rPr>
        <w:tab/>
      </w:r>
      <w:r>
        <w:rPr>
          <w:rFonts w:ascii="Arial" w:cs="Arial" w:eastAsia="Arial" w:hAnsi="Arial"/>
          <w:sz w:val="16"/>
          <w:szCs w:val="16"/>
          <w:b w:val="1"/>
          <w:bCs w:val="1"/>
          <w:color w:val="auto"/>
        </w:rPr>
        <w:t>SELECTED FINANCIAL DATA</w:t>
      </w:r>
    </w:p>
    <w:p>
      <w:pPr>
        <w:spacing w:after="0" w:line="231" w:lineRule="exact"/>
        <w:rPr>
          <w:sz w:val="20"/>
          <w:szCs w:val="20"/>
          <w:color w:val="auto"/>
        </w:rPr>
      </w:pPr>
    </w:p>
    <w:p>
      <w:pPr>
        <w:ind w:right="80" w:firstLine="348"/>
        <w:spacing w:after="0" w:line="294" w:lineRule="auto"/>
        <w:rPr>
          <w:sz w:val="20"/>
          <w:szCs w:val="20"/>
          <w:color w:val="auto"/>
        </w:rPr>
      </w:pPr>
      <w:r>
        <w:rPr>
          <w:rFonts w:ascii="Arial" w:cs="Arial" w:eastAsia="Arial" w:hAnsi="Arial"/>
          <w:sz w:val="16"/>
          <w:szCs w:val="16"/>
          <w:color w:val="auto"/>
        </w:rPr>
        <w:t>The following selected consolidated financial data are derived from our financial statements. The consolidated statement of operations data for the years ended December 31, 2010, 2009 and 2008 and the consolidated balance sheet data as of December 31, 2010 and 2009 have been derived from our audited consolidated financial statements included elsewhere in this Annual Report on Form 10-K. This data should be read in conjunction with our audited consolidated financial statements and related notes which are included elsewhere in this Annual Report on Form 10-K, and "Management's Discussion and Analysis of Financial Condition and Results of Operations" included in Item 7 below.</w:t>
      </w:r>
    </w:p>
    <w:p>
      <w:pPr>
        <w:spacing w:after="0" w:line="170" w:lineRule="exact"/>
        <w:rPr>
          <w:sz w:val="20"/>
          <w:szCs w:val="20"/>
          <w:color w:val="auto"/>
        </w:rPr>
      </w:pPr>
    </w:p>
    <w:p>
      <w:pPr>
        <w:ind w:right="120" w:firstLine="351"/>
        <w:spacing w:after="0" w:line="256" w:lineRule="auto"/>
        <w:rPr>
          <w:sz w:val="20"/>
          <w:szCs w:val="20"/>
          <w:color w:val="auto"/>
        </w:rPr>
      </w:pPr>
      <w:r>
        <w:rPr>
          <w:rFonts w:ascii="Arial" w:cs="Arial" w:eastAsia="Arial" w:hAnsi="Arial"/>
          <w:sz w:val="18"/>
          <w:szCs w:val="18"/>
          <w:color w:val="auto"/>
        </w:rPr>
        <w:t>On October 1, 2009, the CuraGen Merger became effective. The CuraGen Merger was accounted for using the acquisition method of accounting and was treated as our acquisition of CuraGen. Accordingly, the financial information presented below for periods prior to October 1, 2009 reflects the financial position and the results of operations of us alone, and for periods from October 1, 2009 forward the combined financial position and combined results of operations of us and CuraGen.</w:t>
      </w:r>
    </w:p>
    <w:p>
      <w:pPr>
        <w:spacing w:after="0" w:line="197" w:lineRule="exact"/>
        <w:rPr>
          <w:sz w:val="20"/>
          <w:szCs w:val="20"/>
          <w:color w:val="auto"/>
        </w:rPr>
      </w:pPr>
    </w:p>
    <w:p>
      <w:pPr>
        <w:ind w:right="140" w:firstLine="351"/>
        <w:spacing w:after="0" w:line="256" w:lineRule="auto"/>
        <w:rPr>
          <w:sz w:val="20"/>
          <w:szCs w:val="20"/>
          <w:color w:val="auto"/>
        </w:rPr>
      </w:pPr>
      <w:r>
        <w:rPr>
          <w:rFonts w:ascii="Arial" w:cs="Arial" w:eastAsia="Arial" w:hAnsi="Arial"/>
          <w:sz w:val="18"/>
          <w:szCs w:val="18"/>
          <w:color w:val="auto"/>
        </w:rPr>
        <w:t>On March 7, 2008, the AVANT Merger became effective. The AVANT Merger was accounted for using the purchase method of accounting and was treated as our acquisition of AVANT. Accordingly, the financial information presented below for periods prior to March 8, 2008 reflects the financial position and the results of operations of us alone, and for periods from March 8, 2008 forward the combined financial position and combined results of operations of us and AVANT. All amounts are in thousands except per share data.</w:t>
      </w:r>
    </w:p>
    <w:p>
      <w:pPr>
        <w:spacing w:after="0" w:line="19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45" w:name="page46"/>
    <w:bookmarkEnd w:id="45"/>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CONSOLIDATED STATEMENTS OF OPERATIONS DATA</w:t>
      </w:r>
    </w:p>
    <w:p>
      <w:pPr>
        <w:spacing w:after="0" w:line="281" w:lineRule="exact"/>
        <w:rPr>
          <w:sz w:val="20"/>
          <w:szCs w:val="20"/>
          <w:color w:val="auto"/>
        </w:rPr>
      </w:pPr>
    </w:p>
    <w:tbl>
      <w:tblPr>
        <w:tblLayout w:type="fixed"/>
        <w:tblInd w:w="114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680" w:type="dxa"/>
            <w:vAlign w:val="bottom"/>
          </w:tcPr>
          <w:p>
            <w:pPr>
              <w:spacing w:after="0"/>
              <w:rPr>
                <w:sz w:val="14"/>
                <w:szCs w:val="14"/>
                <w:color w:val="auto"/>
              </w:rPr>
            </w:pPr>
          </w:p>
        </w:tc>
        <w:tc>
          <w:tcPr>
            <w:tcW w:w="186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jc w:val="right"/>
              <w:ind w:right="133"/>
              <w:spacing w:after="0"/>
              <w:rPr>
                <w:sz w:val="20"/>
                <w:szCs w:val="20"/>
                <w:color w:val="auto"/>
              </w:rPr>
            </w:pPr>
            <w:r>
              <w:rPr>
                <w:rFonts w:ascii="Arial" w:cs="Arial" w:eastAsia="Arial" w:hAnsi="Arial"/>
                <w:sz w:val="14"/>
                <w:szCs w:val="14"/>
                <w:b w:val="1"/>
                <w:bCs w:val="1"/>
                <w:color w:val="auto"/>
              </w:rPr>
              <w:t>2010</w:t>
            </w: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jc w:val="right"/>
              <w:ind w:right="153"/>
              <w:spacing w:after="0"/>
              <w:rPr>
                <w:sz w:val="20"/>
                <w:szCs w:val="20"/>
                <w:color w:val="auto"/>
              </w:rPr>
            </w:pPr>
            <w:r>
              <w:rPr>
                <w:rFonts w:ascii="Arial" w:cs="Arial" w:eastAsia="Arial" w:hAnsi="Arial"/>
                <w:sz w:val="14"/>
                <w:szCs w:val="14"/>
                <w:b w:val="1"/>
                <w:bCs w:val="1"/>
                <w:color w:val="auto"/>
              </w:rPr>
              <w:t>2009</w:t>
            </w:r>
          </w:p>
        </w:tc>
        <w:tc>
          <w:tcPr>
            <w:tcW w:w="16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jc w:val="right"/>
              <w:ind w:right="173"/>
              <w:spacing w:after="0"/>
              <w:rPr>
                <w:sz w:val="20"/>
                <w:szCs w:val="20"/>
                <w:color w:val="auto"/>
              </w:rPr>
            </w:pPr>
            <w:r>
              <w:rPr>
                <w:rFonts w:ascii="Arial" w:cs="Arial" w:eastAsia="Arial" w:hAnsi="Arial"/>
                <w:sz w:val="14"/>
                <w:szCs w:val="14"/>
                <w:b w:val="1"/>
                <w:bCs w:val="1"/>
                <w:color w:val="auto"/>
              </w:rPr>
              <w:t>2008</w:t>
            </w:r>
          </w:p>
        </w:tc>
        <w:tc>
          <w:tcPr>
            <w:tcW w:w="16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jc w:val="right"/>
              <w:ind w:right="173"/>
              <w:spacing w:after="0"/>
              <w:rPr>
                <w:sz w:val="20"/>
                <w:szCs w:val="20"/>
                <w:color w:val="auto"/>
              </w:rPr>
            </w:pPr>
            <w:r>
              <w:rPr>
                <w:rFonts w:ascii="Arial" w:cs="Arial" w:eastAsia="Arial" w:hAnsi="Arial"/>
                <w:sz w:val="14"/>
                <w:szCs w:val="14"/>
                <w:b w:val="1"/>
                <w:bCs w:val="1"/>
                <w:color w:val="auto"/>
              </w:rPr>
              <w:t>2007</w:t>
            </w: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jc w:val="right"/>
              <w:ind w:right="173"/>
              <w:spacing w:after="0"/>
              <w:rPr>
                <w:sz w:val="20"/>
                <w:szCs w:val="20"/>
                <w:color w:val="auto"/>
              </w:rPr>
            </w:pPr>
            <w:r>
              <w:rPr>
                <w:rFonts w:ascii="Arial" w:cs="Arial" w:eastAsia="Arial" w:hAnsi="Arial"/>
                <w:sz w:val="14"/>
                <w:szCs w:val="14"/>
                <w:b w:val="1"/>
                <w:bCs w:val="1"/>
                <w:color w:val="auto"/>
              </w:rPr>
              <w:t>2006</w:t>
            </w: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5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REVENUE:</w:t>
            </w:r>
          </w:p>
        </w:tc>
        <w:tc>
          <w:tcPr>
            <w:tcW w:w="14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40" w:type="dxa"/>
            <w:vAlign w:val="bottom"/>
            <w:gridSpan w:val="2"/>
          </w:tcPr>
          <w:p>
            <w:pPr>
              <w:spacing w:after="0"/>
              <w:rPr>
                <w:sz w:val="20"/>
                <w:szCs w:val="20"/>
                <w:color w:val="auto"/>
              </w:rPr>
            </w:pPr>
            <w:r>
              <w:rPr>
                <w:rFonts w:ascii="Arial" w:cs="Arial" w:eastAsia="Arial" w:hAnsi="Arial"/>
                <w:sz w:val="18"/>
                <w:szCs w:val="18"/>
                <w:color w:val="auto"/>
              </w:rPr>
              <w:t>Product Development and Licensing Agreements</w:t>
            </w: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60" w:type="dxa"/>
            <w:vAlign w:val="bottom"/>
          </w:tcPr>
          <w:p>
            <w:pPr>
              <w:jc w:val="right"/>
              <w:spacing w:after="0"/>
              <w:rPr>
                <w:sz w:val="20"/>
                <w:szCs w:val="20"/>
                <w:color w:val="auto"/>
              </w:rPr>
            </w:pPr>
            <w:r>
              <w:rPr>
                <w:rFonts w:ascii="Arial" w:cs="Arial" w:eastAsia="Arial" w:hAnsi="Arial"/>
                <w:sz w:val="18"/>
                <w:szCs w:val="18"/>
                <w:color w:val="auto"/>
                <w:w w:val="94"/>
              </w:rPr>
              <w:t>40,187</w:t>
            </w:r>
          </w:p>
        </w:tc>
        <w:tc>
          <w:tcPr>
            <w:tcW w:w="100" w:type="dxa"/>
            <w:vAlign w:val="bottom"/>
          </w:tcPr>
          <w:p>
            <w:pPr>
              <w:spacing w:after="0"/>
              <w:rPr>
                <w:sz w:val="18"/>
                <w:szCs w:val="18"/>
                <w:color w:val="auto"/>
              </w:rPr>
            </w:pPr>
          </w:p>
        </w:tc>
        <w:tc>
          <w:tcPr>
            <w:tcW w:w="220" w:type="dxa"/>
            <w:vAlign w:val="bottom"/>
            <w:gridSpan w:val="2"/>
          </w:tcPr>
          <w:p>
            <w:pPr>
              <w:jc w:val="right"/>
              <w:ind w:right="3"/>
              <w:spacing w:after="0"/>
              <w:rPr>
                <w:sz w:val="20"/>
                <w:szCs w:val="20"/>
                <w:color w:val="auto"/>
              </w:rPr>
            </w:pPr>
            <w:r>
              <w:rPr>
                <w:rFonts w:ascii="Arial" w:cs="Arial" w:eastAsia="Arial" w:hAnsi="Arial"/>
                <w:sz w:val="18"/>
                <w:szCs w:val="18"/>
                <w:color w:val="auto"/>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5,662</w:t>
            </w:r>
          </w:p>
        </w:tc>
        <w:tc>
          <w:tcPr>
            <w:tcW w:w="16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620" w:type="dxa"/>
            <w:vAlign w:val="bottom"/>
          </w:tcPr>
          <w:p>
            <w:pPr>
              <w:jc w:val="right"/>
              <w:spacing w:after="0"/>
              <w:rPr>
                <w:sz w:val="20"/>
                <w:szCs w:val="20"/>
                <w:color w:val="auto"/>
              </w:rPr>
            </w:pPr>
            <w:r>
              <w:rPr>
                <w:rFonts w:ascii="Arial" w:cs="Arial" w:eastAsia="Arial" w:hAnsi="Arial"/>
                <w:sz w:val="18"/>
                <w:szCs w:val="18"/>
                <w:color w:val="auto"/>
              </w:rPr>
              <w:t>3,716</w:t>
            </w:r>
          </w:p>
        </w:tc>
        <w:tc>
          <w:tcPr>
            <w:tcW w:w="160" w:type="dxa"/>
            <w:vAlign w:val="bottom"/>
          </w:tcPr>
          <w:p>
            <w:pPr>
              <w:spacing w:after="0"/>
              <w:rPr>
                <w:sz w:val="18"/>
                <w:szCs w:val="18"/>
                <w:color w:val="auto"/>
              </w:rPr>
            </w:pPr>
          </w:p>
        </w:tc>
        <w:tc>
          <w:tcPr>
            <w:tcW w:w="160" w:type="dxa"/>
            <w:vAlign w:val="bottom"/>
          </w:tcPr>
          <w:p>
            <w:pPr>
              <w:jc w:val="right"/>
              <w:ind w:right="3"/>
              <w:spacing w:after="0"/>
              <w:rPr>
                <w:sz w:val="20"/>
                <w:szCs w:val="20"/>
                <w:color w:val="auto"/>
              </w:rPr>
            </w:pPr>
            <w:r>
              <w:rPr>
                <w:rFonts w:ascii="Arial" w:cs="Arial" w:eastAsia="Arial" w:hAnsi="Arial"/>
                <w:sz w:val="15"/>
                <w:szCs w:val="15"/>
                <w:color w:val="auto"/>
                <w:w w:val="71"/>
              </w:rPr>
              <w:t>$</w:t>
            </w:r>
          </w:p>
        </w:tc>
        <w:tc>
          <w:tcPr>
            <w:tcW w:w="620" w:type="dxa"/>
            <w:vAlign w:val="bottom"/>
          </w:tcPr>
          <w:p>
            <w:pPr>
              <w:jc w:val="right"/>
              <w:spacing w:after="0"/>
              <w:rPr>
                <w:sz w:val="20"/>
                <w:szCs w:val="20"/>
                <w:color w:val="auto"/>
              </w:rPr>
            </w:pPr>
            <w:r>
              <w:rPr>
                <w:rFonts w:ascii="Arial" w:cs="Arial" w:eastAsia="Arial" w:hAnsi="Arial"/>
                <w:sz w:val="18"/>
                <w:szCs w:val="18"/>
                <w:color w:val="auto"/>
              </w:rPr>
              <w:t>466</w:t>
            </w:r>
          </w:p>
        </w:tc>
        <w:tc>
          <w:tcPr>
            <w:tcW w:w="100" w:type="dxa"/>
            <w:vAlign w:val="bottom"/>
          </w:tcPr>
          <w:p>
            <w:pPr>
              <w:spacing w:after="0"/>
              <w:rPr>
                <w:sz w:val="18"/>
                <w:szCs w:val="18"/>
                <w:color w:val="auto"/>
              </w:rPr>
            </w:pP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20" w:type="dxa"/>
            <w:vAlign w:val="bottom"/>
          </w:tcPr>
          <w:p>
            <w:pPr>
              <w:jc w:val="right"/>
              <w:spacing w:after="0"/>
              <w:rPr>
                <w:sz w:val="20"/>
                <w:szCs w:val="20"/>
                <w:color w:val="auto"/>
              </w:rPr>
            </w:pPr>
            <w:r>
              <w:rPr>
                <w:rFonts w:ascii="Arial" w:cs="Arial" w:eastAsia="Arial" w:hAnsi="Arial"/>
                <w:sz w:val="18"/>
                <w:szCs w:val="18"/>
                <w:color w:val="auto"/>
              </w:rPr>
              <w:t>466</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Contracts and Grants</w:t>
            </w:r>
          </w:p>
        </w:tc>
        <w:tc>
          <w:tcPr>
            <w:tcW w:w="14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220</w:t>
            </w: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1,802</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533</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940</w:t>
            </w: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433</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4540" w:type="dxa"/>
            <w:vAlign w:val="bottom"/>
            <w:gridSpan w:val="2"/>
          </w:tcPr>
          <w:p>
            <w:pPr>
              <w:spacing w:after="0"/>
              <w:rPr>
                <w:sz w:val="20"/>
                <w:szCs w:val="20"/>
                <w:color w:val="auto"/>
              </w:rPr>
            </w:pPr>
            <w:r>
              <w:rPr>
                <w:rFonts w:ascii="Arial" w:cs="Arial" w:eastAsia="Arial" w:hAnsi="Arial"/>
                <w:sz w:val="18"/>
                <w:szCs w:val="18"/>
                <w:color w:val="auto"/>
              </w:rPr>
              <w:t>Product Royalties</w:t>
            </w:r>
          </w:p>
        </w:tc>
        <w:tc>
          <w:tcPr>
            <w:tcW w:w="14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6,386</w:t>
            </w:r>
          </w:p>
        </w:tc>
        <w:tc>
          <w:tcPr>
            <w:tcW w:w="1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7,716</w:t>
            </w:r>
          </w:p>
        </w:tc>
        <w:tc>
          <w:tcPr>
            <w:tcW w:w="1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3,207</w:t>
            </w:r>
          </w:p>
        </w:tc>
        <w:tc>
          <w:tcPr>
            <w:tcW w:w="1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2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2680" w:type="dxa"/>
            <w:vAlign w:val="bottom"/>
          </w:tcPr>
          <w:p>
            <w:pPr>
              <w:spacing w:after="0" w:line="20" w:lineRule="exact"/>
              <w:rPr>
                <w:sz w:val="1"/>
                <w:szCs w:val="1"/>
                <w:color w:val="auto"/>
              </w:rPr>
            </w:pPr>
          </w:p>
        </w:tc>
        <w:tc>
          <w:tcPr>
            <w:tcW w:w="18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54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Total Revenue</w:t>
            </w:r>
          </w:p>
        </w:tc>
        <w:tc>
          <w:tcPr>
            <w:tcW w:w="14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46,793</w:t>
            </w: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15,180</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7,456</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1,406</w:t>
            </w: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899</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4560" w:type="dxa"/>
            <w:vAlign w:val="bottom"/>
            <w:gridSpan w:val="3"/>
            <w:vMerge w:val="restart"/>
          </w:tcPr>
          <w:p>
            <w:pPr>
              <w:spacing w:after="0"/>
              <w:rPr>
                <w:sz w:val="20"/>
                <w:szCs w:val="20"/>
                <w:color w:val="auto"/>
              </w:rPr>
            </w:pPr>
            <w:r>
              <w:rPr>
                <w:rFonts w:ascii="Arial" w:cs="Arial" w:eastAsia="Arial" w:hAnsi="Arial"/>
                <w:sz w:val="18"/>
                <w:szCs w:val="18"/>
                <w:color w:val="auto"/>
              </w:rPr>
              <w:t>OPERATING EXPENSE:</w:t>
            </w:r>
          </w:p>
        </w:tc>
        <w:tc>
          <w:tcPr>
            <w:tcW w:w="14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6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6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8"/>
        </w:trPr>
        <w:tc>
          <w:tcPr>
            <w:tcW w:w="4560" w:type="dxa"/>
            <w:vAlign w:val="bottom"/>
            <w:gridSpan w:val="3"/>
            <w:vMerge w:val="continue"/>
          </w:tcPr>
          <w:p>
            <w:pPr>
              <w:spacing w:after="0"/>
              <w:rPr>
                <w:sz w:val="18"/>
                <w:szCs w:val="18"/>
                <w:color w:val="auto"/>
              </w:rPr>
            </w:pPr>
          </w:p>
        </w:tc>
        <w:tc>
          <w:tcPr>
            <w:tcW w:w="1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45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Research and Development</w:t>
            </w:r>
          </w:p>
        </w:tc>
        <w:tc>
          <w:tcPr>
            <w:tcW w:w="14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27,650</w:t>
            </w: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26,169</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22,636</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9,892</w:t>
            </w: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10,013</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40" w:type="dxa"/>
            <w:vAlign w:val="bottom"/>
            <w:gridSpan w:val="2"/>
          </w:tcPr>
          <w:p>
            <w:pPr>
              <w:spacing w:after="0"/>
              <w:rPr>
                <w:sz w:val="20"/>
                <w:szCs w:val="20"/>
                <w:color w:val="auto"/>
              </w:rPr>
            </w:pPr>
            <w:r>
              <w:rPr>
                <w:rFonts w:ascii="Arial" w:cs="Arial" w:eastAsia="Arial" w:hAnsi="Arial"/>
                <w:sz w:val="18"/>
                <w:szCs w:val="18"/>
                <w:color w:val="auto"/>
              </w:rPr>
              <w:t>Royalty Expense</w:t>
            </w:r>
          </w:p>
        </w:tc>
        <w:tc>
          <w:tcPr>
            <w:tcW w:w="14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w w:val="94"/>
              </w:rPr>
              <w:t>12,077</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8,397</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3,711</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Charge for In-Process Research and Development(2)</w:t>
            </w:r>
          </w:p>
        </w:tc>
        <w:tc>
          <w:tcPr>
            <w:tcW w:w="14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14,756</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4540" w:type="dxa"/>
            <w:vAlign w:val="bottom"/>
            <w:gridSpan w:val="2"/>
          </w:tcPr>
          <w:p>
            <w:pPr>
              <w:spacing w:after="0"/>
              <w:rPr>
                <w:sz w:val="20"/>
                <w:szCs w:val="20"/>
                <w:color w:val="auto"/>
              </w:rPr>
            </w:pPr>
            <w:r>
              <w:rPr>
                <w:rFonts w:ascii="Arial" w:cs="Arial" w:eastAsia="Arial" w:hAnsi="Arial"/>
                <w:sz w:val="18"/>
                <w:szCs w:val="18"/>
                <w:color w:val="auto"/>
              </w:rPr>
              <w:t>Other Operating Expense</w:t>
            </w:r>
          </w:p>
        </w:tc>
        <w:tc>
          <w:tcPr>
            <w:tcW w:w="14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w w:val="94"/>
              </w:rPr>
              <w:t>13,521</w:t>
            </w:r>
          </w:p>
        </w:tc>
        <w:tc>
          <w:tcPr>
            <w:tcW w:w="1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17,464</w:t>
            </w:r>
          </w:p>
        </w:tc>
        <w:tc>
          <w:tcPr>
            <w:tcW w:w="1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15,109</w:t>
            </w:r>
          </w:p>
        </w:tc>
        <w:tc>
          <w:tcPr>
            <w:tcW w:w="1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7,022</w:t>
            </w:r>
          </w:p>
        </w:tc>
        <w:tc>
          <w:tcPr>
            <w:tcW w:w="1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9,681</w:t>
            </w:r>
          </w:p>
        </w:tc>
        <w:tc>
          <w:tcPr>
            <w:tcW w:w="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2680" w:type="dxa"/>
            <w:vAlign w:val="bottom"/>
          </w:tcPr>
          <w:p>
            <w:pPr>
              <w:spacing w:after="0" w:line="20" w:lineRule="exact"/>
              <w:rPr>
                <w:sz w:val="1"/>
                <w:szCs w:val="1"/>
                <w:color w:val="auto"/>
              </w:rPr>
            </w:pPr>
          </w:p>
        </w:tc>
        <w:tc>
          <w:tcPr>
            <w:tcW w:w="18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54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Total Operating Expense</w:t>
            </w:r>
          </w:p>
        </w:tc>
        <w:tc>
          <w:tcPr>
            <w:tcW w:w="14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53,248</w:t>
            </w: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52,030</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56,212</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16,914</w:t>
            </w: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19,694</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4560" w:type="dxa"/>
            <w:vAlign w:val="bottom"/>
            <w:gridSpan w:val="3"/>
            <w:vMerge w:val="restart"/>
          </w:tcPr>
          <w:p>
            <w:pPr>
              <w:spacing w:after="0"/>
              <w:rPr>
                <w:sz w:val="20"/>
                <w:szCs w:val="20"/>
                <w:color w:val="auto"/>
              </w:rPr>
            </w:pPr>
            <w:r>
              <w:rPr>
                <w:rFonts w:ascii="Arial" w:cs="Arial" w:eastAsia="Arial" w:hAnsi="Arial"/>
                <w:sz w:val="18"/>
                <w:szCs w:val="18"/>
                <w:color w:val="auto"/>
              </w:rPr>
              <w:t>Operating Loss</w:t>
            </w:r>
          </w:p>
        </w:tc>
        <w:tc>
          <w:tcPr>
            <w:tcW w:w="140" w:type="dxa"/>
            <w:vAlign w:val="bottom"/>
          </w:tcPr>
          <w:p>
            <w:pPr>
              <w:spacing w:after="0"/>
              <w:rPr>
                <w:sz w:val="2"/>
                <w:szCs w:val="2"/>
                <w:color w:val="auto"/>
              </w:rPr>
            </w:pPr>
          </w:p>
        </w:tc>
        <w:tc>
          <w:tcPr>
            <w:tcW w:w="660" w:type="dxa"/>
            <w:vAlign w:val="bottom"/>
            <w:gridSpan w:val="2"/>
          </w:tcPr>
          <w:p>
            <w:pPr>
              <w:spacing w:after="0"/>
              <w:rPr>
                <w:sz w:val="2"/>
                <w:szCs w:val="2"/>
                <w:color w:val="auto"/>
              </w:rPr>
            </w:pPr>
          </w:p>
        </w:tc>
        <w:tc>
          <w:tcPr>
            <w:tcW w:w="60" w:type="dxa"/>
            <w:vAlign w:val="bottom"/>
          </w:tcPr>
          <w:p>
            <w:pPr>
              <w:spacing w:after="0"/>
              <w:rPr>
                <w:sz w:val="2"/>
                <w:szCs w:val="2"/>
                <w:color w:val="auto"/>
              </w:rPr>
            </w:pPr>
          </w:p>
        </w:tc>
        <w:tc>
          <w:tcPr>
            <w:tcW w:w="160" w:type="dxa"/>
            <w:vAlign w:val="bottom"/>
          </w:tcPr>
          <w:p>
            <w:pPr>
              <w:spacing w:after="0"/>
              <w:rPr>
                <w:sz w:val="2"/>
                <w:szCs w:val="2"/>
                <w:color w:val="auto"/>
              </w:rPr>
            </w:pPr>
          </w:p>
        </w:tc>
        <w:tc>
          <w:tcPr>
            <w:tcW w:w="760" w:type="dxa"/>
            <w:vAlign w:val="bottom"/>
            <w:gridSpan w:val="2"/>
          </w:tcPr>
          <w:p>
            <w:pPr>
              <w:spacing w:after="0"/>
              <w:rPr>
                <w:sz w:val="2"/>
                <w:szCs w:val="2"/>
                <w:color w:val="auto"/>
              </w:rPr>
            </w:pPr>
          </w:p>
        </w:tc>
        <w:tc>
          <w:tcPr>
            <w:tcW w:w="160" w:type="dxa"/>
            <w:vAlign w:val="bottom"/>
          </w:tcPr>
          <w:p>
            <w:pPr>
              <w:spacing w:after="0"/>
              <w:rPr>
                <w:sz w:val="2"/>
                <w:szCs w:val="2"/>
                <w:color w:val="auto"/>
              </w:rPr>
            </w:pPr>
          </w:p>
        </w:tc>
        <w:tc>
          <w:tcPr>
            <w:tcW w:w="780" w:type="dxa"/>
            <w:vAlign w:val="bottom"/>
            <w:gridSpan w:val="2"/>
          </w:tcPr>
          <w:p>
            <w:pPr>
              <w:spacing w:after="0"/>
              <w:rPr>
                <w:sz w:val="2"/>
                <w:szCs w:val="2"/>
                <w:color w:val="auto"/>
              </w:rPr>
            </w:pPr>
          </w:p>
        </w:tc>
        <w:tc>
          <w:tcPr>
            <w:tcW w:w="160" w:type="dxa"/>
            <w:vAlign w:val="bottom"/>
          </w:tcPr>
          <w:p>
            <w:pPr>
              <w:spacing w:after="0"/>
              <w:rPr>
                <w:sz w:val="2"/>
                <w:szCs w:val="2"/>
                <w:color w:val="auto"/>
              </w:rPr>
            </w:pPr>
          </w:p>
        </w:tc>
        <w:tc>
          <w:tcPr>
            <w:tcW w:w="720" w:type="dxa"/>
            <w:vAlign w:val="bottom"/>
            <w:gridSpan w:val="2"/>
          </w:tcPr>
          <w:p>
            <w:pPr>
              <w:spacing w:after="0"/>
              <w:rPr>
                <w:sz w:val="2"/>
                <w:szCs w:val="2"/>
                <w:color w:val="auto"/>
              </w:rPr>
            </w:pPr>
          </w:p>
        </w:tc>
        <w:tc>
          <w:tcPr>
            <w:tcW w:w="60" w:type="dxa"/>
            <w:vAlign w:val="bottom"/>
          </w:tcPr>
          <w:p>
            <w:pPr>
              <w:spacing w:after="0"/>
              <w:rPr>
                <w:sz w:val="2"/>
                <w:szCs w:val="2"/>
                <w:color w:val="auto"/>
              </w:rPr>
            </w:pPr>
          </w:p>
        </w:tc>
        <w:tc>
          <w:tcPr>
            <w:tcW w:w="140" w:type="dxa"/>
            <w:vAlign w:val="bottom"/>
          </w:tcPr>
          <w:p>
            <w:pPr>
              <w:spacing w:after="0"/>
              <w:rPr>
                <w:sz w:val="2"/>
                <w:szCs w:val="2"/>
                <w:color w:val="auto"/>
              </w:rPr>
            </w:pPr>
          </w:p>
        </w:tc>
        <w:tc>
          <w:tcPr>
            <w:tcW w:w="780" w:type="dxa"/>
            <w:vAlign w:val="bottom"/>
            <w:gridSpan w:val="2"/>
          </w:tcPr>
          <w:p>
            <w:pPr>
              <w:spacing w:after="0"/>
              <w:rPr>
                <w:sz w:val="2"/>
                <w:szCs w:val="2"/>
                <w:color w:val="auto"/>
              </w:rPr>
            </w:pPr>
          </w:p>
        </w:tc>
        <w:tc>
          <w:tcPr>
            <w:tcW w:w="0" w:type="dxa"/>
            <w:vAlign w:val="bottom"/>
          </w:tcPr>
          <w:p>
            <w:pPr>
              <w:spacing w:after="0"/>
              <w:rPr>
                <w:sz w:val="1"/>
                <w:szCs w:val="1"/>
                <w:color w:val="auto"/>
              </w:rPr>
            </w:pPr>
          </w:p>
        </w:tc>
      </w:tr>
      <w:tr>
        <w:trPr>
          <w:trHeight w:val="210"/>
        </w:trPr>
        <w:tc>
          <w:tcPr>
            <w:tcW w:w="4560" w:type="dxa"/>
            <w:vAlign w:val="bottom"/>
            <w:gridSpan w:val="3"/>
            <w:vMerge w:val="continue"/>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5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4"/>
              </w:rPr>
              <w:t>(6,455)</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6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6"/>
              </w:rPr>
              <w:t>(36,850)</w:t>
            </w:r>
          </w:p>
        </w:tc>
        <w:tc>
          <w:tcPr>
            <w:tcW w:w="16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6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9"/>
              </w:rPr>
              <w:t>(48,756)</w:t>
            </w:r>
          </w:p>
        </w:tc>
        <w:tc>
          <w:tcPr>
            <w:tcW w:w="16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6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9"/>
              </w:rPr>
              <w:t>(15,508)</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6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9"/>
              </w:rPr>
              <w:t>(18,795)</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Investment and Other Income, Net</w:t>
            </w:r>
          </w:p>
        </w:tc>
        <w:tc>
          <w:tcPr>
            <w:tcW w:w="14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5,259</w:t>
            </w: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248</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1,411</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435</w:t>
            </w: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960</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4540" w:type="dxa"/>
            <w:vAlign w:val="bottom"/>
            <w:gridSpan w:val="2"/>
          </w:tcPr>
          <w:p>
            <w:pPr>
              <w:spacing w:after="0"/>
              <w:rPr>
                <w:sz w:val="20"/>
                <w:szCs w:val="20"/>
                <w:color w:val="auto"/>
              </w:rPr>
            </w:pPr>
            <w:r>
              <w:rPr>
                <w:rFonts w:ascii="Arial" w:cs="Arial" w:eastAsia="Arial" w:hAnsi="Arial"/>
                <w:sz w:val="18"/>
                <w:szCs w:val="18"/>
                <w:color w:val="auto"/>
              </w:rPr>
              <w:t>Interest Expense</w:t>
            </w:r>
          </w:p>
        </w:tc>
        <w:tc>
          <w:tcPr>
            <w:tcW w:w="140" w:type="dxa"/>
            <w:vAlign w:val="bottom"/>
          </w:tcPr>
          <w:p>
            <w:pPr>
              <w:spacing w:after="0"/>
              <w:rPr>
                <w:sz w:val="19"/>
                <w:szCs w:val="19"/>
                <w:color w:val="auto"/>
              </w:rPr>
            </w:pPr>
          </w:p>
        </w:tc>
        <w:tc>
          <w:tcPr>
            <w:tcW w:w="660" w:type="dxa"/>
            <w:vAlign w:val="bottom"/>
            <w:gridSpan w:val="2"/>
          </w:tcPr>
          <w:p>
            <w:pPr>
              <w:jc w:val="right"/>
              <w:ind w:right="60"/>
              <w:spacing w:after="0"/>
              <w:rPr>
                <w:sz w:val="20"/>
                <w:szCs w:val="20"/>
                <w:color w:val="auto"/>
              </w:rPr>
            </w:pPr>
            <w:r>
              <w:rPr>
                <w:rFonts w:ascii="Arial" w:cs="Arial" w:eastAsia="Arial" w:hAnsi="Arial"/>
                <w:sz w:val="18"/>
                <w:szCs w:val="18"/>
                <w:color w:val="auto"/>
              </w:rPr>
              <w:t>(1,337)</w:t>
            </w:r>
          </w:p>
        </w:tc>
        <w:tc>
          <w:tcPr>
            <w:tcW w:w="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(452)</w:t>
            </w:r>
          </w:p>
        </w:tc>
        <w:tc>
          <w:tcPr>
            <w:tcW w:w="160" w:type="dxa"/>
            <w:vAlign w:val="bottom"/>
          </w:tcPr>
          <w:p>
            <w:pPr>
              <w:spacing w:after="0"/>
              <w:rPr>
                <w:sz w:val="19"/>
                <w:szCs w:val="19"/>
                <w:color w:val="auto"/>
              </w:rPr>
            </w:pP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rPr>
              <w:t>(156)</w:t>
            </w:r>
          </w:p>
        </w:tc>
        <w:tc>
          <w:tcPr>
            <w:tcW w:w="160" w:type="dxa"/>
            <w:vAlign w:val="bottom"/>
          </w:tcPr>
          <w:p>
            <w:pPr>
              <w:spacing w:after="0"/>
              <w:rPr>
                <w:sz w:val="19"/>
                <w:szCs w:val="19"/>
                <w:color w:val="auto"/>
              </w:rPr>
            </w:pPr>
          </w:p>
        </w:tc>
        <w:tc>
          <w:tcPr>
            <w:tcW w:w="72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2680" w:type="dxa"/>
            <w:vAlign w:val="bottom"/>
          </w:tcPr>
          <w:p>
            <w:pPr>
              <w:spacing w:after="0" w:line="20" w:lineRule="exact"/>
              <w:rPr>
                <w:sz w:val="1"/>
                <w:szCs w:val="1"/>
                <w:color w:val="auto"/>
              </w:rPr>
            </w:pPr>
          </w:p>
        </w:tc>
        <w:tc>
          <w:tcPr>
            <w:tcW w:w="18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54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Net Loss Before Income Taxes</w:t>
            </w:r>
          </w:p>
        </w:tc>
        <w:tc>
          <w:tcPr>
            <w:tcW w:w="14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(2,533)</w:t>
            </w: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5"/>
              </w:rPr>
              <w:t>(37,054)</w:t>
            </w:r>
          </w:p>
        </w:tc>
        <w:tc>
          <w:tcPr>
            <w:tcW w:w="16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8"/>
              </w:rPr>
              <w:t>(47,501)</w:t>
            </w:r>
          </w:p>
        </w:tc>
        <w:tc>
          <w:tcPr>
            <w:tcW w:w="16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5"/>
              </w:rPr>
              <w:t>(15,073)</w:t>
            </w: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8"/>
              </w:rPr>
              <w:t>(17,835)</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4540" w:type="dxa"/>
            <w:vAlign w:val="bottom"/>
            <w:gridSpan w:val="2"/>
          </w:tcPr>
          <w:p>
            <w:pPr>
              <w:ind w:left="120"/>
              <w:spacing w:after="0"/>
              <w:rPr>
                <w:sz w:val="20"/>
                <w:szCs w:val="20"/>
                <w:color w:val="auto"/>
              </w:rPr>
            </w:pPr>
            <w:r>
              <w:rPr>
                <w:rFonts w:ascii="Arial" w:cs="Arial" w:eastAsia="Arial" w:hAnsi="Arial"/>
                <w:sz w:val="18"/>
                <w:szCs w:val="18"/>
                <w:color w:val="auto"/>
              </w:rPr>
              <w:t>Income Tax Benefit</w:t>
            </w:r>
          </w:p>
        </w:tc>
        <w:tc>
          <w:tcPr>
            <w:tcW w:w="140" w:type="dxa"/>
            <w:vAlign w:val="bottom"/>
          </w:tcPr>
          <w:p>
            <w:pPr>
              <w:spacing w:after="0"/>
              <w:rPr>
                <w:sz w:val="19"/>
                <w:szCs w:val="19"/>
                <w:color w:val="auto"/>
              </w:rPr>
            </w:pPr>
          </w:p>
        </w:tc>
        <w:tc>
          <w:tcPr>
            <w:tcW w:w="66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529</w:t>
            </w:r>
          </w:p>
        </w:tc>
        <w:tc>
          <w:tcPr>
            <w:tcW w:w="1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72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2680" w:type="dxa"/>
            <w:vAlign w:val="bottom"/>
          </w:tcPr>
          <w:p>
            <w:pPr>
              <w:spacing w:after="0" w:line="20" w:lineRule="exact"/>
              <w:rPr>
                <w:sz w:val="1"/>
                <w:szCs w:val="1"/>
                <w:color w:val="auto"/>
              </w:rPr>
            </w:pPr>
          </w:p>
        </w:tc>
        <w:tc>
          <w:tcPr>
            <w:tcW w:w="18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54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Net Loss</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(2,533)</w:t>
            </w:r>
          </w:p>
        </w:tc>
        <w:tc>
          <w:tcPr>
            <w:tcW w:w="220" w:type="dxa"/>
            <w:vAlign w:val="bottom"/>
            <w:gridSpan w:val="2"/>
            <w:shd w:val="clear" w:color="auto" w:fill="CCEEFF"/>
          </w:tcPr>
          <w:p>
            <w:pPr>
              <w:jc w:val="right"/>
              <w:ind w:right="3"/>
              <w:spacing w:after="0"/>
              <w:rPr>
                <w:sz w:val="20"/>
                <w:szCs w:val="20"/>
                <w:color w:val="auto"/>
              </w:rPr>
            </w:pPr>
            <w:r>
              <w:rPr>
                <w:rFonts w:ascii="Arial" w:cs="Arial" w:eastAsia="Arial" w:hAnsi="Arial"/>
                <w:sz w:val="18"/>
                <w:szCs w:val="18"/>
                <w:color w:val="auto"/>
              </w:rPr>
              <w:t>$</w:t>
            </w: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5"/>
              </w:rPr>
              <w:t>(36,525)</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8"/>
              </w:rPr>
              <w:t>(47,501)</w:t>
            </w:r>
          </w:p>
        </w:tc>
        <w:tc>
          <w:tcPr>
            <w:tcW w:w="160" w:type="dxa"/>
            <w:vAlign w:val="bottom"/>
            <w:shd w:val="clear" w:color="auto" w:fill="CCEEFF"/>
          </w:tcPr>
          <w:p>
            <w:pPr>
              <w:jc w:val="right"/>
              <w:ind w:right="3"/>
              <w:spacing w:after="0"/>
              <w:rPr>
                <w:sz w:val="20"/>
                <w:szCs w:val="20"/>
                <w:color w:val="auto"/>
              </w:rPr>
            </w:pPr>
            <w:r>
              <w:rPr>
                <w:rFonts w:ascii="Arial" w:cs="Arial" w:eastAsia="Arial" w:hAnsi="Arial"/>
                <w:sz w:val="15"/>
                <w:szCs w:val="15"/>
                <w:color w:val="auto"/>
                <w:w w:val="71"/>
              </w:rPr>
              <w:t>$</w:t>
            </w:r>
          </w:p>
        </w:tc>
        <w:tc>
          <w:tcPr>
            <w:tcW w:w="7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5"/>
              </w:rPr>
              <w:t>(15,073)</w:t>
            </w: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8"/>
              </w:rPr>
              <w:t>(17,835)</w:t>
            </w:r>
          </w:p>
        </w:tc>
        <w:tc>
          <w:tcPr>
            <w:tcW w:w="0" w:type="dxa"/>
            <w:vAlign w:val="bottom"/>
          </w:tcPr>
          <w:p>
            <w:pPr>
              <w:spacing w:after="0"/>
              <w:rPr>
                <w:sz w:val="1"/>
                <w:szCs w:val="1"/>
                <w:color w:val="auto"/>
              </w:rPr>
            </w:pPr>
          </w:p>
        </w:tc>
      </w:tr>
      <w:tr>
        <w:trPr>
          <w:trHeight w:val="27"/>
        </w:trPr>
        <w:tc>
          <w:tcPr>
            <w:tcW w:w="4560" w:type="dxa"/>
            <w:vAlign w:val="bottom"/>
            <w:gridSpan w:val="3"/>
            <w:vMerge w:val="restart"/>
          </w:tcPr>
          <w:p>
            <w:pPr>
              <w:spacing w:after="0"/>
              <w:rPr>
                <w:sz w:val="20"/>
                <w:szCs w:val="20"/>
                <w:color w:val="auto"/>
              </w:rPr>
            </w:pPr>
            <w:r>
              <w:rPr>
                <w:rFonts w:ascii="Arial" w:cs="Arial" w:eastAsia="Arial" w:hAnsi="Arial"/>
                <w:sz w:val="18"/>
                <w:szCs w:val="18"/>
                <w:color w:val="auto"/>
              </w:rPr>
              <w:t>Basic and Diluted Net Loss Per Common Share</w:t>
            </w:r>
          </w:p>
        </w:tc>
        <w:tc>
          <w:tcPr>
            <w:tcW w:w="14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6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6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4560" w:type="dxa"/>
            <w:vAlign w:val="bottom"/>
            <w:gridSpan w:val="3"/>
            <w:vMerge w:val="continu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60" w:type="dxa"/>
            <w:vAlign w:val="bottom"/>
            <w:gridSpan w:val="2"/>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76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8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20" w:type="dxa"/>
            <w:vAlign w:val="bottom"/>
            <w:gridSpan w:val="2"/>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78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4560" w:type="dxa"/>
            <w:vAlign w:val="bottom"/>
            <w:gridSpan w:val="3"/>
            <w:vMerge w:val="continue"/>
          </w:tcPr>
          <w:p>
            <w:pPr>
              <w:spacing w:after="0"/>
              <w:rPr>
                <w:sz w:val="17"/>
                <w:szCs w:val="17"/>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60" w:type="dxa"/>
            <w:vAlign w:val="bottom"/>
            <w:tcBorders>
              <w:top w:val="single" w:sz="8" w:color="auto"/>
            </w:tcBorders>
          </w:tcPr>
          <w:p>
            <w:pPr>
              <w:jc w:val="right"/>
              <w:spacing w:after="0" w:line="203" w:lineRule="exact"/>
              <w:rPr>
                <w:sz w:val="20"/>
                <w:szCs w:val="20"/>
                <w:color w:val="auto"/>
              </w:rPr>
            </w:pPr>
            <w:r>
              <w:rPr>
                <w:rFonts w:ascii="Arial" w:cs="Arial" w:eastAsia="Arial" w:hAnsi="Arial"/>
                <w:sz w:val="18"/>
                <w:szCs w:val="18"/>
                <w:color w:val="auto"/>
              </w:rPr>
              <w:t>(0.08)</w:t>
            </w: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60" w:type="dxa"/>
            <w:vAlign w:val="bottom"/>
            <w:tcBorders>
              <w:top w:val="single" w:sz="8" w:color="auto"/>
            </w:tcBorders>
          </w:tcPr>
          <w:p>
            <w:pPr>
              <w:jc w:val="right"/>
              <w:ind w:right="3"/>
              <w:spacing w:after="0"/>
              <w:rPr>
                <w:sz w:val="20"/>
                <w:szCs w:val="20"/>
                <w:color w:val="auto"/>
              </w:rPr>
            </w:pPr>
            <w:r>
              <w:rPr>
                <w:rFonts w:ascii="Arial" w:cs="Arial" w:eastAsia="Arial" w:hAnsi="Arial"/>
                <w:sz w:val="15"/>
                <w:szCs w:val="15"/>
                <w:color w:val="auto"/>
                <w:w w:val="71"/>
              </w:rPr>
              <w:t>$</w:t>
            </w:r>
          </w:p>
        </w:tc>
        <w:tc>
          <w:tcPr>
            <w:tcW w:w="600" w:type="dxa"/>
            <w:vAlign w:val="bottom"/>
            <w:tcBorders>
              <w:top w:val="single" w:sz="8" w:color="auto"/>
            </w:tcBorders>
          </w:tcPr>
          <w:p>
            <w:pPr>
              <w:jc w:val="right"/>
              <w:spacing w:after="0" w:line="203" w:lineRule="exact"/>
              <w:rPr>
                <w:sz w:val="20"/>
                <w:szCs w:val="20"/>
                <w:color w:val="auto"/>
              </w:rPr>
            </w:pPr>
            <w:r>
              <w:rPr>
                <w:rFonts w:ascii="Arial" w:cs="Arial" w:eastAsia="Arial" w:hAnsi="Arial"/>
                <w:sz w:val="18"/>
                <w:szCs w:val="18"/>
                <w:color w:val="auto"/>
              </w:rPr>
              <w:t>(1.84)</w:t>
            </w:r>
          </w:p>
        </w:tc>
        <w:tc>
          <w:tcPr>
            <w:tcW w:w="160" w:type="dxa"/>
            <w:vAlign w:val="bottom"/>
          </w:tcPr>
          <w:p>
            <w:pPr>
              <w:spacing w:after="0"/>
              <w:rPr>
                <w:sz w:val="17"/>
                <w:szCs w:val="17"/>
                <w:color w:val="auto"/>
              </w:rPr>
            </w:pPr>
          </w:p>
        </w:tc>
        <w:tc>
          <w:tcPr>
            <w:tcW w:w="160" w:type="dxa"/>
            <w:vAlign w:val="bottom"/>
            <w:tcBorders>
              <w:top w:val="single" w:sz="8" w:color="auto"/>
            </w:tcBorders>
          </w:tcPr>
          <w:p>
            <w:pPr>
              <w:jc w:val="right"/>
              <w:spacing w:after="0" w:line="203" w:lineRule="exact"/>
              <w:rPr>
                <w:sz w:val="20"/>
                <w:szCs w:val="20"/>
                <w:color w:val="auto"/>
              </w:rPr>
            </w:pPr>
            <w:r>
              <w:rPr>
                <w:rFonts w:ascii="Arial" w:cs="Arial" w:eastAsia="Arial" w:hAnsi="Arial"/>
                <w:sz w:val="18"/>
                <w:szCs w:val="18"/>
                <w:color w:val="auto"/>
                <w:w w:val="79"/>
              </w:rPr>
              <w:t>$</w:t>
            </w:r>
          </w:p>
        </w:tc>
        <w:tc>
          <w:tcPr>
            <w:tcW w:w="620" w:type="dxa"/>
            <w:vAlign w:val="bottom"/>
            <w:tcBorders>
              <w:top w:val="single" w:sz="8" w:color="auto"/>
            </w:tcBorders>
          </w:tcPr>
          <w:p>
            <w:pPr>
              <w:jc w:val="right"/>
              <w:spacing w:after="0" w:line="203" w:lineRule="exact"/>
              <w:rPr>
                <w:sz w:val="20"/>
                <w:szCs w:val="20"/>
                <w:color w:val="auto"/>
              </w:rPr>
            </w:pPr>
            <w:r>
              <w:rPr>
                <w:rFonts w:ascii="Arial" w:cs="Arial" w:eastAsia="Arial" w:hAnsi="Arial"/>
                <w:sz w:val="18"/>
                <w:szCs w:val="18"/>
                <w:color w:val="auto"/>
              </w:rPr>
              <w:t>(3.34)</w:t>
            </w:r>
          </w:p>
        </w:tc>
        <w:tc>
          <w:tcPr>
            <w:tcW w:w="160" w:type="dxa"/>
            <w:vAlign w:val="bottom"/>
          </w:tcPr>
          <w:p>
            <w:pPr>
              <w:spacing w:after="0"/>
              <w:rPr>
                <w:sz w:val="17"/>
                <w:szCs w:val="17"/>
                <w:color w:val="auto"/>
              </w:rPr>
            </w:pPr>
          </w:p>
        </w:tc>
        <w:tc>
          <w:tcPr>
            <w:tcW w:w="160" w:type="dxa"/>
            <w:vAlign w:val="bottom"/>
            <w:tcBorders>
              <w:top w:val="single" w:sz="8" w:color="auto"/>
            </w:tcBorders>
          </w:tcPr>
          <w:p>
            <w:pPr>
              <w:jc w:val="right"/>
              <w:ind w:right="3"/>
              <w:spacing w:after="0"/>
              <w:rPr>
                <w:sz w:val="20"/>
                <w:szCs w:val="20"/>
                <w:color w:val="auto"/>
              </w:rPr>
            </w:pPr>
            <w:r>
              <w:rPr>
                <w:rFonts w:ascii="Arial" w:cs="Arial" w:eastAsia="Arial" w:hAnsi="Arial"/>
                <w:sz w:val="15"/>
                <w:szCs w:val="15"/>
                <w:color w:val="auto"/>
                <w:w w:val="71"/>
              </w:rPr>
              <w:t>$</w:t>
            </w:r>
          </w:p>
        </w:tc>
        <w:tc>
          <w:tcPr>
            <w:tcW w:w="620" w:type="dxa"/>
            <w:vAlign w:val="bottom"/>
            <w:tcBorders>
              <w:top w:val="single" w:sz="8" w:color="auto"/>
            </w:tcBorders>
          </w:tcPr>
          <w:p>
            <w:pPr>
              <w:jc w:val="right"/>
              <w:spacing w:after="0" w:line="203" w:lineRule="exact"/>
              <w:rPr>
                <w:sz w:val="20"/>
                <w:szCs w:val="20"/>
                <w:color w:val="auto"/>
              </w:rPr>
            </w:pPr>
            <w:r>
              <w:rPr>
                <w:rFonts w:ascii="Arial" w:cs="Arial" w:eastAsia="Arial" w:hAnsi="Arial"/>
                <w:sz w:val="18"/>
                <w:szCs w:val="18"/>
                <w:color w:val="auto"/>
              </w:rPr>
              <w:t>(1.81)</w:t>
            </w: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620" w:type="dxa"/>
            <w:vAlign w:val="bottom"/>
            <w:tcBorders>
              <w:top w:val="single" w:sz="8" w:color="auto"/>
            </w:tcBorders>
          </w:tcPr>
          <w:p>
            <w:pPr>
              <w:jc w:val="right"/>
              <w:spacing w:after="0" w:line="203" w:lineRule="exact"/>
              <w:rPr>
                <w:sz w:val="20"/>
                <w:szCs w:val="20"/>
                <w:color w:val="auto"/>
              </w:rPr>
            </w:pPr>
            <w:r>
              <w:rPr>
                <w:rFonts w:ascii="Arial" w:cs="Arial" w:eastAsia="Arial" w:hAnsi="Arial"/>
                <w:sz w:val="18"/>
                <w:szCs w:val="18"/>
                <w:color w:val="auto"/>
              </w:rPr>
              <w:t>(2.15)</w:t>
            </w: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2680" w:type="dxa"/>
            <w:vAlign w:val="bottom"/>
          </w:tcPr>
          <w:p>
            <w:pPr>
              <w:spacing w:after="0" w:line="20" w:lineRule="exact"/>
              <w:rPr>
                <w:sz w:val="1"/>
                <w:szCs w:val="1"/>
                <w:color w:val="auto"/>
              </w:rPr>
            </w:pPr>
          </w:p>
        </w:tc>
        <w:tc>
          <w:tcPr>
            <w:tcW w:w="18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680" w:type="dxa"/>
            <w:vAlign w:val="bottom"/>
          </w:tcPr>
          <w:p>
            <w:pPr>
              <w:spacing w:after="0" w:line="20" w:lineRule="exact"/>
              <w:rPr>
                <w:sz w:val="1"/>
                <w:szCs w:val="1"/>
                <w:color w:val="auto"/>
              </w:rPr>
            </w:pPr>
          </w:p>
        </w:tc>
        <w:tc>
          <w:tcPr>
            <w:tcW w:w="18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8"/>
        </w:trPr>
        <w:tc>
          <w:tcPr>
            <w:tcW w:w="20" w:type="dxa"/>
            <w:vAlign w:val="bottom"/>
          </w:tcPr>
          <w:p>
            <w:pPr>
              <w:spacing w:after="0"/>
              <w:rPr>
                <w:sz w:val="16"/>
                <w:szCs w:val="16"/>
                <w:color w:val="auto"/>
              </w:rPr>
            </w:pPr>
          </w:p>
        </w:tc>
        <w:tc>
          <w:tcPr>
            <w:tcW w:w="4540" w:type="dxa"/>
            <w:vAlign w:val="bottom"/>
            <w:gridSpan w:val="2"/>
            <w:shd w:val="clear" w:color="auto" w:fill="CCEEFF"/>
          </w:tcPr>
          <w:p>
            <w:pPr>
              <w:spacing w:after="0" w:line="189" w:lineRule="exact"/>
              <w:rPr>
                <w:sz w:val="20"/>
                <w:szCs w:val="20"/>
                <w:color w:val="auto"/>
              </w:rPr>
            </w:pPr>
            <w:r>
              <w:rPr>
                <w:rFonts w:ascii="Arial" w:cs="Arial" w:eastAsia="Arial" w:hAnsi="Arial"/>
                <w:sz w:val="18"/>
                <w:szCs w:val="18"/>
                <w:color w:val="auto"/>
                <w:w w:val="95"/>
              </w:rPr>
              <w:t>Shares Used in Calculating Basic and Diluted Net Loss Per</w:t>
            </w:r>
          </w:p>
        </w:tc>
        <w:tc>
          <w:tcPr>
            <w:tcW w:w="140" w:type="dxa"/>
            <w:vAlign w:val="bottom"/>
            <w:shd w:val="clear" w:color="auto" w:fill="CCEEFF"/>
          </w:tcPr>
          <w:p>
            <w:pPr>
              <w:spacing w:after="0"/>
              <w:rPr>
                <w:sz w:val="16"/>
                <w:szCs w:val="16"/>
                <w:color w:val="auto"/>
              </w:rPr>
            </w:pPr>
          </w:p>
        </w:tc>
        <w:tc>
          <w:tcPr>
            <w:tcW w:w="5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6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6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6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6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454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Common Share(1)</w:t>
            </w:r>
          </w:p>
        </w:tc>
        <w:tc>
          <w:tcPr>
            <w:tcW w:w="140" w:type="dxa"/>
            <w:vAlign w:val="bottom"/>
            <w:shd w:val="clear" w:color="auto" w:fill="CCEEFF"/>
          </w:tcPr>
          <w:p>
            <w:pPr>
              <w:spacing w:after="0"/>
              <w:rPr>
                <w:sz w:val="19"/>
                <w:szCs w:val="19"/>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31,868</w:t>
            </w:r>
          </w:p>
        </w:tc>
        <w:tc>
          <w:tcPr>
            <w:tcW w:w="10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19,823</w:t>
            </w:r>
          </w:p>
        </w:tc>
        <w:tc>
          <w:tcPr>
            <w:tcW w:w="16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14,217</w:t>
            </w:r>
          </w:p>
        </w:tc>
        <w:tc>
          <w:tcPr>
            <w:tcW w:w="16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8,309</w:t>
            </w:r>
          </w:p>
        </w:tc>
        <w:tc>
          <w:tcPr>
            <w:tcW w:w="10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8,279</w:t>
            </w:r>
          </w:p>
        </w:tc>
        <w:tc>
          <w:tcPr>
            <w:tcW w:w="1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2680" w:type="dxa"/>
            <w:vAlign w:val="bottom"/>
          </w:tcPr>
          <w:p>
            <w:pPr>
              <w:spacing w:after="0"/>
              <w:rPr>
                <w:sz w:val="2"/>
                <w:szCs w:val="2"/>
                <w:color w:val="auto"/>
              </w:rPr>
            </w:pPr>
          </w:p>
        </w:tc>
        <w:tc>
          <w:tcPr>
            <w:tcW w:w="186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6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6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680" w:type="dxa"/>
            <w:vAlign w:val="bottom"/>
          </w:tcPr>
          <w:p>
            <w:pPr>
              <w:spacing w:after="0" w:line="20" w:lineRule="exact"/>
              <w:rPr>
                <w:sz w:val="1"/>
                <w:szCs w:val="1"/>
                <w:color w:val="auto"/>
              </w:rPr>
            </w:pPr>
          </w:p>
        </w:tc>
        <w:tc>
          <w:tcPr>
            <w:tcW w:w="18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9"/>
        </w:trPr>
        <w:tc>
          <w:tcPr>
            <w:tcW w:w="20" w:type="dxa"/>
            <w:vAlign w:val="bottom"/>
          </w:tcPr>
          <w:p>
            <w:pPr>
              <w:spacing w:after="0"/>
              <w:rPr>
                <w:sz w:val="7"/>
                <w:szCs w:val="7"/>
                <w:color w:val="auto"/>
              </w:rPr>
            </w:pPr>
          </w:p>
        </w:tc>
        <w:tc>
          <w:tcPr>
            <w:tcW w:w="2680" w:type="dxa"/>
            <w:vAlign w:val="bottom"/>
            <w:tcBorders>
              <w:bottom w:val="single" w:sz="8" w:color="auto"/>
            </w:tcBorders>
          </w:tcPr>
          <w:p>
            <w:pPr>
              <w:spacing w:after="0"/>
              <w:rPr>
                <w:sz w:val="7"/>
                <w:szCs w:val="7"/>
                <w:color w:val="auto"/>
              </w:rPr>
            </w:pPr>
          </w:p>
        </w:tc>
        <w:tc>
          <w:tcPr>
            <w:tcW w:w="1860" w:type="dxa"/>
            <w:vAlign w:val="bottom"/>
          </w:tcPr>
          <w:p>
            <w:pPr>
              <w:spacing w:after="0"/>
              <w:rPr>
                <w:sz w:val="7"/>
                <w:szCs w:val="7"/>
                <w:color w:val="auto"/>
              </w:rPr>
            </w:pPr>
          </w:p>
        </w:tc>
        <w:tc>
          <w:tcPr>
            <w:tcW w:w="140" w:type="dxa"/>
            <w:vAlign w:val="bottom"/>
          </w:tcPr>
          <w:p>
            <w:pPr>
              <w:spacing w:after="0"/>
              <w:rPr>
                <w:sz w:val="7"/>
                <w:szCs w:val="7"/>
                <w:color w:val="auto"/>
              </w:rPr>
            </w:pPr>
          </w:p>
        </w:tc>
        <w:tc>
          <w:tcPr>
            <w:tcW w:w="560" w:type="dxa"/>
            <w:vAlign w:val="bottom"/>
          </w:tcPr>
          <w:p>
            <w:pPr>
              <w:spacing w:after="0"/>
              <w:rPr>
                <w:sz w:val="7"/>
                <w:szCs w:val="7"/>
                <w:color w:val="auto"/>
              </w:rPr>
            </w:pPr>
          </w:p>
        </w:tc>
        <w:tc>
          <w:tcPr>
            <w:tcW w:w="100" w:type="dxa"/>
            <w:vAlign w:val="bottom"/>
          </w:tcPr>
          <w:p>
            <w:pPr>
              <w:spacing w:after="0"/>
              <w:rPr>
                <w:sz w:val="7"/>
                <w:szCs w:val="7"/>
                <w:color w:val="auto"/>
              </w:rPr>
            </w:pPr>
          </w:p>
        </w:tc>
        <w:tc>
          <w:tcPr>
            <w:tcW w:w="60" w:type="dxa"/>
            <w:vAlign w:val="bottom"/>
          </w:tcPr>
          <w:p>
            <w:pPr>
              <w:spacing w:after="0"/>
              <w:rPr>
                <w:sz w:val="7"/>
                <w:szCs w:val="7"/>
                <w:color w:val="auto"/>
              </w:rPr>
            </w:pPr>
          </w:p>
        </w:tc>
        <w:tc>
          <w:tcPr>
            <w:tcW w:w="160" w:type="dxa"/>
            <w:vAlign w:val="bottom"/>
          </w:tcPr>
          <w:p>
            <w:pPr>
              <w:spacing w:after="0"/>
              <w:rPr>
                <w:sz w:val="7"/>
                <w:szCs w:val="7"/>
                <w:color w:val="auto"/>
              </w:rPr>
            </w:pPr>
          </w:p>
        </w:tc>
        <w:tc>
          <w:tcPr>
            <w:tcW w:w="600" w:type="dxa"/>
            <w:vAlign w:val="bottom"/>
          </w:tcPr>
          <w:p>
            <w:pPr>
              <w:spacing w:after="0"/>
              <w:rPr>
                <w:sz w:val="7"/>
                <w:szCs w:val="7"/>
                <w:color w:val="auto"/>
              </w:rPr>
            </w:pPr>
          </w:p>
        </w:tc>
        <w:tc>
          <w:tcPr>
            <w:tcW w:w="160" w:type="dxa"/>
            <w:vAlign w:val="bottom"/>
          </w:tcPr>
          <w:p>
            <w:pPr>
              <w:spacing w:after="0"/>
              <w:rPr>
                <w:sz w:val="7"/>
                <w:szCs w:val="7"/>
                <w:color w:val="auto"/>
              </w:rPr>
            </w:pPr>
          </w:p>
        </w:tc>
        <w:tc>
          <w:tcPr>
            <w:tcW w:w="160" w:type="dxa"/>
            <w:vAlign w:val="bottom"/>
          </w:tcPr>
          <w:p>
            <w:pPr>
              <w:spacing w:after="0"/>
              <w:rPr>
                <w:sz w:val="7"/>
                <w:szCs w:val="7"/>
                <w:color w:val="auto"/>
              </w:rPr>
            </w:pPr>
          </w:p>
        </w:tc>
        <w:tc>
          <w:tcPr>
            <w:tcW w:w="620" w:type="dxa"/>
            <w:vAlign w:val="bottom"/>
          </w:tcPr>
          <w:p>
            <w:pPr>
              <w:spacing w:after="0"/>
              <w:rPr>
                <w:sz w:val="7"/>
                <w:szCs w:val="7"/>
                <w:color w:val="auto"/>
              </w:rPr>
            </w:pPr>
          </w:p>
        </w:tc>
        <w:tc>
          <w:tcPr>
            <w:tcW w:w="160" w:type="dxa"/>
            <w:vAlign w:val="bottom"/>
          </w:tcPr>
          <w:p>
            <w:pPr>
              <w:spacing w:after="0"/>
              <w:rPr>
                <w:sz w:val="7"/>
                <w:szCs w:val="7"/>
                <w:color w:val="auto"/>
              </w:rPr>
            </w:pPr>
          </w:p>
        </w:tc>
        <w:tc>
          <w:tcPr>
            <w:tcW w:w="160" w:type="dxa"/>
            <w:vAlign w:val="bottom"/>
          </w:tcPr>
          <w:p>
            <w:pPr>
              <w:spacing w:after="0"/>
              <w:rPr>
                <w:sz w:val="7"/>
                <w:szCs w:val="7"/>
                <w:color w:val="auto"/>
              </w:rPr>
            </w:pPr>
          </w:p>
        </w:tc>
        <w:tc>
          <w:tcPr>
            <w:tcW w:w="6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0" w:type="dxa"/>
            <w:vAlign w:val="bottom"/>
          </w:tcPr>
          <w:p>
            <w:pPr>
              <w:spacing w:after="0"/>
              <w:rPr>
                <w:sz w:val="7"/>
                <w:szCs w:val="7"/>
                <w:color w:val="auto"/>
              </w:rPr>
            </w:pPr>
          </w:p>
        </w:tc>
        <w:tc>
          <w:tcPr>
            <w:tcW w:w="140" w:type="dxa"/>
            <w:vAlign w:val="bottom"/>
          </w:tcPr>
          <w:p>
            <w:pPr>
              <w:spacing w:after="0"/>
              <w:rPr>
                <w:sz w:val="7"/>
                <w:szCs w:val="7"/>
                <w:color w:val="auto"/>
              </w:rPr>
            </w:pPr>
          </w:p>
        </w:tc>
        <w:tc>
          <w:tcPr>
            <w:tcW w:w="620" w:type="dxa"/>
            <w:vAlign w:val="bottom"/>
          </w:tcPr>
          <w:p>
            <w:pPr>
              <w:spacing w:after="0"/>
              <w:rPr>
                <w:sz w:val="7"/>
                <w:szCs w:val="7"/>
                <w:color w:val="auto"/>
              </w:rPr>
            </w:pPr>
          </w:p>
        </w:tc>
        <w:tc>
          <w:tcPr>
            <w:tcW w:w="160" w:type="dxa"/>
            <w:vAlign w:val="bottom"/>
          </w:tcPr>
          <w:p>
            <w:pPr>
              <w:spacing w:after="0"/>
              <w:rPr>
                <w:sz w:val="7"/>
                <w:szCs w:val="7"/>
                <w:color w:val="auto"/>
              </w:rPr>
            </w:pPr>
          </w:p>
        </w:tc>
        <w:tc>
          <w:tcPr>
            <w:tcW w:w="0" w:type="dxa"/>
            <w:vAlign w:val="bottom"/>
          </w:tcPr>
          <w:p>
            <w:pPr>
              <w:spacing w:after="0"/>
              <w:rPr>
                <w:sz w:val="1"/>
                <w:szCs w:val="1"/>
                <w:color w:val="auto"/>
              </w:rPr>
            </w:pPr>
          </w:p>
        </w:tc>
      </w:tr>
    </w:tbl>
    <w:p>
      <w:pPr>
        <w:spacing w:after="0" w:line="221" w:lineRule="exact"/>
        <w:rPr>
          <w:sz w:val="20"/>
          <w:szCs w:val="20"/>
          <w:color w:val="auto"/>
        </w:rPr>
      </w:pPr>
    </w:p>
    <w:p>
      <w:pPr>
        <w:ind w:left="1680" w:hanging="531"/>
        <w:spacing w:after="0" w:line="268" w:lineRule="auto"/>
        <w:tabs>
          <w:tab w:leader="none" w:pos="16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Weighted average common shares outstanding for the years 2006 and 2007 have been adjusted to reflect the AVANT Merger and a reverse stock split of 1-for-12 effective March 7, 2008.</w:t>
      </w:r>
    </w:p>
    <w:p>
      <w:pPr>
        <w:spacing w:after="0" w:line="212" w:lineRule="exact"/>
        <w:rPr>
          <w:rFonts w:ascii="Arial" w:cs="Arial" w:eastAsia="Arial" w:hAnsi="Arial"/>
          <w:sz w:val="18"/>
          <w:szCs w:val="18"/>
          <w:color w:val="auto"/>
        </w:rPr>
      </w:pPr>
    </w:p>
    <w:p>
      <w:pPr>
        <w:ind w:left="1680" w:hanging="531"/>
        <w:spacing w:after="0"/>
        <w:tabs>
          <w:tab w:leader="none" w:pos="16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2008 amount arose as a result of the merger between AVANT and Celldex Research.</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CONSOLIDATED BALANCE SHEET DATA</w:t>
      </w:r>
    </w:p>
    <w:p>
      <w:pPr>
        <w:spacing w:after="0" w:line="28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160" w:type="dxa"/>
            <w:vAlign w:val="bottom"/>
          </w:tcPr>
          <w:p>
            <w:pPr>
              <w:spacing w:after="0"/>
              <w:rPr>
                <w:sz w:val="14"/>
                <w:szCs w:val="14"/>
                <w:color w:val="auto"/>
              </w:rPr>
            </w:pPr>
          </w:p>
        </w:tc>
        <w:tc>
          <w:tcPr>
            <w:tcW w:w="426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jc w:val="right"/>
              <w:ind w:right="215"/>
              <w:spacing w:after="0"/>
              <w:rPr>
                <w:sz w:val="20"/>
                <w:szCs w:val="20"/>
                <w:color w:val="auto"/>
              </w:rPr>
            </w:pPr>
            <w:r>
              <w:rPr>
                <w:rFonts w:ascii="Arial" w:cs="Arial" w:eastAsia="Arial" w:hAnsi="Arial"/>
                <w:sz w:val="14"/>
                <w:szCs w:val="14"/>
                <w:b w:val="1"/>
                <w:bCs w:val="1"/>
                <w:color w:val="auto"/>
              </w:rPr>
              <w:t>2010</w:t>
            </w: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jc w:val="right"/>
              <w:ind w:right="216"/>
              <w:spacing w:after="0"/>
              <w:rPr>
                <w:sz w:val="20"/>
                <w:szCs w:val="20"/>
                <w:color w:val="auto"/>
              </w:rPr>
            </w:pPr>
            <w:r>
              <w:rPr>
                <w:rFonts w:ascii="Arial" w:cs="Arial" w:eastAsia="Arial" w:hAnsi="Arial"/>
                <w:sz w:val="14"/>
                <w:szCs w:val="14"/>
                <w:b w:val="1"/>
                <w:bCs w:val="1"/>
                <w:color w:val="auto"/>
              </w:rPr>
              <w:t>2009</w:t>
            </w:r>
          </w:p>
        </w:tc>
        <w:tc>
          <w:tcPr>
            <w:tcW w:w="16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jc w:val="right"/>
              <w:ind w:right="216"/>
              <w:spacing w:after="0"/>
              <w:rPr>
                <w:sz w:val="20"/>
                <w:szCs w:val="20"/>
                <w:color w:val="auto"/>
              </w:rPr>
            </w:pPr>
            <w:r>
              <w:rPr>
                <w:rFonts w:ascii="Arial" w:cs="Arial" w:eastAsia="Arial" w:hAnsi="Arial"/>
                <w:sz w:val="14"/>
                <w:szCs w:val="14"/>
                <w:b w:val="1"/>
                <w:bCs w:val="1"/>
                <w:color w:val="auto"/>
              </w:rPr>
              <w:t>2008</w:t>
            </w:r>
          </w:p>
        </w:tc>
        <w:tc>
          <w:tcPr>
            <w:tcW w:w="1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jc w:val="right"/>
              <w:ind w:right="176"/>
              <w:spacing w:after="0"/>
              <w:rPr>
                <w:sz w:val="20"/>
                <w:szCs w:val="20"/>
                <w:color w:val="auto"/>
              </w:rPr>
            </w:pPr>
            <w:r>
              <w:rPr>
                <w:rFonts w:ascii="Arial" w:cs="Arial" w:eastAsia="Arial" w:hAnsi="Arial"/>
                <w:sz w:val="14"/>
                <w:szCs w:val="14"/>
                <w:b w:val="1"/>
                <w:bCs w:val="1"/>
                <w:color w:val="auto"/>
              </w:rPr>
              <w:t>2007</w:t>
            </w: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jc w:val="right"/>
              <w:ind w:right="176"/>
              <w:spacing w:after="0"/>
              <w:rPr>
                <w:sz w:val="20"/>
                <w:szCs w:val="20"/>
                <w:color w:val="auto"/>
              </w:rPr>
            </w:pPr>
            <w:r>
              <w:rPr>
                <w:rFonts w:ascii="Arial" w:cs="Arial" w:eastAsia="Arial" w:hAnsi="Arial"/>
                <w:sz w:val="14"/>
                <w:szCs w:val="14"/>
                <w:b w:val="1"/>
                <w:bCs w:val="1"/>
                <w:color w:val="auto"/>
              </w:rPr>
              <w:t>2006</w:t>
            </w:r>
          </w:p>
        </w:tc>
        <w:tc>
          <w:tcPr>
            <w:tcW w:w="160" w:type="dxa"/>
            <w:vAlign w:val="bottom"/>
          </w:tcPr>
          <w:p>
            <w:pPr>
              <w:spacing w:after="0"/>
              <w:rPr>
                <w:sz w:val="14"/>
                <w:szCs w:val="14"/>
                <w:color w:val="auto"/>
              </w:rPr>
            </w:pPr>
          </w:p>
        </w:tc>
        <w:tc>
          <w:tcPr>
            <w:tcW w:w="1100" w:type="dxa"/>
            <w:vAlign w:val="bottom"/>
          </w:tcPr>
          <w:p>
            <w:pPr>
              <w:spacing w:after="0"/>
              <w:rPr>
                <w:sz w:val="14"/>
                <w:szCs w:val="14"/>
                <w:color w:val="auto"/>
              </w:rPr>
            </w:pPr>
          </w:p>
        </w:tc>
      </w:tr>
      <w:tr>
        <w:trPr>
          <w:trHeight w:val="210"/>
        </w:trPr>
        <w:tc>
          <w:tcPr>
            <w:tcW w:w="1160" w:type="dxa"/>
            <w:vAlign w:val="bottom"/>
          </w:tcPr>
          <w:p>
            <w:pPr>
              <w:spacing w:after="0"/>
              <w:rPr>
                <w:sz w:val="18"/>
                <w:szCs w:val="18"/>
                <w:color w:val="auto"/>
              </w:rPr>
            </w:pPr>
          </w:p>
        </w:tc>
        <w:tc>
          <w:tcPr>
            <w:tcW w:w="4260" w:type="dxa"/>
            <w:vAlign w:val="bottom"/>
            <w:shd w:val="clear" w:color="auto" w:fill="CCEEFF"/>
          </w:tcPr>
          <w:p>
            <w:pPr>
              <w:spacing w:after="0"/>
              <w:rPr>
                <w:sz w:val="20"/>
                <w:szCs w:val="20"/>
                <w:color w:val="auto"/>
              </w:rPr>
            </w:pPr>
            <w:r>
              <w:rPr>
                <w:rFonts w:ascii="Arial" w:cs="Arial" w:eastAsia="Arial" w:hAnsi="Arial"/>
                <w:sz w:val="18"/>
                <w:szCs w:val="18"/>
                <w:color w:val="auto"/>
              </w:rPr>
              <w:t>Working Capital</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42,739</w:t>
            </w:r>
          </w:p>
        </w:tc>
        <w:tc>
          <w:tcPr>
            <w:tcW w:w="100" w:type="dxa"/>
            <w:vAlign w:val="bottom"/>
            <w:shd w:val="clear" w:color="auto" w:fill="CCEEFF"/>
          </w:tcPr>
          <w:p>
            <w:pPr>
              <w:spacing w:after="0"/>
              <w:rPr>
                <w:sz w:val="18"/>
                <w:szCs w:val="18"/>
                <w:color w:val="auto"/>
              </w:rPr>
            </w:pPr>
          </w:p>
        </w:tc>
        <w:tc>
          <w:tcPr>
            <w:tcW w:w="2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69,569</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32,975</w:t>
            </w:r>
          </w:p>
        </w:tc>
        <w:tc>
          <w:tcPr>
            <w:tcW w:w="120" w:type="dxa"/>
            <w:vAlign w:val="bottom"/>
            <w:shd w:val="clear" w:color="auto" w:fill="CCEEFF"/>
          </w:tcPr>
          <w:p>
            <w:pPr>
              <w:spacing w:after="0"/>
              <w:rPr>
                <w:sz w:val="18"/>
                <w:szCs w:val="18"/>
                <w:color w:val="auto"/>
              </w:rPr>
            </w:pPr>
          </w:p>
        </w:tc>
        <w:tc>
          <w:tcPr>
            <w:tcW w:w="2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7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(4,438)</w:t>
            </w:r>
          </w:p>
        </w:tc>
        <w:tc>
          <w:tcPr>
            <w:tcW w:w="2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12,178</w:t>
            </w:r>
          </w:p>
        </w:tc>
        <w:tc>
          <w:tcPr>
            <w:tcW w:w="160" w:type="dxa"/>
            <w:vAlign w:val="bottom"/>
            <w:shd w:val="clear" w:color="auto" w:fill="CCEEFF"/>
          </w:tcPr>
          <w:p>
            <w:pPr>
              <w:spacing w:after="0"/>
              <w:rPr>
                <w:sz w:val="18"/>
                <w:szCs w:val="18"/>
                <w:color w:val="auto"/>
              </w:rPr>
            </w:pPr>
          </w:p>
        </w:tc>
        <w:tc>
          <w:tcPr>
            <w:tcW w:w="1100" w:type="dxa"/>
            <w:vAlign w:val="bottom"/>
          </w:tcPr>
          <w:p>
            <w:pPr>
              <w:spacing w:after="0"/>
              <w:rPr>
                <w:sz w:val="18"/>
                <w:szCs w:val="18"/>
                <w:color w:val="auto"/>
              </w:rPr>
            </w:pPr>
          </w:p>
        </w:tc>
      </w:tr>
      <w:tr>
        <w:trPr>
          <w:trHeight w:val="216"/>
        </w:trPr>
        <w:tc>
          <w:tcPr>
            <w:tcW w:w="1160" w:type="dxa"/>
            <w:vAlign w:val="bottom"/>
          </w:tcPr>
          <w:p>
            <w:pPr>
              <w:spacing w:after="0"/>
              <w:rPr>
                <w:sz w:val="18"/>
                <w:szCs w:val="18"/>
                <w:color w:val="auto"/>
              </w:rPr>
            </w:pPr>
          </w:p>
        </w:tc>
        <w:tc>
          <w:tcPr>
            <w:tcW w:w="4260" w:type="dxa"/>
            <w:vAlign w:val="bottom"/>
          </w:tcPr>
          <w:p>
            <w:pPr>
              <w:spacing w:after="0"/>
              <w:rPr>
                <w:sz w:val="20"/>
                <w:szCs w:val="20"/>
                <w:color w:val="auto"/>
              </w:rPr>
            </w:pPr>
            <w:r>
              <w:rPr>
                <w:rFonts w:ascii="Arial" w:cs="Arial" w:eastAsia="Arial" w:hAnsi="Arial"/>
                <w:sz w:val="18"/>
                <w:szCs w:val="18"/>
                <w:color w:val="auto"/>
              </w:rPr>
              <w:t>Total Assets</w:t>
            </w:r>
          </w:p>
        </w:tc>
        <w:tc>
          <w:tcPr>
            <w:tcW w:w="14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109,943</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140,364</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69,793</w:t>
            </w: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9,375</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22,163</w:t>
            </w:r>
          </w:p>
        </w:tc>
        <w:tc>
          <w:tcPr>
            <w:tcW w:w="160" w:type="dxa"/>
            <w:vAlign w:val="bottom"/>
          </w:tcPr>
          <w:p>
            <w:pPr>
              <w:spacing w:after="0"/>
              <w:rPr>
                <w:sz w:val="18"/>
                <w:szCs w:val="18"/>
                <w:color w:val="auto"/>
              </w:rPr>
            </w:pPr>
          </w:p>
        </w:tc>
        <w:tc>
          <w:tcPr>
            <w:tcW w:w="1100" w:type="dxa"/>
            <w:vAlign w:val="bottom"/>
          </w:tcPr>
          <w:p>
            <w:pPr>
              <w:spacing w:after="0"/>
              <w:rPr>
                <w:sz w:val="18"/>
                <w:szCs w:val="18"/>
                <w:color w:val="auto"/>
              </w:rPr>
            </w:pPr>
          </w:p>
        </w:tc>
      </w:tr>
      <w:tr>
        <w:trPr>
          <w:trHeight w:val="216"/>
        </w:trPr>
        <w:tc>
          <w:tcPr>
            <w:tcW w:w="1160" w:type="dxa"/>
            <w:vAlign w:val="bottom"/>
          </w:tcPr>
          <w:p>
            <w:pPr>
              <w:spacing w:after="0"/>
              <w:rPr>
                <w:sz w:val="18"/>
                <w:szCs w:val="18"/>
                <w:color w:val="auto"/>
              </w:rPr>
            </w:pPr>
          </w:p>
        </w:tc>
        <w:tc>
          <w:tcPr>
            <w:tcW w:w="4260" w:type="dxa"/>
            <w:vAlign w:val="bottom"/>
            <w:shd w:val="clear" w:color="auto" w:fill="CCEEFF"/>
          </w:tcPr>
          <w:p>
            <w:pPr>
              <w:spacing w:after="0"/>
              <w:rPr>
                <w:sz w:val="20"/>
                <w:szCs w:val="20"/>
                <w:color w:val="auto"/>
              </w:rPr>
            </w:pPr>
            <w:r>
              <w:rPr>
                <w:rFonts w:ascii="Arial" w:cs="Arial" w:eastAsia="Arial" w:hAnsi="Arial"/>
                <w:sz w:val="18"/>
                <w:szCs w:val="18"/>
                <w:color w:val="auto"/>
              </w:rPr>
              <w:t>Long Term Liabilities</w:t>
            </w: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14,480</w:t>
            </w: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52,190</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37,558</w:t>
            </w:r>
          </w:p>
        </w:tc>
        <w:tc>
          <w:tcPr>
            <w:tcW w:w="1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370</w:t>
            </w: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914</w:t>
            </w:r>
          </w:p>
        </w:tc>
        <w:tc>
          <w:tcPr>
            <w:tcW w:w="160" w:type="dxa"/>
            <w:vAlign w:val="bottom"/>
            <w:shd w:val="clear" w:color="auto" w:fill="CCEEFF"/>
          </w:tcPr>
          <w:p>
            <w:pPr>
              <w:spacing w:after="0"/>
              <w:rPr>
                <w:sz w:val="18"/>
                <w:szCs w:val="18"/>
                <w:color w:val="auto"/>
              </w:rPr>
            </w:pPr>
          </w:p>
        </w:tc>
        <w:tc>
          <w:tcPr>
            <w:tcW w:w="1100" w:type="dxa"/>
            <w:vAlign w:val="bottom"/>
          </w:tcPr>
          <w:p>
            <w:pPr>
              <w:spacing w:after="0"/>
              <w:rPr>
                <w:sz w:val="18"/>
                <w:szCs w:val="18"/>
                <w:color w:val="auto"/>
              </w:rPr>
            </w:pPr>
          </w:p>
        </w:tc>
      </w:tr>
      <w:tr>
        <w:trPr>
          <w:trHeight w:val="216"/>
        </w:trPr>
        <w:tc>
          <w:tcPr>
            <w:tcW w:w="1160" w:type="dxa"/>
            <w:vAlign w:val="bottom"/>
          </w:tcPr>
          <w:p>
            <w:pPr>
              <w:spacing w:after="0"/>
              <w:rPr>
                <w:sz w:val="18"/>
                <w:szCs w:val="18"/>
                <w:color w:val="auto"/>
              </w:rPr>
            </w:pPr>
          </w:p>
        </w:tc>
        <w:tc>
          <w:tcPr>
            <w:tcW w:w="4260" w:type="dxa"/>
            <w:vAlign w:val="bottom"/>
          </w:tcPr>
          <w:p>
            <w:pPr>
              <w:spacing w:after="0"/>
              <w:rPr>
                <w:sz w:val="20"/>
                <w:szCs w:val="20"/>
                <w:color w:val="auto"/>
              </w:rPr>
            </w:pPr>
            <w:r>
              <w:rPr>
                <w:rFonts w:ascii="Arial" w:cs="Arial" w:eastAsia="Arial" w:hAnsi="Arial"/>
                <w:sz w:val="18"/>
                <w:szCs w:val="18"/>
                <w:color w:val="auto"/>
              </w:rPr>
              <w:t>Accumulated Deficit</w:t>
            </w:r>
          </w:p>
        </w:tc>
        <w:tc>
          <w:tcPr>
            <w:tcW w:w="140" w:type="dxa"/>
            <w:vAlign w:val="bottom"/>
          </w:tcPr>
          <w:p>
            <w:pPr>
              <w:spacing w:after="0"/>
              <w:rPr>
                <w:sz w:val="18"/>
                <w:szCs w:val="18"/>
                <w:color w:val="auto"/>
              </w:rPr>
            </w:pPr>
          </w:p>
        </w:tc>
        <w:tc>
          <w:tcPr>
            <w:tcW w:w="800" w:type="dxa"/>
            <w:vAlign w:val="bottom"/>
            <w:gridSpan w:val="2"/>
          </w:tcPr>
          <w:p>
            <w:pPr>
              <w:jc w:val="right"/>
              <w:ind w:right="40"/>
              <w:spacing w:after="0"/>
              <w:rPr>
                <w:sz w:val="20"/>
                <w:szCs w:val="20"/>
                <w:color w:val="auto"/>
              </w:rPr>
            </w:pPr>
            <w:r>
              <w:rPr>
                <w:rFonts w:ascii="Arial" w:cs="Arial" w:eastAsia="Arial" w:hAnsi="Arial"/>
                <w:sz w:val="18"/>
                <w:szCs w:val="18"/>
                <w:color w:val="auto"/>
                <w:w w:val="95"/>
              </w:rPr>
              <w:t>(160,207)</w:t>
            </w: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gridSpan w:val="2"/>
          </w:tcPr>
          <w:p>
            <w:pPr>
              <w:jc w:val="right"/>
              <w:ind w:right="120"/>
              <w:spacing w:after="0"/>
              <w:rPr>
                <w:sz w:val="20"/>
                <w:szCs w:val="20"/>
                <w:color w:val="auto"/>
              </w:rPr>
            </w:pPr>
            <w:r>
              <w:rPr>
                <w:rFonts w:ascii="Arial" w:cs="Arial" w:eastAsia="Arial" w:hAnsi="Arial"/>
                <w:sz w:val="18"/>
                <w:szCs w:val="18"/>
                <w:color w:val="auto"/>
                <w:w w:val="93"/>
              </w:rPr>
              <w:t>(157,674)</w:t>
            </w:r>
          </w:p>
        </w:tc>
        <w:tc>
          <w:tcPr>
            <w:tcW w:w="140" w:type="dxa"/>
            <w:vAlign w:val="bottom"/>
          </w:tcPr>
          <w:p>
            <w:pPr>
              <w:spacing w:after="0"/>
              <w:rPr>
                <w:sz w:val="18"/>
                <w:szCs w:val="18"/>
                <w:color w:val="auto"/>
              </w:rPr>
            </w:pPr>
          </w:p>
        </w:tc>
        <w:tc>
          <w:tcPr>
            <w:tcW w:w="820" w:type="dxa"/>
            <w:vAlign w:val="bottom"/>
            <w:gridSpan w:val="2"/>
          </w:tcPr>
          <w:p>
            <w:pPr>
              <w:jc w:val="right"/>
              <w:ind w:right="60"/>
              <w:spacing w:after="0"/>
              <w:rPr>
                <w:sz w:val="20"/>
                <w:szCs w:val="20"/>
                <w:color w:val="auto"/>
              </w:rPr>
            </w:pPr>
            <w:r>
              <w:rPr>
                <w:rFonts w:ascii="Arial" w:cs="Arial" w:eastAsia="Arial" w:hAnsi="Arial"/>
                <w:sz w:val="18"/>
                <w:szCs w:val="18"/>
                <w:color w:val="auto"/>
                <w:w w:val="95"/>
              </w:rPr>
              <w:t>(121,149)</w:t>
            </w: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gridSpan w:val="2"/>
          </w:tcPr>
          <w:p>
            <w:pPr>
              <w:jc w:val="right"/>
              <w:ind w:right="40"/>
              <w:spacing w:after="0"/>
              <w:rPr>
                <w:sz w:val="20"/>
                <w:szCs w:val="20"/>
                <w:color w:val="auto"/>
              </w:rPr>
            </w:pPr>
            <w:r>
              <w:rPr>
                <w:rFonts w:ascii="Arial" w:cs="Arial" w:eastAsia="Arial" w:hAnsi="Arial"/>
                <w:sz w:val="18"/>
                <w:szCs w:val="18"/>
                <w:color w:val="auto"/>
                <w:w w:val="98"/>
              </w:rPr>
              <w:t>(73,648)</w:t>
            </w: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gridSpan w:val="2"/>
          </w:tcPr>
          <w:p>
            <w:pPr>
              <w:jc w:val="right"/>
              <w:ind w:right="120"/>
              <w:spacing w:after="0"/>
              <w:rPr>
                <w:sz w:val="20"/>
                <w:szCs w:val="20"/>
                <w:color w:val="auto"/>
              </w:rPr>
            </w:pPr>
            <w:r>
              <w:rPr>
                <w:rFonts w:ascii="Arial" w:cs="Arial" w:eastAsia="Arial" w:hAnsi="Arial"/>
                <w:sz w:val="18"/>
                <w:szCs w:val="18"/>
                <w:color w:val="auto"/>
                <w:w w:val="95"/>
              </w:rPr>
              <w:t>(58,575)</w:t>
            </w:r>
          </w:p>
        </w:tc>
        <w:tc>
          <w:tcPr>
            <w:tcW w:w="1100" w:type="dxa"/>
            <w:vAlign w:val="bottom"/>
          </w:tcPr>
          <w:p>
            <w:pPr>
              <w:spacing w:after="0"/>
              <w:rPr>
                <w:sz w:val="18"/>
                <w:szCs w:val="18"/>
                <w:color w:val="auto"/>
              </w:rPr>
            </w:pPr>
          </w:p>
        </w:tc>
      </w:tr>
      <w:tr>
        <w:trPr>
          <w:trHeight w:val="216"/>
        </w:trPr>
        <w:tc>
          <w:tcPr>
            <w:tcW w:w="1160" w:type="dxa"/>
            <w:vAlign w:val="bottom"/>
          </w:tcPr>
          <w:p>
            <w:pPr>
              <w:spacing w:after="0"/>
              <w:rPr>
                <w:sz w:val="18"/>
                <w:szCs w:val="18"/>
                <w:color w:val="auto"/>
              </w:rPr>
            </w:pPr>
          </w:p>
        </w:tc>
        <w:tc>
          <w:tcPr>
            <w:tcW w:w="4260" w:type="dxa"/>
            <w:vAlign w:val="bottom"/>
            <w:shd w:val="clear" w:color="auto" w:fill="CCEEFF"/>
          </w:tcPr>
          <w:p>
            <w:pPr>
              <w:spacing w:after="0"/>
              <w:rPr>
                <w:sz w:val="20"/>
                <w:szCs w:val="20"/>
                <w:color w:val="auto"/>
              </w:rPr>
            </w:pPr>
            <w:r>
              <w:rPr>
                <w:rFonts w:ascii="Arial" w:cs="Arial" w:eastAsia="Arial" w:hAnsi="Arial"/>
                <w:sz w:val="18"/>
                <w:szCs w:val="18"/>
                <w:color w:val="auto"/>
              </w:rPr>
              <w:t>Total Stockholders' Equity (Deficit)</w:t>
            </w: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75,255</w:t>
            </w: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73,767</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18,134</w:t>
            </w:r>
          </w:p>
        </w:tc>
        <w:tc>
          <w:tcPr>
            <w:tcW w:w="1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(1,132)</w:t>
            </w: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15,144</w:t>
            </w:r>
          </w:p>
        </w:tc>
        <w:tc>
          <w:tcPr>
            <w:tcW w:w="160" w:type="dxa"/>
            <w:vAlign w:val="bottom"/>
            <w:shd w:val="clear" w:color="auto" w:fill="CCEEFF"/>
          </w:tcPr>
          <w:p>
            <w:pPr>
              <w:spacing w:after="0"/>
              <w:rPr>
                <w:sz w:val="18"/>
                <w:szCs w:val="18"/>
                <w:color w:val="auto"/>
              </w:rPr>
            </w:pPr>
          </w:p>
        </w:tc>
        <w:tc>
          <w:tcPr>
            <w:tcW w:w="1100" w:type="dxa"/>
            <w:vAlign w:val="bottom"/>
          </w:tcPr>
          <w:p>
            <w:pPr>
              <w:spacing w:after="0"/>
              <w:rPr>
                <w:sz w:val="18"/>
                <w:szCs w:val="18"/>
                <w:color w:val="auto"/>
              </w:rPr>
            </w:pPr>
          </w:p>
        </w:tc>
      </w:tr>
      <w:tr>
        <w:trPr>
          <w:trHeight w:val="430"/>
        </w:trPr>
        <w:tc>
          <w:tcPr>
            <w:tcW w:w="1160" w:type="dxa"/>
            <w:vAlign w:val="bottom"/>
          </w:tcPr>
          <w:p>
            <w:pPr>
              <w:spacing w:after="0"/>
              <w:rPr>
                <w:sz w:val="24"/>
                <w:szCs w:val="24"/>
                <w:color w:val="auto"/>
              </w:rPr>
            </w:pPr>
          </w:p>
        </w:tc>
        <w:tc>
          <w:tcPr>
            <w:tcW w:w="42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00" w:type="dxa"/>
            <w:vAlign w:val="bottom"/>
          </w:tcPr>
          <w:p>
            <w:pPr>
              <w:jc w:val="right"/>
              <w:ind w:right="375"/>
              <w:spacing w:after="0"/>
              <w:rPr>
                <w:sz w:val="20"/>
                <w:szCs w:val="20"/>
                <w:color w:val="auto"/>
              </w:rPr>
            </w:pPr>
            <w:r>
              <w:rPr>
                <w:rFonts w:ascii="Arial" w:cs="Arial" w:eastAsia="Arial" w:hAnsi="Arial"/>
                <w:sz w:val="18"/>
                <w:szCs w:val="18"/>
                <w:color w:val="auto"/>
              </w:rPr>
              <w:t>41</w:t>
            </w: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00" w:type="dxa"/>
            <w:vAlign w:val="bottom"/>
          </w:tcPr>
          <w:p>
            <w:pPr>
              <w:spacing w:after="0"/>
              <w:rPr>
                <w:sz w:val="24"/>
                <w:szCs w:val="24"/>
                <w:color w:val="auto"/>
              </w:rPr>
            </w:pPr>
          </w:p>
        </w:tc>
      </w:tr>
      <w:tr>
        <w:trPr>
          <w:trHeight w:val="228"/>
        </w:trPr>
        <w:tc>
          <w:tcPr>
            <w:tcW w:w="1160" w:type="dxa"/>
            <w:vAlign w:val="bottom"/>
            <w:tcBorders>
              <w:bottom w:val="single" w:sz="8" w:color="808080"/>
            </w:tcBorders>
          </w:tcPr>
          <w:p>
            <w:pPr>
              <w:spacing w:after="0"/>
              <w:rPr>
                <w:sz w:val="19"/>
                <w:szCs w:val="19"/>
                <w:color w:val="auto"/>
              </w:rPr>
            </w:pPr>
          </w:p>
        </w:tc>
        <w:tc>
          <w:tcPr>
            <w:tcW w:w="4260" w:type="dxa"/>
            <w:vAlign w:val="bottom"/>
            <w:tcBorders>
              <w:bottom w:val="single" w:sz="8" w:color="808080"/>
            </w:tcBorders>
          </w:tcPr>
          <w:p>
            <w:pPr>
              <w:spacing w:after="0"/>
              <w:rPr>
                <w:sz w:val="19"/>
                <w:szCs w:val="19"/>
                <w:color w:val="auto"/>
              </w:rPr>
            </w:pPr>
          </w:p>
        </w:tc>
        <w:tc>
          <w:tcPr>
            <w:tcW w:w="140" w:type="dxa"/>
            <w:vAlign w:val="bottom"/>
            <w:tcBorders>
              <w:bottom w:val="single" w:sz="8" w:color="808080"/>
            </w:tcBorders>
          </w:tcPr>
          <w:p>
            <w:pPr>
              <w:spacing w:after="0"/>
              <w:rPr>
                <w:sz w:val="19"/>
                <w:szCs w:val="19"/>
                <w:color w:val="auto"/>
              </w:rPr>
            </w:pPr>
          </w:p>
        </w:tc>
        <w:tc>
          <w:tcPr>
            <w:tcW w:w="70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6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70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140" w:type="dxa"/>
            <w:vAlign w:val="bottom"/>
            <w:tcBorders>
              <w:bottom w:val="single" w:sz="8" w:color="808080"/>
            </w:tcBorders>
          </w:tcPr>
          <w:p>
            <w:pPr>
              <w:spacing w:after="0"/>
              <w:rPr>
                <w:sz w:val="19"/>
                <w:szCs w:val="19"/>
                <w:color w:val="auto"/>
              </w:rPr>
            </w:pPr>
          </w:p>
        </w:tc>
        <w:tc>
          <w:tcPr>
            <w:tcW w:w="700" w:type="dxa"/>
            <w:vAlign w:val="bottom"/>
            <w:tcBorders>
              <w:bottom w:val="single" w:sz="8" w:color="808080"/>
            </w:tcBorders>
          </w:tcPr>
          <w:p>
            <w:pPr>
              <w:spacing w:after="0"/>
              <w:rPr>
                <w:sz w:val="19"/>
                <w:szCs w:val="19"/>
                <w:color w:val="auto"/>
              </w:rPr>
            </w:pPr>
          </w:p>
        </w:tc>
        <w:tc>
          <w:tcPr>
            <w:tcW w:w="120" w:type="dxa"/>
            <w:vAlign w:val="bottom"/>
            <w:tcBorders>
              <w:bottom w:val="single" w:sz="8" w:color="808080"/>
            </w:tcBorders>
          </w:tcPr>
          <w:p>
            <w:pPr>
              <w:spacing w:after="0"/>
              <w:rPr>
                <w:sz w:val="19"/>
                <w:szCs w:val="19"/>
                <w:color w:val="auto"/>
              </w:rPr>
            </w:pPr>
          </w:p>
        </w:tc>
        <w:tc>
          <w:tcPr>
            <w:tcW w:w="4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62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6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62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1100" w:type="dxa"/>
            <w:vAlign w:val="bottom"/>
            <w:tcBorders>
              <w:bottom w:val="single" w:sz="8" w:color="808080"/>
            </w:tcBorders>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46" w:name="page47"/>
    <w:bookmarkEnd w:id="46"/>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19" w:lineRule="exact"/>
        <w:rPr>
          <w:sz w:val="20"/>
          <w:szCs w:val="20"/>
          <w:color w:val="auto"/>
        </w:rPr>
      </w:pPr>
    </w:p>
    <w:p>
      <w:pPr>
        <w:spacing w:after="0"/>
        <w:tabs>
          <w:tab w:leader="none" w:pos="700" w:val="left"/>
        </w:tabs>
        <w:rPr>
          <w:sz w:val="20"/>
          <w:szCs w:val="20"/>
          <w:color w:val="auto"/>
        </w:rPr>
      </w:pPr>
      <w:r>
        <w:rPr>
          <w:rFonts w:ascii="Arial" w:cs="Arial" w:eastAsia="Arial" w:hAnsi="Arial"/>
          <w:sz w:val="18"/>
          <w:szCs w:val="18"/>
          <w:b w:val="1"/>
          <w:bCs w:val="1"/>
          <w:color w:val="auto"/>
        </w:rPr>
        <w:t>Item 7.</w:t>
      </w:r>
      <w:r>
        <w:rPr>
          <w:sz w:val="20"/>
          <w:szCs w:val="20"/>
          <w:color w:val="auto"/>
        </w:rPr>
        <w:tab/>
      </w:r>
      <w:r>
        <w:rPr>
          <w:rFonts w:ascii="Arial" w:cs="Arial" w:eastAsia="Arial" w:hAnsi="Arial"/>
          <w:sz w:val="16"/>
          <w:szCs w:val="16"/>
          <w:b w:val="1"/>
          <w:bCs w:val="1"/>
          <w:color w:val="auto"/>
        </w:rPr>
        <w:t>MANAGEMENT'S DISCUSSION AND ANALYSIS OF FINANCIAL CONDITION AND RESULTS OF OPERATIONS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231" w:lineRule="exact"/>
        <w:rPr>
          <w:sz w:val="20"/>
          <w:szCs w:val="20"/>
          <w:color w:val="auto"/>
        </w:rPr>
      </w:pPr>
    </w:p>
    <w:p>
      <w:pPr>
        <w:ind w:right="80" w:firstLine="348"/>
        <w:spacing w:after="0" w:line="291" w:lineRule="auto"/>
        <w:rPr>
          <w:sz w:val="20"/>
          <w:szCs w:val="20"/>
          <w:color w:val="auto"/>
        </w:rPr>
      </w:pPr>
      <w:r>
        <w:rPr>
          <w:rFonts w:ascii="Arial" w:cs="Arial" w:eastAsia="Arial" w:hAnsi="Arial"/>
          <w:sz w:val="16"/>
          <w:szCs w:val="16"/>
          <w:color w:val="auto"/>
        </w:rPr>
        <w:t>We are a biopharmaceutical company currently focusing on the development of several immunotherapy technologies. Our lead programs include rindopepimut (CDX-110), a vaccine that is expected to enter into Phase 3 development for glioblastoma multiforme in the second half of 2011, and CDX-011, an antibody-drug conjugate currently in a randomized Phase 2b trial for treatment of advanced breast cancer. We have additional programs at various stages of clinical and preclinical development, including CDX-1127 a therapeutic human antibody candidate for cancer indications, APC Targeting Technology™ programs, CDX-1307 and CDX-1401, and an immune cell mobilizing agent CDX-301. We are currently resourcing our priority programs and supplement the development of additional programs through external collaborations and funding.</w:t>
      </w:r>
    </w:p>
    <w:p>
      <w:pPr>
        <w:spacing w:after="0" w:line="174" w:lineRule="exact"/>
        <w:rPr>
          <w:sz w:val="20"/>
          <w:szCs w:val="20"/>
          <w:color w:val="auto"/>
        </w:rPr>
      </w:pPr>
    </w:p>
    <w:p>
      <w:pPr>
        <w:ind w:right="20" w:firstLine="351"/>
        <w:spacing w:after="0" w:line="290" w:lineRule="auto"/>
        <w:rPr>
          <w:sz w:val="20"/>
          <w:szCs w:val="20"/>
          <w:color w:val="auto"/>
        </w:rPr>
      </w:pPr>
      <w:r>
        <w:rPr>
          <w:rFonts w:ascii="Arial" w:cs="Arial" w:eastAsia="Arial" w:hAnsi="Arial"/>
          <w:sz w:val="16"/>
          <w:szCs w:val="16"/>
          <w:color w:val="auto"/>
        </w:rPr>
        <w:t>Our strategy is to develop and demonstrate proof-of-concept for our product candidates before leveraging their value through partnerships or, in appropriate situations, continuing late stage development through commercialization ourselves. Demonstrating proof-of-concept for a product candidate generally involves bringing it through Phase 1 clinical trials and one or more Phase 2 clinical trials so that we are able to demonstrate, based on human trials, good safety data for the product candidate and some data indicating its effectiveness. We thus leverage the value of our technology portfolio through corporate, governmental and non-governmental partnerships. This approach allows us to maximize the overall value of our technology and product portfolio while best ensuring the expeditious development of each individual product. Our current collaborations include the commercialization of an oral human rotavirus vaccine. Our product candidates address market opportunities for which we believe current therapies are inadequate or non-existent.</w:t>
      </w:r>
    </w:p>
    <w:p>
      <w:pPr>
        <w:spacing w:after="0" w:line="172" w:lineRule="exact"/>
        <w:rPr>
          <w:sz w:val="20"/>
          <w:szCs w:val="20"/>
          <w:color w:val="auto"/>
        </w:rPr>
      </w:pPr>
    </w:p>
    <w:p>
      <w:pPr>
        <w:ind w:firstLine="351"/>
        <w:spacing w:after="0" w:line="294" w:lineRule="auto"/>
        <w:rPr>
          <w:sz w:val="20"/>
          <w:szCs w:val="20"/>
          <w:color w:val="auto"/>
        </w:rPr>
      </w:pPr>
      <w:r>
        <w:rPr>
          <w:rFonts w:ascii="Arial" w:cs="Arial" w:eastAsia="Arial" w:hAnsi="Arial"/>
          <w:sz w:val="16"/>
          <w:szCs w:val="16"/>
          <w:color w:val="auto"/>
        </w:rPr>
        <w:t>Our products are derived from a broad set of complementary technologies which have the ability to utilize the human immune system and enable the creation of preventative and therapeutic agents. We are using these technologies to develop targeted immunotherapeutics comprised of antibodies, adjuvants and monotherapies and antibody-drug conjugates that prevent or treat cancer and other diseases that modify undesirable activity by the body's own proteins or cells. A number of our immunotherapeutic and antibody-drug conjugate product candidates are in various stages of clinical trials. We expect that a large percentage of our research and development expenses will be incurred in support of our current and future clinical trial programs.</w:t>
      </w:r>
    </w:p>
    <w:p>
      <w:pPr>
        <w:spacing w:after="0" w:line="170"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The following table includes the programs that we currently believe are material to our business: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080" w:type="dxa"/>
            <w:vAlign w:val="bottom"/>
            <w:gridSpan w:val="3"/>
          </w:tcPr>
          <w:p>
            <w:pPr>
              <w:spacing w:after="0"/>
              <w:rPr>
                <w:sz w:val="20"/>
                <w:szCs w:val="20"/>
                <w:color w:val="auto"/>
              </w:rPr>
            </w:pPr>
            <w:r>
              <w:rPr>
                <w:rFonts w:ascii="Arial" w:cs="Arial" w:eastAsia="Arial" w:hAnsi="Arial"/>
                <w:sz w:val="14"/>
                <w:szCs w:val="14"/>
                <w:b w:val="1"/>
                <w:bCs w:val="1"/>
                <w:color w:val="auto"/>
              </w:rPr>
              <w:t>Product (generic)</w:t>
            </w:r>
          </w:p>
        </w:tc>
        <w:tc>
          <w:tcPr>
            <w:tcW w:w="5840" w:type="dxa"/>
            <w:vAlign w:val="bottom"/>
          </w:tcPr>
          <w:p>
            <w:pPr>
              <w:ind w:left="2460"/>
              <w:spacing w:after="0"/>
              <w:rPr>
                <w:sz w:val="20"/>
                <w:szCs w:val="20"/>
                <w:color w:val="auto"/>
              </w:rPr>
            </w:pPr>
            <w:r>
              <w:rPr>
                <w:rFonts w:ascii="Arial" w:cs="Arial" w:eastAsia="Arial" w:hAnsi="Arial"/>
                <w:sz w:val="14"/>
                <w:szCs w:val="14"/>
                <w:b w:val="1"/>
                <w:bCs w:val="1"/>
                <w:color w:val="auto"/>
              </w:rPr>
              <w:t>Indication/Field</w:t>
            </w:r>
          </w:p>
        </w:tc>
        <w:tc>
          <w:tcPr>
            <w:tcW w:w="160" w:type="dxa"/>
            <w:vAlign w:val="bottom"/>
          </w:tcPr>
          <w:p>
            <w:pPr>
              <w:spacing w:after="0"/>
              <w:rPr>
                <w:sz w:val="14"/>
                <w:szCs w:val="14"/>
                <w:color w:val="auto"/>
              </w:rPr>
            </w:pPr>
          </w:p>
        </w:tc>
        <w:tc>
          <w:tcPr>
            <w:tcW w:w="1300" w:type="dxa"/>
            <w:vAlign w:val="bottom"/>
          </w:tcPr>
          <w:p>
            <w:pPr>
              <w:ind w:left="420"/>
              <w:spacing w:after="0"/>
              <w:rPr>
                <w:sz w:val="20"/>
                <w:szCs w:val="20"/>
                <w:color w:val="auto"/>
              </w:rPr>
            </w:pPr>
            <w:r>
              <w:rPr>
                <w:rFonts w:ascii="Arial" w:cs="Arial" w:eastAsia="Arial" w:hAnsi="Arial"/>
                <w:sz w:val="14"/>
                <w:szCs w:val="14"/>
                <w:b w:val="1"/>
                <w:bCs w:val="1"/>
                <w:color w:val="auto"/>
              </w:rPr>
              <w:t>Partner</w:t>
            </w:r>
          </w:p>
        </w:tc>
        <w:tc>
          <w:tcPr>
            <w:tcW w:w="160" w:type="dxa"/>
            <w:vAlign w:val="bottom"/>
          </w:tcPr>
          <w:p>
            <w:pPr>
              <w:spacing w:after="0"/>
              <w:rPr>
                <w:sz w:val="14"/>
                <w:szCs w:val="14"/>
                <w:color w:val="auto"/>
              </w:rPr>
            </w:pPr>
          </w:p>
        </w:tc>
        <w:tc>
          <w:tcPr>
            <w:tcW w:w="880" w:type="dxa"/>
            <w:vAlign w:val="bottom"/>
          </w:tcPr>
          <w:p>
            <w:pPr>
              <w:ind w:left="260"/>
              <w:spacing w:after="0"/>
              <w:rPr>
                <w:sz w:val="20"/>
                <w:szCs w:val="20"/>
                <w:color w:val="auto"/>
              </w:rPr>
            </w:pPr>
            <w:r>
              <w:rPr>
                <w:rFonts w:ascii="Arial" w:cs="Arial" w:eastAsia="Arial" w:hAnsi="Arial"/>
                <w:sz w:val="14"/>
                <w:szCs w:val="14"/>
                <w:b w:val="1"/>
                <w:bCs w:val="1"/>
                <w:color w:val="auto"/>
              </w:rPr>
              <w:t>Status</w:t>
            </w:r>
          </w:p>
        </w:tc>
      </w:tr>
      <w:tr>
        <w:trPr>
          <w:trHeight w:val="210"/>
        </w:trPr>
        <w:tc>
          <w:tcPr>
            <w:tcW w:w="20" w:type="dxa"/>
            <w:vAlign w:val="bottom"/>
          </w:tcPr>
          <w:p>
            <w:pPr>
              <w:spacing w:after="0"/>
              <w:rPr>
                <w:sz w:val="18"/>
                <w:szCs w:val="18"/>
                <w:color w:val="auto"/>
              </w:rPr>
            </w:pPr>
          </w:p>
        </w:tc>
        <w:tc>
          <w:tcPr>
            <w:tcW w:w="11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b w:val="1"/>
                <w:bCs w:val="1"/>
                <w:color w:val="auto"/>
              </w:rPr>
              <w:t>CLINICAL</w:t>
            </w:r>
          </w:p>
        </w:tc>
        <w:tc>
          <w:tcPr>
            <w:tcW w:w="1960" w:type="dxa"/>
            <w:vAlign w:val="bottom"/>
            <w:shd w:val="clear" w:color="auto" w:fill="CCEEFF"/>
          </w:tcPr>
          <w:p>
            <w:pPr>
              <w:spacing w:after="0"/>
              <w:rPr>
                <w:sz w:val="18"/>
                <w:szCs w:val="18"/>
                <w:color w:val="auto"/>
              </w:rPr>
            </w:pPr>
          </w:p>
        </w:tc>
        <w:tc>
          <w:tcPr>
            <w:tcW w:w="5840" w:type="dxa"/>
            <w:vAlign w:val="bottom"/>
            <w:tcBorders>
              <w:top w:val="single" w:sz="8" w:color="auto"/>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00" w:type="dxa"/>
            <w:vAlign w:val="bottom"/>
            <w:tcBorders>
              <w:top w:val="single" w:sz="8" w:color="auto"/>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060" w:type="dxa"/>
            <w:vAlign w:val="bottom"/>
            <w:gridSpan w:val="2"/>
          </w:tcPr>
          <w:p>
            <w:pPr>
              <w:ind w:left="120"/>
              <w:spacing w:after="0"/>
              <w:rPr>
                <w:sz w:val="20"/>
                <w:szCs w:val="20"/>
                <w:color w:val="auto"/>
              </w:rPr>
            </w:pPr>
            <w:r>
              <w:rPr>
                <w:rFonts w:ascii="Arial" w:cs="Arial" w:eastAsia="Arial" w:hAnsi="Arial"/>
                <w:sz w:val="18"/>
                <w:szCs w:val="18"/>
                <w:color w:val="auto"/>
              </w:rPr>
              <w:t>CDX-110 (rindopepimut)</w:t>
            </w:r>
          </w:p>
        </w:tc>
        <w:tc>
          <w:tcPr>
            <w:tcW w:w="5840" w:type="dxa"/>
            <w:vAlign w:val="bottom"/>
          </w:tcPr>
          <w:p>
            <w:pPr>
              <w:spacing w:after="0"/>
              <w:rPr>
                <w:sz w:val="20"/>
                <w:szCs w:val="20"/>
                <w:color w:val="auto"/>
              </w:rPr>
            </w:pPr>
            <w:r>
              <w:rPr>
                <w:rFonts w:ascii="Arial" w:cs="Arial" w:eastAsia="Arial" w:hAnsi="Arial"/>
                <w:sz w:val="18"/>
                <w:szCs w:val="18"/>
                <w:color w:val="auto"/>
              </w:rPr>
              <w:t>Glioblastoma multiforme</w:t>
            </w:r>
          </w:p>
        </w:tc>
        <w:tc>
          <w:tcPr>
            <w:tcW w:w="160" w:type="dxa"/>
            <w:vAlign w:val="bottom"/>
          </w:tcPr>
          <w:p>
            <w:pPr>
              <w:spacing w:after="0"/>
              <w:rPr>
                <w:sz w:val="18"/>
                <w:szCs w:val="18"/>
                <w:color w:val="auto"/>
              </w:rPr>
            </w:pPr>
          </w:p>
        </w:tc>
        <w:tc>
          <w:tcPr>
            <w:tcW w:w="1300" w:type="dxa"/>
            <w:vAlign w:val="bottom"/>
          </w:tcPr>
          <w:p>
            <w:pPr>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880" w:type="dxa"/>
            <w:vAlign w:val="bottom"/>
          </w:tcPr>
          <w:p>
            <w:pPr>
              <w:spacing w:after="0"/>
              <w:rPr>
                <w:sz w:val="20"/>
                <w:szCs w:val="20"/>
                <w:color w:val="auto"/>
              </w:rPr>
            </w:pPr>
            <w:r>
              <w:rPr>
                <w:rFonts w:ascii="Arial" w:cs="Arial" w:eastAsia="Arial" w:hAnsi="Arial"/>
                <w:sz w:val="18"/>
                <w:szCs w:val="18"/>
                <w:color w:val="auto"/>
              </w:rPr>
              <w:t>Phase 2b</w:t>
            </w:r>
          </w:p>
        </w:tc>
      </w:tr>
      <w:tr>
        <w:trPr>
          <w:trHeight w:val="216"/>
        </w:trPr>
        <w:tc>
          <w:tcPr>
            <w:tcW w:w="20" w:type="dxa"/>
            <w:vAlign w:val="bottom"/>
          </w:tcPr>
          <w:p>
            <w:pPr>
              <w:spacing w:after="0"/>
              <w:rPr>
                <w:sz w:val="18"/>
                <w:szCs w:val="18"/>
                <w:color w:val="auto"/>
              </w:rPr>
            </w:pPr>
          </w:p>
        </w:tc>
        <w:tc>
          <w:tcPr>
            <w:tcW w:w="306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CDX-011 (glembatumumab vedotin)</w:t>
            </w:r>
          </w:p>
        </w:tc>
        <w:tc>
          <w:tcPr>
            <w:tcW w:w="5840" w:type="dxa"/>
            <w:vAlign w:val="bottom"/>
            <w:shd w:val="clear" w:color="auto" w:fill="CCEEFF"/>
          </w:tcPr>
          <w:p>
            <w:pPr>
              <w:spacing w:after="0"/>
              <w:rPr>
                <w:sz w:val="20"/>
                <w:szCs w:val="20"/>
                <w:color w:val="auto"/>
              </w:rPr>
            </w:pPr>
            <w:r>
              <w:rPr>
                <w:rFonts w:ascii="Arial" w:cs="Arial" w:eastAsia="Arial" w:hAnsi="Arial"/>
                <w:sz w:val="18"/>
                <w:szCs w:val="18"/>
                <w:color w:val="auto"/>
              </w:rPr>
              <w:t>Metastatic breast cancer and melanoma</w:t>
            </w:r>
          </w:p>
        </w:tc>
        <w:tc>
          <w:tcPr>
            <w:tcW w:w="16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20"/>
                <w:szCs w:val="20"/>
                <w:color w:val="auto"/>
              </w:rPr>
            </w:pPr>
            <w:r>
              <w:rPr>
                <w:rFonts w:ascii="Arial" w:cs="Arial" w:eastAsia="Arial" w:hAnsi="Arial"/>
                <w:sz w:val="18"/>
                <w:szCs w:val="18"/>
                <w:color w:val="auto"/>
              </w:rPr>
              <w:t>Phase 2b</w:t>
            </w:r>
          </w:p>
        </w:tc>
      </w:tr>
      <w:tr>
        <w:trPr>
          <w:trHeight w:val="216"/>
        </w:trPr>
        <w:tc>
          <w:tcPr>
            <w:tcW w:w="20" w:type="dxa"/>
            <w:vAlign w:val="bottom"/>
          </w:tcPr>
          <w:p>
            <w:pPr>
              <w:spacing w:after="0"/>
              <w:rPr>
                <w:sz w:val="18"/>
                <w:szCs w:val="18"/>
                <w:color w:val="auto"/>
              </w:rPr>
            </w:pPr>
          </w:p>
        </w:tc>
        <w:tc>
          <w:tcPr>
            <w:tcW w:w="3060" w:type="dxa"/>
            <w:vAlign w:val="bottom"/>
            <w:gridSpan w:val="2"/>
          </w:tcPr>
          <w:p>
            <w:pPr>
              <w:ind w:left="120"/>
              <w:spacing w:after="0"/>
              <w:rPr>
                <w:sz w:val="20"/>
                <w:szCs w:val="20"/>
                <w:color w:val="auto"/>
              </w:rPr>
            </w:pPr>
            <w:r>
              <w:rPr>
                <w:rFonts w:ascii="Arial" w:cs="Arial" w:eastAsia="Arial" w:hAnsi="Arial"/>
                <w:sz w:val="18"/>
                <w:szCs w:val="18"/>
                <w:color w:val="auto"/>
              </w:rPr>
              <w:t>CDX-1307</w:t>
            </w:r>
          </w:p>
        </w:tc>
        <w:tc>
          <w:tcPr>
            <w:tcW w:w="5840" w:type="dxa"/>
            <w:vAlign w:val="bottom"/>
          </w:tcPr>
          <w:p>
            <w:pPr>
              <w:spacing w:after="0"/>
              <w:rPr>
                <w:sz w:val="20"/>
                <w:szCs w:val="20"/>
                <w:color w:val="auto"/>
              </w:rPr>
            </w:pPr>
            <w:r>
              <w:rPr>
                <w:rFonts w:ascii="Arial" w:cs="Arial" w:eastAsia="Arial" w:hAnsi="Arial"/>
                <w:sz w:val="18"/>
                <w:szCs w:val="18"/>
                <w:color w:val="auto"/>
              </w:rPr>
              <w:t>Muscle-invasive bladder cancer</w:t>
            </w:r>
          </w:p>
        </w:tc>
        <w:tc>
          <w:tcPr>
            <w:tcW w:w="160" w:type="dxa"/>
            <w:vAlign w:val="bottom"/>
          </w:tcPr>
          <w:p>
            <w:pPr>
              <w:spacing w:after="0"/>
              <w:rPr>
                <w:sz w:val="18"/>
                <w:szCs w:val="18"/>
                <w:color w:val="auto"/>
              </w:rPr>
            </w:pPr>
          </w:p>
        </w:tc>
        <w:tc>
          <w:tcPr>
            <w:tcW w:w="1300" w:type="dxa"/>
            <w:vAlign w:val="bottom"/>
          </w:tcPr>
          <w:p>
            <w:pPr>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880" w:type="dxa"/>
            <w:vAlign w:val="bottom"/>
          </w:tcPr>
          <w:p>
            <w:pPr>
              <w:spacing w:after="0"/>
              <w:rPr>
                <w:sz w:val="20"/>
                <w:szCs w:val="20"/>
                <w:color w:val="auto"/>
              </w:rPr>
            </w:pPr>
            <w:r>
              <w:rPr>
                <w:rFonts w:ascii="Arial" w:cs="Arial" w:eastAsia="Arial" w:hAnsi="Arial"/>
                <w:sz w:val="18"/>
                <w:szCs w:val="18"/>
                <w:color w:val="auto"/>
              </w:rPr>
              <w:t>Phase 2</w:t>
            </w:r>
          </w:p>
        </w:tc>
      </w:tr>
      <w:tr>
        <w:trPr>
          <w:trHeight w:val="216"/>
        </w:trPr>
        <w:tc>
          <w:tcPr>
            <w:tcW w:w="20" w:type="dxa"/>
            <w:vAlign w:val="bottom"/>
          </w:tcPr>
          <w:p>
            <w:pPr>
              <w:spacing w:after="0"/>
              <w:rPr>
                <w:sz w:val="18"/>
                <w:szCs w:val="18"/>
                <w:color w:val="auto"/>
              </w:rPr>
            </w:pPr>
          </w:p>
        </w:tc>
        <w:tc>
          <w:tcPr>
            <w:tcW w:w="306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CDX-1401</w:t>
            </w:r>
          </w:p>
        </w:tc>
        <w:tc>
          <w:tcPr>
            <w:tcW w:w="5840" w:type="dxa"/>
            <w:vAlign w:val="bottom"/>
            <w:shd w:val="clear" w:color="auto" w:fill="CCEEFF"/>
          </w:tcPr>
          <w:p>
            <w:pPr>
              <w:spacing w:after="0"/>
              <w:rPr>
                <w:sz w:val="20"/>
                <w:szCs w:val="20"/>
                <w:color w:val="auto"/>
              </w:rPr>
            </w:pPr>
            <w:r>
              <w:rPr>
                <w:rFonts w:ascii="Arial" w:cs="Arial" w:eastAsia="Arial" w:hAnsi="Arial"/>
                <w:sz w:val="18"/>
                <w:szCs w:val="18"/>
                <w:color w:val="auto"/>
              </w:rPr>
              <w:t>Multiple solid tumors</w:t>
            </w:r>
          </w:p>
        </w:tc>
        <w:tc>
          <w:tcPr>
            <w:tcW w:w="16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20"/>
                <w:szCs w:val="20"/>
                <w:color w:val="auto"/>
              </w:rPr>
            </w:pPr>
            <w:r>
              <w:rPr>
                <w:rFonts w:ascii="Arial" w:cs="Arial" w:eastAsia="Arial" w:hAnsi="Arial"/>
                <w:sz w:val="18"/>
                <w:szCs w:val="18"/>
                <w:color w:val="auto"/>
              </w:rPr>
              <w:t>Phase 1/2</w:t>
            </w:r>
          </w:p>
        </w:tc>
      </w:tr>
      <w:tr>
        <w:trPr>
          <w:trHeight w:val="216"/>
        </w:trPr>
        <w:tc>
          <w:tcPr>
            <w:tcW w:w="20" w:type="dxa"/>
            <w:vAlign w:val="bottom"/>
          </w:tcPr>
          <w:p>
            <w:pPr>
              <w:spacing w:after="0"/>
              <w:rPr>
                <w:sz w:val="18"/>
                <w:szCs w:val="18"/>
                <w:color w:val="auto"/>
              </w:rPr>
            </w:pPr>
          </w:p>
        </w:tc>
        <w:tc>
          <w:tcPr>
            <w:tcW w:w="3060" w:type="dxa"/>
            <w:vAlign w:val="bottom"/>
            <w:gridSpan w:val="2"/>
          </w:tcPr>
          <w:p>
            <w:pPr>
              <w:spacing w:after="0"/>
              <w:rPr>
                <w:sz w:val="20"/>
                <w:szCs w:val="20"/>
                <w:color w:val="auto"/>
              </w:rPr>
            </w:pPr>
            <w:r>
              <w:rPr>
                <w:rFonts w:ascii="Arial" w:cs="Arial" w:eastAsia="Arial" w:hAnsi="Arial"/>
                <w:sz w:val="18"/>
                <w:szCs w:val="18"/>
                <w:b w:val="1"/>
                <w:bCs w:val="1"/>
                <w:color w:val="auto"/>
              </w:rPr>
              <w:t>PRECLINICAL</w:t>
            </w:r>
          </w:p>
        </w:tc>
        <w:tc>
          <w:tcPr>
            <w:tcW w:w="58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8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06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CDX-301</w:t>
            </w:r>
          </w:p>
        </w:tc>
        <w:tc>
          <w:tcPr>
            <w:tcW w:w="5840" w:type="dxa"/>
            <w:vAlign w:val="bottom"/>
            <w:shd w:val="clear" w:color="auto" w:fill="CCEEFF"/>
          </w:tcPr>
          <w:p>
            <w:pPr>
              <w:spacing w:after="0"/>
              <w:rPr>
                <w:sz w:val="20"/>
                <w:szCs w:val="20"/>
                <w:color w:val="auto"/>
              </w:rPr>
            </w:pPr>
            <w:r>
              <w:rPr>
                <w:rFonts w:ascii="Arial" w:cs="Arial" w:eastAsia="Arial" w:hAnsi="Arial"/>
                <w:sz w:val="18"/>
                <w:szCs w:val="18"/>
                <w:color w:val="auto"/>
              </w:rPr>
              <w:t>Cancer, autoimmune disease and transplant</w:t>
            </w:r>
          </w:p>
        </w:tc>
        <w:tc>
          <w:tcPr>
            <w:tcW w:w="16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20"/>
                <w:szCs w:val="20"/>
                <w:color w:val="auto"/>
              </w:rPr>
            </w:pPr>
            <w:r>
              <w:rPr>
                <w:rFonts w:ascii="Arial" w:cs="Arial" w:eastAsia="Arial" w:hAnsi="Arial"/>
                <w:sz w:val="18"/>
                <w:szCs w:val="18"/>
                <w:color w:val="auto"/>
              </w:rPr>
              <w:t>Preclinical</w:t>
            </w:r>
          </w:p>
        </w:tc>
      </w:tr>
      <w:tr>
        <w:trPr>
          <w:trHeight w:val="216"/>
        </w:trPr>
        <w:tc>
          <w:tcPr>
            <w:tcW w:w="20" w:type="dxa"/>
            <w:vAlign w:val="bottom"/>
          </w:tcPr>
          <w:p>
            <w:pPr>
              <w:spacing w:after="0"/>
              <w:rPr>
                <w:sz w:val="18"/>
                <w:szCs w:val="18"/>
                <w:color w:val="auto"/>
              </w:rPr>
            </w:pPr>
          </w:p>
        </w:tc>
        <w:tc>
          <w:tcPr>
            <w:tcW w:w="3060" w:type="dxa"/>
            <w:vAlign w:val="bottom"/>
            <w:gridSpan w:val="2"/>
          </w:tcPr>
          <w:p>
            <w:pPr>
              <w:ind w:left="120"/>
              <w:spacing w:after="0"/>
              <w:rPr>
                <w:sz w:val="20"/>
                <w:szCs w:val="20"/>
                <w:color w:val="auto"/>
              </w:rPr>
            </w:pPr>
            <w:r>
              <w:rPr>
                <w:rFonts w:ascii="Arial" w:cs="Arial" w:eastAsia="Arial" w:hAnsi="Arial"/>
                <w:sz w:val="18"/>
                <w:szCs w:val="18"/>
                <w:color w:val="auto"/>
              </w:rPr>
              <w:t>CDX-1127</w:t>
            </w:r>
          </w:p>
        </w:tc>
        <w:tc>
          <w:tcPr>
            <w:tcW w:w="5840" w:type="dxa"/>
            <w:vAlign w:val="bottom"/>
          </w:tcPr>
          <w:p>
            <w:pPr>
              <w:spacing w:after="0"/>
              <w:rPr>
                <w:sz w:val="20"/>
                <w:szCs w:val="20"/>
                <w:color w:val="auto"/>
              </w:rPr>
            </w:pPr>
            <w:r>
              <w:rPr>
                <w:rFonts w:ascii="Arial" w:cs="Arial" w:eastAsia="Arial" w:hAnsi="Arial"/>
                <w:sz w:val="18"/>
                <w:szCs w:val="18"/>
                <w:color w:val="auto"/>
              </w:rPr>
              <w:t>Immuno-modulation, multiple tumors</w:t>
            </w:r>
          </w:p>
        </w:tc>
        <w:tc>
          <w:tcPr>
            <w:tcW w:w="160" w:type="dxa"/>
            <w:vAlign w:val="bottom"/>
          </w:tcPr>
          <w:p>
            <w:pPr>
              <w:spacing w:after="0"/>
              <w:rPr>
                <w:sz w:val="18"/>
                <w:szCs w:val="18"/>
                <w:color w:val="auto"/>
              </w:rPr>
            </w:pPr>
          </w:p>
        </w:tc>
        <w:tc>
          <w:tcPr>
            <w:tcW w:w="1300" w:type="dxa"/>
            <w:vAlign w:val="bottom"/>
          </w:tcPr>
          <w:p>
            <w:pPr>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880" w:type="dxa"/>
            <w:vAlign w:val="bottom"/>
          </w:tcPr>
          <w:p>
            <w:pPr>
              <w:spacing w:after="0"/>
              <w:rPr>
                <w:sz w:val="20"/>
                <w:szCs w:val="20"/>
                <w:color w:val="auto"/>
              </w:rPr>
            </w:pPr>
            <w:r>
              <w:rPr>
                <w:rFonts w:ascii="Arial" w:cs="Arial" w:eastAsia="Arial" w:hAnsi="Arial"/>
                <w:sz w:val="18"/>
                <w:szCs w:val="18"/>
                <w:color w:val="auto"/>
              </w:rPr>
              <w:t>Preclinical</w:t>
            </w:r>
          </w:p>
        </w:tc>
      </w:tr>
      <w:tr>
        <w:trPr>
          <w:trHeight w:val="216"/>
        </w:trPr>
        <w:tc>
          <w:tcPr>
            <w:tcW w:w="20" w:type="dxa"/>
            <w:vAlign w:val="bottom"/>
          </w:tcPr>
          <w:p>
            <w:pPr>
              <w:spacing w:after="0"/>
              <w:rPr>
                <w:sz w:val="18"/>
                <w:szCs w:val="18"/>
                <w:color w:val="auto"/>
              </w:rPr>
            </w:pPr>
          </w:p>
        </w:tc>
        <w:tc>
          <w:tcPr>
            <w:tcW w:w="306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CDX-014</w:t>
            </w:r>
          </w:p>
        </w:tc>
        <w:tc>
          <w:tcPr>
            <w:tcW w:w="5840" w:type="dxa"/>
            <w:vAlign w:val="bottom"/>
            <w:shd w:val="clear" w:color="auto" w:fill="CCEEFF"/>
          </w:tcPr>
          <w:p>
            <w:pPr>
              <w:spacing w:after="0"/>
              <w:rPr>
                <w:sz w:val="20"/>
                <w:szCs w:val="20"/>
                <w:color w:val="auto"/>
              </w:rPr>
            </w:pPr>
            <w:r>
              <w:rPr>
                <w:rFonts w:ascii="Arial" w:cs="Arial" w:eastAsia="Arial" w:hAnsi="Arial"/>
                <w:sz w:val="18"/>
                <w:szCs w:val="18"/>
                <w:color w:val="auto"/>
              </w:rPr>
              <w:t>Renal and ovarian cancer</w:t>
            </w:r>
          </w:p>
        </w:tc>
        <w:tc>
          <w:tcPr>
            <w:tcW w:w="16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20"/>
                <w:szCs w:val="20"/>
                <w:color w:val="auto"/>
              </w:rPr>
            </w:pPr>
            <w:r>
              <w:rPr>
                <w:rFonts w:ascii="Arial" w:cs="Arial" w:eastAsia="Arial" w:hAnsi="Arial"/>
                <w:sz w:val="18"/>
                <w:szCs w:val="18"/>
                <w:color w:val="auto"/>
              </w:rPr>
              <w:t>Preclinical</w:t>
            </w:r>
          </w:p>
        </w:tc>
      </w:tr>
      <w:tr>
        <w:trPr>
          <w:trHeight w:val="216"/>
        </w:trPr>
        <w:tc>
          <w:tcPr>
            <w:tcW w:w="20" w:type="dxa"/>
            <w:vAlign w:val="bottom"/>
          </w:tcPr>
          <w:p>
            <w:pPr>
              <w:spacing w:after="0"/>
              <w:rPr>
                <w:sz w:val="18"/>
                <w:szCs w:val="18"/>
                <w:color w:val="auto"/>
              </w:rPr>
            </w:pPr>
          </w:p>
        </w:tc>
        <w:tc>
          <w:tcPr>
            <w:tcW w:w="3060" w:type="dxa"/>
            <w:vAlign w:val="bottom"/>
            <w:gridSpan w:val="2"/>
          </w:tcPr>
          <w:p>
            <w:pPr>
              <w:spacing w:after="0"/>
              <w:rPr>
                <w:sz w:val="20"/>
                <w:szCs w:val="20"/>
                <w:color w:val="auto"/>
              </w:rPr>
            </w:pPr>
            <w:r>
              <w:rPr>
                <w:rFonts w:ascii="Arial" w:cs="Arial" w:eastAsia="Arial" w:hAnsi="Arial"/>
                <w:sz w:val="18"/>
                <w:szCs w:val="18"/>
                <w:b w:val="1"/>
                <w:bCs w:val="1"/>
                <w:color w:val="auto"/>
              </w:rPr>
              <w:t>MARKETED PRODUCTS</w:t>
            </w:r>
          </w:p>
        </w:tc>
        <w:tc>
          <w:tcPr>
            <w:tcW w:w="58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8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06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Rotarix®</w:t>
            </w:r>
          </w:p>
        </w:tc>
        <w:tc>
          <w:tcPr>
            <w:tcW w:w="5840" w:type="dxa"/>
            <w:vAlign w:val="bottom"/>
            <w:shd w:val="clear" w:color="auto" w:fill="CCEEFF"/>
          </w:tcPr>
          <w:p>
            <w:pPr>
              <w:spacing w:after="0"/>
              <w:rPr>
                <w:sz w:val="20"/>
                <w:szCs w:val="20"/>
                <w:color w:val="auto"/>
              </w:rPr>
            </w:pPr>
            <w:r>
              <w:rPr>
                <w:rFonts w:ascii="Arial" w:cs="Arial" w:eastAsia="Arial" w:hAnsi="Arial"/>
                <w:sz w:val="18"/>
                <w:szCs w:val="18"/>
                <w:color w:val="auto"/>
              </w:rPr>
              <w:t>Rotavirus infection</w:t>
            </w:r>
          </w:p>
        </w:tc>
        <w:tc>
          <w:tcPr>
            <w:tcW w:w="16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20"/>
                <w:szCs w:val="20"/>
                <w:color w:val="auto"/>
              </w:rPr>
            </w:pPr>
            <w:r>
              <w:rPr>
                <w:rFonts w:ascii="Arial" w:cs="Arial" w:eastAsia="Arial" w:hAnsi="Arial"/>
                <w:sz w:val="18"/>
                <w:szCs w:val="18"/>
                <w:color w:val="auto"/>
                <w:w w:val="96"/>
              </w:rPr>
              <w:t>GlaxoSmithKline</w:t>
            </w:r>
          </w:p>
        </w:tc>
        <w:tc>
          <w:tcPr>
            <w:tcW w:w="16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20"/>
                <w:szCs w:val="20"/>
                <w:color w:val="auto"/>
              </w:rPr>
            </w:pPr>
            <w:r>
              <w:rPr>
                <w:rFonts w:ascii="Arial" w:cs="Arial" w:eastAsia="Arial" w:hAnsi="Arial"/>
                <w:sz w:val="18"/>
                <w:szCs w:val="18"/>
                <w:color w:val="auto"/>
              </w:rPr>
              <w:t>Marketed</w:t>
            </w:r>
          </w:p>
        </w:tc>
      </w:tr>
      <w:tr>
        <w:trPr>
          <w:trHeight w:val="430"/>
        </w:trPr>
        <w:tc>
          <w:tcPr>
            <w:tcW w:w="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960" w:type="dxa"/>
            <w:vAlign w:val="bottom"/>
          </w:tcPr>
          <w:p>
            <w:pPr>
              <w:spacing w:after="0"/>
              <w:rPr>
                <w:sz w:val="24"/>
                <w:szCs w:val="24"/>
                <w:color w:val="auto"/>
              </w:rPr>
            </w:pPr>
          </w:p>
        </w:tc>
        <w:tc>
          <w:tcPr>
            <w:tcW w:w="5840" w:type="dxa"/>
            <w:vAlign w:val="bottom"/>
          </w:tcPr>
          <w:p>
            <w:pPr>
              <w:ind w:left="2540"/>
              <w:spacing w:after="0"/>
              <w:rPr>
                <w:sz w:val="20"/>
                <w:szCs w:val="20"/>
                <w:color w:val="auto"/>
              </w:rPr>
            </w:pPr>
            <w:r>
              <w:rPr>
                <w:rFonts w:ascii="Arial" w:cs="Arial" w:eastAsia="Arial" w:hAnsi="Arial"/>
                <w:sz w:val="18"/>
                <w:szCs w:val="18"/>
                <w:color w:val="auto"/>
              </w:rPr>
              <w:t>42</w:t>
            </w:r>
          </w:p>
        </w:tc>
        <w:tc>
          <w:tcPr>
            <w:tcW w:w="16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80" w:type="dxa"/>
            <w:vAlign w:val="bottom"/>
          </w:tcPr>
          <w:p>
            <w:pPr>
              <w:spacing w:after="0"/>
              <w:rPr>
                <w:sz w:val="24"/>
                <w:szCs w:val="24"/>
                <w:color w:val="auto"/>
              </w:rPr>
            </w:pPr>
          </w:p>
        </w:tc>
      </w:tr>
      <w:tr>
        <w:trPr>
          <w:trHeight w:val="228"/>
        </w:trPr>
        <w:tc>
          <w:tcPr>
            <w:tcW w:w="20" w:type="dxa"/>
            <w:vAlign w:val="bottom"/>
          </w:tcPr>
          <w:p>
            <w:pPr>
              <w:spacing w:after="0"/>
              <w:rPr>
                <w:sz w:val="19"/>
                <w:szCs w:val="19"/>
                <w:color w:val="auto"/>
              </w:rPr>
            </w:pPr>
          </w:p>
        </w:tc>
        <w:tc>
          <w:tcPr>
            <w:tcW w:w="1100" w:type="dxa"/>
            <w:vAlign w:val="bottom"/>
            <w:tcBorders>
              <w:bottom w:val="single" w:sz="8" w:color="808080"/>
            </w:tcBorders>
          </w:tcPr>
          <w:p>
            <w:pPr>
              <w:spacing w:after="0"/>
              <w:rPr>
                <w:sz w:val="19"/>
                <w:szCs w:val="19"/>
                <w:color w:val="auto"/>
              </w:rPr>
            </w:pPr>
          </w:p>
        </w:tc>
        <w:tc>
          <w:tcPr>
            <w:tcW w:w="1960" w:type="dxa"/>
            <w:vAlign w:val="bottom"/>
            <w:tcBorders>
              <w:bottom w:val="single" w:sz="8" w:color="808080"/>
            </w:tcBorders>
          </w:tcPr>
          <w:p>
            <w:pPr>
              <w:spacing w:after="0"/>
              <w:rPr>
                <w:sz w:val="19"/>
                <w:szCs w:val="19"/>
                <w:color w:val="auto"/>
              </w:rPr>
            </w:pPr>
          </w:p>
        </w:tc>
        <w:tc>
          <w:tcPr>
            <w:tcW w:w="584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130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880" w:type="dxa"/>
            <w:vAlign w:val="bottom"/>
            <w:tcBorders>
              <w:bottom w:val="single" w:sz="8" w:color="808080"/>
            </w:tcBorders>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47" w:name="page48"/>
    <w:bookmarkEnd w:id="47"/>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120" w:firstLine="348"/>
        <w:spacing w:after="0" w:line="298" w:lineRule="auto"/>
        <w:rPr>
          <w:sz w:val="20"/>
          <w:szCs w:val="20"/>
          <w:color w:val="auto"/>
        </w:rPr>
      </w:pPr>
      <w:r>
        <w:rPr>
          <w:rFonts w:ascii="Arial" w:cs="Arial" w:eastAsia="Arial" w:hAnsi="Arial"/>
          <w:sz w:val="16"/>
          <w:szCs w:val="16"/>
          <w:color w:val="auto"/>
        </w:rPr>
        <w:t>The expenditures that will be necessary to execute our business plan are subject to numerous uncertainties. Completion of clinical trials may take several years or more, and the length of time generally varies substantially according to the type, complexity, novelty and intended use of a product candidate. It is not unusual for the clinical development of these types of product candidates to each take five years or more, and for total development costs to exceed $100 million for each product candidate. Our estimates that clinical trials of the type we generally conduct are typically completed over the following timelines:</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9400" w:type="dxa"/>
            <w:vAlign w:val="bottom"/>
          </w:tcPr>
          <w:p>
            <w:pPr>
              <w:spacing w:after="0"/>
              <w:rPr>
                <w:sz w:val="14"/>
                <w:szCs w:val="14"/>
                <w:color w:val="auto"/>
              </w:rPr>
            </w:pPr>
          </w:p>
        </w:tc>
        <w:tc>
          <w:tcPr>
            <w:tcW w:w="1100" w:type="dxa"/>
            <w:vAlign w:val="bottom"/>
          </w:tcPr>
          <w:p>
            <w:pPr>
              <w:jc w:val="center"/>
              <w:spacing w:after="0"/>
              <w:rPr>
                <w:sz w:val="20"/>
                <w:szCs w:val="20"/>
                <w:color w:val="auto"/>
              </w:rPr>
            </w:pPr>
            <w:r>
              <w:rPr>
                <w:rFonts w:ascii="Arial" w:cs="Arial" w:eastAsia="Arial" w:hAnsi="Arial"/>
                <w:sz w:val="14"/>
                <w:szCs w:val="14"/>
                <w:b w:val="1"/>
                <w:bCs w:val="1"/>
                <w:color w:val="auto"/>
                <w:w w:val="86"/>
              </w:rPr>
              <w:t>Estimated</w:t>
            </w:r>
          </w:p>
        </w:tc>
      </w:tr>
      <w:tr>
        <w:trPr>
          <w:trHeight w:val="149"/>
        </w:trPr>
        <w:tc>
          <w:tcPr>
            <w:tcW w:w="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9400" w:type="dxa"/>
            <w:vAlign w:val="bottom"/>
          </w:tcPr>
          <w:p>
            <w:pPr>
              <w:spacing w:after="0"/>
              <w:rPr>
                <w:sz w:val="12"/>
                <w:szCs w:val="12"/>
                <w:color w:val="auto"/>
              </w:rPr>
            </w:pPr>
          </w:p>
        </w:tc>
        <w:tc>
          <w:tcPr>
            <w:tcW w:w="11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8"/>
              </w:rPr>
              <w:t>Completion</w:t>
            </w:r>
          </w:p>
        </w:tc>
      </w:tr>
      <w:tr>
        <w:trPr>
          <w:trHeight w:val="161"/>
        </w:trPr>
        <w:tc>
          <w:tcPr>
            <w:tcW w:w="920" w:type="dxa"/>
            <w:vAlign w:val="bottom"/>
            <w:gridSpan w:val="2"/>
          </w:tcPr>
          <w:p>
            <w:pPr>
              <w:spacing w:after="0"/>
              <w:rPr>
                <w:sz w:val="20"/>
                <w:szCs w:val="20"/>
                <w:color w:val="auto"/>
              </w:rPr>
            </w:pPr>
            <w:r>
              <w:rPr>
                <w:rFonts w:ascii="Arial" w:cs="Arial" w:eastAsia="Arial" w:hAnsi="Arial"/>
                <w:sz w:val="14"/>
                <w:szCs w:val="14"/>
                <w:b w:val="1"/>
                <w:bCs w:val="1"/>
                <w:color w:val="auto"/>
                <w:w w:val="94"/>
              </w:rPr>
              <w:t>Clinical Phase</w:t>
            </w:r>
          </w:p>
        </w:tc>
        <w:tc>
          <w:tcPr>
            <w:tcW w:w="9400" w:type="dxa"/>
            <w:vAlign w:val="bottom"/>
          </w:tcPr>
          <w:p>
            <w:pPr>
              <w:spacing w:after="0"/>
              <w:rPr>
                <w:sz w:val="14"/>
                <w:szCs w:val="14"/>
                <w:color w:val="auto"/>
              </w:rPr>
            </w:pPr>
          </w:p>
        </w:tc>
        <w:tc>
          <w:tcPr>
            <w:tcW w:w="1100" w:type="dxa"/>
            <w:vAlign w:val="bottom"/>
          </w:tcPr>
          <w:p>
            <w:pPr>
              <w:jc w:val="center"/>
              <w:spacing w:after="0"/>
              <w:rPr>
                <w:sz w:val="20"/>
                <w:szCs w:val="20"/>
                <w:color w:val="auto"/>
              </w:rPr>
            </w:pPr>
            <w:r>
              <w:rPr>
                <w:rFonts w:ascii="Arial" w:cs="Arial" w:eastAsia="Arial" w:hAnsi="Arial"/>
                <w:sz w:val="14"/>
                <w:szCs w:val="14"/>
                <w:b w:val="1"/>
                <w:bCs w:val="1"/>
                <w:color w:val="auto"/>
                <w:w w:val="87"/>
              </w:rPr>
              <w:t>Period</w:t>
            </w:r>
          </w:p>
        </w:tc>
      </w:tr>
      <w:tr>
        <w:trPr>
          <w:trHeight w:val="210"/>
        </w:trPr>
        <w:tc>
          <w:tcPr>
            <w:tcW w:w="20" w:type="dxa"/>
            <w:vAlign w:val="bottom"/>
          </w:tcPr>
          <w:p>
            <w:pPr>
              <w:spacing w:after="0"/>
              <w:rPr>
                <w:sz w:val="18"/>
                <w:szCs w:val="18"/>
                <w:color w:val="auto"/>
              </w:rPr>
            </w:pPr>
          </w:p>
        </w:tc>
        <w:tc>
          <w:tcPr>
            <w:tcW w:w="9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Phase 1</w:t>
            </w:r>
          </w:p>
        </w:tc>
        <w:tc>
          <w:tcPr>
            <w:tcW w:w="9400" w:type="dxa"/>
            <w:vAlign w:val="bottom"/>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1 - 2 Years</w:t>
            </w:r>
          </w:p>
        </w:tc>
      </w:tr>
      <w:tr>
        <w:trPr>
          <w:trHeight w:val="216"/>
        </w:trPr>
        <w:tc>
          <w:tcPr>
            <w:tcW w:w="20" w:type="dxa"/>
            <w:vAlign w:val="bottom"/>
          </w:tcPr>
          <w:p>
            <w:pPr>
              <w:spacing w:after="0"/>
              <w:rPr>
                <w:sz w:val="18"/>
                <w:szCs w:val="18"/>
                <w:color w:val="auto"/>
              </w:rPr>
            </w:pPr>
          </w:p>
        </w:tc>
        <w:tc>
          <w:tcPr>
            <w:tcW w:w="900" w:type="dxa"/>
            <w:vAlign w:val="bottom"/>
          </w:tcPr>
          <w:p>
            <w:pPr>
              <w:spacing w:after="0"/>
              <w:rPr>
                <w:sz w:val="20"/>
                <w:szCs w:val="20"/>
                <w:color w:val="auto"/>
              </w:rPr>
            </w:pPr>
            <w:r>
              <w:rPr>
                <w:rFonts w:ascii="Arial" w:cs="Arial" w:eastAsia="Arial" w:hAnsi="Arial"/>
                <w:sz w:val="18"/>
                <w:szCs w:val="18"/>
                <w:color w:val="auto"/>
              </w:rPr>
              <w:t>Phase 2</w:t>
            </w:r>
          </w:p>
        </w:tc>
        <w:tc>
          <w:tcPr>
            <w:tcW w:w="10500" w:type="dxa"/>
            <w:vAlign w:val="bottom"/>
            <w:gridSpan w:val="2"/>
          </w:tcPr>
          <w:p>
            <w:pPr>
              <w:ind w:left="9400"/>
              <w:spacing w:after="0"/>
              <w:rPr>
                <w:sz w:val="20"/>
                <w:szCs w:val="20"/>
                <w:color w:val="auto"/>
              </w:rPr>
            </w:pPr>
            <w:r>
              <w:rPr>
                <w:rFonts w:ascii="Arial" w:cs="Arial" w:eastAsia="Arial" w:hAnsi="Arial"/>
                <w:sz w:val="18"/>
                <w:szCs w:val="18"/>
                <w:color w:val="auto"/>
              </w:rPr>
              <w:t>1 - 5 Years</w:t>
            </w:r>
          </w:p>
        </w:tc>
      </w:tr>
      <w:tr>
        <w:trPr>
          <w:trHeight w:val="216"/>
        </w:trPr>
        <w:tc>
          <w:tcPr>
            <w:tcW w:w="20" w:type="dxa"/>
            <w:vAlign w:val="bottom"/>
          </w:tcPr>
          <w:p>
            <w:pPr>
              <w:spacing w:after="0"/>
              <w:rPr>
                <w:sz w:val="18"/>
                <w:szCs w:val="18"/>
                <w:color w:val="auto"/>
              </w:rPr>
            </w:pPr>
          </w:p>
        </w:tc>
        <w:tc>
          <w:tcPr>
            <w:tcW w:w="900" w:type="dxa"/>
            <w:vAlign w:val="bottom"/>
            <w:shd w:val="clear" w:color="auto" w:fill="CCEEFF"/>
          </w:tcPr>
          <w:p>
            <w:pPr>
              <w:spacing w:after="0"/>
              <w:rPr>
                <w:sz w:val="20"/>
                <w:szCs w:val="20"/>
                <w:color w:val="auto"/>
              </w:rPr>
            </w:pPr>
            <w:r>
              <w:rPr>
                <w:rFonts w:ascii="Arial" w:cs="Arial" w:eastAsia="Arial" w:hAnsi="Arial"/>
                <w:sz w:val="18"/>
                <w:szCs w:val="18"/>
                <w:color w:val="auto"/>
              </w:rPr>
              <w:t>Phase 3</w:t>
            </w:r>
          </w:p>
        </w:tc>
        <w:tc>
          <w:tcPr>
            <w:tcW w:w="10500" w:type="dxa"/>
            <w:vAlign w:val="bottom"/>
            <w:gridSpan w:val="2"/>
            <w:shd w:val="clear" w:color="auto" w:fill="CCEEFF"/>
          </w:tcPr>
          <w:p>
            <w:pPr>
              <w:ind w:left="9400"/>
              <w:spacing w:after="0"/>
              <w:rPr>
                <w:sz w:val="20"/>
                <w:szCs w:val="20"/>
                <w:color w:val="auto"/>
              </w:rPr>
            </w:pPr>
            <w:r>
              <w:rPr>
                <w:rFonts w:ascii="Arial" w:cs="Arial" w:eastAsia="Arial" w:hAnsi="Arial"/>
                <w:sz w:val="18"/>
                <w:szCs w:val="18"/>
                <w:color w:val="auto"/>
              </w:rPr>
              <w:t>1 - 5 Years</w:t>
            </w:r>
          </w:p>
        </w:tc>
      </w:tr>
    </w:tbl>
    <w:p>
      <w:pPr>
        <w:spacing w:after="0" w:line="208" w:lineRule="exact"/>
        <w:rPr>
          <w:sz w:val="20"/>
          <w:szCs w:val="20"/>
          <w:color w:val="auto"/>
        </w:rPr>
      </w:pPr>
    </w:p>
    <w:p>
      <w:pPr>
        <w:ind w:right="180" w:firstLine="348"/>
        <w:spacing w:after="0" w:line="268" w:lineRule="auto"/>
        <w:rPr>
          <w:sz w:val="20"/>
          <w:szCs w:val="20"/>
          <w:color w:val="auto"/>
        </w:rPr>
      </w:pPr>
      <w:r>
        <w:rPr>
          <w:rFonts w:ascii="Arial" w:cs="Arial" w:eastAsia="Arial" w:hAnsi="Arial"/>
          <w:sz w:val="18"/>
          <w:szCs w:val="18"/>
          <w:color w:val="auto"/>
        </w:rPr>
        <w:t>The duration and the cost of clinical trials may vary significantly over the life of a project as a result of differences arising during the clinical trial protocol, including, among others, the following:</w:t>
      </w:r>
    </w:p>
    <w:p>
      <w:pPr>
        <w:spacing w:after="0" w:line="199" w:lineRule="exact"/>
        <w:rPr>
          <w:sz w:val="20"/>
          <w:szCs w:val="20"/>
          <w:color w:val="auto"/>
        </w:rPr>
      </w:pPr>
    </w:p>
    <w:p>
      <w:pPr>
        <w:ind w:left="1080" w:hanging="532"/>
        <w:spacing w:after="0"/>
        <w:tabs>
          <w:tab w:leader="none" w:pos="10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number of patients that ultimately participate in the trial;</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duration of patient follow-up that seems appropriate in view of results;</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number of clinical sites included in the trials;</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length of time required to enroll suitable patient subjects; and</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efficacy and safety profile of the product candidate.</w:t>
      </w:r>
    </w:p>
    <w:p>
      <w:pPr>
        <w:spacing w:after="0" w:line="225" w:lineRule="exact"/>
        <w:rPr>
          <w:sz w:val="20"/>
          <w:szCs w:val="20"/>
          <w:color w:val="auto"/>
        </w:rPr>
      </w:pPr>
    </w:p>
    <w:p>
      <w:pPr>
        <w:jc w:val="both"/>
        <w:ind w:right="20" w:firstLine="348"/>
        <w:spacing w:after="0" w:line="259" w:lineRule="auto"/>
        <w:rPr>
          <w:sz w:val="20"/>
          <w:szCs w:val="20"/>
          <w:color w:val="auto"/>
        </w:rPr>
      </w:pPr>
      <w:r>
        <w:rPr>
          <w:rFonts w:ascii="Arial" w:cs="Arial" w:eastAsia="Arial" w:hAnsi="Arial"/>
          <w:sz w:val="18"/>
          <w:szCs w:val="18"/>
          <w:color w:val="auto"/>
        </w:rPr>
        <w:t>We test potential product candidates in numerous preclinical studies for safety, toxicology and immunogenicity. We may then conduct multiple clinical trials for each product candidate. As we obtain results from trials, we may elect to discontinue or delay clinical trials for certain product candidates in order to focus our resources on more promising product candidates.</w:t>
      </w:r>
    </w:p>
    <w:p>
      <w:pPr>
        <w:spacing w:after="0" w:line="194" w:lineRule="exact"/>
        <w:rPr>
          <w:sz w:val="20"/>
          <w:szCs w:val="20"/>
          <w:color w:val="auto"/>
        </w:rPr>
      </w:pPr>
    </w:p>
    <w:p>
      <w:pPr>
        <w:ind w:right="340" w:firstLine="341"/>
        <w:spacing w:after="0" w:line="256" w:lineRule="auto"/>
        <w:rPr>
          <w:sz w:val="20"/>
          <w:szCs w:val="20"/>
          <w:color w:val="auto"/>
        </w:rPr>
      </w:pPr>
      <w:r>
        <w:rPr>
          <w:rFonts w:ascii="Arial" w:cs="Arial" w:eastAsia="Arial" w:hAnsi="Arial"/>
          <w:sz w:val="18"/>
          <w:szCs w:val="18"/>
          <w:color w:val="auto"/>
        </w:rPr>
        <w:t>An element of our business strategy is to pursue the research and development of a broad portfolio of product candidates. This is intended to allow us to diversify the risks associated with our research and development expenditures. As a result, we believe our future capital requirements and our future financial success are not substantially dependent on any one product candidate. To the extent we are unable to maintain a broad range of product candidates, our dependence on the success of one or a few product candidates increases.</w:t>
      </w:r>
    </w:p>
    <w:p>
      <w:pPr>
        <w:spacing w:after="0" w:line="197" w:lineRule="exact"/>
        <w:rPr>
          <w:sz w:val="20"/>
          <w:szCs w:val="20"/>
          <w:color w:val="auto"/>
        </w:rPr>
      </w:pPr>
    </w:p>
    <w:p>
      <w:pPr>
        <w:ind w:right="40" w:firstLine="351"/>
        <w:spacing w:after="0" w:line="255" w:lineRule="auto"/>
        <w:rPr>
          <w:sz w:val="20"/>
          <w:szCs w:val="20"/>
          <w:color w:val="auto"/>
        </w:rPr>
      </w:pPr>
      <w:r>
        <w:rPr>
          <w:rFonts w:ascii="Arial" w:cs="Arial" w:eastAsia="Arial" w:hAnsi="Arial"/>
          <w:sz w:val="18"/>
          <w:szCs w:val="18"/>
          <w:color w:val="auto"/>
        </w:rPr>
        <w:t>Regulatory approval is required before we can market our product candidates as therapeutic or vaccine products. In order to proceed to subsequent clinical trial stages and to ultimately achieve regulatory approval, the regulatory agency must conclude that our clinical data is safe and effective. Historically, the results from preclinical testing and early clinical trials (through Phase 2) have often not been predictive of results obtained in later clinical trials. A number of new drugs, biologics and vaccines have shown promising results in early clinical trials, but subsequently failed to establish sufficient safety and efficacy data to obtain necessary regulatory approvals.</w:t>
      </w:r>
    </w:p>
    <w:p>
      <w:pPr>
        <w:spacing w:after="0" w:line="197" w:lineRule="exact"/>
        <w:rPr>
          <w:sz w:val="20"/>
          <w:szCs w:val="20"/>
          <w:color w:val="auto"/>
        </w:rPr>
      </w:pPr>
    </w:p>
    <w:p>
      <w:pPr>
        <w:ind w:right="220" w:firstLine="351"/>
        <w:spacing w:after="0" w:line="254" w:lineRule="auto"/>
        <w:rPr>
          <w:sz w:val="20"/>
          <w:szCs w:val="20"/>
          <w:color w:val="auto"/>
        </w:rPr>
      </w:pPr>
      <w:r>
        <w:rPr>
          <w:rFonts w:ascii="Arial" w:cs="Arial" w:eastAsia="Arial" w:hAnsi="Arial"/>
          <w:sz w:val="18"/>
          <w:szCs w:val="18"/>
          <w:color w:val="auto"/>
        </w:rPr>
        <w:t>Furthermore, our business strategy includes the option of entering into collaborative arrangements with third parties to complete the development and commercialization of our product candidates. In the event that third parties take over the clinical trial process for one of our product candidates, the estimated completion date would largely be under control of that third party rather than us. We cannot forecast with any degree of certainty which proprietary products, if any, will be subject to future collaborative arrangements, in whole or in part, and how such arrangements would affect our development plan or capital requirements. Our programs may also benefit from subsidies, grants, contracts or government or agency-sponsored studies that could reduce our development costs.</w:t>
      </w:r>
    </w:p>
    <w:p>
      <w:pPr>
        <w:spacing w:after="0" w:line="1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48" w:name="page49"/>
    <w:bookmarkEnd w:id="48"/>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60" w:firstLine="341"/>
        <w:spacing w:after="0" w:line="254" w:lineRule="auto"/>
        <w:rPr>
          <w:sz w:val="20"/>
          <w:szCs w:val="20"/>
          <w:color w:val="auto"/>
        </w:rPr>
      </w:pPr>
      <w:r>
        <w:rPr>
          <w:rFonts w:ascii="Arial" w:cs="Arial" w:eastAsia="Arial" w:hAnsi="Arial"/>
          <w:sz w:val="18"/>
          <w:szCs w:val="18"/>
          <w:color w:val="auto"/>
        </w:rPr>
        <w:t>As a result of the uncertainties discussed above, among others, it is difficult to accurately estimate the duration and completion costs of our research and development projects or when, if ever, and to what extent we will receive cash inflows from the commercialization and sale of a product. Our inability to complete our research and development projects in a timely manner or our failure to enter into collaborative agreements, when appropriate, could significantly increase our capital requirements and could adversely impact our liquidity. These uncertainties could force us to seek additional, external sources of financing from time to time in order to continue with our business strategy. Our inability to raise additional capital, or to do so on terms reasonably acceptable to us, would jeopardize the future success of our business.</w:t>
      </w:r>
    </w:p>
    <w:p>
      <w:pPr>
        <w:spacing w:after="0" w:line="198" w:lineRule="exact"/>
        <w:rPr>
          <w:sz w:val="20"/>
          <w:szCs w:val="20"/>
          <w:color w:val="auto"/>
        </w:rPr>
      </w:pPr>
    </w:p>
    <w:p>
      <w:pPr>
        <w:ind w:right="80" w:firstLine="351"/>
        <w:spacing w:after="0" w:line="294" w:lineRule="auto"/>
        <w:rPr>
          <w:sz w:val="20"/>
          <w:szCs w:val="20"/>
          <w:color w:val="auto"/>
        </w:rPr>
      </w:pPr>
      <w:r>
        <w:rPr>
          <w:rFonts w:ascii="Arial" w:cs="Arial" w:eastAsia="Arial" w:hAnsi="Arial"/>
          <w:sz w:val="16"/>
          <w:szCs w:val="16"/>
          <w:color w:val="auto"/>
        </w:rPr>
        <w:t>During the past five years through December 31, 2010, we incurred an aggregate of $96.4 million in research and development expenses. The following table indicates the amount incurred for each of our significant research programs and for other identified research and development activities during the years ended December 31, 2010, 2009 and 2008. The amounts disclosed in the following table reflect direct research and development costs, license fees associated with the underlying technology and an allocation of indirect research and development costs to each program. Prior to 2008, the privately-held Celldex Research did not maintain records that allowed for quantification of research and development expenses by project.</w:t>
      </w:r>
    </w:p>
    <w:p>
      <w:pPr>
        <w:spacing w:after="0" w:line="153" w:lineRule="exact"/>
        <w:rPr>
          <w:sz w:val="20"/>
          <w:szCs w:val="20"/>
          <w:color w:val="auto"/>
        </w:rPr>
      </w:pPr>
    </w:p>
    <w:tbl>
      <w:tblPr>
        <w:tblLayout w:type="fixed"/>
        <w:tblInd w:w="114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8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0" w:type="dxa"/>
            <w:vAlign w:val="bottom"/>
          </w:tcPr>
          <w:p>
            <w:pPr>
              <w:jc w:val="right"/>
              <w:ind w:right="236"/>
              <w:spacing w:after="0"/>
              <w:rPr>
                <w:sz w:val="20"/>
                <w:szCs w:val="20"/>
                <w:color w:val="auto"/>
              </w:rPr>
            </w:pPr>
            <w:r>
              <w:rPr>
                <w:rFonts w:ascii="Arial" w:cs="Arial" w:eastAsia="Arial" w:hAnsi="Arial"/>
                <w:sz w:val="14"/>
                <w:szCs w:val="14"/>
                <w:b w:val="1"/>
                <w:bCs w:val="1"/>
                <w:color w:val="auto"/>
              </w:rPr>
              <w:t>Year Ended</w:t>
            </w: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0" w:type="dxa"/>
            <w:vAlign w:val="bottom"/>
          </w:tcPr>
          <w:p>
            <w:pPr>
              <w:jc w:val="center"/>
              <w:ind w:right="17"/>
              <w:spacing w:after="0"/>
              <w:rPr>
                <w:sz w:val="20"/>
                <w:szCs w:val="20"/>
                <w:color w:val="auto"/>
              </w:rPr>
            </w:pPr>
            <w:r>
              <w:rPr>
                <w:rFonts w:ascii="Arial" w:cs="Arial" w:eastAsia="Arial" w:hAnsi="Arial"/>
                <w:sz w:val="14"/>
                <w:szCs w:val="14"/>
                <w:b w:val="1"/>
                <w:bCs w:val="1"/>
                <w:color w:val="auto"/>
                <w:w w:val="85"/>
              </w:rPr>
              <w:t>Year Ended</w:t>
            </w: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36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88"/>
              </w:rPr>
              <w:t>Year Ended</w:t>
            </w:r>
          </w:p>
        </w:tc>
      </w:tr>
      <w:tr>
        <w:trPr>
          <w:trHeight w:val="161"/>
        </w:trPr>
        <w:tc>
          <w:tcPr>
            <w:tcW w:w="20" w:type="dxa"/>
            <w:vAlign w:val="bottom"/>
          </w:tcPr>
          <w:p>
            <w:pPr>
              <w:spacing w:after="0"/>
              <w:rPr>
                <w:sz w:val="14"/>
                <w:szCs w:val="14"/>
                <w:color w:val="auto"/>
              </w:rPr>
            </w:pPr>
          </w:p>
        </w:tc>
        <w:tc>
          <w:tcPr>
            <w:tcW w:w="48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0" w:type="dxa"/>
            <w:vAlign w:val="bottom"/>
          </w:tcPr>
          <w:p>
            <w:pPr>
              <w:jc w:val="right"/>
              <w:ind w:right="36"/>
              <w:spacing w:after="0"/>
              <w:rPr>
                <w:sz w:val="20"/>
                <w:szCs w:val="20"/>
                <w:color w:val="auto"/>
              </w:rPr>
            </w:pPr>
            <w:r>
              <w:rPr>
                <w:rFonts w:ascii="Arial" w:cs="Arial" w:eastAsia="Arial" w:hAnsi="Arial"/>
                <w:sz w:val="14"/>
                <w:szCs w:val="14"/>
                <w:b w:val="1"/>
                <w:bCs w:val="1"/>
                <w:color w:val="auto"/>
                <w:w w:val="84"/>
              </w:rPr>
              <w:t>December 31, 2010</w:t>
            </w: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0" w:type="dxa"/>
            <w:vAlign w:val="bottom"/>
          </w:tcPr>
          <w:p>
            <w:pPr>
              <w:jc w:val="center"/>
              <w:ind w:right="17"/>
              <w:spacing w:after="0"/>
              <w:rPr>
                <w:sz w:val="20"/>
                <w:szCs w:val="20"/>
                <w:color w:val="auto"/>
              </w:rPr>
            </w:pPr>
            <w:r>
              <w:rPr>
                <w:rFonts w:ascii="Arial" w:cs="Arial" w:eastAsia="Arial" w:hAnsi="Arial"/>
                <w:sz w:val="14"/>
                <w:szCs w:val="14"/>
                <w:b w:val="1"/>
                <w:bCs w:val="1"/>
                <w:color w:val="auto"/>
                <w:w w:val="87"/>
              </w:rPr>
              <w:t>December 31, 2009</w:t>
            </w: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36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85"/>
              </w:rPr>
              <w:t>December 31, 2008</w:t>
            </w:r>
          </w:p>
        </w:tc>
      </w:tr>
      <w:tr>
        <w:trPr>
          <w:trHeight w:val="142"/>
        </w:trPr>
        <w:tc>
          <w:tcPr>
            <w:tcW w:w="20" w:type="dxa"/>
            <w:vAlign w:val="bottom"/>
          </w:tcPr>
          <w:p>
            <w:pPr>
              <w:spacing w:after="0"/>
              <w:rPr>
                <w:sz w:val="12"/>
                <w:szCs w:val="12"/>
                <w:color w:val="auto"/>
              </w:rPr>
            </w:pPr>
          </w:p>
        </w:tc>
        <w:tc>
          <w:tcPr>
            <w:tcW w:w="4800" w:type="dxa"/>
            <w:vAlign w:val="bottom"/>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1200" w:type="dxa"/>
            <w:vAlign w:val="bottom"/>
            <w:tcBorders>
              <w:top w:val="single" w:sz="8" w:color="auto"/>
            </w:tcBorders>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1200" w:type="dxa"/>
            <w:vAlign w:val="bottom"/>
            <w:tcBorders>
              <w:top w:val="single" w:sz="8" w:color="auto"/>
            </w:tcBorders>
          </w:tcPr>
          <w:p>
            <w:pPr>
              <w:jc w:val="center"/>
              <w:ind w:right="17"/>
              <w:spacing w:after="0" w:line="142" w:lineRule="exact"/>
              <w:rPr>
                <w:sz w:val="20"/>
                <w:szCs w:val="20"/>
                <w:color w:val="auto"/>
              </w:rPr>
            </w:pPr>
            <w:r>
              <w:rPr>
                <w:rFonts w:ascii="Arial" w:cs="Arial" w:eastAsia="Arial" w:hAnsi="Arial"/>
                <w:sz w:val="14"/>
                <w:szCs w:val="14"/>
                <w:b w:val="1"/>
                <w:bCs w:val="1"/>
                <w:color w:val="auto"/>
                <w:w w:val="84"/>
              </w:rPr>
              <w:t>(In thousands)</w:t>
            </w:r>
          </w:p>
        </w:tc>
        <w:tc>
          <w:tcPr>
            <w:tcW w:w="160" w:type="dxa"/>
            <w:vAlign w:val="bottom"/>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1200" w:type="dxa"/>
            <w:vAlign w:val="bottom"/>
            <w:tcBorders>
              <w:top w:val="single" w:sz="8" w:color="auto"/>
            </w:tcBorders>
          </w:tcPr>
          <w:p>
            <w:pPr>
              <w:spacing w:after="0"/>
              <w:rPr>
                <w:sz w:val="12"/>
                <w:szCs w:val="12"/>
                <w:color w:val="auto"/>
              </w:rPr>
            </w:pPr>
          </w:p>
        </w:tc>
        <w:tc>
          <w:tcPr>
            <w:tcW w:w="160" w:type="dxa"/>
            <w:vAlign w:val="bottom"/>
          </w:tcPr>
          <w:p>
            <w:pPr>
              <w:spacing w:after="0"/>
              <w:rPr>
                <w:sz w:val="12"/>
                <w:szCs w:val="12"/>
                <w:color w:val="auto"/>
              </w:rPr>
            </w:pPr>
          </w:p>
        </w:tc>
      </w:tr>
      <w:tr>
        <w:trPr>
          <w:trHeight w:val="216"/>
        </w:trPr>
        <w:tc>
          <w:tcPr>
            <w:tcW w:w="20" w:type="dxa"/>
            <w:vAlign w:val="bottom"/>
          </w:tcPr>
          <w:p>
            <w:pPr>
              <w:spacing w:after="0"/>
              <w:rPr>
                <w:sz w:val="18"/>
                <w:szCs w:val="18"/>
                <w:color w:val="auto"/>
              </w:rPr>
            </w:pPr>
          </w:p>
        </w:tc>
        <w:tc>
          <w:tcPr>
            <w:tcW w:w="48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CLINICAL</w:t>
            </w:r>
          </w:p>
        </w:tc>
        <w:tc>
          <w:tcPr>
            <w:tcW w:w="8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800" w:type="dxa"/>
            <w:vAlign w:val="bottom"/>
          </w:tcPr>
          <w:p>
            <w:pPr>
              <w:ind w:left="120"/>
              <w:spacing w:after="0"/>
              <w:rPr>
                <w:sz w:val="20"/>
                <w:szCs w:val="20"/>
                <w:color w:val="auto"/>
              </w:rPr>
            </w:pPr>
            <w:r>
              <w:rPr>
                <w:rFonts w:ascii="Arial" w:cs="Arial" w:eastAsia="Arial" w:hAnsi="Arial"/>
                <w:sz w:val="18"/>
                <w:szCs w:val="18"/>
                <w:color w:val="auto"/>
              </w:rPr>
              <w:t>Rindopepimut</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1,718</w:t>
            </w: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3,249</w:t>
            </w: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7,621</w:t>
            </w:r>
          </w:p>
        </w:tc>
        <w:tc>
          <w:tcPr>
            <w:tcW w:w="16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800" w:type="dxa"/>
            <w:vAlign w:val="bottom"/>
            <w:shd w:val="clear" w:color="auto" w:fill="CCEEFF"/>
          </w:tcPr>
          <w:p>
            <w:pPr>
              <w:ind w:left="120"/>
              <w:spacing w:after="0"/>
              <w:rPr>
                <w:sz w:val="20"/>
                <w:szCs w:val="20"/>
                <w:color w:val="auto"/>
              </w:rPr>
            </w:pPr>
            <w:r>
              <w:rPr>
                <w:rFonts w:ascii="Arial" w:cs="Arial" w:eastAsia="Arial" w:hAnsi="Arial"/>
                <w:sz w:val="18"/>
                <w:szCs w:val="18"/>
                <w:color w:val="auto"/>
              </w:rPr>
              <w:t>CDX-011</w:t>
            </w:r>
          </w:p>
        </w:tc>
        <w:tc>
          <w:tcPr>
            <w:tcW w:w="8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4,104</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1,098</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r>
      <w:tr>
        <w:trPr>
          <w:trHeight w:val="216"/>
        </w:trPr>
        <w:tc>
          <w:tcPr>
            <w:tcW w:w="20" w:type="dxa"/>
            <w:vAlign w:val="bottom"/>
          </w:tcPr>
          <w:p>
            <w:pPr>
              <w:spacing w:after="0"/>
              <w:rPr>
                <w:sz w:val="18"/>
                <w:szCs w:val="18"/>
                <w:color w:val="auto"/>
              </w:rPr>
            </w:pPr>
          </w:p>
        </w:tc>
        <w:tc>
          <w:tcPr>
            <w:tcW w:w="4800" w:type="dxa"/>
            <w:vAlign w:val="bottom"/>
          </w:tcPr>
          <w:p>
            <w:pPr>
              <w:ind w:left="120"/>
              <w:spacing w:after="0"/>
              <w:rPr>
                <w:sz w:val="20"/>
                <w:szCs w:val="20"/>
                <w:color w:val="auto"/>
              </w:rPr>
            </w:pPr>
            <w:r>
              <w:rPr>
                <w:rFonts w:ascii="Arial" w:cs="Arial" w:eastAsia="Arial" w:hAnsi="Arial"/>
                <w:sz w:val="18"/>
                <w:szCs w:val="18"/>
                <w:color w:val="auto"/>
              </w:rPr>
              <w:t>CDX-1307</w:t>
            </w:r>
          </w:p>
        </w:tc>
        <w:tc>
          <w:tcPr>
            <w:tcW w:w="8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4,067</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6,510</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3,446</w:t>
            </w:r>
          </w:p>
        </w:tc>
        <w:tc>
          <w:tcPr>
            <w:tcW w:w="16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800" w:type="dxa"/>
            <w:vAlign w:val="bottom"/>
            <w:shd w:val="clear" w:color="auto" w:fill="CCEEFF"/>
          </w:tcPr>
          <w:p>
            <w:pPr>
              <w:ind w:left="120"/>
              <w:spacing w:after="0"/>
              <w:rPr>
                <w:sz w:val="20"/>
                <w:szCs w:val="20"/>
                <w:color w:val="auto"/>
              </w:rPr>
            </w:pPr>
            <w:r>
              <w:rPr>
                <w:rFonts w:ascii="Arial" w:cs="Arial" w:eastAsia="Arial" w:hAnsi="Arial"/>
                <w:sz w:val="18"/>
                <w:szCs w:val="18"/>
                <w:color w:val="auto"/>
              </w:rPr>
              <w:t>CDX-1401</w:t>
            </w:r>
          </w:p>
        </w:tc>
        <w:tc>
          <w:tcPr>
            <w:tcW w:w="8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2,899</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4,293</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5,562</w:t>
            </w:r>
          </w:p>
        </w:tc>
        <w:tc>
          <w:tcPr>
            <w:tcW w:w="16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800" w:type="dxa"/>
            <w:vAlign w:val="bottom"/>
          </w:tcPr>
          <w:p>
            <w:pPr>
              <w:ind w:left="120"/>
              <w:spacing w:after="0"/>
              <w:rPr>
                <w:sz w:val="20"/>
                <w:szCs w:val="20"/>
                <w:color w:val="auto"/>
              </w:rPr>
            </w:pPr>
            <w:r>
              <w:rPr>
                <w:rFonts w:ascii="Arial" w:cs="Arial" w:eastAsia="Arial" w:hAnsi="Arial"/>
                <w:sz w:val="18"/>
                <w:szCs w:val="18"/>
                <w:color w:val="auto"/>
              </w:rPr>
              <w:t>CDX-1135</w:t>
            </w:r>
          </w:p>
        </w:tc>
        <w:tc>
          <w:tcPr>
            <w:tcW w:w="8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839</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473</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159</w:t>
            </w:r>
          </w:p>
        </w:tc>
        <w:tc>
          <w:tcPr>
            <w:tcW w:w="16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8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PRECLINICAL</w:t>
            </w:r>
          </w:p>
        </w:tc>
        <w:tc>
          <w:tcPr>
            <w:tcW w:w="8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800" w:type="dxa"/>
            <w:vAlign w:val="bottom"/>
          </w:tcPr>
          <w:p>
            <w:pPr>
              <w:ind w:left="120"/>
              <w:spacing w:after="0"/>
              <w:rPr>
                <w:sz w:val="20"/>
                <w:szCs w:val="20"/>
                <w:color w:val="auto"/>
              </w:rPr>
            </w:pPr>
            <w:r>
              <w:rPr>
                <w:rFonts w:ascii="Arial" w:cs="Arial" w:eastAsia="Arial" w:hAnsi="Arial"/>
                <w:sz w:val="18"/>
                <w:szCs w:val="18"/>
                <w:color w:val="auto"/>
              </w:rPr>
              <w:t>CDX-301</w:t>
            </w:r>
          </w:p>
        </w:tc>
        <w:tc>
          <w:tcPr>
            <w:tcW w:w="8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4,345</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2,424</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3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r>
      <w:tr>
        <w:trPr>
          <w:trHeight w:val="216"/>
        </w:trPr>
        <w:tc>
          <w:tcPr>
            <w:tcW w:w="20" w:type="dxa"/>
            <w:vAlign w:val="bottom"/>
          </w:tcPr>
          <w:p>
            <w:pPr>
              <w:spacing w:after="0"/>
              <w:rPr>
                <w:sz w:val="18"/>
                <w:szCs w:val="18"/>
                <w:color w:val="auto"/>
              </w:rPr>
            </w:pPr>
          </w:p>
        </w:tc>
        <w:tc>
          <w:tcPr>
            <w:tcW w:w="4800" w:type="dxa"/>
            <w:vAlign w:val="bottom"/>
            <w:shd w:val="clear" w:color="auto" w:fill="CCEEFF"/>
          </w:tcPr>
          <w:p>
            <w:pPr>
              <w:ind w:left="120"/>
              <w:spacing w:after="0"/>
              <w:rPr>
                <w:sz w:val="20"/>
                <w:szCs w:val="20"/>
                <w:color w:val="auto"/>
              </w:rPr>
            </w:pPr>
            <w:r>
              <w:rPr>
                <w:rFonts w:ascii="Arial" w:cs="Arial" w:eastAsia="Arial" w:hAnsi="Arial"/>
                <w:sz w:val="18"/>
                <w:szCs w:val="18"/>
                <w:color w:val="auto"/>
              </w:rPr>
              <w:t>CDX-1127</w:t>
            </w:r>
          </w:p>
        </w:tc>
        <w:tc>
          <w:tcPr>
            <w:tcW w:w="8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4,967</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1,308</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1,040</w:t>
            </w:r>
          </w:p>
        </w:tc>
        <w:tc>
          <w:tcPr>
            <w:tcW w:w="16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800" w:type="dxa"/>
            <w:vAlign w:val="bottom"/>
          </w:tcPr>
          <w:p>
            <w:pPr>
              <w:ind w:left="120"/>
              <w:spacing w:after="0"/>
              <w:rPr>
                <w:sz w:val="20"/>
                <w:szCs w:val="20"/>
                <w:color w:val="auto"/>
              </w:rPr>
            </w:pPr>
            <w:r>
              <w:rPr>
                <w:rFonts w:ascii="Arial" w:cs="Arial" w:eastAsia="Arial" w:hAnsi="Arial"/>
                <w:sz w:val="18"/>
                <w:szCs w:val="18"/>
                <w:color w:val="auto"/>
              </w:rPr>
              <w:t>CDX-014</w:t>
            </w:r>
          </w:p>
        </w:tc>
        <w:tc>
          <w:tcPr>
            <w:tcW w:w="8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130</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8</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3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r>
      <w:tr>
        <w:trPr>
          <w:trHeight w:val="216"/>
        </w:trPr>
        <w:tc>
          <w:tcPr>
            <w:tcW w:w="20" w:type="dxa"/>
            <w:vAlign w:val="bottom"/>
          </w:tcPr>
          <w:p>
            <w:pPr>
              <w:spacing w:after="0"/>
              <w:rPr>
                <w:sz w:val="18"/>
                <w:szCs w:val="18"/>
                <w:color w:val="auto"/>
              </w:rPr>
            </w:pPr>
          </w:p>
        </w:tc>
        <w:tc>
          <w:tcPr>
            <w:tcW w:w="48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OTHER</w:t>
            </w:r>
          </w:p>
        </w:tc>
        <w:tc>
          <w:tcPr>
            <w:tcW w:w="8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r>
      <w:tr>
        <w:trPr>
          <w:trHeight w:val="222"/>
        </w:trPr>
        <w:tc>
          <w:tcPr>
            <w:tcW w:w="20" w:type="dxa"/>
            <w:vAlign w:val="bottom"/>
          </w:tcPr>
          <w:p>
            <w:pPr>
              <w:spacing w:after="0"/>
              <w:rPr>
                <w:sz w:val="19"/>
                <w:szCs w:val="19"/>
                <w:color w:val="auto"/>
              </w:rPr>
            </w:pPr>
          </w:p>
        </w:tc>
        <w:tc>
          <w:tcPr>
            <w:tcW w:w="4800" w:type="dxa"/>
            <w:vAlign w:val="bottom"/>
          </w:tcPr>
          <w:p>
            <w:pPr>
              <w:ind w:left="120"/>
              <w:spacing w:after="0"/>
              <w:rPr>
                <w:sz w:val="20"/>
                <w:szCs w:val="20"/>
                <w:color w:val="auto"/>
              </w:rPr>
            </w:pPr>
            <w:r>
              <w:rPr>
                <w:rFonts w:ascii="Arial" w:cs="Arial" w:eastAsia="Arial" w:hAnsi="Arial"/>
                <w:sz w:val="18"/>
                <w:szCs w:val="18"/>
                <w:color w:val="auto"/>
              </w:rPr>
              <w:t>Other Programs</w:t>
            </w:r>
          </w:p>
        </w:tc>
        <w:tc>
          <w:tcPr>
            <w:tcW w:w="8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4,581</w:t>
            </w: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6,806</w:t>
            </w: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4,808</w:t>
            </w:r>
          </w:p>
        </w:tc>
        <w:tc>
          <w:tcPr>
            <w:tcW w:w="160" w:type="dxa"/>
            <w:vAlign w:val="bottom"/>
          </w:tcPr>
          <w:p>
            <w:pPr>
              <w:spacing w:after="0"/>
              <w:rPr>
                <w:sz w:val="19"/>
                <w:szCs w:val="19"/>
                <w:color w:val="auto"/>
              </w:rPr>
            </w:pPr>
          </w:p>
        </w:tc>
      </w:tr>
      <w:tr>
        <w:trPr>
          <w:trHeight w:val="21"/>
        </w:trPr>
        <w:tc>
          <w:tcPr>
            <w:tcW w:w="20" w:type="dxa"/>
            <w:vAlign w:val="bottom"/>
          </w:tcPr>
          <w:p>
            <w:pPr>
              <w:spacing w:after="0" w:line="20" w:lineRule="exact"/>
              <w:rPr>
                <w:sz w:val="1"/>
                <w:szCs w:val="1"/>
                <w:color w:val="auto"/>
              </w:rPr>
            </w:pPr>
          </w:p>
        </w:tc>
        <w:tc>
          <w:tcPr>
            <w:tcW w:w="48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4800" w:type="dxa"/>
            <w:vAlign w:val="bottom"/>
            <w:shd w:val="clear" w:color="auto" w:fill="CCEEFF"/>
          </w:tcPr>
          <w:p>
            <w:pPr>
              <w:spacing w:after="0"/>
              <w:rPr>
                <w:sz w:val="20"/>
                <w:szCs w:val="20"/>
                <w:color w:val="auto"/>
              </w:rPr>
            </w:pPr>
            <w:r>
              <w:rPr>
                <w:rFonts w:ascii="Arial" w:cs="Arial" w:eastAsia="Arial" w:hAnsi="Arial"/>
                <w:sz w:val="18"/>
                <w:szCs w:val="18"/>
                <w:color w:val="auto"/>
              </w:rPr>
              <w:t>Total R&amp;D Expense</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27,650</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26,169</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22,636</w:t>
            </w:r>
          </w:p>
        </w:tc>
        <w:tc>
          <w:tcPr>
            <w:tcW w:w="160" w:type="dxa"/>
            <w:vAlign w:val="bottom"/>
            <w:shd w:val="clear" w:color="auto" w:fill="CCEEFF"/>
          </w:tcPr>
          <w:p>
            <w:pPr>
              <w:spacing w:after="0"/>
              <w:rPr>
                <w:sz w:val="18"/>
                <w:szCs w:val="18"/>
                <w:color w:val="auto"/>
              </w:rPr>
            </w:pPr>
          </w:p>
        </w:tc>
      </w:tr>
      <w:tr>
        <w:trPr>
          <w:trHeight w:val="27"/>
        </w:trPr>
        <w:tc>
          <w:tcPr>
            <w:tcW w:w="20" w:type="dxa"/>
            <w:vAlign w:val="bottom"/>
          </w:tcPr>
          <w:p>
            <w:pPr>
              <w:spacing w:after="0"/>
              <w:rPr>
                <w:sz w:val="2"/>
                <w:szCs w:val="2"/>
                <w:color w:val="auto"/>
              </w:rPr>
            </w:pPr>
          </w:p>
        </w:tc>
        <w:tc>
          <w:tcPr>
            <w:tcW w:w="4800" w:type="dxa"/>
            <w:vAlign w:val="bottom"/>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r>
      <w:tr>
        <w:trPr>
          <w:trHeight w:val="20"/>
        </w:trPr>
        <w:tc>
          <w:tcPr>
            <w:tcW w:w="20" w:type="dxa"/>
            <w:vAlign w:val="bottom"/>
          </w:tcPr>
          <w:p>
            <w:pPr>
              <w:spacing w:after="0" w:line="20" w:lineRule="exact"/>
              <w:rPr>
                <w:sz w:val="1"/>
                <w:szCs w:val="1"/>
                <w:color w:val="auto"/>
              </w:rPr>
            </w:pPr>
          </w:p>
        </w:tc>
        <w:tc>
          <w:tcPr>
            <w:tcW w:w="48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Clinical Development Programs</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Rindopepimut (CDX-110)</w:t>
      </w:r>
    </w:p>
    <w:p>
      <w:pPr>
        <w:spacing w:after="0" w:line="225" w:lineRule="exact"/>
        <w:rPr>
          <w:sz w:val="20"/>
          <w:szCs w:val="20"/>
          <w:color w:val="auto"/>
        </w:rPr>
      </w:pPr>
    </w:p>
    <w:p>
      <w:pPr>
        <w:ind w:right="20" w:firstLine="351"/>
        <w:spacing w:after="0" w:line="291" w:lineRule="auto"/>
        <w:rPr>
          <w:sz w:val="20"/>
          <w:szCs w:val="20"/>
          <w:color w:val="auto"/>
        </w:rPr>
      </w:pPr>
      <w:r>
        <w:rPr>
          <w:rFonts w:ascii="Arial" w:cs="Arial" w:eastAsia="Arial" w:hAnsi="Arial"/>
          <w:sz w:val="16"/>
          <w:szCs w:val="16"/>
          <w:color w:val="auto"/>
        </w:rPr>
        <w:t>Our lead clinical development program, rindopepimut, is a peptide-based immunotherapy that targets the tumor specific molecule called EGFRvIII, a functional variant of the naturally expressed epidermal growth factor receptor ("EGFR"), a protein which has been well validated as a target for cancer therapy. Unlike EGFR, EGFRvIII is not present in normal tissues, and has been shown to be a transforming oncogene that can directly contribute to the cancer cell growth. EGFRvIII is commonly present in glioblastoma multiforme, or GBM, the most common and aggressive form of brain cancer, and has also been observed in various other cancers such as lung, liver, and head and neck cancer. The Food and Drug Administration ("FDA") has granted orphan drug designation for rindopepimut for the treatment of EGFRvIII expressing GBM as well as fast track designation.</w:t>
      </w:r>
    </w:p>
    <w:p>
      <w:pPr>
        <w:spacing w:after="0" w:line="174" w:lineRule="exact"/>
        <w:rPr>
          <w:sz w:val="20"/>
          <w:szCs w:val="20"/>
          <w:color w:val="auto"/>
        </w:rPr>
      </w:pPr>
    </w:p>
    <w:p>
      <w:pPr>
        <w:ind w:firstLine="351"/>
        <w:spacing w:after="0" w:line="332" w:lineRule="auto"/>
        <w:rPr>
          <w:sz w:val="20"/>
          <w:szCs w:val="20"/>
          <w:color w:val="auto"/>
        </w:rPr>
      </w:pPr>
      <w:r>
        <w:rPr>
          <w:rFonts w:ascii="Arial" w:cs="Arial" w:eastAsia="Arial" w:hAnsi="Arial"/>
          <w:sz w:val="16"/>
          <w:szCs w:val="16"/>
          <w:color w:val="auto"/>
        </w:rPr>
        <w:t>In April 2008, we and Pfizer Inc. ("Pfizer") entered into a License and Development Agreement (the "Pfizer Agreement") under which Pfizer was granted an exclusive worldwide license to rindopepimut. The Pfizer Agreement also gave Pfizer exclusive rights to the use of EGFRvIII vaccines</w:t>
      </w:r>
    </w:p>
    <w:p>
      <w:pPr>
        <w:spacing w:after="0" w:line="139"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131" w:right="279" w:bottom="1440" w:gutter="0" w:footer="0" w:header="0"/>
        </w:sectPr>
      </w:pPr>
    </w:p>
    <w:bookmarkStart w:id="49" w:name="page50"/>
    <w:bookmarkEnd w:id="49"/>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ind w:right="300"/>
        <w:spacing w:after="0" w:line="268" w:lineRule="auto"/>
        <w:rPr>
          <w:sz w:val="20"/>
          <w:szCs w:val="20"/>
          <w:color w:val="auto"/>
        </w:rPr>
      </w:pPr>
      <w:r>
        <w:rPr>
          <w:rFonts w:ascii="Arial" w:cs="Arial" w:eastAsia="Arial" w:hAnsi="Arial"/>
          <w:sz w:val="18"/>
          <w:szCs w:val="18"/>
          <w:color w:val="auto"/>
        </w:rPr>
        <w:t>in other potential indications. The Pfizer Agreement also provided for reimbursement by Pfizer of all costs incurred by us in connection with the collaboration since the effective date.</w:t>
      </w:r>
    </w:p>
    <w:p>
      <w:pPr>
        <w:spacing w:after="0" w:line="186" w:lineRule="exact"/>
        <w:rPr>
          <w:sz w:val="20"/>
          <w:szCs w:val="20"/>
          <w:color w:val="auto"/>
        </w:rPr>
      </w:pPr>
    </w:p>
    <w:p>
      <w:pPr>
        <w:jc w:val="both"/>
        <w:ind w:right="180" w:firstLine="351"/>
        <w:spacing w:after="0" w:line="298" w:lineRule="auto"/>
        <w:rPr>
          <w:sz w:val="20"/>
          <w:szCs w:val="20"/>
          <w:color w:val="auto"/>
        </w:rPr>
      </w:pPr>
      <w:r>
        <w:rPr>
          <w:rFonts w:ascii="Arial" w:cs="Arial" w:eastAsia="Arial" w:hAnsi="Arial"/>
          <w:sz w:val="16"/>
          <w:szCs w:val="16"/>
          <w:color w:val="auto"/>
        </w:rPr>
        <w:t>On September 1, 2010, we received written notice (the "Pfizer Notice") from Pfizer of termination with respect to the Pfizer Agreement. The Pfizer Notice was given under a provision of the Pfizer Agreement which permitted termination at any time and for any reason, upon 60-days' written notice to us. The Pfizer Notice did not state a reason for termination. In November 2010, the Pfizer Agreement was terminated (the "Pfizer Termination") and all rights to rindopepimut were returned to us. Effective with the Pfizer Termination, Pfizer is no longer funding the development of rindopepimut.</w:t>
      </w:r>
    </w:p>
    <w:p>
      <w:pPr>
        <w:spacing w:after="0" w:line="167" w:lineRule="exact"/>
        <w:rPr>
          <w:sz w:val="20"/>
          <w:szCs w:val="20"/>
          <w:color w:val="auto"/>
        </w:rPr>
      </w:pPr>
    </w:p>
    <w:p>
      <w:pPr>
        <w:ind w:firstLine="348"/>
        <w:spacing w:after="0" w:line="256" w:lineRule="auto"/>
        <w:rPr>
          <w:sz w:val="20"/>
          <w:szCs w:val="20"/>
          <w:color w:val="auto"/>
        </w:rPr>
      </w:pPr>
      <w:r>
        <w:rPr>
          <w:rFonts w:ascii="Arial" w:cs="Arial" w:eastAsia="Arial" w:hAnsi="Arial"/>
          <w:sz w:val="18"/>
          <w:szCs w:val="18"/>
          <w:color w:val="auto"/>
        </w:rPr>
        <w:t>The Phase 1 (VICTORI) and Phase 2a (ACTIVATE) studies of EGFRvIII immunotherapy were led by collaborating investigators at the Brain Center at Duke Comprehensive Cancer Center in Durham, North Carolina and at M.D. Anderson Cancer Center in Houston, Texas and enrolled 14 and 18 evaluable patients, respectively. An extension of the Phase 2a study (ACT II) at the same two institutions evaluated 22 additional GBM patients treated in combination with maintenance temozolomide (TMZ) (the current standard of care).</w:t>
      </w:r>
    </w:p>
    <w:p>
      <w:pPr>
        <w:spacing w:after="0" w:line="197" w:lineRule="exact"/>
        <w:rPr>
          <w:sz w:val="20"/>
          <w:szCs w:val="20"/>
          <w:color w:val="auto"/>
        </w:rPr>
      </w:pPr>
    </w:p>
    <w:p>
      <w:pPr>
        <w:ind w:right="100" w:firstLine="348"/>
        <w:spacing w:after="0" w:line="253" w:lineRule="auto"/>
        <w:rPr>
          <w:sz w:val="20"/>
          <w:szCs w:val="20"/>
          <w:color w:val="auto"/>
        </w:rPr>
      </w:pPr>
      <w:r>
        <w:rPr>
          <w:rFonts w:ascii="Arial" w:cs="Arial" w:eastAsia="Arial" w:hAnsi="Arial"/>
          <w:sz w:val="18"/>
          <w:szCs w:val="18"/>
          <w:color w:val="auto"/>
        </w:rPr>
        <w:t>We initiated a Phase 2b/3 randomized study (ACT III) of rindopepimut combined with standard of care, TMZ, versus standard of care alone in patients with GBM in over 30 sites throughout the United States. In December 2008, we announced an amendment to convert the ACT III study to a single-arm Phase 2 clinical trial in which all patients were to receive rindopepimut in combination with temozolomide. The decision, which followed the recommendation of the Independent Data Monitoring Committee, was based on the observation that the majority of patients randomized to the control (standard of care) arm withdrew from this open-label study after being randomized to the control arm. Patients participating in the control arm of the study were offered the option to receive treatment with rindopepimut. Under this amendment, the ACT III study provided for a multi-center, non-randomized dataset for rindopepimut in patients with newly diagnosed GBM.</w:t>
      </w:r>
    </w:p>
    <w:p>
      <w:pPr>
        <w:spacing w:after="0" w:line="201" w:lineRule="exact"/>
        <w:rPr>
          <w:sz w:val="20"/>
          <w:szCs w:val="20"/>
          <w:color w:val="auto"/>
        </w:rPr>
      </w:pPr>
    </w:p>
    <w:p>
      <w:pPr>
        <w:ind w:right="140" w:firstLine="351"/>
        <w:spacing w:after="0" w:line="254" w:lineRule="auto"/>
        <w:rPr>
          <w:sz w:val="20"/>
          <w:szCs w:val="20"/>
          <w:color w:val="auto"/>
        </w:rPr>
      </w:pPr>
      <w:r>
        <w:rPr>
          <w:rFonts w:ascii="Arial" w:cs="Arial" w:eastAsia="Arial" w:hAnsi="Arial"/>
          <w:sz w:val="18"/>
          <w:szCs w:val="18"/>
          <w:color w:val="auto"/>
        </w:rPr>
        <w:t>In November 2010, we announced complete data for the primary endpoint of the 65 patients enrolled to receive rindopepimut in combination with maintenance TMZ in the ACT III study. The data showed that 43 of 65 patients (66%) were progression-free at 5.5 months after entry into the study. Taking into account the 3 to 3.5 months required to complete pre-study chemoradiation and enter into the study, the 5.5 month time point in ACT III corresponds to approximately 8.5 months after diagnosis. The ACTIVATE and ACT II trials, which were conducted in two leading centers, reported progression-free rates at 8.5 months after diagnosis of 70% and 80%, respectively, and similar results were seen in the ACT III trial, which enrolled patients in over 25 centers in the United States.</w:t>
      </w:r>
    </w:p>
    <w:p>
      <w:pPr>
        <w:spacing w:after="0" w:line="198" w:lineRule="exact"/>
        <w:rPr>
          <w:sz w:val="20"/>
          <w:szCs w:val="20"/>
          <w:color w:val="auto"/>
        </w:rPr>
      </w:pPr>
    </w:p>
    <w:p>
      <w:pPr>
        <w:ind w:right="280" w:firstLine="348"/>
        <w:spacing w:after="0" w:line="268" w:lineRule="auto"/>
        <w:rPr>
          <w:sz w:val="20"/>
          <w:szCs w:val="20"/>
          <w:color w:val="auto"/>
        </w:rPr>
      </w:pPr>
      <w:r>
        <w:rPr>
          <w:rFonts w:ascii="Arial" w:cs="Arial" w:eastAsia="Arial" w:hAnsi="Arial"/>
          <w:sz w:val="18"/>
          <w:szCs w:val="18"/>
          <w:color w:val="auto"/>
        </w:rPr>
        <w:t>The following table summarizes the progression free survival ("PFS") and overall survival ("OS") rates from clinical trials of rindopepimut as reported in November 2010 as compared to matched historical controls and the standard of care.</w:t>
      </w:r>
    </w:p>
    <w:p>
      <w:pPr>
        <w:spacing w:after="0" w:line="16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160" w:type="dxa"/>
            <w:vAlign w:val="bottom"/>
          </w:tcPr>
          <w:p>
            <w:pPr>
              <w:spacing w:after="0"/>
              <w:rPr>
                <w:sz w:val="14"/>
                <w:szCs w:val="14"/>
                <w:color w:val="auto"/>
              </w:rPr>
            </w:pPr>
          </w:p>
        </w:tc>
        <w:tc>
          <w:tcPr>
            <w:tcW w:w="1840" w:type="dxa"/>
            <w:vAlign w:val="bottom"/>
          </w:tcPr>
          <w:p>
            <w:pPr>
              <w:spacing w:after="0"/>
              <w:rPr>
                <w:sz w:val="14"/>
                <w:szCs w:val="14"/>
                <w:color w:val="auto"/>
              </w:rPr>
            </w:pPr>
          </w:p>
        </w:tc>
        <w:tc>
          <w:tcPr>
            <w:tcW w:w="2460" w:type="dxa"/>
            <w:vAlign w:val="bottom"/>
          </w:tcPr>
          <w:p>
            <w:pPr>
              <w:spacing w:after="0"/>
              <w:rPr>
                <w:sz w:val="14"/>
                <w:szCs w:val="14"/>
                <w:color w:val="auto"/>
              </w:rPr>
            </w:pPr>
          </w:p>
        </w:tc>
        <w:tc>
          <w:tcPr>
            <w:tcW w:w="1580" w:type="dxa"/>
            <w:vAlign w:val="bottom"/>
            <w:gridSpan w:val="2"/>
          </w:tcPr>
          <w:p>
            <w:pPr>
              <w:jc w:val="right"/>
              <w:ind w:right="420"/>
              <w:spacing w:after="0"/>
              <w:rPr>
                <w:sz w:val="20"/>
                <w:szCs w:val="20"/>
                <w:color w:val="auto"/>
              </w:rPr>
            </w:pPr>
            <w:r>
              <w:rPr>
                <w:rFonts w:ascii="Arial" w:cs="Arial" w:eastAsia="Arial" w:hAnsi="Arial"/>
                <w:sz w:val="14"/>
                <w:szCs w:val="14"/>
                <w:b w:val="1"/>
                <w:bCs w:val="1"/>
                <w:color w:val="auto"/>
                <w:w w:val="99"/>
              </w:rPr>
              <w:t>Median PFS from</w:t>
            </w:r>
          </w:p>
        </w:tc>
        <w:tc>
          <w:tcPr>
            <w:tcW w:w="1600" w:type="dxa"/>
            <w:vAlign w:val="bottom"/>
            <w:gridSpan w:val="2"/>
          </w:tcPr>
          <w:p>
            <w:pPr>
              <w:ind w:left="160"/>
              <w:spacing w:after="0"/>
              <w:rPr>
                <w:sz w:val="20"/>
                <w:szCs w:val="20"/>
                <w:color w:val="auto"/>
              </w:rPr>
            </w:pPr>
            <w:r>
              <w:rPr>
                <w:rFonts w:ascii="Arial" w:cs="Arial" w:eastAsia="Arial" w:hAnsi="Arial"/>
                <w:sz w:val="14"/>
                <w:szCs w:val="14"/>
                <w:b w:val="1"/>
                <w:bCs w:val="1"/>
                <w:color w:val="auto"/>
              </w:rPr>
              <w:t>Median OS from</w:t>
            </w:r>
          </w:p>
        </w:tc>
        <w:tc>
          <w:tcPr>
            <w:tcW w:w="1160" w:type="dxa"/>
            <w:vAlign w:val="bottom"/>
          </w:tcPr>
          <w:p>
            <w:pPr>
              <w:spacing w:after="0"/>
              <w:rPr>
                <w:sz w:val="14"/>
                <w:szCs w:val="14"/>
                <w:color w:val="auto"/>
              </w:rPr>
            </w:pPr>
          </w:p>
        </w:tc>
        <w:tc>
          <w:tcPr>
            <w:tcW w:w="480" w:type="dxa"/>
            <w:vAlign w:val="bottom"/>
          </w:tcPr>
          <w:p>
            <w:pPr>
              <w:spacing w:after="0"/>
              <w:rPr>
                <w:sz w:val="14"/>
                <w:szCs w:val="14"/>
                <w:color w:val="auto"/>
              </w:rPr>
            </w:pPr>
          </w:p>
        </w:tc>
      </w:tr>
      <w:tr>
        <w:trPr>
          <w:trHeight w:val="161"/>
        </w:trPr>
        <w:tc>
          <w:tcPr>
            <w:tcW w:w="1160" w:type="dxa"/>
            <w:vAlign w:val="bottom"/>
          </w:tcPr>
          <w:p>
            <w:pPr>
              <w:spacing w:after="0"/>
              <w:rPr>
                <w:sz w:val="14"/>
                <w:szCs w:val="14"/>
                <w:color w:val="auto"/>
              </w:rPr>
            </w:pPr>
          </w:p>
        </w:tc>
        <w:tc>
          <w:tcPr>
            <w:tcW w:w="1840" w:type="dxa"/>
            <w:vAlign w:val="bottom"/>
          </w:tcPr>
          <w:p>
            <w:pPr>
              <w:spacing w:after="0"/>
              <w:rPr>
                <w:sz w:val="14"/>
                <w:szCs w:val="14"/>
                <w:color w:val="auto"/>
              </w:rPr>
            </w:pPr>
          </w:p>
        </w:tc>
        <w:tc>
          <w:tcPr>
            <w:tcW w:w="2460" w:type="dxa"/>
            <w:vAlign w:val="bottom"/>
          </w:tcPr>
          <w:p>
            <w:pPr>
              <w:spacing w:after="0"/>
              <w:rPr>
                <w:sz w:val="14"/>
                <w:szCs w:val="14"/>
                <w:color w:val="auto"/>
              </w:rPr>
            </w:pPr>
          </w:p>
        </w:tc>
        <w:tc>
          <w:tcPr>
            <w:tcW w:w="1300" w:type="dxa"/>
            <w:vAlign w:val="bottom"/>
            <w:tcBorders>
              <w:bottom w:val="single" w:sz="8" w:color="auto"/>
            </w:tcBorders>
          </w:tcPr>
          <w:p>
            <w:pPr>
              <w:jc w:val="right"/>
              <w:ind w:right="38"/>
              <w:spacing w:after="0"/>
              <w:rPr>
                <w:sz w:val="20"/>
                <w:szCs w:val="20"/>
                <w:color w:val="auto"/>
              </w:rPr>
            </w:pPr>
            <w:r>
              <w:rPr>
                <w:rFonts w:ascii="Arial" w:cs="Arial" w:eastAsia="Arial" w:hAnsi="Arial"/>
                <w:sz w:val="14"/>
                <w:szCs w:val="14"/>
                <w:b w:val="1"/>
                <w:bCs w:val="1"/>
                <w:color w:val="auto"/>
                <w:w w:val="89"/>
              </w:rPr>
              <w:t>diagnosis (months)</w:t>
            </w:r>
          </w:p>
        </w:tc>
        <w:tc>
          <w:tcPr>
            <w:tcW w:w="280" w:type="dxa"/>
            <w:vAlign w:val="bottom"/>
          </w:tcPr>
          <w:p>
            <w:pPr>
              <w:spacing w:after="0"/>
              <w:rPr>
                <w:sz w:val="14"/>
                <w:szCs w:val="14"/>
                <w:color w:val="auto"/>
              </w:rPr>
            </w:pPr>
          </w:p>
        </w:tc>
        <w:tc>
          <w:tcPr>
            <w:tcW w:w="1300" w:type="dxa"/>
            <w:vAlign w:val="bottom"/>
            <w:tcBorders>
              <w:bottom w:val="single" w:sz="8" w:color="auto"/>
            </w:tcBorders>
          </w:tcPr>
          <w:p>
            <w:pPr>
              <w:ind w:left="100"/>
              <w:spacing w:after="0"/>
              <w:rPr>
                <w:sz w:val="20"/>
                <w:szCs w:val="20"/>
                <w:color w:val="auto"/>
              </w:rPr>
            </w:pPr>
            <w:r>
              <w:rPr>
                <w:rFonts w:ascii="Arial" w:cs="Arial" w:eastAsia="Arial" w:hAnsi="Arial"/>
                <w:sz w:val="14"/>
                <w:szCs w:val="14"/>
                <w:b w:val="1"/>
                <w:bCs w:val="1"/>
                <w:color w:val="auto"/>
                <w:w w:val="91"/>
              </w:rPr>
              <w:t>diagnosis (months)</w:t>
            </w:r>
          </w:p>
        </w:tc>
        <w:tc>
          <w:tcPr>
            <w:tcW w:w="300" w:type="dxa"/>
            <w:vAlign w:val="bottom"/>
          </w:tcPr>
          <w:p>
            <w:pPr>
              <w:spacing w:after="0"/>
              <w:rPr>
                <w:sz w:val="14"/>
                <w:szCs w:val="14"/>
                <w:color w:val="auto"/>
              </w:rPr>
            </w:pPr>
          </w:p>
        </w:tc>
        <w:tc>
          <w:tcPr>
            <w:tcW w:w="1160" w:type="dxa"/>
            <w:vAlign w:val="bottom"/>
            <w:tcBorders>
              <w:bottom w:val="single" w:sz="8" w:color="auto"/>
            </w:tcBorders>
          </w:tcPr>
          <w:p>
            <w:pPr>
              <w:ind w:left="100"/>
              <w:spacing w:after="0"/>
              <w:rPr>
                <w:sz w:val="20"/>
                <w:szCs w:val="20"/>
                <w:color w:val="auto"/>
              </w:rPr>
            </w:pPr>
            <w:r>
              <w:rPr>
                <w:rFonts w:ascii="Arial" w:cs="Arial" w:eastAsia="Arial" w:hAnsi="Arial"/>
                <w:sz w:val="14"/>
                <w:szCs w:val="14"/>
                <w:b w:val="1"/>
                <w:bCs w:val="1"/>
                <w:color w:val="auto"/>
                <w:w w:val="94"/>
              </w:rPr>
              <w:t>OS at 24 months</w:t>
            </w:r>
          </w:p>
        </w:tc>
        <w:tc>
          <w:tcPr>
            <w:tcW w:w="480" w:type="dxa"/>
            <w:vAlign w:val="bottom"/>
          </w:tcPr>
          <w:p>
            <w:pPr>
              <w:spacing w:after="0"/>
              <w:rPr>
                <w:sz w:val="14"/>
                <w:szCs w:val="14"/>
                <w:color w:val="auto"/>
              </w:rPr>
            </w:pPr>
          </w:p>
        </w:tc>
      </w:tr>
      <w:tr>
        <w:trPr>
          <w:trHeight w:val="210"/>
        </w:trPr>
        <w:tc>
          <w:tcPr>
            <w:tcW w:w="1160" w:type="dxa"/>
            <w:vAlign w:val="bottom"/>
          </w:tcPr>
          <w:p>
            <w:pPr>
              <w:spacing w:after="0"/>
              <w:rPr>
                <w:sz w:val="18"/>
                <w:szCs w:val="18"/>
                <w:color w:val="auto"/>
              </w:rPr>
            </w:pPr>
          </w:p>
        </w:tc>
        <w:tc>
          <w:tcPr>
            <w:tcW w:w="43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ACT III (n=65)</w:t>
            </w:r>
          </w:p>
        </w:tc>
        <w:tc>
          <w:tcPr>
            <w:tcW w:w="15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12.3(1)</w:t>
            </w:r>
          </w:p>
        </w:tc>
        <w:tc>
          <w:tcPr>
            <w:tcW w:w="1600" w:type="dxa"/>
            <w:vAlign w:val="bottom"/>
            <w:gridSpan w:val="2"/>
            <w:shd w:val="clear" w:color="auto" w:fill="CCEEFF"/>
          </w:tcPr>
          <w:p>
            <w:pPr>
              <w:ind w:left="980"/>
              <w:spacing w:after="0"/>
              <w:rPr>
                <w:sz w:val="20"/>
                <w:szCs w:val="20"/>
                <w:color w:val="auto"/>
              </w:rPr>
            </w:pPr>
            <w:r>
              <w:rPr>
                <w:rFonts w:ascii="Arial" w:cs="Arial" w:eastAsia="Arial" w:hAnsi="Arial"/>
                <w:sz w:val="18"/>
                <w:szCs w:val="18"/>
                <w:color w:val="auto"/>
              </w:rPr>
              <w:t>24.3(2)</w:t>
            </w:r>
          </w:p>
        </w:tc>
        <w:tc>
          <w:tcPr>
            <w:tcW w:w="16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50%(2)</w:t>
            </w:r>
          </w:p>
        </w:tc>
      </w:tr>
      <w:tr>
        <w:trPr>
          <w:trHeight w:val="216"/>
        </w:trPr>
        <w:tc>
          <w:tcPr>
            <w:tcW w:w="1160" w:type="dxa"/>
            <w:vAlign w:val="bottom"/>
          </w:tcPr>
          <w:p>
            <w:pPr>
              <w:spacing w:after="0"/>
              <w:rPr>
                <w:sz w:val="18"/>
                <w:szCs w:val="18"/>
                <w:color w:val="auto"/>
              </w:rPr>
            </w:pPr>
          </w:p>
        </w:tc>
        <w:tc>
          <w:tcPr>
            <w:tcW w:w="4300" w:type="dxa"/>
            <w:vAlign w:val="bottom"/>
            <w:gridSpan w:val="2"/>
          </w:tcPr>
          <w:p>
            <w:pPr>
              <w:spacing w:after="0"/>
              <w:rPr>
                <w:sz w:val="20"/>
                <w:szCs w:val="20"/>
                <w:color w:val="auto"/>
              </w:rPr>
            </w:pPr>
            <w:r>
              <w:rPr>
                <w:rFonts w:ascii="Arial" w:cs="Arial" w:eastAsia="Arial" w:hAnsi="Arial"/>
                <w:sz w:val="18"/>
                <w:szCs w:val="18"/>
                <w:color w:val="auto"/>
              </w:rPr>
              <w:t>ACT II (n=22)</w:t>
            </w:r>
          </w:p>
        </w:tc>
        <w:tc>
          <w:tcPr>
            <w:tcW w:w="1300" w:type="dxa"/>
            <w:vAlign w:val="bottom"/>
          </w:tcPr>
          <w:p>
            <w:pPr>
              <w:jc w:val="right"/>
              <w:spacing w:after="0"/>
              <w:rPr>
                <w:sz w:val="20"/>
                <w:szCs w:val="20"/>
                <w:color w:val="auto"/>
              </w:rPr>
            </w:pPr>
            <w:r>
              <w:rPr>
                <w:rFonts w:ascii="Arial" w:cs="Arial" w:eastAsia="Arial" w:hAnsi="Arial"/>
                <w:sz w:val="18"/>
                <w:szCs w:val="18"/>
                <w:color w:val="auto"/>
              </w:rPr>
              <w:t>15.3</w:t>
            </w:r>
          </w:p>
        </w:tc>
        <w:tc>
          <w:tcPr>
            <w:tcW w:w="280" w:type="dxa"/>
            <w:vAlign w:val="bottom"/>
          </w:tcPr>
          <w:p>
            <w:pPr>
              <w:spacing w:after="0"/>
              <w:rPr>
                <w:sz w:val="18"/>
                <w:szCs w:val="18"/>
                <w:color w:val="auto"/>
              </w:rPr>
            </w:pPr>
          </w:p>
        </w:tc>
        <w:tc>
          <w:tcPr>
            <w:tcW w:w="1300" w:type="dxa"/>
            <w:vAlign w:val="bottom"/>
          </w:tcPr>
          <w:p>
            <w:pPr>
              <w:ind w:left="980"/>
              <w:spacing w:after="0"/>
              <w:rPr>
                <w:sz w:val="20"/>
                <w:szCs w:val="20"/>
                <w:color w:val="auto"/>
              </w:rPr>
            </w:pPr>
            <w:r>
              <w:rPr>
                <w:rFonts w:ascii="Arial" w:cs="Arial" w:eastAsia="Arial" w:hAnsi="Arial"/>
                <w:sz w:val="18"/>
                <w:szCs w:val="18"/>
                <w:color w:val="auto"/>
                <w:w w:val="85"/>
              </w:rPr>
              <w:t>24.4</w:t>
            </w:r>
          </w:p>
        </w:tc>
        <w:tc>
          <w:tcPr>
            <w:tcW w:w="300" w:type="dxa"/>
            <w:vAlign w:val="bottom"/>
          </w:tcPr>
          <w:p>
            <w:pPr>
              <w:spacing w:after="0"/>
              <w:rPr>
                <w:sz w:val="18"/>
                <w:szCs w:val="18"/>
                <w:color w:val="auto"/>
              </w:rPr>
            </w:pPr>
          </w:p>
        </w:tc>
        <w:tc>
          <w:tcPr>
            <w:tcW w:w="1640" w:type="dxa"/>
            <w:vAlign w:val="bottom"/>
            <w:gridSpan w:val="2"/>
          </w:tcPr>
          <w:p>
            <w:pPr>
              <w:jc w:val="right"/>
              <w:ind w:right="340"/>
              <w:spacing w:after="0"/>
              <w:rPr>
                <w:sz w:val="20"/>
                <w:szCs w:val="20"/>
                <w:color w:val="auto"/>
              </w:rPr>
            </w:pPr>
            <w:r>
              <w:rPr>
                <w:rFonts w:ascii="Arial" w:cs="Arial" w:eastAsia="Arial" w:hAnsi="Arial"/>
                <w:sz w:val="18"/>
                <w:szCs w:val="18"/>
                <w:color w:val="auto"/>
              </w:rPr>
              <w:t>50%</w:t>
            </w:r>
          </w:p>
        </w:tc>
      </w:tr>
      <w:tr>
        <w:trPr>
          <w:trHeight w:val="216"/>
        </w:trPr>
        <w:tc>
          <w:tcPr>
            <w:tcW w:w="1160" w:type="dxa"/>
            <w:vAlign w:val="bottom"/>
          </w:tcPr>
          <w:p>
            <w:pPr>
              <w:spacing w:after="0"/>
              <w:rPr>
                <w:sz w:val="18"/>
                <w:szCs w:val="18"/>
                <w:color w:val="auto"/>
              </w:rPr>
            </w:pPr>
          </w:p>
        </w:tc>
        <w:tc>
          <w:tcPr>
            <w:tcW w:w="43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ACTIVATE (n=18)</w:t>
            </w: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14.2</w:t>
            </w:r>
          </w:p>
        </w:tc>
        <w:tc>
          <w:tcPr>
            <w:tcW w:w="280" w:type="dxa"/>
            <w:vAlign w:val="bottom"/>
            <w:shd w:val="clear" w:color="auto" w:fill="CCEEFF"/>
          </w:tcPr>
          <w:p>
            <w:pPr>
              <w:spacing w:after="0"/>
              <w:rPr>
                <w:sz w:val="18"/>
                <w:szCs w:val="18"/>
                <w:color w:val="auto"/>
              </w:rPr>
            </w:pPr>
          </w:p>
        </w:tc>
        <w:tc>
          <w:tcPr>
            <w:tcW w:w="1300" w:type="dxa"/>
            <w:vAlign w:val="bottom"/>
            <w:shd w:val="clear" w:color="auto" w:fill="CCEEFF"/>
          </w:tcPr>
          <w:p>
            <w:pPr>
              <w:ind w:left="980"/>
              <w:spacing w:after="0"/>
              <w:rPr>
                <w:sz w:val="20"/>
                <w:szCs w:val="20"/>
                <w:color w:val="auto"/>
              </w:rPr>
            </w:pPr>
            <w:r>
              <w:rPr>
                <w:rFonts w:ascii="Arial" w:cs="Arial" w:eastAsia="Arial" w:hAnsi="Arial"/>
                <w:sz w:val="18"/>
                <w:szCs w:val="18"/>
                <w:color w:val="auto"/>
                <w:w w:val="85"/>
              </w:rPr>
              <w:t>24.6</w:t>
            </w:r>
          </w:p>
        </w:tc>
        <w:tc>
          <w:tcPr>
            <w:tcW w:w="300" w:type="dxa"/>
            <w:vAlign w:val="bottom"/>
            <w:shd w:val="clear" w:color="auto" w:fill="CCEEFF"/>
          </w:tcPr>
          <w:p>
            <w:pPr>
              <w:spacing w:after="0"/>
              <w:rPr>
                <w:sz w:val="18"/>
                <w:szCs w:val="18"/>
                <w:color w:val="auto"/>
              </w:rPr>
            </w:pPr>
          </w:p>
        </w:tc>
        <w:tc>
          <w:tcPr>
            <w:tcW w:w="16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50%</w:t>
            </w:r>
          </w:p>
        </w:tc>
      </w:tr>
      <w:tr>
        <w:trPr>
          <w:trHeight w:val="216"/>
        </w:trPr>
        <w:tc>
          <w:tcPr>
            <w:tcW w:w="1160" w:type="dxa"/>
            <w:vAlign w:val="bottom"/>
          </w:tcPr>
          <w:p>
            <w:pPr>
              <w:spacing w:after="0"/>
              <w:rPr>
                <w:sz w:val="18"/>
                <w:szCs w:val="18"/>
                <w:color w:val="auto"/>
              </w:rPr>
            </w:pPr>
          </w:p>
        </w:tc>
        <w:tc>
          <w:tcPr>
            <w:tcW w:w="4300" w:type="dxa"/>
            <w:vAlign w:val="bottom"/>
            <w:gridSpan w:val="2"/>
          </w:tcPr>
          <w:p>
            <w:pPr>
              <w:spacing w:after="0"/>
              <w:rPr>
                <w:sz w:val="20"/>
                <w:szCs w:val="20"/>
                <w:color w:val="auto"/>
              </w:rPr>
            </w:pPr>
            <w:r>
              <w:rPr>
                <w:rFonts w:ascii="Arial" w:cs="Arial" w:eastAsia="Arial" w:hAnsi="Arial"/>
                <w:sz w:val="18"/>
                <w:szCs w:val="18"/>
                <w:color w:val="auto"/>
              </w:rPr>
              <w:t>Matched historical control (n=17)(3)</w:t>
            </w:r>
          </w:p>
        </w:tc>
        <w:tc>
          <w:tcPr>
            <w:tcW w:w="1300" w:type="dxa"/>
            <w:vAlign w:val="bottom"/>
          </w:tcPr>
          <w:p>
            <w:pPr>
              <w:jc w:val="right"/>
              <w:spacing w:after="0"/>
              <w:rPr>
                <w:sz w:val="20"/>
                <w:szCs w:val="20"/>
                <w:color w:val="auto"/>
              </w:rPr>
            </w:pPr>
            <w:r>
              <w:rPr>
                <w:rFonts w:ascii="Arial" w:cs="Arial" w:eastAsia="Arial" w:hAnsi="Arial"/>
                <w:sz w:val="18"/>
                <w:szCs w:val="18"/>
                <w:color w:val="auto"/>
              </w:rPr>
              <w:t>6.4</w:t>
            </w:r>
          </w:p>
        </w:tc>
        <w:tc>
          <w:tcPr>
            <w:tcW w:w="280" w:type="dxa"/>
            <w:vAlign w:val="bottom"/>
          </w:tcPr>
          <w:p>
            <w:pPr>
              <w:spacing w:after="0"/>
              <w:rPr>
                <w:sz w:val="18"/>
                <w:szCs w:val="18"/>
                <w:color w:val="auto"/>
              </w:rPr>
            </w:pPr>
          </w:p>
        </w:tc>
        <w:tc>
          <w:tcPr>
            <w:tcW w:w="1300" w:type="dxa"/>
            <w:vAlign w:val="bottom"/>
          </w:tcPr>
          <w:p>
            <w:pPr>
              <w:ind w:left="980"/>
              <w:spacing w:after="0"/>
              <w:rPr>
                <w:sz w:val="20"/>
                <w:szCs w:val="20"/>
                <w:color w:val="auto"/>
              </w:rPr>
            </w:pPr>
            <w:r>
              <w:rPr>
                <w:rFonts w:ascii="Arial" w:cs="Arial" w:eastAsia="Arial" w:hAnsi="Arial"/>
                <w:sz w:val="18"/>
                <w:szCs w:val="18"/>
                <w:color w:val="auto"/>
                <w:w w:val="85"/>
              </w:rPr>
              <w:t>15.2</w:t>
            </w:r>
          </w:p>
        </w:tc>
        <w:tc>
          <w:tcPr>
            <w:tcW w:w="300" w:type="dxa"/>
            <w:vAlign w:val="bottom"/>
          </w:tcPr>
          <w:p>
            <w:pPr>
              <w:spacing w:after="0"/>
              <w:rPr>
                <w:sz w:val="18"/>
                <w:szCs w:val="18"/>
                <w:color w:val="auto"/>
              </w:rPr>
            </w:pPr>
          </w:p>
        </w:tc>
        <w:tc>
          <w:tcPr>
            <w:tcW w:w="1640" w:type="dxa"/>
            <w:vAlign w:val="bottom"/>
            <w:gridSpan w:val="2"/>
          </w:tcPr>
          <w:p>
            <w:pPr>
              <w:jc w:val="right"/>
              <w:ind w:right="340"/>
              <w:spacing w:after="0"/>
              <w:rPr>
                <w:sz w:val="20"/>
                <w:szCs w:val="20"/>
                <w:color w:val="auto"/>
              </w:rPr>
            </w:pPr>
            <w:r>
              <w:rPr>
                <w:rFonts w:ascii="Arial" w:cs="Arial" w:eastAsia="Arial" w:hAnsi="Arial"/>
                <w:sz w:val="18"/>
                <w:szCs w:val="18"/>
                <w:color w:val="auto"/>
              </w:rPr>
              <w:t>6%</w:t>
            </w:r>
          </w:p>
        </w:tc>
      </w:tr>
      <w:tr>
        <w:trPr>
          <w:trHeight w:val="216"/>
        </w:trPr>
        <w:tc>
          <w:tcPr>
            <w:tcW w:w="1160" w:type="dxa"/>
            <w:vAlign w:val="bottom"/>
          </w:tcPr>
          <w:p>
            <w:pPr>
              <w:spacing w:after="0"/>
              <w:rPr>
                <w:sz w:val="18"/>
                <w:szCs w:val="18"/>
                <w:color w:val="auto"/>
              </w:rPr>
            </w:pPr>
          </w:p>
        </w:tc>
        <w:tc>
          <w:tcPr>
            <w:tcW w:w="43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Standard of care radiation/TMZ (n=287)(4)</w:t>
            </w: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w:t>
            </w:r>
          </w:p>
        </w:tc>
        <w:tc>
          <w:tcPr>
            <w:tcW w:w="280" w:type="dxa"/>
            <w:vAlign w:val="bottom"/>
            <w:shd w:val="clear" w:color="auto" w:fill="CCEEFF"/>
          </w:tcPr>
          <w:p>
            <w:pPr>
              <w:spacing w:after="0"/>
              <w:rPr>
                <w:sz w:val="18"/>
                <w:szCs w:val="18"/>
                <w:color w:val="auto"/>
              </w:rPr>
            </w:pPr>
          </w:p>
        </w:tc>
        <w:tc>
          <w:tcPr>
            <w:tcW w:w="1300" w:type="dxa"/>
            <w:vAlign w:val="bottom"/>
            <w:shd w:val="clear" w:color="auto" w:fill="CCEEFF"/>
          </w:tcPr>
          <w:p>
            <w:pPr>
              <w:ind w:left="980"/>
              <w:spacing w:after="0"/>
              <w:rPr>
                <w:sz w:val="20"/>
                <w:szCs w:val="20"/>
                <w:color w:val="auto"/>
              </w:rPr>
            </w:pPr>
            <w:r>
              <w:rPr>
                <w:rFonts w:ascii="Arial" w:cs="Arial" w:eastAsia="Arial" w:hAnsi="Arial"/>
                <w:sz w:val="18"/>
                <w:szCs w:val="18"/>
                <w:color w:val="auto"/>
                <w:w w:val="85"/>
              </w:rPr>
              <w:t>14.6</w:t>
            </w:r>
          </w:p>
        </w:tc>
        <w:tc>
          <w:tcPr>
            <w:tcW w:w="300" w:type="dxa"/>
            <w:vAlign w:val="bottom"/>
            <w:shd w:val="clear" w:color="auto" w:fill="CCEEFF"/>
          </w:tcPr>
          <w:p>
            <w:pPr>
              <w:spacing w:after="0"/>
              <w:rPr>
                <w:sz w:val="18"/>
                <w:szCs w:val="18"/>
                <w:color w:val="auto"/>
              </w:rPr>
            </w:pPr>
          </w:p>
        </w:tc>
        <w:tc>
          <w:tcPr>
            <w:tcW w:w="16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27%</w:t>
            </w:r>
          </w:p>
        </w:tc>
      </w:tr>
      <w:tr>
        <w:trPr>
          <w:trHeight w:val="108"/>
        </w:trPr>
        <w:tc>
          <w:tcPr>
            <w:tcW w:w="1160" w:type="dxa"/>
            <w:vAlign w:val="bottom"/>
            <w:tcBorders>
              <w:bottom w:val="single" w:sz="8" w:color="auto"/>
            </w:tcBorders>
          </w:tcPr>
          <w:p>
            <w:pPr>
              <w:spacing w:after="0"/>
              <w:rPr>
                <w:sz w:val="9"/>
                <w:szCs w:val="9"/>
                <w:color w:val="auto"/>
              </w:rPr>
            </w:pPr>
          </w:p>
        </w:tc>
        <w:tc>
          <w:tcPr>
            <w:tcW w:w="1840" w:type="dxa"/>
            <w:vAlign w:val="bottom"/>
            <w:tcBorders>
              <w:bottom w:val="single" w:sz="8" w:color="auto"/>
            </w:tcBorders>
          </w:tcPr>
          <w:p>
            <w:pPr>
              <w:spacing w:after="0"/>
              <w:rPr>
                <w:sz w:val="9"/>
                <w:szCs w:val="9"/>
                <w:color w:val="auto"/>
              </w:rPr>
            </w:pPr>
          </w:p>
        </w:tc>
        <w:tc>
          <w:tcPr>
            <w:tcW w:w="2460" w:type="dxa"/>
            <w:vAlign w:val="bottom"/>
          </w:tcPr>
          <w:p>
            <w:pPr>
              <w:spacing w:after="0"/>
              <w:rPr>
                <w:sz w:val="9"/>
                <w:szCs w:val="9"/>
                <w:color w:val="auto"/>
              </w:rPr>
            </w:pPr>
          </w:p>
        </w:tc>
        <w:tc>
          <w:tcPr>
            <w:tcW w:w="1300" w:type="dxa"/>
            <w:vAlign w:val="bottom"/>
          </w:tcPr>
          <w:p>
            <w:pPr>
              <w:spacing w:after="0"/>
              <w:rPr>
                <w:sz w:val="9"/>
                <w:szCs w:val="9"/>
                <w:color w:val="auto"/>
              </w:rPr>
            </w:pPr>
          </w:p>
        </w:tc>
        <w:tc>
          <w:tcPr>
            <w:tcW w:w="280" w:type="dxa"/>
            <w:vAlign w:val="bottom"/>
          </w:tcPr>
          <w:p>
            <w:pPr>
              <w:spacing w:after="0"/>
              <w:rPr>
                <w:sz w:val="9"/>
                <w:szCs w:val="9"/>
                <w:color w:val="auto"/>
              </w:rPr>
            </w:pPr>
          </w:p>
        </w:tc>
        <w:tc>
          <w:tcPr>
            <w:tcW w:w="1300" w:type="dxa"/>
            <w:vAlign w:val="bottom"/>
          </w:tcPr>
          <w:p>
            <w:pPr>
              <w:spacing w:after="0"/>
              <w:rPr>
                <w:sz w:val="9"/>
                <w:szCs w:val="9"/>
                <w:color w:val="auto"/>
              </w:rPr>
            </w:pPr>
          </w:p>
        </w:tc>
        <w:tc>
          <w:tcPr>
            <w:tcW w:w="300" w:type="dxa"/>
            <w:vAlign w:val="bottom"/>
          </w:tcPr>
          <w:p>
            <w:pPr>
              <w:spacing w:after="0"/>
              <w:rPr>
                <w:sz w:val="9"/>
                <w:szCs w:val="9"/>
                <w:color w:val="auto"/>
              </w:rPr>
            </w:pPr>
          </w:p>
        </w:tc>
        <w:tc>
          <w:tcPr>
            <w:tcW w:w="1160" w:type="dxa"/>
            <w:vAlign w:val="bottom"/>
          </w:tcPr>
          <w:p>
            <w:pPr>
              <w:spacing w:after="0"/>
              <w:rPr>
                <w:sz w:val="9"/>
                <w:szCs w:val="9"/>
                <w:color w:val="auto"/>
              </w:rPr>
            </w:pPr>
          </w:p>
        </w:tc>
        <w:tc>
          <w:tcPr>
            <w:tcW w:w="480" w:type="dxa"/>
            <w:vAlign w:val="bottom"/>
          </w:tcPr>
          <w:p>
            <w:pPr>
              <w:spacing w:after="0"/>
              <w:rPr>
                <w:sz w:val="9"/>
                <w:szCs w:val="9"/>
                <w:color w:val="auto"/>
              </w:rPr>
            </w:pPr>
          </w:p>
        </w:tc>
      </w:tr>
    </w:tbl>
    <w:p>
      <w:pPr>
        <w:spacing w:after="0" w:line="221" w:lineRule="exact"/>
        <w:rPr>
          <w:sz w:val="20"/>
          <w:szCs w:val="20"/>
          <w:color w:val="auto"/>
        </w:rPr>
      </w:pPr>
    </w:p>
    <w:p>
      <w:pPr>
        <w:ind w:left="540" w:hanging="532"/>
        <w:spacing w:after="0"/>
        <w:tabs>
          <w:tab w:leader="none" w:pos="540" w:val="left"/>
        </w:tabs>
        <w:numPr>
          <w:ilvl w:val="0"/>
          <w:numId w:val="23"/>
        </w:numPr>
        <w:rPr>
          <w:rFonts w:ascii="Arial" w:cs="Arial" w:eastAsia="Arial" w:hAnsi="Arial"/>
          <w:sz w:val="18"/>
          <w:szCs w:val="18"/>
          <w:color w:val="auto"/>
        </w:rPr>
      </w:pPr>
      <w:r>
        <w:rPr>
          <w:rFonts w:ascii="Arial" w:cs="Arial" w:eastAsia="Arial" w:hAnsi="Arial"/>
          <w:sz w:val="18"/>
          <w:szCs w:val="18"/>
          <w:color w:val="auto"/>
        </w:rPr>
        <w:t>Change in median PFS not statistically significant from ACTIVATE and ACT II.</w:t>
      </w:r>
    </w:p>
    <w:p>
      <w:pPr>
        <w:spacing w:after="0" w:line="252" w:lineRule="exact"/>
        <w:rPr>
          <w:rFonts w:ascii="Arial" w:cs="Arial" w:eastAsia="Arial" w:hAnsi="Arial"/>
          <w:sz w:val="18"/>
          <w:szCs w:val="18"/>
          <w:color w:val="auto"/>
        </w:rPr>
      </w:pPr>
    </w:p>
    <w:p>
      <w:pPr>
        <w:ind w:left="540" w:hanging="532"/>
        <w:spacing w:after="0"/>
        <w:tabs>
          <w:tab w:leader="none" w:pos="540" w:val="left"/>
        </w:tabs>
        <w:numPr>
          <w:ilvl w:val="0"/>
          <w:numId w:val="23"/>
        </w:numPr>
        <w:rPr>
          <w:rFonts w:ascii="Arial" w:cs="Arial" w:eastAsia="Arial" w:hAnsi="Arial"/>
          <w:sz w:val="18"/>
          <w:szCs w:val="18"/>
          <w:color w:val="auto"/>
        </w:rPr>
      </w:pPr>
      <w:r>
        <w:rPr>
          <w:rFonts w:ascii="Arial" w:cs="Arial" w:eastAsia="Arial" w:hAnsi="Arial"/>
          <w:sz w:val="18"/>
          <w:szCs w:val="18"/>
          <w:color w:val="auto"/>
        </w:rPr>
        <w:t>Overall survival data for ACT III are estimated and not yet final.</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50" w:name="page51"/>
    <w:bookmarkEnd w:id="50"/>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39" w:lineRule="exact"/>
        <w:rPr>
          <w:sz w:val="20"/>
          <w:szCs w:val="20"/>
          <w:color w:val="auto"/>
        </w:rPr>
      </w:pPr>
    </w:p>
    <w:p>
      <w:pPr>
        <w:ind w:left="540" w:right="320" w:hanging="532"/>
        <w:spacing w:after="0" w:line="332" w:lineRule="auto"/>
        <w:tabs>
          <w:tab w:leader="none" w:pos="540" w:val="left"/>
        </w:tabs>
        <w:numPr>
          <w:ilvl w:val="0"/>
          <w:numId w:val="24"/>
        </w:numPr>
        <w:rPr>
          <w:rFonts w:ascii="Arial" w:cs="Arial" w:eastAsia="Arial" w:hAnsi="Arial"/>
          <w:sz w:val="16"/>
          <w:szCs w:val="16"/>
          <w:color w:val="auto"/>
        </w:rPr>
      </w:pPr>
      <w:r>
        <w:rPr>
          <w:rFonts w:ascii="Arial" w:cs="Arial" w:eastAsia="Arial" w:hAnsi="Arial"/>
          <w:sz w:val="16"/>
          <w:szCs w:val="16"/>
          <w:color w:val="auto"/>
        </w:rPr>
        <w:t>Sampson, et al. J. Clin. Oncol. 2010 Nov 1, 28(31), 4722-9. Historical controls were treated at M.D. Anderson and matched for eligibility (EGFRvIII-positive, KPS greater-than or equal to 80%, complete resection, radiation/TMZ and without progression through ~ 3 months post-diagnosis).</w:t>
      </w:r>
    </w:p>
    <w:p>
      <w:pPr>
        <w:spacing w:after="0" w:line="166" w:lineRule="exact"/>
        <w:rPr>
          <w:rFonts w:ascii="Arial" w:cs="Arial" w:eastAsia="Arial" w:hAnsi="Arial"/>
          <w:sz w:val="16"/>
          <w:szCs w:val="16"/>
          <w:color w:val="auto"/>
        </w:rPr>
      </w:pPr>
    </w:p>
    <w:p>
      <w:pPr>
        <w:ind w:left="540" w:hanging="532"/>
        <w:spacing w:after="0"/>
        <w:tabs>
          <w:tab w:leader="none" w:pos="540" w:val="left"/>
        </w:tabs>
        <w:numPr>
          <w:ilvl w:val="0"/>
          <w:numId w:val="24"/>
        </w:numPr>
        <w:rPr>
          <w:rFonts w:ascii="Arial" w:cs="Arial" w:eastAsia="Arial" w:hAnsi="Arial"/>
          <w:sz w:val="18"/>
          <w:szCs w:val="18"/>
          <w:color w:val="auto"/>
        </w:rPr>
      </w:pPr>
      <w:r>
        <w:rPr>
          <w:rFonts w:ascii="Arial" w:cs="Arial" w:eastAsia="Arial" w:hAnsi="Arial"/>
          <w:sz w:val="18"/>
          <w:szCs w:val="18"/>
          <w:color w:val="auto"/>
        </w:rPr>
        <w:t>Stupp, et al. N. Engl. J. Med. 2005, 352, 987-96.</w:t>
      </w:r>
    </w:p>
    <w:p>
      <w:pPr>
        <w:spacing w:after="0" w:line="225" w:lineRule="exact"/>
        <w:rPr>
          <w:sz w:val="20"/>
          <w:szCs w:val="20"/>
          <w:color w:val="auto"/>
        </w:rPr>
      </w:pPr>
    </w:p>
    <w:p>
      <w:pPr>
        <w:ind w:right="80" w:firstLine="351"/>
        <w:spacing w:after="0" w:line="283" w:lineRule="auto"/>
        <w:rPr>
          <w:sz w:val="20"/>
          <w:szCs w:val="20"/>
          <w:color w:val="auto"/>
        </w:rPr>
      </w:pPr>
      <w:r>
        <w:rPr>
          <w:rFonts w:ascii="Arial" w:cs="Arial" w:eastAsia="Arial" w:hAnsi="Arial"/>
          <w:sz w:val="16"/>
          <w:szCs w:val="16"/>
          <w:color w:val="auto"/>
        </w:rPr>
        <w:t>Importantly, rindopepimut showed a similar benefit in patients whether or not they expressed an active DNA repair gene (MGMT) that has been shown to limit the benefit from TMZ treatment. In ACT III, the number of patients who were expected to be resistant to the TMZ chemotherapy appeared to do better with vaccination than the numbers observed in the historical data. Patients who have an active DNA repair gene, MGMT (unmethylated), generally have a worse outcome, presumably because they do not gain much benefit from TMZ as reported in the literature. Patients with a methylated MGMT promoter in their tumor do not express MGMT and have a more favorable outcome to TMZ treatment. Patients with methylated tumors (n=25) that were treated with the rindopepimut regimen experienced a median PFS of 17.2 months, which compares favorably with the published data from the SOC of radiation plus TMZ (R+TMZ) of</w:t>
      </w:r>
    </w:p>
    <w:p>
      <w:pPr>
        <w:spacing w:after="0" w:line="1" w:lineRule="exact"/>
        <w:rPr>
          <w:sz w:val="20"/>
          <w:szCs w:val="20"/>
          <w:color w:val="auto"/>
        </w:rPr>
      </w:pPr>
    </w:p>
    <w:p>
      <w:pPr>
        <w:ind w:right="20"/>
        <w:spacing w:after="0" w:line="323" w:lineRule="auto"/>
        <w:rPr>
          <w:sz w:val="20"/>
          <w:szCs w:val="20"/>
          <w:color w:val="auto"/>
        </w:rPr>
      </w:pPr>
      <w:r>
        <w:rPr>
          <w:rFonts w:ascii="Arial" w:cs="Arial" w:eastAsia="Arial" w:hAnsi="Arial"/>
          <w:sz w:val="16"/>
          <w:szCs w:val="16"/>
          <w:color w:val="auto"/>
        </w:rPr>
        <w:t>10.3 months. Those with unmethylated tumors (n=40) treated with the rindopepimut regimen experienced a PFS of 11.2 months, which compared favorably to the PFS with SOC of 5.3 months in this patient population. Thus, rindopepimut would appear to benefit both methylated and unmethylated MGMT patients.</w:t>
      </w:r>
    </w:p>
    <w:p>
      <w:pPr>
        <w:spacing w:after="0" w:line="147" w:lineRule="exact"/>
        <w:rPr>
          <w:sz w:val="20"/>
          <w:szCs w:val="20"/>
          <w:color w:val="auto"/>
        </w:rPr>
      </w:pPr>
    </w:p>
    <w:p>
      <w:pPr>
        <w:ind w:right="340" w:firstLine="351"/>
        <w:spacing w:after="0" w:line="268" w:lineRule="auto"/>
        <w:rPr>
          <w:sz w:val="20"/>
          <w:szCs w:val="20"/>
          <w:color w:val="auto"/>
        </w:rPr>
      </w:pPr>
      <w:r>
        <w:rPr>
          <w:rFonts w:ascii="Arial" w:cs="Arial" w:eastAsia="Arial" w:hAnsi="Arial"/>
          <w:sz w:val="18"/>
          <w:szCs w:val="18"/>
          <w:color w:val="auto"/>
        </w:rPr>
        <w:t>Based on ongoing discussions to date with the FDA, we are currently planning to initiate a pivotal Phase 3 randomized study of rindopepimut in patients with GBM in the second half of 2011.</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Glembatumumab Vedotin (CDX-011)</w:t>
      </w:r>
    </w:p>
    <w:p>
      <w:pPr>
        <w:spacing w:after="0" w:line="225" w:lineRule="exact"/>
        <w:rPr>
          <w:sz w:val="20"/>
          <w:szCs w:val="20"/>
          <w:color w:val="auto"/>
        </w:rPr>
      </w:pPr>
    </w:p>
    <w:p>
      <w:pPr>
        <w:ind w:right="280" w:firstLine="351"/>
        <w:spacing w:after="0" w:line="294" w:lineRule="auto"/>
        <w:rPr>
          <w:sz w:val="20"/>
          <w:szCs w:val="20"/>
          <w:color w:val="auto"/>
        </w:rPr>
      </w:pPr>
      <w:r>
        <w:rPr>
          <w:rFonts w:ascii="Arial" w:cs="Arial" w:eastAsia="Arial" w:hAnsi="Arial"/>
          <w:sz w:val="16"/>
          <w:szCs w:val="16"/>
          <w:color w:val="auto"/>
        </w:rPr>
        <w:t>CDX-011 is an antibody-drug conjugate (ADC) that consists of a fully-human monoclonal antibody, CR011, linked to a potent cell-killing drug, monomethyl-auristatin E (MMAE). The CR011 antibody specifically targets glycoprotein NMB or (GPNMB) that is expressed in a variety of human cancers including breast cancer and melanoma. The ADC technology, comprised of MMAE and a stable linker system for attaching it to CR011, was licensed from Seattle Genetics, Inc. The ADC is designed to be stable in the bloodstream. Following intravenous administration, CDX-011 targets and binds to GPNMB and upon internalization into the targeted cell, CDX-011 is designed to release MMAE from CR011 to produce a cell-killing effect.</w:t>
      </w:r>
    </w:p>
    <w:p>
      <w:pPr>
        <w:spacing w:after="0" w:line="164" w:lineRule="exact"/>
        <w:rPr>
          <w:sz w:val="20"/>
          <w:szCs w:val="20"/>
          <w:color w:val="auto"/>
        </w:rPr>
      </w:pPr>
    </w:p>
    <w:p>
      <w:pPr>
        <w:jc w:val="both"/>
        <w:ind w:firstLine="348"/>
        <w:spacing w:after="0" w:line="310" w:lineRule="auto"/>
        <w:rPr>
          <w:sz w:val="20"/>
          <w:szCs w:val="20"/>
          <w:color w:val="auto"/>
        </w:rPr>
      </w:pPr>
      <w:r>
        <w:rPr>
          <w:rFonts w:ascii="Arial" w:cs="Arial" w:eastAsia="Arial" w:hAnsi="Arial"/>
          <w:sz w:val="16"/>
          <w:szCs w:val="16"/>
          <w:b w:val="1"/>
          <w:bCs w:val="1"/>
          <w:color w:val="auto"/>
        </w:rPr>
        <w:t xml:space="preserve">Treatment of Breast Cancer: </w:t>
      </w:r>
      <w:r>
        <w:rPr>
          <w:rFonts w:ascii="Arial" w:cs="Arial" w:eastAsia="Arial" w:hAnsi="Arial"/>
          <w:sz w:val="16"/>
          <w:szCs w:val="16"/>
          <w:color w:val="auto"/>
        </w:rPr>
        <w:t>In June 2008, an open-label, multi-center Phase 1/2 study was initiated of CDX-011 administered intravenously once every</w:t>
      </w:r>
      <w:r>
        <w:rPr>
          <w:rFonts w:ascii="Arial" w:cs="Arial" w:eastAsia="Arial" w:hAnsi="Arial"/>
          <w:sz w:val="16"/>
          <w:szCs w:val="16"/>
          <w:b w:val="1"/>
          <w:bCs w:val="1"/>
          <w:color w:val="auto"/>
        </w:rPr>
        <w:t xml:space="preserve"> </w:t>
      </w:r>
      <w:r>
        <w:rPr>
          <w:rFonts w:ascii="Arial" w:cs="Arial" w:eastAsia="Arial" w:hAnsi="Arial"/>
          <w:sz w:val="16"/>
          <w:szCs w:val="16"/>
          <w:color w:val="auto"/>
        </w:rPr>
        <w:t>three weeks to patients with locally advanced or metastatic breast cancer who have received prior therapy (median of seven prior regimens). The study began with a bridging phase to confirm the maximum tolerated dose ("MTD") and then expanded into a Phase 2 open-label, multi-center study.</w:t>
      </w:r>
    </w:p>
    <w:p>
      <w:pPr>
        <w:spacing w:after="0" w:line="157" w:lineRule="exact"/>
        <w:rPr>
          <w:sz w:val="20"/>
          <w:szCs w:val="20"/>
          <w:color w:val="auto"/>
        </w:rPr>
      </w:pPr>
    </w:p>
    <w:p>
      <w:pPr>
        <w:ind w:right="40" w:firstLine="348"/>
        <w:spacing w:after="0" w:line="255" w:lineRule="auto"/>
        <w:rPr>
          <w:sz w:val="20"/>
          <w:szCs w:val="20"/>
          <w:color w:val="auto"/>
        </w:rPr>
      </w:pPr>
      <w:r>
        <w:rPr>
          <w:rFonts w:ascii="Arial" w:cs="Arial" w:eastAsia="Arial" w:hAnsi="Arial"/>
          <w:sz w:val="18"/>
          <w:szCs w:val="18"/>
          <w:color w:val="auto"/>
        </w:rPr>
        <w:t>The study confirmed the safety of CDX-011 at the pre-defined maximum dose level (1.88 mg/kg) in 6 patients. An additional 28 patients were enrolled as an expanded Phase 2 cohort (for a total of 34 treated patients at 1.88 mg/kg, the Phase 2 dose) to evaluate the PFS rate at 12 weeks. As previously seen in melanoma patients, the 1.88 mg/kg dose was well tolerated in this patient population with the most common adverse events of rash, alopecia, and fatigue. The primary activity endpoint, which called for at least 5 of 25 (20%) patients in the Phase 2 study portion to be progression-free at 12 weeks, was met as 9 of 26 (35%) evaluable patients were progression-free at 12 weeks.</w:t>
      </w:r>
    </w:p>
    <w:p>
      <w:pPr>
        <w:spacing w:after="0" w:line="197" w:lineRule="exact"/>
        <w:rPr>
          <w:sz w:val="20"/>
          <w:szCs w:val="20"/>
          <w:color w:val="auto"/>
        </w:rPr>
      </w:pPr>
    </w:p>
    <w:p>
      <w:pPr>
        <w:ind w:firstLine="351"/>
        <w:spacing w:after="0" w:line="298" w:lineRule="auto"/>
        <w:rPr>
          <w:sz w:val="20"/>
          <w:szCs w:val="20"/>
          <w:color w:val="auto"/>
        </w:rPr>
      </w:pPr>
      <w:r>
        <w:rPr>
          <w:rFonts w:ascii="Arial" w:cs="Arial" w:eastAsia="Arial" w:hAnsi="Arial"/>
          <w:sz w:val="16"/>
          <w:szCs w:val="16"/>
          <w:color w:val="auto"/>
        </w:rPr>
        <w:t>For all patients treated at the maximum dose level, tumor shrinkage was seen in 62% (16/26) and median PFS was 9.1 weeks. A subset of 10 patients had "triple negative disease," a more aggressive breast cancer subtype that carries a high risk of relapse and reduced survival as well as limited therapeutic options due to lack of over-expression of HER2/neu, estrogen and progesterone receptors. In these patients, 78% (7/9) had any tumor shrinkage, 12-week PFS rate was 70% (7/10), and median PFS was 17.9 weeks. Tumor samples from a subset of patients across all dose groups were analyzed</w:t>
      </w:r>
    </w:p>
    <w:p>
      <w:pPr>
        <w:spacing w:after="0" w:line="16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51" w:name="page52"/>
    <w:bookmarkEnd w:id="51"/>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ind w:right="640"/>
        <w:spacing w:after="0" w:line="268" w:lineRule="auto"/>
        <w:rPr>
          <w:sz w:val="20"/>
          <w:szCs w:val="20"/>
          <w:color w:val="auto"/>
        </w:rPr>
      </w:pPr>
      <w:r>
        <w:rPr>
          <w:rFonts w:ascii="Arial" w:cs="Arial" w:eastAsia="Arial" w:hAnsi="Arial"/>
          <w:sz w:val="18"/>
          <w:szCs w:val="18"/>
          <w:color w:val="auto"/>
        </w:rPr>
        <w:t>for GPNMB expression. The tumor samples from most patients showed evidence of stromal and/or tumor cell expression of GPNMB. The most common treatment-related toxicities were fatigue, rash, nausea, alopecia (hair loss), neutropenia and vomiting.</w:t>
      </w:r>
    </w:p>
    <w:p>
      <w:pPr>
        <w:spacing w:after="0" w:line="186" w:lineRule="exact"/>
        <w:rPr>
          <w:sz w:val="20"/>
          <w:szCs w:val="20"/>
          <w:color w:val="auto"/>
        </w:rPr>
      </w:pPr>
    </w:p>
    <w:p>
      <w:pPr>
        <w:ind w:left="360"/>
        <w:spacing w:after="0"/>
        <w:rPr>
          <w:sz w:val="20"/>
          <w:szCs w:val="20"/>
          <w:color w:val="auto"/>
        </w:rPr>
      </w:pPr>
      <w:r>
        <w:rPr>
          <w:rFonts w:ascii="Arial" w:cs="Arial" w:eastAsia="Arial" w:hAnsi="Arial"/>
          <w:sz w:val="16"/>
          <w:szCs w:val="16"/>
          <w:color w:val="auto"/>
        </w:rPr>
        <w:t>In May 2010, the FDA granted Fast Track designation to CDX-011 for the treatment of advanced, refractory/resistant GPNMB-expressing breast cancer.</w:t>
      </w:r>
    </w:p>
    <w:p>
      <w:pPr>
        <w:spacing w:after="0" w:line="248" w:lineRule="exact"/>
        <w:rPr>
          <w:sz w:val="20"/>
          <w:szCs w:val="20"/>
          <w:color w:val="auto"/>
        </w:rPr>
      </w:pPr>
    </w:p>
    <w:p>
      <w:pPr>
        <w:ind w:right="160" w:firstLine="351"/>
        <w:spacing w:after="0" w:line="294" w:lineRule="auto"/>
        <w:rPr>
          <w:sz w:val="20"/>
          <w:szCs w:val="20"/>
          <w:color w:val="auto"/>
        </w:rPr>
      </w:pPr>
      <w:r>
        <w:rPr>
          <w:rFonts w:ascii="Arial" w:cs="Arial" w:eastAsia="Arial" w:hAnsi="Arial"/>
          <w:sz w:val="16"/>
          <w:szCs w:val="16"/>
          <w:color w:val="auto"/>
        </w:rPr>
        <w:t>In September 2010, we initiated a randomized Phase 2b controlled study in patients with heavily pre-treated, advanced breast cancer whose tumors are confirmed to express GPNMB via a validated, centralized diagnostic assay. We expect that a significant portion of the enrolled patients will have triple-negative disease, since GPNMB is frequently expressed in this patient population. Patients will be randomized (2:1) to receive either CDX-011 or single-agent "Investigator's Choice" chemotherapy. Activity endpoints will include objective response rate ("ORR"), PFS and OS. We expect to complete enrollment of 120 patients at approximately 20-25 clinical sites in the United States in 2011 with preliminary data expected in 2012.</w:t>
      </w:r>
    </w:p>
    <w:p>
      <w:pPr>
        <w:spacing w:after="0" w:line="164" w:lineRule="exact"/>
        <w:rPr>
          <w:sz w:val="20"/>
          <w:szCs w:val="20"/>
          <w:color w:val="auto"/>
        </w:rPr>
      </w:pPr>
    </w:p>
    <w:p>
      <w:pPr>
        <w:ind w:right="80" w:firstLine="348"/>
        <w:spacing w:after="0" w:line="256" w:lineRule="auto"/>
        <w:rPr>
          <w:sz w:val="20"/>
          <w:szCs w:val="20"/>
          <w:color w:val="auto"/>
        </w:rPr>
      </w:pPr>
      <w:r>
        <w:rPr>
          <w:rFonts w:ascii="Arial" w:cs="Arial" w:eastAsia="Arial" w:hAnsi="Arial"/>
          <w:sz w:val="18"/>
          <w:szCs w:val="18"/>
          <w:b w:val="1"/>
          <w:bCs w:val="1"/>
          <w:color w:val="auto"/>
        </w:rPr>
        <w:t xml:space="preserve">Treatment of Metastatic Melanoma: </w:t>
      </w:r>
      <w:r>
        <w:rPr>
          <w:rFonts w:ascii="Arial" w:cs="Arial" w:eastAsia="Arial" w:hAnsi="Arial"/>
          <w:sz w:val="18"/>
          <w:szCs w:val="18"/>
          <w:color w:val="auto"/>
        </w:rPr>
        <w:t>In June 2006, a Phase 1/2 open-label, multi-center, dose escalation study was initiated to evaluate the safety,</w:t>
      </w:r>
      <w:r>
        <w:rPr>
          <w:rFonts w:ascii="Arial" w:cs="Arial" w:eastAsia="Arial" w:hAnsi="Arial"/>
          <w:sz w:val="18"/>
          <w:szCs w:val="18"/>
          <w:b w:val="1"/>
          <w:bCs w:val="1"/>
          <w:color w:val="auto"/>
        </w:rPr>
        <w:t xml:space="preserve"> </w:t>
      </w:r>
      <w:r>
        <w:rPr>
          <w:rFonts w:ascii="Arial" w:cs="Arial" w:eastAsia="Arial" w:hAnsi="Arial"/>
          <w:sz w:val="18"/>
          <w:szCs w:val="18"/>
          <w:color w:val="auto"/>
        </w:rPr>
        <w:t>tolerability and pharmacokinetics of CDX-011 for patients with un-resectable Stage III or Stage IV melanoma who have failed no more than one prior line of cytotoxic therapy. A total of 117 patients were enrolled in this trial. The trial initially evaluated doses of CDX-011 between 0.03 mg/kg to 2.63 mg/kg given once every three weeks. CDX-011 was generally well tolerated, with rash and neutropenia emerging at higher doses. The MTD was determined to be 1.88 mg/kg administered intravenously (IV) once every three weeks.</w:t>
      </w:r>
    </w:p>
    <w:p>
      <w:pPr>
        <w:spacing w:after="0" w:line="199" w:lineRule="exact"/>
        <w:rPr>
          <w:sz w:val="20"/>
          <w:szCs w:val="20"/>
          <w:color w:val="auto"/>
        </w:rPr>
      </w:pPr>
    </w:p>
    <w:p>
      <w:pPr>
        <w:ind w:right="80" w:firstLine="348"/>
        <w:spacing w:after="0" w:line="259" w:lineRule="auto"/>
        <w:rPr>
          <w:sz w:val="20"/>
          <w:szCs w:val="20"/>
          <w:color w:val="auto"/>
        </w:rPr>
      </w:pPr>
      <w:r>
        <w:rPr>
          <w:rFonts w:ascii="Arial" w:cs="Arial" w:eastAsia="Arial" w:hAnsi="Arial"/>
          <w:sz w:val="18"/>
          <w:szCs w:val="18"/>
          <w:color w:val="auto"/>
        </w:rPr>
        <w:t>The study achieved its primary activity objective with an ORR in the Phase 2 cohort of 15% (5/34). Median PFS was 3.9 months. CDX-011 was found to be active in advanced melanoma patients in the study. The most frequent treatment-related adverse events included rash, fatigue, alopecia (hair loss), pruritus, diarrhea and neuropathy.</w:t>
      </w:r>
    </w:p>
    <w:p>
      <w:pPr>
        <w:spacing w:after="0" w:line="194" w:lineRule="exact"/>
        <w:rPr>
          <w:sz w:val="20"/>
          <w:szCs w:val="20"/>
          <w:color w:val="auto"/>
        </w:rPr>
      </w:pPr>
    </w:p>
    <w:p>
      <w:pPr>
        <w:ind w:firstLine="351"/>
        <w:spacing w:after="0" w:line="256" w:lineRule="auto"/>
        <w:rPr>
          <w:sz w:val="20"/>
          <w:szCs w:val="20"/>
          <w:color w:val="auto"/>
        </w:rPr>
      </w:pPr>
      <w:r>
        <w:rPr>
          <w:rFonts w:ascii="Arial" w:cs="Arial" w:eastAsia="Arial" w:hAnsi="Arial"/>
          <w:sz w:val="18"/>
          <w:szCs w:val="18"/>
          <w:color w:val="auto"/>
        </w:rPr>
        <w:t>More frequent dosing schedules of CDX-011 were also evaluated, including a weekly and a two out of every three-week regimen, to explore if more frequent administration can provide additional activity in patients with metastatic melanoma. Doses of 1.0 mg/kg given once every week and 1.5 mg/kg given for two out of three weeks were identified as the MTD in each schedule. The response rate was observed to be 20% and 33%, respectively. This increased activity was accompanied by increased toxicity.</w:t>
      </w:r>
    </w:p>
    <w:p>
      <w:pPr>
        <w:spacing w:after="0" w:line="197" w:lineRule="exact"/>
        <w:rPr>
          <w:sz w:val="20"/>
          <w:szCs w:val="20"/>
          <w:color w:val="auto"/>
        </w:rPr>
      </w:pPr>
    </w:p>
    <w:p>
      <w:pPr>
        <w:ind w:right="40" w:firstLine="351"/>
        <w:spacing w:after="0" w:line="335" w:lineRule="auto"/>
        <w:rPr>
          <w:sz w:val="20"/>
          <w:szCs w:val="20"/>
          <w:color w:val="auto"/>
        </w:rPr>
      </w:pPr>
      <w:r>
        <w:rPr>
          <w:rFonts w:ascii="Arial" w:cs="Arial" w:eastAsia="Arial" w:hAnsi="Arial"/>
          <w:sz w:val="15"/>
          <w:szCs w:val="15"/>
          <w:color w:val="auto"/>
        </w:rPr>
        <w:t>In the subset of patients with tumor biopsies, high levels of tumor expression of GPNMB appeared to correlate with favorable outcome. In the seven patients whose tumors were found to express high amounts of GPNMB, and who were treated at the maximum tolerated doses across all dosing schedules, median PFS was 4.9 months. The development of rash, which may be associated with the presence of GPNMB in the skin also seemed to correlate with greater PFS.</w:t>
      </w:r>
    </w:p>
    <w:p>
      <w:pPr>
        <w:spacing w:after="0" w:line="142" w:lineRule="exact"/>
        <w:rPr>
          <w:sz w:val="20"/>
          <w:szCs w:val="20"/>
          <w:color w:val="auto"/>
        </w:rPr>
      </w:pPr>
    </w:p>
    <w:p>
      <w:pPr>
        <w:jc w:val="both"/>
        <w:ind w:right="220" w:firstLine="351"/>
        <w:spacing w:after="0" w:line="259" w:lineRule="auto"/>
        <w:rPr>
          <w:sz w:val="20"/>
          <w:szCs w:val="20"/>
          <w:color w:val="auto"/>
        </w:rPr>
      </w:pPr>
      <w:r>
        <w:rPr>
          <w:rFonts w:ascii="Arial" w:cs="Arial" w:eastAsia="Arial" w:hAnsi="Arial"/>
          <w:sz w:val="18"/>
          <w:szCs w:val="18"/>
          <w:color w:val="auto"/>
        </w:rPr>
        <w:t>Melanoma is a difficult disease to work with and, at this point in time, our intention is to first focus our resources on advancing CDX-011 in breast cancer. We intend to conduct additional Phase 2 development of CDX-011 in combination with other therapies in investigator sponsored studies to further develop this product candidate in melanoma.</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CDX-1307</w:t>
      </w:r>
    </w:p>
    <w:p>
      <w:pPr>
        <w:spacing w:after="0" w:line="225" w:lineRule="exact"/>
        <w:rPr>
          <w:sz w:val="20"/>
          <w:szCs w:val="20"/>
          <w:color w:val="auto"/>
        </w:rPr>
      </w:pPr>
    </w:p>
    <w:p>
      <w:pPr>
        <w:ind w:right="40" w:firstLine="351"/>
        <w:spacing w:after="0" w:line="256" w:lineRule="auto"/>
        <w:rPr>
          <w:sz w:val="20"/>
          <w:szCs w:val="20"/>
          <w:color w:val="auto"/>
        </w:rPr>
      </w:pPr>
      <w:r>
        <w:rPr>
          <w:rFonts w:ascii="Arial" w:cs="Arial" w:eastAsia="Arial" w:hAnsi="Arial"/>
          <w:sz w:val="18"/>
          <w:szCs w:val="18"/>
          <w:color w:val="auto"/>
        </w:rPr>
        <w:t>Our lead APC Targeting Technology™ product candidate, CDX-1307, is in development for the treatment of epithelial tumors such as colorectal, pancreatic, bladder, ovarian and breast cancers. CDX-1307 targets the beta chain of human chorionic gonadotropin, known as hCG-Beta, which is an antigen often found in epithelial tumors. The presence of hCG-Beta in these cancers correlates with a poor clinical outcome, suggesting that this molecule may contribute to tumor growth. Normal adult</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52" w:name="page53"/>
    <w:bookmarkEnd w:id="52"/>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spacing w:after="0"/>
        <w:rPr>
          <w:sz w:val="20"/>
          <w:szCs w:val="20"/>
          <w:color w:val="auto"/>
        </w:rPr>
      </w:pPr>
      <w:r>
        <w:rPr>
          <w:rFonts w:ascii="Arial" w:cs="Arial" w:eastAsia="Arial" w:hAnsi="Arial"/>
          <w:sz w:val="18"/>
          <w:szCs w:val="18"/>
          <w:color w:val="auto"/>
        </w:rPr>
        <w:t>tissues have minimal expression of hCG-Beta; therefore, targeted immune responses are not expected to generate significant side effects.</w:t>
      </w:r>
    </w:p>
    <w:p>
      <w:pPr>
        <w:spacing w:after="0" w:line="225" w:lineRule="exact"/>
        <w:rPr>
          <w:sz w:val="20"/>
          <w:szCs w:val="20"/>
          <w:color w:val="auto"/>
        </w:rPr>
      </w:pPr>
    </w:p>
    <w:p>
      <w:pPr>
        <w:ind w:firstLine="348"/>
        <w:spacing w:after="0" w:line="255" w:lineRule="auto"/>
        <w:rPr>
          <w:sz w:val="20"/>
          <w:szCs w:val="20"/>
          <w:color w:val="auto"/>
        </w:rPr>
      </w:pPr>
      <w:r>
        <w:rPr>
          <w:rFonts w:ascii="Arial" w:cs="Arial" w:eastAsia="Arial" w:hAnsi="Arial"/>
          <w:sz w:val="18"/>
          <w:szCs w:val="18"/>
          <w:color w:val="auto"/>
        </w:rPr>
        <w:t>The Phase 1 studies are complete. The Phase 1 studies investigated the safety and immunogenicity of CDX-1307 alone and in combination with adjuvants, including GM-CSF (known to increase mannose receptor expression on dendritic cells) and Toll-Like Receptor ("TLR") agonists (poly-ICLC or Hiltonol™ and R848 or resiquimod). Patients with an assortment of different tumor types that are known to express hCG-Beta were enrolled with retrospective analysis for hCG-Beta expression. A regimen of every two week dosing for four doses was utilized with the possibility of retreatment if patients demonstrate tumor regression or stable disease.</w:t>
      </w:r>
    </w:p>
    <w:p>
      <w:pPr>
        <w:spacing w:after="0" w:line="197" w:lineRule="exact"/>
        <w:rPr>
          <w:sz w:val="20"/>
          <w:szCs w:val="20"/>
          <w:color w:val="auto"/>
        </w:rPr>
      </w:pPr>
    </w:p>
    <w:p>
      <w:pPr>
        <w:ind w:right="80" w:firstLine="348"/>
        <w:spacing w:after="0" w:line="302" w:lineRule="auto"/>
        <w:rPr>
          <w:sz w:val="20"/>
          <w:szCs w:val="20"/>
          <w:color w:val="auto"/>
        </w:rPr>
      </w:pPr>
      <w:r>
        <w:rPr>
          <w:rFonts w:ascii="Arial" w:cs="Arial" w:eastAsia="Arial" w:hAnsi="Arial"/>
          <w:sz w:val="15"/>
          <w:szCs w:val="15"/>
          <w:color w:val="auto"/>
        </w:rPr>
        <w:t>The Phase 1 studies enrolled over 80 patients with heavily pretreated, advanced-stage colorectal, breast, pancreatic, bladder/ureteral, ovarian and testicular cancer. All patient cohorts demonstrated a favorable safety profile with no dose limiting toxicity. The combination of CDX-1307 with TLR agonists significantly enhanced immune responses against hCG-Beta. Immune responses occurred even in the presence of high circulating levels of hCG-Beta, suggesting that the CDX-1307 can overcome antigen tolerance in advanced and heavily pretreated cancers. Nine patients in the studies experienced disease stabilization from</w:t>
      </w:r>
    </w:p>
    <w:p>
      <w:pPr>
        <w:spacing w:after="0" w:line="3" w:lineRule="exact"/>
        <w:rPr>
          <w:sz w:val="20"/>
          <w:szCs w:val="20"/>
          <w:color w:val="auto"/>
        </w:rPr>
      </w:pPr>
    </w:p>
    <w:p>
      <w:pPr>
        <w:ind w:right="540"/>
        <w:spacing w:after="0" w:line="261" w:lineRule="auto"/>
        <w:rPr>
          <w:sz w:val="20"/>
          <w:szCs w:val="20"/>
          <w:color w:val="auto"/>
        </w:rPr>
      </w:pPr>
      <w:r>
        <w:rPr>
          <w:rFonts w:ascii="Arial" w:cs="Arial" w:eastAsia="Arial" w:hAnsi="Arial"/>
          <w:sz w:val="18"/>
          <w:szCs w:val="18"/>
          <w:color w:val="auto"/>
        </w:rPr>
        <w:t>2.3 months to 16 months following the initiation of CDX-1307 vaccination. These data provide the basis for advancing CDX-1307 into a front-line patient population selected for hCG-Beta-expressing cancers.</w:t>
      </w:r>
    </w:p>
    <w:p>
      <w:pPr>
        <w:spacing w:after="0" w:line="192" w:lineRule="exact"/>
        <w:rPr>
          <w:sz w:val="20"/>
          <w:szCs w:val="20"/>
          <w:color w:val="auto"/>
        </w:rPr>
      </w:pPr>
    </w:p>
    <w:p>
      <w:pPr>
        <w:ind w:right="440" w:firstLine="351"/>
        <w:spacing w:after="0" w:line="268" w:lineRule="auto"/>
        <w:rPr>
          <w:sz w:val="20"/>
          <w:szCs w:val="20"/>
          <w:color w:val="auto"/>
        </w:rPr>
      </w:pPr>
      <w:r>
        <w:rPr>
          <w:rFonts w:ascii="Arial" w:cs="Arial" w:eastAsia="Arial" w:hAnsi="Arial"/>
          <w:sz w:val="18"/>
          <w:szCs w:val="18"/>
          <w:color w:val="auto"/>
        </w:rPr>
        <w:t>In May 2010, we initiated a 60 patient randomized (1:1) Phase 2 controlled study to evaluate the CDX-1307 regimen in both neoadjuvant and adjuvant settings in patients with newly diagnosed muscle-invasive bladder cancers that express hCG-Beta.</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CDX-1401</w:t>
      </w:r>
    </w:p>
    <w:p>
      <w:pPr>
        <w:spacing w:after="0" w:line="225" w:lineRule="exact"/>
        <w:rPr>
          <w:sz w:val="20"/>
          <w:szCs w:val="20"/>
          <w:color w:val="auto"/>
        </w:rPr>
      </w:pPr>
    </w:p>
    <w:p>
      <w:pPr>
        <w:ind w:right="40" w:firstLine="351"/>
        <w:spacing w:after="0" w:line="253" w:lineRule="auto"/>
        <w:rPr>
          <w:sz w:val="20"/>
          <w:szCs w:val="20"/>
          <w:color w:val="auto"/>
        </w:rPr>
      </w:pPr>
      <w:r>
        <w:rPr>
          <w:rFonts w:ascii="Arial" w:cs="Arial" w:eastAsia="Arial" w:hAnsi="Arial"/>
          <w:sz w:val="18"/>
          <w:szCs w:val="18"/>
          <w:color w:val="auto"/>
        </w:rPr>
        <w:t>CDX-1401, also developed from the APC Targeting Technology, is a fusion protein consisting of a fully human monoclonal antibody with specificity for the dendritic cell receptor, DEC-205, linked to the NY-ESO-1 tumor antigen. In humans, NY-ESO-1 has been detected in 20 - 30% of all melanoma, lung, esophageal, liver, gastric, prostate, ovarian and bladder cancers, thus representing a broad opportunity. This product is intended to selectively deliver the NY-ESO-1 antigen to APCs for generating robust immune responses against cancer cells expressing NY-ESO-1. Unlike CDX-1307, which targets the mannose receptor expressing dendritic cells, CDX-1401 is the first APC product targeting DEC-205 expressing dendritic cells. We are developing CDX-1401 for the treatment of malignant melanoma and a variety of solid tumors which express the proprietary cancer antigen NY-ESO-1, which we licensed from the Ludwig Institute for Cancer Research in 2006. We believe that preclinical studies have shown that CDX-1401 is effective for activation of human T-cell responses against NY-ESO-1.</w:t>
      </w:r>
    </w:p>
    <w:p>
      <w:pPr>
        <w:spacing w:after="0" w:line="199" w:lineRule="exact"/>
        <w:rPr>
          <w:sz w:val="20"/>
          <w:szCs w:val="20"/>
          <w:color w:val="auto"/>
        </w:rPr>
      </w:pPr>
    </w:p>
    <w:p>
      <w:pPr>
        <w:ind w:right="40" w:firstLine="351"/>
        <w:spacing w:after="0" w:line="256" w:lineRule="auto"/>
        <w:rPr>
          <w:sz w:val="20"/>
          <w:szCs w:val="20"/>
          <w:color w:val="auto"/>
        </w:rPr>
      </w:pPr>
      <w:r>
        <w:rPr>
          <w:rFonts w:ascii="Arial" w:cs="Arial" w:eastAsia="Arial" w:hAnsi="Arial"/>
          <w:sz w:val="18"/>
          <w:szCs w:val="18"/>
          <w:color w:val="auto"/>
        </w:rPr>
        <w:t>In September 2009, we initiated enrollment in a dose-escalating Phase 1/2 clinical trial aimed at determining the optimal dose for further development based on the safety, tolerability, and immunogenicity of the CDX-1401 vaccine. The trial will evaluate three different doses of the vaccine in combination with TLR agonists poly-ICLC or Hiltonol™ and/or R848 or resiquimod. We expect to enroll approximately 50 patients with solid tumor cancers at multiple clinical sites in the United States.</w:t>
      </w:r>
    </w:p>
    <w:p>
      <w:pPr>
        <w:spacing w:after="0" w:line="197" w:lineRule="exact"/>
        <w:rPr>
          <w:sz w:val="20"/>
          <w:szCs w:val="20"/>
          <w:color w:val="auto"/>
        </w:rPr>
      </w:pPr>
    </w:p>
    <w:p>
      <w:pPr>
        <w:ind w:firstLine="351"/>
        <w:spacing w:after="0" w:line="255" w:lineRule="auto"/>
        <w:rPr>
          <w:sz w:val="20"/>
          <w:szCs w:val="20"/>
          <w:color w:val="auto"/>
        </w:rPr>
      </w:pPr>
      <w:r>
        <w:rPr>
          <w:rFonts w:ascii="Arial" w:cs="Arial" w:eastAsia="Arial" w:hAnsi="Arial"/>
          <w:sz w:val="18"/>
          <w:szCs w:val="18"/>
          <w:color w:val="auto"/>
        </w:rPr>
        <w:t>In October 2010, we announced interim data for the first 20 patients enrolled in the study, 35% of whom had confirmed NY-ESO-1 expression. The interim data showed that six patients maintained stable disease and were eligible for multiple cycles of the treatment regimen, including 4 patients who have received 3 or more cycles (6 weeks of treatment followed by a 6 week rest), with stable disease of up to 11.5+ months. The treatment was well tolerated and there were no dose-limiting toxicities. Robust anti-NY-ESO-1 immunity was induced with the majority of the patients developing anti-NY-ESO-1 antibody responses and 39% of the patients having increases in NY-ESO-1 specific T</w:t>
      </w:r>
    </w:p>
    <w:p>
      <w:pPr>
        <w:spacing w:after="0" w:line="1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53" w:name="page54"/>
    <w:bookmarkEnd w:id="53"/>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spacing w:after="0"/>
        <w:rPr>
          <w:sz w:val="20"/>
          <w:szCs w:val="20"/>
          <w:color w:val="auto"/>
        </w:rPr>
      </w:pPr>
      <w:r>
        <w:rPr>
          <w:rFonts w:ascii="Arial" w:cs="Arial" w:eastAsia="Arial" w:hAnsi="Arial"/>
          <w:sz w:val="16"/>
          <w:szCs w:val="16"/>
          <w:color w:val="auto"/>
        </w:rPr>
        <w:t>cell responses, including both CD4 and CD8 responses. Importantly, the T cell responses were directed against multiple regions of the NY-ESO-1 antigen.</w:t>
      </w:r>
    </w:p>
    <w:p>
      <w:pPr>
        <w:spacing w:after="0" w:line="2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Preclinical and Other Development Programs</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CDX-301</w:t>
      </w:r>
    </w:p>
    <w:p>
      <w:pPr>
        <w:spacing w:after="0" w:line="225" w:lineRule="exact"/>
        <w:rPr>
          <w:sz w:val="20"/>
          <w:szCs w:val="20"/>
          <w:color w:val="auto"/>
        </w:rPr>
      </w:pPr>
    </w:p>
    <w:p>
      <w:pPr>
        <w:ind w:firstLine="351"/>
        <w:spacing w:after="0" w:line="254" w:lineRule="auto"/>
        <w:rPr>
          <w:sz w:val="20"/>
          <w:szCs w:val="20"/>
          <w:color w:val="auto"/>
        </w:rPr>
      </w:pPr>
      <w:r>
        <w:rPr>
          <w:rFonts w:ascii="Arial" w:cs="Arial" w:eastAsia="Arial" w:hAnsi="Arial"/>
          <w:sz w:val="18"/>
          <w:szCs w:val="18"/>
          <w:color w:val="auto"/>
        </w:rPr>
        <w:t>CDX-301 is a FMS-like tyrosine kinase 3 ligand (Flt3L) that we licensed from Amgen in March 2009. CDX-301 is a growth factor for stem cells and immune cells called dendritic cells. Based on previous experience with this molecule, we believe that CDX-301 has considerable opportunity in various transplant settings as a stem cell mobilizing agent. In addition, CDX-301 is an immune modulating molecule that increases the numbers and activity of specific types of immune cells. We believe CDX-301 has significant opportunity for synergistic development in combination with proprietary molecules in our portfolio. In March 2011, we filed an Investigational New Drug ("IND") application for CDX-301. We are in discussions with collaborators to initiate clinical development with a Phase 1 study in healthy volunteers.</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CDX-1127</w:t>
      </w:r>
    </w:p>
    <w:p>
      <w:pPr>
        <w:spacing w:after="0" w:line="225" w:lineRule="exact"/>
        <w:rPr>
          <w:sz w:val="20"/>
          <w:szCs w:val="20"/>
          <w:color w:val="auto"/>
        </w:rPr>
      </w:pPr>
    </w:p>
    <w:p>
      <w:pPr>
        <w:ind w:firstLine="348"/>
        <w:spacing w:after="0" w:line="290" w:lineRule="auto"/>
        <w:rPr>
          <w:sz w:val="20"/>
          <w:szCs w:val="20"/>
          <w:color w:val="auto"/>
        </w:rPr>
      </w:pPr>
      <w:r>
        <w:rPr>
          <w:rFonts w:ascii="Arial" w:cs="Arial" w:eastAsia="Arial" w:hAnsi="Arial"/>
          <w:sz w:val="16"/>
          <w:szCs w:val="16"/>
          <w:color w:val="auto"/>
        </w:rPr>
        <w:t>We have entered into a License Agreement with the University of Southampton, UK, to develop human antibodies to CD27, a potentially important target for immunotherapy of various cancers. In preclinical models, antibodies to CD27 alone have been shown to mediate anti-tumor effects, and may be particularly effective in combination with other immunotherapy. CD27 is a critical molecule in the activation pathway of lymphocytes. It acts downstream from CD40 and may provide a novel way to regulate the immune responses. In September 2010, we exercised an option under our Research and Commercialization Agreement with Medarex, whereby we have a commercial license to the human antibody technology specifically for our CD27 antibody. Preclinical models with our human monoclonal antibody to CD27 have demonstrated immune cell activation and anti-tumor responses. We expect to file an IND application for a dose escalation Phase 1 study during the fourth quarter of 2011 after completing required preclinical toxicology studies.</w:t>
      </w:r>
    </w:p>
    <w:p>
      <w:pPr>
        <w:spacing w:after="0" w:line="17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CDX-014</w:t>
      </w:r>
    </w:p>
    <w:p>
      <w:pPr>
        <w:spacing w:after="0" w:line="225" w:lineRule="exact"/>
        <w:rPr>
          <w:sz w:val="20"/>
          <w:szCs w:val="20"/>
          <w:color w:val="auto"/>
        </w:rPr>
      </w:pPr>
    </w:p>
    <w:p>
      <w:pPr>
        <w:jc w:val="both"/>
        <w:ind w:right="160" w:firstLine="351"/>
        <w:spacing w:after="0" w:line="298" w:lineRule="auto"/>
        <w:rPr>
          <w:sz w:val="20"/>
          <w:szCs w:val="20"/>
          <w:color w:val="auto"/>
        </w:rPr>
      </w:pPr>
      <w:r>
        <w:rPr>
          <w:rFonts w:ascii="Arial" w:cs="Arial" w:eastAsia="Arial" w:hAnsi="Arial"/>
          <w:sz w:val="16"/>
          <w:szCs w:val="16"/>
          <w:color w:val="auto"/>
        </w:rPr>
        <w:t>CDX-014 is a fully-human monoclonal ADC that targets TIM-1, an immunomudulatory protein that appears to down regulate immune response to tumors. The antibody, CDX-014, is linked to a potent chemotherapeutic, monomethyl auristatin E (MMAE), using Seattle Genetics' proprietary technology. The ADC is designed to be stable in the bloodstream, but to release MMAE upon internalization into TIM-1-expressing tumor cells, resulting in a targeted cell-killing effect. CDX-014 has shown potent activity in preclinical models of ovarian and renal cancer.</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CDX-1135</w:t>
      </w:r>
    </w:p>
    <w:p>
      <w:pPr>
        <w:spacing w:after="0" w:line="225" w:lineRule="exact"/>
        <w:rPr>
          <w:sz w:val="20"/>
          <w:szCs w:val="20"/>
          <w:color w:val="auto"/>
        </w:rPr>
      </w:pPr>
    </w:p>
    <w:p>
      <w:pPr>
        <w:ind w:right="100" w:firstLine="351"/>
        <w:spacing w:after="0" w:line="290" w:lineRule="auto"/>
        <w:rPr>
          <w:sz w:val="20"/>
          <w:szCs w:val="20"/>
          <w:color w:val="auto"/>
        </w:rPr>
      </w:pPr>
      <w:r>
        <w:rPr>
          <w:rFonts w:ascii="Arial" w:cs="Arial" w:eastAsia="Arial" w:hAnsi="Arial"/>
          <w:sz w:val="16"/>
          <w:szCs w:val="16"/>
          <w:color w:val="auto"/>
        </w:rPr>
        <w:t>CDX-1135 is a molecule that inhibits a part of the immune system called the complement system. The complement system is a series of proteins that are important initiators of the body's acute inflammatory response against disease, infection and injury. Excessive complement activation also plays a role in some persistent inflammatory conditions. CDX-1135 is a soluble form of naturally occurring Complement Receptor 1 that inhibits the activation of the complement cascade in animal models and in human clinical trials. We believe that regulating the complement system could have therapeutic and prophylactic applications in several acute and chronic conditions, including organ transplantation, multiple sclerosis, rheumatoid arthritis, age-related macular degeneration ("AMD"), atypical Hemolytic Uremic Syndrome ("aHUS"), Paroxysmal Nocturnal Hemaglobinuria ("PNH"), Dense Deposit Disease ("DDD") in kidneys, and myasthenia gravis. We are currently defining the most appropriate clinical</w:t>
      </w:r>
    </w:p>
    <w:p>
      <w:pPr>
        <w:spacing w:after="0" w:line="17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54" w:name="page55"/>
    <w:bookmarkEnd w:id="54"/>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spacing w:after="0"/>
        <w:rPr>
          <w:sz w:val="20"/>
          <w:szCs w:val="20"/>
          <w:color w:val="auto"/>
        </w:rPr>
      </w:pPr>
      <w:r>
        <w:rPr>
          <w:rFonts w:ascii="Arial" w:cs="Arial" w:eastAsia="Arial" w:hAnsi="Arial"/>
          <w:sz w:val="16"/>
          <w:szCs w:val="16"/>
          <w:color w:val="auto"/>
        </w:rPr>
        <w:t>development path for CDX-1135 and are focusing on rare disease conditions of unregulated complement activation as the fastest route to FDA approval.</w:t>
      </w:r>
    </w:p>
    <w:p>
      <w:pPr>
        <w:spacing w:after="0" w:line="2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Marketed Products</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Rotavirus Vaccine</w:t>
      </w:r>
    </w:p>
    <w:p>
      <w:pPr>
        <w:spacing w:after="0" w:line="225" w:lineRule="exact"/>
        <w:rPr>
          <w:sz w:val="20"/>
          <w:szCs w:val="20"/>
          <w:color w:val="auto"/>
        </w:rPr>
      </w:pPr>
    </w:p>
    <w:p>
      <w:pPr>
        <w:ind w:right="20" w:firstLine="351"/>
        <w:spacing w:after="0" w:line="290" w:lineRule="auto"/>
        <w:rPr>
          <w:sz w:val="20"/>
          <w:szCs w:val="20"/>
          <w:color w:val="auto"/>
        </w:rPr>
      </w:pPr>
      <w:r>
        <w:rPr>
          <w:rFonts w:ascii="Arial" w:cs="Arial" w:eastAsia="Arial" w:hAnsi="Arial"/>
          <w:sz w:val="16"/>
          <w:szCs w:val="16"/>
          <w:color w:val="auto"/>
        </w:rPr>
        <w:t>Rotavirus is a major cause of diarrhea and vomiting in infants and children. In 1997, we licensed our oral rotavirus strain to Glaxo and Glaxo assumed responsibility for all subsequent clinical trials and all other development activities. Glaxo gained approval for its rotavirus vaccine, Rotarix®, in Mexico in July 2004, which represented the first in a series of worldwide approvals and commercial launches for the product leading up to the approval in Europe in 2006 and in the U.S. in 2008. We licensed-in our rotavirus strain in 1995 and owe a license fee of 30% to Cincinnati Children's Hospital Medical Center ("CCH") on net royalties received from Glaxo. We are obligated to maintain a license with CCH with respect to the Glaxo agreement. The term of the Glaxo agreement is through the expiration of the last of the relevant patents covered by the agreement, although Glaxo may terminate the agreement upon 90 days prior written notice. The last relevant patent is scheduled to expire in December 2012. No additional milestone payments are due from Glaxo under the agreement.</w:t>
      </w:r>
    </w:p>
    <w:p>
      <w:pPr>
        <w:spacing w:after="0" w:line="172" w:lineRule="exact"/>
        <w:rPr>
          <w:sz w:val="20"/>
          <w:szCs w:val="20"/>
          <w:color w:val="auto"/>
        </w:rPr>
      </w:pPr>
    </w:p>
    <w:p>
      <w:pPr>
        <w:ind w:right="240" w:firstLine="351"/>
        <w:spacing w:after="0" w:line="335" w:lineRule="auto"/>
        <w:rPr>
          <w:sz w:val="20"/>
          <w:szCs w:val="20"/>
          <w:color w:val="auto"/>
        </w:rPr>
      </w:pPr>
      <w:r>
        <w:rPr>
          <w:rFonts w:ascii="Arial" w:cs="Arial" w:eastAsia="Arial" w:hAnsi="Arial"/>
          <w:sz w:val="15"/>
          <w:szCs w:val="15"/>
          <w:color w:val="auto"/>
        </w:rPr>
        <w:t>In May 2005, we entered into an agreement whereby an affiliate of PRF purchased a 70% interest in the milestone payments and net royalties that we will receive on the development and worldwide sales of Rotarix®. We have received a total of $60 million in milestone payments under the PRF agreement. No additional milestone payments are due from PRF under the agreement. The PRF agreement terminates on December 12, 2012, unless otherwise extended.</w:t>
      </w:r>
    </w:p>
    <w:p>
      <w:pPr>
        <w:spacing w:after="0" w:line="142" w:lineRule="exact"/>
        <w:rPr>
          <w:sz w:val="20"/>
          <w:szCs w:val="20"/>
          <w:color w:val="auto"/>
        </w:rPr>
      </w:pPr>
    </w:p>
    <w:p>
      <w:pPr>
        <w:ind w:firstLine="351"/>
        <w:spacing w:after="0" w:line="288" w:lineRule="auto"/>
        <w:rPr>
          <w:sz w:val="20"/>
          <w:szCs w:val="20"/>
          <w:color w:val="auto"/>
        </w:rPr>
      </w:pPr>
      <w:r>
        <w:rPr>
          <w:rFonts w:ascii="Arial" w:cs="Arial" w:eastAsia="Arial" w:hAnsi="Arial"/>
          <w:sz w:val="16"/>
          <w:szCs w:val="16"/>
          <w:color w:val="auto"/>
        </w:rPr>
        <w:t>Royalty rates on Rotarix® escalate from 7% to 10% based on net product sales in countries that have valid patent protection. These royalty rates are discounted by 30% for "non-patent" countries (primarily international markets). In September 2006, we received notice from Glaxo that Glaxo would begin paying royalties on sales of Rotarix® vaccine at the lower of the two royalty rates under their 1997 license agreement. Glaxo's decision to pay the lower royalty rate (which is 70% of the full rate) is based upon Glaxo's assertion that Rotarix® is not covered by the patents Glaxo licensed from us in Australia and certain European countries. We are currently evaluating the basis for Glaxo's action and our potential remedies. If Glaxo's position stands, the royalties to which PRF is entitled will no longer be limited by a $27.5 million annual threshold. With respect to the $27.5 million annual threshold, if worldwide net royalties on sales of Rotarix® exceed $27.5 million in any year, we would retain approximately 65% of all royalties in excess of $27.5 million. Irrespective of Glaxo's position, we will still retain approximately 65% of the royalties on worldwide sales of Rotarix® if PRF receives 2.45 times the aggregate cash payments of $60 million it made to us, though the potential amount of such residual royalties will be lower if Glaxo's position stands.</w:t>
      </w:r>
    </w:p>
    <w:p>
      <w:pPr>
        <w:spacing w:after="0" w:line="174" w:lineRule="exact"/>
        <w:rPr>
          <w:sz w:val="20"/>
          <w:szCs w:val="20"/>
          <w:color w:val="auto"/>
        </w:rPr>
      </w:pPr>
    </w:p>
    <w:p>
      <w:pPr>
        <w:ind w:right="20" w:firstLine="351"/>
        <w:spacing w:after="0" w:line="294" w:lineRule="auto"/>
        <w:rPr>
          <w:sz w:val="20"/>
          <w:szCs w:val="20"/>
          <w:color w:val="auto"/>
        </w:rPr>
      </w:pPr>
      <w:r>
        <w:rPr>
          <w:rFonts w:ascii="Arial" w:cs="Arial" w:eastAsia="Arial" w:hAnsi="Arial"/>
          <w:sz w:val="16"/>
          <w:szCs w:val="16"/>
          <w:color w:val="auto"/>
        </w:rPr>
        <w:t>In late March 2010, the FDA temporarily suspended the use of Rotarix® in the United States as a precautionary measure following the discovery of PCV-1 DNA material in the vaccine. In May 2010, the FDA determined that healthcare practitioners could resume the use of Rotarix®. Our royalties from sales of Rotarix® were negatively impacted during the year ended December 31, 2010 by the FDA's decision to temporarily suspend the use of Rotarix® from March 2010 through May 2010 and that negative impact from the temporary suspension may extend into the future as well. However, our net loss and cash position were not impacted even though our royalty revenue was impacted because there was an offsetting impact on our royalty expense.</w:t>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w:t>
      </w:r>
    </w:p>
    <w:p>
      <w:pPr>
        <w:spacing w:after="0" w:line="231" w:lineRule="exact"/>
        <w:rPr>
          <w:sz w:val="20"/>
          <w:szCs w:val="20"/>
          <w:color w:val="auto"/>
        </w:rPr>
      </w:pPr>
    </w:p>
    <w:p>
      <w:pPr>
        <w:ind w:right="320" w:firstLine="351"/>
        <w:spacing w:after="0" w:line="268" w:lineRule="auto"/>
        <w:rPr>
          <w:sz w:val="20"/>
          <w:szCs w:val="20"/>
          <w:color w:val="auto"/>
        </w:rPr>
      </w:pPr>
      <w:r>
        <w:rPr>
          <w:rFonts w:ascii="Arial" w:cs="Arial" w:eastAsia="Arial" w:hAnsi="Arial"/>
          <w:sz w:val="18"/>
          <w:szCs w:val="18"/>
          <w:color w:val="auto"/>
        </w:rPr>
        <w:t>Our significant accounting policies are described in Note 2 to the consolidated financial statements included in Item 8 of this Form 10-K. We believe our most critical accounting policies include</w:t>
      </w:r>
    </w:p>
    <w:p>
      <w:pPr>
        <w:spacing w:after="0" w:line="1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55" w:name="page56"/>
    <w:bookmarkEnd w:id="55"/>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ind w:right="160"/>
        <w:spacing w:after="0" w:line="268" w:lineRule="auto"/>
        <w:rPr>
          <w:sz w:val="20"/>
          <w:szCs w:val="20"/>
          <w:color w:val="auto"/>
        </w:rPr>
      </w:pPr>
      <w:r>
        <w:rPr>
          <w:rFonts w:ascii="Arial" w:cs="Arial" w:eastAsia="Arial" w:hAnsi="Arial"/>
          <w:sz w:val="18"/>
          <w:szCs w:val="18"/>
          <w:color w:val="auto"/>
        </w:rPr>
        <w:t>accounting for business combinations, revenue recognition, impairment of long-lived assets, research and development expenses and stock-based compensation expense.</w:t>
      </w:r>
    </w:p>
    <w:p>
      <w:pPr>
        <w:spacing w:after="0" w:line="186" w:lineRule="exact"/>
        <w:rPr>
          <w:sz w:val="20"/>
          <w:szCs w:val="20"/>
          <w:color w:val="auto"/>
        </w:rPr>
      </w:pPr>
    </w:p>
    <w:p>
      <w:pPr>
        <w:ind w:right="40" w:firstLine="348"/>
        <w:spacing w:after="0" w:line="253" w:lineRule="auto"/>
        <w:rPr>
          <w:sz w:val="20"/>
          <w:szCs w:val="20"/>
          <w:color w:val="auto"/>
        </w:rPr>
      </w:pPr>
      <w:r>
        <w:rPr>
          <w:rFonts w:ascii="Arial" w:cs="Arial" w:eastAsia="Arial" w:hAnsi="Arial"/>
          <w:sz w:val="18"/>
          <w:szCs w:val="18"/>
          <w:color w:val="auto"/>
        </w:rPr>
        <w:t>The methods, estimates and judgments we use in applying our most critical accounting policies have a significant impact on the results we report in our consolidated financial statements. We evaluate our estimates and judgments on an on-going basis. We base our estimates on historical experience and on assumptions that we believe to be reasonable under the circumstances. Our experience and assumptions form the basis for our judgments about the carrying value of assets and liabilities that are not readily apparent from other sources. Actual results may vary from what we anticipate and different assumptions or estimates about the future could materially change our reported results. We believe the following accounting policies are the most critical to us in that they are important to the portrayal of our financial statements and they require our most difficult, subjective or complex judgments in the preparation of our consolidated financial statements:</w:t>
      </w: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Business Combinations</w:t>
      </w:r>
    </w:p>
    <w:p>
      <w:pPr>
        <w:spacing w:after="0" w:line="225" w:lineRule="exact"/>
        <w:rPr>
          <w:sz w:val="20"/>
          <w:szCs w:val="20"/>
          <w:color w:val="auto"/>
        </w:rPr>
      </w:pPr>
    </w:p>
    <w:p>
      <w:pPr>
        <w:ind w:firstLine="348"/>
        <w:spacing w:after="0" w:line="288" w:lineRule="auto"/>
        <w:rPr>
          <w:sz w:val="20"/>
          <w:szCs w:val="20"/>
          <w:color w:val="auto"/>
        </w:rPr>
      </w:pPr>
      <w:r>
        <w:rPr>
          <w:rFonts w:ascii="Arial" w:cs="Arial" w:eastAsia="Arial" w:hAnsi="Arial"/>
          <w:sz w:val="16"/>
          <w:szCs w:val="16"/>
          <w:color w:val="auto"/>
        </w:rPr>
        <w:t>We account for business combinations that were completed after January 1, 2009, including the CuraGen Merger, or will be completed in the future, under the acquisition method of accounting. We assign the value of the consideration transferred to acquire a business to the tangible assets and identifiable intangible assets acquired and liabilities assumed on the basis of their fair values at the date of acquisition. We assess the fair value of assets, including intangible assets such as IPR&amp;D, using a variety of methods including present-value models. Each asset is measured at fair value from the perspective of a market participant. The method used to estimate the fair values of IPR&amp;D assets incorporates significant assumptions regarding the estimates a market participant would make in order to evaluate an asset, including a market participant's assumptions regarding the probability of completing IPR&amp;D projects, which would require obtaining regulatory approval for marketing of the associated drug candidate; a market participant's estimates regarding the timing of and the expected costs to complete IPR&amp;D projects; a market participant's estimates of future cash flows from potential product sales; and the appropriate discount rates for a market participant. Transaction costs and restructuring costs associated with the transaction are expensed as incurred.</w:t>
      </w:r>
    </w:p>
    <w:p>
      <w:pPr>
        <w:spacing w:after="0" w:line="174" w:lineRule="exact"/>
        <w:rPr>
          <w:sz w:val="20"/>
          <w:szCs w:val="20"/>
          <w:color w:val="auto"/>
        </w:rPr>
      </w:pPr>
    </w:p>
    <w:p>
      <w:pPr>
        <w:ind w:firstLine="351"/>
        <w:spacing w:after="0" w:line="254" w:lineRule="auto"/>
        <w:rPr>
          <w:sz w:val="20"/>
          <w:szCs w:val="20"/>
          <w:color w:val="auto"/>
        </w:rPr>
      </w:pPr>
      <w:r>
        <w:rPr>
          <w:rFonts w:ascii="Arial" w:cs="Arial" w:eastAsia="Arial" w:hAnsi="Arial"/>
          <w:sz w:val="18"/>
          <w:szCs w:val="18"/>
          <w:color w:val="auto"/>
        </w:rPr>
        <w:t>IPR&amp;D assets acquired in a business combination initially are recorded at fair value and accounted for as indefinite-lived intangible assets. These assets are maintained on our consolidated balance sheets until either the project underlying them is completed or the assets become impaired. If a project is completed, the carrying value of the related intangible asset is amortized over the remaining estimated life of the asset beginning in the period in which the project is completed. If a project becomes impaired or is abandoned, the carrying value of the related intangible asset is written down to its fair value and an impairment charge is taken in the period in which the impairment occurs. IPR&amp;D assets will be tested for impairment on an annual basis during the third quarter, or earlier if impairment indicators are present.</w:t>
      </w:r>
    </w:p>
    <w:p>
      <w:pPr>
        <w:spacing w:after="0" w:line="198" w:lineRule="exact"/>
        <w:rPr>
          <w:sz w:val="20"/>
          <w:szCs w:val="20"/>
          <w:color w:val="auto"/>
        </w:rPr>
      </w:pPr>
    </w:p>
    <w:p>
      <w:pPr>
        <w:ind w:right="140" w:firstLine="351"/>
        <w:spacing w:after="0" w:line="268" w:lineRule="auto"/>
        <w:rPr>
          <w:sz w:val="20"/>
          <w:szCs w:val="20"/>
          <w:color w:val="auto"/>
        </w:rPr>
      </w:pPr>
      <w:r>
        <w:rPr>
          <w:rFonts w:ascii="Arial" w:cs="Arial" w:eastAsia="Arial" w:hAnsi="Arial"/>
          <w:sz w:val="18"/>
          <w:szCs w:val="18"/>
          <w:color w:val="auto"/>
        </w:rPr>
        <w:t>Intangible assets acquired in a business combination with a finite life are recorded at fair value and amortized over the greater of economic consumption or on a straight-line basis over their estimated useful life.</w:t>
      </w:r>
    </w:p>
    <w:p>
      <w:pPr>
        <w:spacing w:after="0" w:line="186" w:lineRule="exact"/>
        <w:rPr>
          <w:sz w:val="20"/>
          <w:szCs w:val="20"/>
          <w:color w:val="auto"/>
        </w:rPr>
      </w:pPr>
    </w:p>
    <w:p>
      <w:pPr>
        <w:ind w:right="280" w:firstLine="348"/>
        <w:spacing w:after="0" w:line="306" w:lineRule="auto"/>
        <w:rPr>
          <w:sz w:val="20"/>
          <w:szCs w:val="20"/>
          <w:color w:val="auto"/>
        </w:rPr>
      </w:pPr>
      <w:r>
        <w:rPr>
          <w:rFonts w:ascii="Arial" w:cs="Arial" w:eastAsia="Arial" w:hAnsi="Arial"/>
          <w:sz w:val="16"/>
          <w:szCs w:val="16"/>
          <w:color w:val="auto"/>
        </w:rPr>
        <w:t>The difference between the purchase price and the fair value of assets acquired and liabilities assumed in a business combination is allocated to goodwill. Goodwill is evaluated for impairment on an annual basis during the third quarter, or earlier if impairment indicators are present. The Company performed an annual impairment test of the goodwill asset as of July 1, 2010 and concluded that the goodwill asset was not impaired.</w:t>
      </w:r>
    </w:p>
    <w:p>
      <w:pPr>
        <w:spacing w:after="0" w:line="161" w:lineRule="exact"/>
        <w:rPr>
          <w:sz w:val="20"/>
          <w:szCs w:val="20"/>
          <w:color w:val="auto"/>
        </w:rPr>
      </w:pPr>
    </w:p>
    <w:p>
      <w:pPr>
        <w:ind w:right="460" w:firstLine="351"/>
        <w:spacing w:after="0" w:line="332" w:lineRule="auto"/>
        <w:rPr>
          <w:sz w:val="20"/>
          <w:szCs w:val="20"/>
          <w:color w:val="auto"/>
        </w:rPr>
      </w:pPr>
      <w:r>
        <w:rPr>
          <w:rFonts w:ascii="Arial" w:cs="Arial" w:eastAsia="Arial" w:hAnsi="Arial"/>
          <w:sz w:val="16"/>
          <w:szCs w:val="16"/>
          <w:color w:val="auto"/>
        </w:rPr>
        <w:t>For acquisitions completed prior to January 1, 2009, including the AVANT Merger, we expensed the fair value of IPR&amp;D to research and development expense as of the acquisition date and included transaction costs associated with the business combination as part of the cost of the acquired company.</w:t>
      </w:r>
    </w:p>
    <w:p>
      <w:pPr>
        <w:spacing w:after="0" w:line="13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56" w:name="page57"/>
    <w:bookmarkEnd w:id="56"/>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Revenue Recognition</w:t>
      </w:r>
    </w:p>
    <w:p>
      <w:pPr>
        <w:spacing w:after="0" w:line="225" w:lineRule="exact"/>
        <w:rPr>
          <w:sz w:val="20"/>
          <w:szCs w:val="20"/>
          <w:color w:val="auto"/>
        </w:rPr>
      </w:pPr>
    </w:p>
    <w:p>
      <w:pPr>
        <w:ind w:right="140" w:firstLine="348"/>
        <w:spacing w:after="0" w:line="268" w:lineRule="auto"/>
        <w:rPr>
          <w:sz w:val="20"/>
          <w:szCs w:val="20"/>
          <w:color w:val="auto"/>
        </w:rPr>
      </w:pPr>
      <w:r>
        <w:rPr>
          <w:rFonts w:ascii="Arial" w:cs="Arial" w:eastAsia="Arial" w:hAnsi="Arial"/>
          <w:sz w:val="18"/>
          <w:szCs w:val="18"/>
          <w:color w:val="auto"/>
        </w:rPr>
        <w:t>We recognize revenue when all of the following criteria are met: persuasive evidence of an arrangement exists; delivery has occurred or services have been rendered; the seller's price to the buyer is fixed or determinable; and collectability is reasonably assured.</w:t>
      </w:r>
    </w:p>
    <w:p>
      <w:pPr>
        <w:spacing w:after="0" w:line="186" w:lineRule="exact"/>
        <w:rPr>
          <w:sz w:val="20"/>
          <w:szCs w:val="20"/>
          <w:color w:val="auto"/>
        </w:rPr>
      </w:pPr>
    </w:p>
    <w:p>
      <w:pPr>
        <w:ind w:right="60" w:firstLine="351"/>
        <w:spacing w:after="0" w:line="255" w:lineRule="auto"/>
        <w:rPr>
          <w:sz w:val="20"/>
          <w:szCs w:val="20"/>
          <w:color w:val="auto"/>
        </w:rPr>
      </w:pPr>
      <w:r>
        <w:rPr>
          <w:rFonts w:ascii="Arial" w:cs="Arial" w:eastAsia="Arial" w:hAnsi="Arial"/>
          <w:sz w:val="18"/>
          <w:szCs w:val="18"/>
          <w:color w:val="auto"/>
        </w:rPr>
        <w:t>In January 2010, we adopted a new U.S. GAAP accounting standard which amends existing revenue recognition accounting guidance to provide accounting principles and application guidance on whether multiple deliverables exist, how the arrangement should be separated, and the consideration allocated. This new guidance eliminates the requirement to establish objective evidence of fair value of undelivered products and services and instead provides for separate revenue recognition based upon management's estimate of the selling price for an undelivered item when there is no other means to determine the fair value of that undelivered item.</w:t>
      </w:r>
    </w:p>
    <w:p>
      <w:pPr>
        <w:spacing w:after="0" w:line="197" w:lineRule="exact"/>
        <w:rPr>
          <w:sz w:val="20"/>
          <w:szCs w:val="20"/>
          <w:color w:val="auto"/>
        </w:rPr>
      </w:pPr>
    </w:p>
    <w:p>
      <w:pPr>
        <w:ind w:firstLine="351"/>
        <w:spacing w:after="0" w:line="286" w:lineRule="auto"/>
        <w:rPr>
          <w:sz w:val="20"/>
          <w:szCs w:val="20"/>
          <w:color w:val="auto"/>
        </w:rPr>
      </w:pPr>
      <w:r>
        <w:rPr>
          <w:rFonts w:ascii="Arial" w:cs="Arial" w:eastAsia="Arial" w:hAnsi="Arial"/>
          <w:sz w:val="16"/>
          <w:szCs w:val="16"/>
          <w:color w:val="auto"/>
        </w:rPr>
        <w:t>Prior to the adoption of the new revenue recognition standard, we had entered into various license and development agreements with pharmaceutical and biotechnology companies. The terms of the agreements typically include non-refundable license fees, funding of research and development, payments based upon achievement of certain milestones and royalties on net product sales. Non-refundable license fees were recognized as revenue when we had a contractual right to receive such payments, provided that (i) a contractual arrangement exists, (ii) the contract price is fixed or determinable, (iii) the collection of the resulting receivable is reasonably assured and (iv) we had no further performance obligations under the license agreement. Upfront non-refundable fees associated with license and development agreements where we had continuing performance obligations under the terms of the agreement were recorded as deferred revenue and recognized as revenue over the estimated service period as we completed our obligations. Where our level of effort was relatively constant over the performance period or no other pattern was estimable, the revenue was recognized on a straight-line basis. Revenue was limited to the lesser of the cumulative amount of payments due or the cumulative amount of revenue earned, as determined using the straight-line basis, as of the period ending date. If the estimated service period was subsequently modified, the period over which the upfront fee was recognized was modified accordingly on a prospective basis. The determination of the performance period involved judgment on management's part. Funding of research and development was recognized as revenue over the term of the applicable contract as costs are incurred related to that contract.</w:t>
      </w:r>
    </w:p>
    <w:p>
      <w:pPr>
        <w:spacing w:after="0" w:line="178" w:lineRule="exact"/>
        <w:rPr>
          <w:sz w:val="20"/>
          <w:szCs w:val="20"/>
          <w:color w:val="auto"/>
        </w:rPr>
      </w:pPr>
    </w:p>
    <w:p>
      <w:pPr>
        <w:jc w:val="both"/>
        <w:ind w:right="220" w:firstLine="351"/>
        <w:spacing w:after="0" w:line="256" w:lineRule="auto"/>
        <w:rPr>
          <w:sz w:val="20"/>
          <w:szCs w:val="20"/>
          <w:color w:val="auto"/>
        </w:rPr>
      </w:pPr>
      <w:r>
        <w:rPr>
          <w:rFonts w:ascii="Arial" w:cs="Arial" w:eastAsia="Arial" w:hAnsi="Arial"/>
          <w:sz w:val="18"/>
          <w:szCs w:val="18"/>
          <w:color w:val="auto"/>
        </w:rPr>
        <w:t>Payments received to fund certain research activities are recognized as revenue in the period in which the research activities are performed. Revenue from contracts and grants is recognized as the services are performed and recorded as effort is expended on the contracted work and billed to the government or our contractual partner. Payments received in advance that are related to future performance are deferred and recognized as revenue when the research projects are performed.</w:t>
      </w:r>
    </w:p>
    <w:p>
      <w:pPr>
        <w:spacing w:after="0" w:line="197" w:lineRule="exact"/>
        <w:rPr>
          <w:sz w:val="20"/>
          <w:szCs w:val="20"/>
          <w:color w:val="auto"/>
        </w:rPr>
      </w:pPr>
    </w:p>
    <w:p>
      <w:pPr>
        <w:ind w:right="40" w:firstLine="351"/>
        <w:spacing w:after="0" w:line="259" w:lineRule="auto"/>
        <w:rPr>
          <w:sz w:val="20"/>
          <w:szCs w:val="20"/>
          <w:color w:val="auto"/>
        </w:rPr>
      </w:pPr>
      <w:r>
        <w:rPr>
          <w:rFonts w:ascii="Arial" w:cs="Arial" w:eastAsia="Arial" w:hAnsi="Arial"/>
          <w:sz w:val="18"/>
          <w:szCs w:val="18"/>
          <w:color w:val="auto"/>
        </w:rPr>
        <w:t>Product royalty revenue consists of payments received from licensees for a portion of sales proceeds from products that utilize our licensed technologies and are recognized when the amount of and basis for such royalty payments are reported to us in accurate and appropriate form and in accordance with the related license agreement.</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Impairment of Long-Lived Assets</w:t>
      </w:r>
    </w:p>
    <w:p>
      <w:pPr>
        <w:spacing w:after="0" w:line="225" w:lineRule="exact"/>
        <w:rPr>
          <w:sz w:val="20"/>
          <w:szCs w:val="20"/>
          <w:color w:val="auto"/>
        </w:rPr>
      </w:pPr>
    </w:p>
    <w:p>
      <w:pPr>
        <w:ind w:firstLine="348"/>
        <w:spacing w:after="0" w:line="256" w:lineRule="auto"/>
        <w:rPr>
          <w:sz w:val="20"/>
          <w:szCs w:val="20"/>
          <w:color w:val="auto"/>
        </w:rPr>
      </w:pPr>
      <w:r>
        <w:rPr>
          <w:rFonts w:ascii="Arial" w:cs="Arial" w:eastAsia="Arial" w:hAnsi="Arial"/>
          <w:sz w:val="18"/>
          <w:szCs w:val="18"/>
          <w:color w:val="auto"/>
        </w:rPr>
        <w:t>We evaluate the recoverability of our long-lived assets, including property and equipment, and intangible assets when circumstances indicate that an event of impairment may have occurred. Determination of recoverability is based on an estimate of undiscounted future cash flows resulting from the use of the asset and its eventual disposition. In the event that such cash flows are not expected to be sufficient to recover the carrying amount of the assets, the assets are written-down to their estimated fair values.</w:t>
      </w:r>
    </w:p>
    <w:p>
      <w:pPr>
        <w:spacing w:after="0" w:line="1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57" w:name="page58"/>
    <w:bookmarkEnd w:id="57"/>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Research and Development Expenses</w:t>
      </w:r>
    </w:p>
    <w:p>
      <w:pPr>
        <w:spacing w:after="0" w:line="225" w:lineRule="exact"/>
        <w:rPr>
          <w:sz w:val="20"/>
          <w:szCs w:val="20"/>
          <w:color w:val="auto"/>
        </w:rPr>
      </w:pPr>
    </w:p>
    <w:p>
      <w:pPr>
        <w:ind w:right="240" w:firstLine="351"/>
        <w:spacing w:after="0" w:line="259" w:lineRule="auto"/>
        <w:rPr>
          <w:sz w:val="20"/>
          <w:szCs w:val="20"/>
          <w:color w:val="auto"/>
        </w:rPr>
      </w:pPr>
      <w:r>
        <w:rPr>
          <w:rFonts w:ascii="Arial" w:cs="Arial" w:eastAsia="Arial" w:hAnsi="Arial"/>
          <w:sz w:val="18"/>
          <w:szCs w:val="18"/>
          <w:color w:val="auto"/>
        </w:rPr>
        <w:t>Research and development costs, including internal and contract research costs, are expensed as incurred. Research and development expenses consist mainly of clinical trial costs, manufacturing of clinical material, toxicology and other studies, personnel costs, depreciation, license fees and funding of outside research.</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Stock-Based Compensation Expense</w:t>
      </w:r>
    </w:p>
    <w:p>
      <w:pPr>
        <w:spacing w:after="0" w:line="225" w:lineRule="exact"/>
        <w:rPr>
          <w:sz w:val="20"/>
          <w:szCs w:val="20"/>
          <w:color w:val="auto"/>
        </w:rPr>
      </w:pPr>
    </w:p>
    <w:p>
      <w:pPr>
        <w:ind w:right="260" w:firstLine="348"/>
        <w:spacing w:after="0" w:line="306" w:lineRule="auto"/>
        <w:rPr>
          <w:sz w:val="20"/>
          <w:szCs w:val="20"/>
          <w:color w:val="auto"/>
        </w:rPr>
      </w:pPr>
      <w:r>
        <w:rPr>
          <w:rFonts w:ascii="Arial" w:cs="Arial" w:eastAsia="Arial" w:hAnsi="Arial"/>
          <w:sz w:val="16"/>
          <w:szCs w:val="16"/>
          <w:color w:val="auto"/>
        </w:rPr>
        <w:t>We record stock-based compensation expense for all stock-based awards made to employees and directors based on the estimated fair values of the stock-based awards expected to vest at the grant date and is adjusted, if necessary, to reflect actual forfeitures. Compensation expense for all stock-based awards to employees and directors is recognized using the straight-line method over the term of vesting or performance.</w:t>
      </w:r>
    </w:p>
    <w:p>
      <w:pPr>
        <w:spacing w:after="0" w:line="161" w:lineRule="exact"/>
        <w:rPr>
          <w:sz w:val="20"/>
          <w:szCs w:val="20"/>
          <w:color w:val="auto"/>
        </w:rPr>
      </w:pPr>
    </w:p>
    <w:p>
      <w:pPr>
        <w:ind w:right="140" w:firstLine="348"/>
        <w:spacing w:after="0" w:line="268" w:lineRule="auto"/>
        <w:rPr>
          <w:sz w:val="20"/>
          <w:szCs w:val="20"/>
          <w:color w:val="auto"/>
        </w:rPr>
      </w:pPr>
      <w:r>
        <w:rPr>
          <w:rFonts w:ascii="Arial" w:cs="Arial" w:eastAsia="Arial" w:hAnsi="Arial"/>
          <w:sz w:val="18"/>
          <w:szCs w:val="18"/>
          <w:color w:val="auto"/>
        </w:rPr>
        <w:t>We record stock-based compensation expense for stock options granted to non-employees based on the fair value of the stock options which is re-measured over the vesting term resulting in periodic adjustments to stock-based compensation expense.</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231" w:lineRule="exact"/>
        <w:rPr>
          <w:sz w:val="20"/>
          <w:szCs w:val="20"/>
          <w:color w:val="auto"/>
        </w:rPr>
      </w:pPr>
    </w:p>
    <w:p>
      <w:pPr>
        <w:ind w:right="200" w:firstLine="351"/>
        <w:spacing w:after="0" w:line="256" w:lineRule="auto"/>
        <w:rPr>
          <w:sz w:val="20"/>
          <w:szCs w:val="20"/>
          <w:color w:val="auto"/>
        </w:rPr>
      </w:pPr>
      <w:r>
        <w:rPr>
          <w:rFonts w:ascii="Arial" w:cs="Arial" w:eastAsia="Arial" w:hAnsi="Arial"/>
          <w:sz w:val="18"/>
          <w:szCs w:val="18"/>
          <w:color w:val="auto"/>
        </w:rPr>
        <w:t>Our financial statements prior to the AVANT Merger reflect the financial position, results of operations and cash flows of Celldex Research. Following the AVANT Merger but prior to the CuraGen Merger, our financial statements reflect the financial position, results of operation and cash flows of the combined AVANT and Celldex Research. Following the CuraGen Merger, our financial statements reflect the financial position, results of operation and cash flows of the combined companies (AVANT, Celldex Research and CuraGen).</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Year Ended December 31, 2010 compared with Year Ended December 31, 2009</w:t>
      </w:r>
    </w:p>
    <w:p>
      <w:pPr>
        <w:spacing w:after="0" w:line="200" w:lineRule="exact"/>
        <w:rPr>
          <w:sz w:val="20"/>
          <w:szCs w:val="20"/>
          <w:color w:val="auto"/>
        </w:rPr>
      </w:pPr>
    </w:p>
    <w:p>
      <w:pPr>
        <w:spacing w:after="0" w:line="22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160" w:type="dxa"/>
            <w:vAlign w:val="bottom"/>
          </w:tcPr>
          <w:p>
            <w:pPr>
              <w:spacing w:after="0"/>
              <w:rPr>
                <w:sz w:val="14"/>
                <w:szCs w:val="14"/>
                <w:color w:val="auto"/>
              </w:rPr>
            </w:pPr>
          </w:p>
        </w:tc>
        <w:tc>
          <w:tcPr>
            <w:tcW w:w="402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720" w:type="dxa"/>
            <w:vAlign w:val="bottom"/>
            <w:gridSpan w:val="5"/>
            <w:vMerge w:val="restart"/>
          </w:tcPr>
          <w:p>
            <w:pPr>
              <w:jc w:val="right"/>
              <w:ind w:right="220"/>
              <w:spacing w:after="0"/>
              <w:rPr>
                <w:sz w:val="20"/>
                <w:szCs w:val="20"/>
                <w:color w:val="auto"/>
              </w:rPr>
            </w:pPr>
            <w:r>
              <w:rPr>
                <w:rFonts w:ascii="Arial" w:cs="Arial" w:eastAsia="Arial" w:hAnsi="Arial"/>
                <w:sz w:val="14"/>
                <w:szCs w:val="14"/>
                <w:b w:val="1"/>
                <w:bCs w:val="1"/>
                <w:color w:val="auto"/>
                <w:w w:val="86"/>
              </w:rPr>
              <w:t>Year Ended December 31,</w:t>
            </w: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4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88"/>
              </w:rPr>
              <w:t>Increase/</w:t>
            </w:r>
          </w:p>
        </w:tc>
        <w:tc>
          <w:tcPr>
            <w:tcW w:w="2220" w:type="dxa"/>
            <w:vAlign w:val="bottom"/>
            <w:gridSpan w:val="3"/>
          </w:tcPr>
          <w:p>
            <w:pPr>
              <w:jc w:val="center"/>
              <w:ind w:right="1460"/>
              <w:spacing w:after="0"/>
              <w:rPr>
                <w:sz w:val="20"/>
                <w:szCs w:val="20"/>
                <w:color w:val="auto"/>
              </w:rPr>
            </w:pPr>
            <w:r>
              <w:rPr>
                <w:rFonts w:ascii="Arial" w:cs="Arial" w:eastAsia="Arial" w:hAnsi="Arial"/>
                <w:sz w:val="14"/>
                <w:szCs w:val="14"/>
                <w:b w:val="1"/>
                <w:bCs w:val="1"/>
                <w:color w:val="auto"/>
                <w:w w:val="85"/>
              </w:rPr>
              <w:t>Increase/</w:t>
            </w:r>
          </w:p>
        </w:tc>
        <w:tc>
          <w:tcPr>
            <w:tcW w:w="0" w:type="dxa"/>
            <w:vAlign w:val="bottom"/>
          </w:tcPr>
          <w:p>
            <w:pPr>
              <w:spacing w:after="0"/>
              <w:rPr>
                <w:sz w:val="1"/>
                <w:szCs w:val="1"/>
                <w:color w:val="auto"/>
              </w:rPr>
            </w:pPr>
          </w:p>
        </w:tc>
      </w:tr>
      <w:tr>
        <w:trPr>
          <w:trHeight w:val="67"/>
        </w:trPr>
        <w:tc>
          <w:tcPr>
            <w:tcW w:w="1160" w:type="dxa"/>
            <w:vAlign w:val="bottom"/>
          </w:tcPr>
          <w:p>
            <w:pPr>
              <w:spacing w:after="0"/>
              <w:rPr>
                <w:sz w:val="5"/>
                <w:szCs w:val="5"/>
                <w:color w:val="auto"/>
              </w:rPr>
            </w:pPr>
          </w:p>
        </w:tc>
        <w:tc>
          <w:tcPr>
            <w:tcW w:w="4020" w:type="dxa"/>
            <w:vAlign w:val="bottom"/>
          </w:tcPr>
          <w:p>
            <w:pPr>
              <w:spacing w:after="0"/>
              <w:rPr>
                <w:sz w:val="5"/>
                <w:szCs w:val="5"/>
                <w:color w:val="auto"/>
              </w:rPr>
            </w:pPr>
          </w:p>
        </w:tc>
        <w:tc>
          <w:tcPr>
            <w:tcW w:w="1200" w:type="dxa"/>
            <w:vAlign w:val="bottom"/>
          </w:tcPr>
          <w:p>
            <w:pPr>
              <w:spacing w:after="0"/>
              <w:rPr>
                <w:sz w:val="5"/>
                <w:szCs w:val="5"/>
                <w:color w:val="auto"/>
              </w:rPr>
            </w:pPr>
          </w:p>
        </w:tc>
        <w:tc>
          <w:tcPr>
            <w:tcW w:w="100" w:type="dxa"/>
            <w:vAlign w:val="bottom"/>
          </w:tcPr>
          <w:p>
            <w:pPr>
              <w:spacing w:after="0"/>
              <w:rPr>
                <w:sz w:val="5"/>
                <w:szCs w:val="5"/>
                <w:color w:val="auto"/>
              </w:rPr>
            </w:pPr>
          </w:p>
        </w:tc>
        <w:tc>
          <w:tcPr>
            <w:tcW w:w="1720" w:type="dxa"/>
            <w:vAlign w:val="bottom"/>
            <w:gridSpan w:val="5"/>
            <w:vMerge w:val="continue"/>
          </w:tcPr>
          <w:p>
            <w:pPr>
              <w:spacing w:after="0"/>
              <w:rPr>
                <w:sz w:val="5"/>
                <w:szCs w:val="5"/>
                <w:color w:val="auto"/>
              </w:rPr>
            </w:pPr>
          </w:p>
        </w:tc>
        <w:tc>
          <w:tcPr>
            <w:tcW w:w="40" w:type="dxa"/>
            <w:vAlign w:val="bottom"/>
          </w:tcPr>
          <w:p>
            <w:pPr>
              <w:spacing w:after="0"/>
              <w:rPr>
                <w:sz w:val="5"/>
                <w:szCs w:val="5"/>
                <w:color w:val="auto"/>
              </w:rPr>
            </w:pPr>
          </w:p>
        </w:tc>
        <w:tc>
          <w:tcPr>
            <w:tcW w:w="960" w:type="dxa"/>
            <w:vAlign w:val="bottom"/>
            <w:gridSpan w:val="3"/>
            <w:vMerge w:val="restart"/>
          </w:tcPr>
          <w:p>
            <w:pPr>
              <w:jc w:val="center"/>
              <w:ind w:right="180"/>
              <w:spacing w:after="0" w:line="149" w:lineRule="exact"/>
              <w:rPr>
                <w:sz w:val="20"/>
                <w:szCs w:val="20"/>
                <w:color w:val="auto"/>
              </w:rPr>
            </w:pPr>
            <w:r>
              <w:rPr>
                <w:rFonts w:ascii="Arial" w:cs="Arial" w:eastAsia="Arial" w:hAnsi="Arial"/>
                <w:sz w:val="14"/>
                <w:szCs w:val="14"/>
                <w:b w:val="1"/>
                <w:bCs w:val="1"/>
                <w:color w:val="auto"/>
                <w:w w:val="86"/>
              </w:rPr>
              <w:t>(Decrease)</w:t>
            </w:r>
          </w:p>
        </w:tc>
        <w:tc>
          <w:tcPr>
            <w:tcW w:w="2220" w:type="dxa"/>
            <w:vAlign w:val="bottom"/>
            <w:gridSpan w:val="3"/>
            <w:vMerge w:val="restart"/>
          </w:tcPr>
          <w:p>
            <w:pPr>
              <w:jc w:val="center"/>
              <w:ind w:right="1460"/>
              <w:spacing w:after="0" w:line="149" w:lineRule="exact"/>
              <w:rPr>
                <w:sz w:val="20"/>
                <w:szCs w:val="20"/>
                <w:color w:val="auto"/>
              </w:rPr>
            </w:pPr>
            <w:r>
              <w:rPr>
                <w:rFonts w:ascii="Arial" w:cs="Arial" w:eastAsia="Arial" w:hAnsi="Arial"/>
                <w:sz w:val="14"/>
                <w:szCs w:val="14"/>
                <w:b w:val="1"/>
                <w:bCs w:val="1"/>
                <w:color w:val="auto"/>
                <w:w w:val="83"/>
              </w:rPr>
              <w:t>(Decrease)</w:t>
            </w:r>
          </w:p>
        </w:tc>
        <w:tc>
          <w:tcPr>
            <w:tcW w:w="0" w:type="dxa"/>
            <w:vAlign w:val="bottom"/>
          </w:tcPr>
          <w:p>
            <w:pPr>
              <w:spacing w:after="0"/>
              <w:rPr>
                <w:sz w:val="1"/>
                <w:szCs w:val="1"/>
                <w:color w:val="auto"/>
              </w:rPr>
            </w:pPr>
          </w:p>
        </w:tc>
      </w:tr>
      <w:tr>
        <w:trPr>
          <w:trHeight w:val="62"/>
        </w:trPr>
        <w:tc>
          <w:tcPr>
            <w:tcW w:w="1160" w:type="dxa"/>
            <w:vAlign w:val="bottom"/>
          </w:tcPr>
          <w:p>
            <w:pPr>
              <w:spacing w:after="0"/>
              <w:rPr>
                <w:sz w:val="5"/>
                <w:szCs w:val="5"/>
                <w:color w:val="auto"/>
              </w:rPr>
            </w:pPr>
          </w:p>
        </w:tc>
        <w:tc>
          <w:tcPr>
            <w:tcW w:w="4020" w:type="dxa"/>
            <w:vAlign w:val="bottom"/>
          </w:tcPr>
          <w:p>
            <w:pPr>
              <w:spacing w:after="0"/>
              <w:rPr>
                <w:sz w:val="5"/>
                <w:szCs w:val="5"/>
                <w:color w:val="auto"/>
              </w:rPr>
            </w:pPr>
          </w:p>
        </w:tc>
        <w:tc>
          <w:tcPr>
            <w:tcW w:w="1200" w:type="dxa"/>
            <w:vAlign w:val="bottom"/>
          </w:tcPr>
          <w:p>
            <w:pPr>
              <w:spacing w:after="0"/>
              <w:rPr>
                <w:sz w:val="5"/>
                <w:szCs w:val="5"/>
                <w:color w:val="auto"/>
              </w:rPr>
            </w:pPr>
          </w:p>
        </w:tc>
        <w:tc>
          <w:tcPr>
            <w:tcW w:w="100" w:type="dxa"/>
            <w:vAlign w:val="bottom"/>
            <w:tcBorders>
              <w:top w:val="single" w:sz="8" w:color="auto"/>
            </w:tcBorders>
          </w:tcPr>
          <w:p>
            <w:pPr>
              <w:spacing w:after="0"/>
              <w:rPr>
                <w:sz w:val="5"/>
                <w:szCs w:val="5"/>
                <w:color w:val="auto"/>
              </w:rPr>
            </w:pPr>
          </w:p>
        </w:tc>
        <w:tc>
          <w:tcPr>
            <w:tcW w:w="680" w:type="dxa"/>
            <w:vAlign w:val="bottom"/>
            <w:tcBorders>
              <w:top w:val="single" w:sz="8" w:color="auto"/>
            </w:tcBorders>
          </w:tcPr>
          <w:p>
            <w:pPr>
              <w:spacing w:after="0"/>
              <w:rPr>
                <w:sz w:val="5"/>
                <w:szCs w:val="5"/>
                <w:color w:val="auto"/>
              </w:rPr>
            </w:pPr>
          </w:p>
        </w:tc>
        <w:tc>
          <w:tcPr>
            <w:tcW w:w="160" w:type="dxa"/>
            <w:vAlign w:val="bottom"/>
            <w:tcBorders>
              <w:top w:val="single" w:sz="8" w:color="auto"/>
            </w:tcBorders>
          </w:tcPr>
          <w:p>
            <w:pPr>
              <w:spacing w:after="0"/>
              <w:rPr>
                <w:sz w:val="5"/>
                <w:szCs w:val="5"/>
                <w:color w:val="auto"/>
              </w:rPr>
            </w:pPr>
          </w:p>
        </w:tc>
        <w:tc>
          <w:tcPr>
            <w:tcW w:w="140" w:type="dxa"/>
            <w:vAlign w:val="bottom"/>
            <w:tcBorders>
              <w:top w:val="single" w:sz="8" w:color="auto"/>
            </w:tcBorders>
          </w:tcPr>
          <w:p>
            <w:pPr>
              <w:spacing w:after="0"/>
              <w:rPr>
                <w:sz w:val="5"/>
                <w:szCs w:val="5"/>
                <w:color w:val="auto"/>
              </w:rPr>
            </w:pPr>
          </w:p>
        </w:tc>
        <w:tc>
          <w:tcPr>
            <w:tcW w:w="620" w:type="dxa"/>
            <w:vAlign w:val="bottom"/>
            <w:tcBorders>
              <w:top w:val="single" w:sz="8" w:color="auto"/>
            </w:tcBorders>
          </w:tcPr>
          <w:p>
            <w:pPr>
              <w:spacing w:after="0"/>
              <w:rPr>
                <w:sz w:val="5"/>
                <w:szCs w:val="5"/>
                <w:color w:val="auto"/>
              </w:rPr>
            </w:pPr>
          </w:p>
        </w:tc>
        <w:tc>
          <w:tcPr>
            <w:tcW w:w="120" w:type="dxa"/>
            <w:vAlign w:val="bottom"/>
          </w:tcPr>
          <w:p>
            <w:pPr>
              <w:spacing w:after="0"/>
              <w:rPr>
                <w:sz w:val="5"/>
                <w:szCs w:val="5"/>
                <w:color w:val="auto"/>
              </w:rPr>
            </w:pPr>
          </w:p>
        </w:tc>
        <w:tc>
          <w:tcPr>
            <w:tcW w:w="40" w:type="dxa"/>
            <w:vAlign w:val="bottom"/>
          </w:tcPr>
          <w:p>
            <w:pPr>
              <w:spacing w:after="0"/>
              <w:rPr>
                <w:sz w:val="5"/>
                <w:szCs w:val="5"/>
                <w:color w:val="auto"/>
              </w:rPr>
            </w:pPr>
          </w:p>
        </w:tc>
        <w:tc>
          <w:tcPr>
            <w:tcW w:w="960" w:type="dxa"/>
            <w:vAlign w:val="bottom"/>
            <w:gridSpan w:val="3"/>
            <w:vMerge w:val="continue"/>
          </w:tcPr>
          <w:p>
            <w:pPr>
              <w:spacing w:after="0"/>
              <w:rPr>
                <w:sz w:val="5"/>
                <w:szCs w:val="5"/>
                <w:color w:val="auto"/>
              </w:rPr>
            </w:pPr>
          </w:p>
        </w:tc>
        <w:tc>
          <w:tcPr>
            <w:tcW w:w="22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61"/>
        </w:trPr>
        <w:tc>
          <w:tcPr>
            <w:tcW w:w="1160" w:type="dxa"/>
            <w:vAlign w:val="bottom"/>
          </w:tcPr>
          <w:p>
            <w:pPr>
              <w:spacing w:after="0"/>
              <w:rPr>
                <w:sz w:val="14"/>
                <w:szCs w:val="14"/>
                <w:color w:val="auto"/>
              </w:rPr>
            </w:pPr>
          </w:p>
        </w:tc>
        <w:tc>
          <w:tcPr>
            <w:tcW w:w="402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jc w:val="right"/>
              <w:ind w:right="174"/>
              <w:spacing w:after="0"/>
              <w:rPr>
                <w:sz w:val="20"/>
                <w:szCs w:val="20"/>
                <w:color w:val="auto"/>
              </w:rPr>
            </w:pPr>
            <w:r>
              <w:rPr>
                <w:rFonts w:ascii="Arial" w:cs="Arial" w:eastAsia="Arial" w:hAnsi="Arial"/>
                <w:sz w:val="14"/>
                <w:szCs w:val="14"/>
                <w:b w:val="1"/>
                <w:bCs w:val="1"/>
                <w:color w:val="auto"/>
              </w:rPr>
              <w:t>2010</w:t>
            </w:r>
          </w:p>
        </w:tc>
        <w:tc>
          <w:tcPr>
            <w:tcW w:w="16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jc w:val="right"/>
              <w:ind w:right="174"/>
              <w:spacing w:after="0"/>
              <w:rPr>
                <w:sz w:val="20"/>
                <w:szCs w:val="20"/>
                <w:color w:val="auto"/>
              </w:rPr>
            </w:pPr>
            <w:r>
              <w:rPr>
                <w:rFonts w:ascii="Arial" w:cs="Arial" w:eastAsia="Arial" w:hAnsi="Arial"/>
                <w:sz w:val="14"/>
                <w:szCs w:val="14"/>
                <w:b w:val="1"/>
                <w:bCs w:val="1"/>
                <w:color w:val="auto"/>
              </w:rPr>
              <w:t>2009</w:t>
            </w:r>
          </w:p>
        </w:tc>
        <w:tc>
          <w:tcPr>
            <w:tcW w:w="1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jc w:val="center"/>
              <w:ind w:right="34"/>
              <w:spacing w:after="0"/>
              <w:rPr>
                <w:sz w:val="20"/>
                <w:szCs w:val="20"/>
                <w:color w:val="auto"/>
              </w:rPr>
            </w:pPr>
            <w:r>
              <w:rPr>
                <w:rFonts w:ascii="Arial" w:cs="Arial" w:eastAsia="Arial" w:hAnsi="Arial"/>
                <w:sz w:val="14"/>
                <w:szCs w:val="14"/>
                <w:b w:val="1"/>
                <w:bCs w:val="1"/>
                <w:color w:val="auto"/>
                <w:w w:val="76"/>
              </w:rPr>
              <w:t>$</w:t>
            </w:r>
          </w:p>
        </w:tc>
        <w:tc>
          <w:tcPr>
            <w:tcW w:w="180" w:type="dxa"/>
            <w:vAlign w:val="bottom"/>
          </w:tcPr>
          <w:p>
            <w:pPr>
              <w:spacing w:after="0"/>
              <w:rPr>
                <w:sz w:val="14"/>
                <w:szCs w:val="14"/>
                <w:color w:val="auto"/>
              </w:rPr>
            </w:pPr>
          </w:p>
        </w:tc>
        <w:tc>
          <w:tcPr>
            <w:tcW w:w="7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w:t>
            </w:r>
          </w:p>
        </w:tc>
        <w:tc>
          <w:tcPr>
            <w:tcW w:w="30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1160" w:type="dxa"/>
            <w:vAlign w:val="bottom"/>
          </w:tcPr>
          <w:p>
            <w:pPr>
              <w:spacing w:after="0"/>
              <w:rPr>
                <w:sz w:val="12"/>
                <w:szCs w:val="12"/>
                <w:color w:val="auto"/>
              </w:rPr>
            </w:pPr>
          </w:p>
        </w:tc>
        <w:tc>
          <w:tcPr>
            <w:tcW w:w="402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560" w:type="dxa"/>
            <w:vAlign w:val="bottom"/>
            <w:gridSpan w:val="5"/>
          </w:tcPr>
          <w:p>
            <w:pPr>
              <w:jc w:val="right"/>
              <w:ind w:right="334"/>
              <w:spacing w:after="0" w:line="142" w:lineRule="exact"/>
              <w:rPr>
                <w:sz w:val="20"/>
                <w:szCs w:val="20"/>
                <w:color w:val="auto"/>
              </w:rPr>
            </w:pPr>
            <w:r>
              <w:rPr>
                <w:rFonts w:ascii="Arial" w:cs="Arial" w:eastAsia="Arial" w:hAnsi="Arial"/>
                <w:sz w:val="14"/>
                <w:szCs w:val="14"/>
                <w:b w:val="1"/>
                <w:bCs w:val="1"/>
                <w:color w:val="auto"/>
              </w:rPr>
              <w:t>(In thousands)</w:t>
            </w:r>
          </w:p>
        </w:tc>
        <w:tc>
          <w:tcPr>
            <w:tcW w:w="1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4020" w:type="dxa"/>
            <w:vAlign w:val="bottom"/>
            <w:shd w:val="clear" w:color="auto" w:fill="CCEEFF"/>
          </w:tcPr>
          <w:p>
            <w:pPr>
              <w:spacing w:after="0"/>
              <w:rPr>
                <w:sz w:val="20"/>
                <w:szCs w:val="20"/>
                <w:color w:val="auto"/>
              </w:rPr>
            </w:pPr>
            <w:r>
              <w:rPr>
                <w:rFonts w:ascii="Arial" w:cs="Arial" w:eastAsia="Arial" w:hAnsi="Arial"/>
                <w:sz w:val="18"/>
                <w:szCs w:val="18"/>
                <w:color w:val="auto"/>
              </w:rPr>
              <w:t>Revenue:</w:t>
            </w:r>
          </w:p>
        </w:tc>
        <w:tc>
          <w:tcPr>
            <w:tcW w:w="1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4020" w:type="dxa"/>
            <w:vAlign w:val="bottom"/>
          </w:tcPr>
          <w:p>
            <w:pPr>
              <w:ind w:left="120"/>
              <w:spacing w:after="0"/>
              <w:rPr>
                <w:sz w:val="20"/>
                <w:szCs w:val="20"/>
                <w:color w:val="auto"/>
              </w:rPr>
            </w:pPr>
            <w:r>
              <w:rPr>
                <w:rFonts w:ascii="Arial" w:cs="Arial" w:eastAsia="Arial" w:hAnsi="Arial"/>
                <w:sz w:val="18"/>
                <w:szCs w:val="18"/>
                <w:color w:val="auto"/>
                <w:w w:val="99"/>
              </w:rPr>
              <w:t>Product Development and Licensing Agreements</w:t>
            </w:r>
          </w:p>
        </w:tc>
        <w:tc>
          <w:tcPr>
            <w:tcW w:w="1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40,187</w:t>
            </w:r>
          </w:p>
        </w:tc>
        <w:tc>
          <w:tcPr>
            <w:tcW w:w="16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20" w:type="dxa"/>
            <w:vAlign w:val="bottom"/>
          </w:tcPr>
          <w:p>
            <w:pPr>
              <w:jc w:val="right"/>
              <w:spacing w:after="0"/>
              <w:rPr>
                <w:sz w:val="20"/>
                <w:szCs w:val="20"/>
                <w:color w:val="auto"/>
              </w:rPr>
            </w:pPr>
            <w:r>
              <w:rPr>
                <w:rFonts w:ascii="Arial" w:cs="Arial" w:eastAsia="Arial" w:hAnsi="Arial"/>
                <w:sz w:val="18"/>
                <w:szCs w:val="18"/>
                <w:color w:val="auto"/>
              </w:rPr>
              <w:t>5,662</w:t>
            </w:r>
          </w:p>
        </w:tc>
        <w:tc>
          <w:tcPr>
            <w:tcW w:w="120" w:type="dxa"/>
            <w:vAlign w:val="bottom"/>
          </w:tcPr>
          <w:p>
            <w:pPr>
              <w:spacing w:after="0"/>
              <w:rPr>
                <w:sz w:val="18"/>
                <w:szCs w:val="18"/>
                <w:color w:val="auto"/>
              </w:rPr>
            </w:pPr>
          </w:p>
        </w:tc>
        <w:tc>
          <w:tcPr>
            <w:tcW w:w="1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60" w:type="dxa"/>
            <w:vAlign w:val="bottom"/>
          </w:tcPr>
          <w:p>
            <w:pPr>
              <w:jc w:val="right"/>
              <w:spacing w:after="0"/>
              <w:rPr>
                <w:sz w:val="20"/>
                <w:szCs w:val="20"/>
                <w:color w:val="auto"/>
              </w:rPr>
            </w:pPr>
            <w:r>
              <w:rPr>
                <w:rFonts w:ascii="Arial" w:cs="Arial" w:eastAsia="Arial" w:hAnsi="Arial"/>
                <w:sz w:val="18"/>
                <w:szCs w:val="18"/>
                <w:color w:val="auto"/>
              </w:rPr>
              <w:t>34,525</w:t>
            </w:r>
          </w:p>
        </w:tc>
        <w:tc>
          <w:tcPr>
            <w:tcW w:w="180" w:type="dxa"/>
            <w:vAlign w:val="bottom"/>
          </w:tcPr>
          <w:p>
            <w:pPr>
              <w:spacing w:after="0"/>
              <w:rPr>
                <w:sz w:val="18"/>
                <w:szCs w:val="18"/>
                <w:color w:val="auto"/>
              </w:rPr>
            </w:pPr>
          </w:p>
        </w:tc>
        <w:tc>
          <w:tcPr>
            <w:tcW w:w="1080" w:type="dxa"/>
            <w:vAlign w:val="bottom"/>
            <w:gridSpan w:val="2"/>
          </w:tcPr>
          <w:p>
            <w:pPr>
              <w:jc w:val="right"/>
              <w:ind w:right="160"/>
              <w:spacing w:after="0"/>
              <w:rPr>
                <w:sz w:val="20"/>
                <w:szCs w:val="20"/>
                <w:color w:val="auto"/>
              </w:rPr>
            </w:pPr>
            <w:r>
              <w:rPr>
                <w:rFonts w:ascii="Arial" w:cs="Arial" w:eastAsia="Arial" w:hAnsi="Arial"/>
                <w:sz w:val="18"/>
                <w:szCs w:val="18"/>
                <w:color w:val="auto"/>
              </w:rPr>
              <w:t>610%</w:t>
            </w: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4020" w:type="dxa"/>
            <w:vAlign w:val="bottom"/>
            <w:shd w:val="clear" w:color="auto" w:fill="CCEEFF"/>
          </w:tcPr>
          <w:p>
            <w:pPr>
              <w:ind w:left="120"/>
              <w:spacing w:after="0"/>
              <w:rPr>
                <w:sz w:val="20"/>
                <w:szCs w:val="20"/>
                <w:color w:val="auto"/>
              </w:rPr>
            </w:pPr>
            <w:r>
              <w:rPr>
                <w:rFonts w:ascii="Arial" w:cs="Arial" w:eastAsia="Arial" w:hAnsi="Arial"/>
                <w:sz w:val="18"/>
                <w:szCs w:val="18"/>
                <w:color w:val="auto"/>
              </w:rPr>
              <w:t>Contracts and Grants</w:t>
            </w:r>
          </w:p>
        </w:tc>
        <w:tc>
          <w:tcPr>
            <w:tcW w:w="1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220</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1,802</w:t>
            </w:r>
          </w:p>
        </w:tc>
        <w:tc>
          <w:tcPr>
            <w:tcW w:w="1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(1,582)</w:t>
            </w:r>
          </w:p>
        </w:tc>
        <w:tc>
          <w:tcPr>
            <w:tcW w:w="10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(88)%</w:t>
            </w: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1160" w:type="dxa"/>
            <w:vAlign w:val="bottom"/>
          </w:tcPr>
          <w:p>
            <w:pPr>
              <w:spacing w:after="0"/>
              <w:rPr>
                <w:sz w:val="19"/>
                <w:szCs w:val="19"/>
                <w:color w:val="auto"/>
              </w:rPr>
            </w:pPr>
          </w:p>
        </w:tc>
        <w:tc>
          <w:tcPr>
            <w:tcW w:w="4020" w:type="dxa"/>
            <w:vAlign w:val="bottom"/>
          </w:tcPr>
          <w:p>
            <w:pPr>
              <w:ind w:left="120"/>
              <w:spacing w:after="0"/>
              <w:rPr>
                <w:sz w:val="20"/>
                <w:szCs w:val="20"/>
                <w:color w:val="auto"/>
              </w:rPr>
            </w:pPr>
            <w:r>
              <w:rPr>
                <w:rFonts w:ascii="Arial" w:cs="Arial" w:eastAsia="Arial" w:hAnsi="Arial"/>
                <w:sz w:val="18"/>
                <w:szCs w:val="18"/>
                <w:color w:val="auto"/>
              </w:rPr>
              <w:t>Product Royalties</w:t>
            </w:r>
          </w:p>
        </w:tc>
        <w:tc>
          <w:tcPr>
            <w:tcW w:w="1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6,386</w:t>
            </w:r>
          </w:p>
        </w:tc>
        <w:tc>
          <w:tcPr>
            <w:tcW w:w="1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7,716</w:t>
            </w:r>
          </w:p>
        </w:tc>
        <w:tc>
          <w:tcPr>
            <w:tcW w:w="1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40" w:type="dxa"/>
            <w:vAlign w:val="bottom"/>
            <w:gridSpan w:val="2"/>
          </w:tcPr>
          <w:p>
            <w:pPr>
              <w:jc w:val="right"/>
              <w:ind w:right="120"/>
              <w:spacing w:after="0"/>
              <w:rPr>
                <w:sz w:val="20"/>
                <w:szCs w:val="20"/>
                <w:color w:val="auto"/>
              </w:rPr>
            </w:pPr>
            <w:r>
              <w:rPr>
                <w:rFonts w:ascii="Arial" w:cs="Arial" w:eastAsia="Arial" w:hAnsi="Arial"/>
                <w:sz w:val="18"/>
                <w:szCs w:val="18"/>
                <w:color w:val="auto"/>
              </w:rPr>
              <w:t>(1,330)</w:t>
            </w:r>
          </w:p>
        </w:tc>
        <w:tc>
          <w:tcPr>
            <w:tcW w:w="1080" w:type="dxa"/>
            <w:vAlign w:val="bottom"/>
            <w:gridSpan w:val="2"/>
          </w:tcPr>
          <w:p>
            <w:pPr>
              <w:jc w:val="right"/>
              <w:ind w:right="160"/>
              <w:spacing w:after="0"/>
              <w:rPr>
                <w:sz w:val="20"/>
                <w:szCs w:val="20"/>
                <w:color w:val="auto"/>
              </w:rPr>
            </w:pPr>
            <w:r>
              <w:rPr>
                <w:rFonts w:ascii="Arial" w:cs="Arial" w:eastAsia="Arial" w:hAnsi="Arial"/>
                <w:sz w:val="18"/>
                <w:szCs w:val="18"/>
                <w:color w:val="auto"/>
              </w:rPr>
              <w:t>(17)%</w:t>
            </w:r>
          </w:p>
        </w:tc>
        <w:tc>
          <w:tcPr>
            <w:tcW w:w="1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
        </w:trPr>
        <w:tc>
          <w:tcPr>
            <w:tcW w:w="1160" w:type="dxa"/>
            <w:vAlign w:val="bottom"/>
          </w:tcPr>
          <w:p>
            <w:pPr>
              <w:spacing w:after="0" w:line="20" w:lineRule="exact"/>
              <w:rPr>
                <w:sz w:val="1"/>
                <w:szCs w:val="1"/>
                <w:color w:val="auto"/>
              </w:rPr>
            </w:pPr>
          </w:p>
        </w:tc>
        <w:tc>
          <w:tcPr>
            <w:tcW w:w="402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1160" w:type="dxa"/>
            <w:vAlign w:val="bottom"/>
          </w:tcPr>
          <w:p>
            <w:pPr>
              <w:spacing w:after="0"/>
              <w:rPr>
                <w:sz w:val="18"/>
                <w:szCs w:val="18"/>
                <w:color w:val="auto"/>
              </w:rPr>
            </w:pPr>
          </w:p>
        </w:tc>
        <w:tc>
          <w:tcPr>
            <w:tcW w:w="4020" w:type="dxa"/>
            <w:vAlign w:val="bottom"/>
            <w:shd w:val="clear" w:color="auto" w:fill="CCEEFF"/>
          </w:tcPr>
          <w:p>
            <w:pPr>
              <w:spacing w:after="0"/>
              <w:rPr>
                <w:sz w:val="20"/>
                <w:szCs w:val="20"/>
                <w:color w:val="auto"/>
              </w:rPr>
            </w:pPr>
            <w:r>
              <w:rPr>
                <w:rFonts w:ascii="Arial" w:cs="Arial" w:eastAsia="Arial" w:hAnsi="Arial"/>
                <w:sz w:val="18"/>
                <w:szCs w:val="18"/>
                <w:color w:val="auto"/>
              </w:rPr>
              <w:t>Total Revenue</w:t>
            </w:r>
          </w:p>
        </w:tc>
        <w:tc>
          <w:tcPr>
            <w:tcW w:w="1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46,793</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15,180</w:t>
            </w:r>
          </w:p>
        </w:tc>
        <w:tc>
          <w:tcPr>
            <w:tcW w:w="120" w:type="dxa"/>
            <w:vAlign w:val="bottom"/>
            <w:shd w:val="clear" w:color="auto" w:fill="CCEEFF"/>
          </w:tcPr>
          <w:p>
            <w:pPr>
              <w:spacing w:after="0"/>
              <w:rPr>
                <w:sz w:val="18"/>
                <w:szCs w:val="18"/>
                <w:color w:val="auto"/>
              </w:rPr>
            </w:pPr>
          </w:p>
        </w:tc>
        <w:tc>
          <w:tcPr>
            <w:tcW w:w="1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31,613</w:t>
            </w:r>
          </w:p>
        </w:tc>
        <w:tc>
          <w:tcPr>
            <w:tcW w:w="1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208%</w:t>
            </w: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5180" w:type="dxa"/>
            <w:vAlign w:val="bottom"/>
            <w:gridSpan w:val="2"/>
            <w:vMerge w:val="restart"/>
          </w:tcPr>
          <w:p>
            <w:pPr>
              <w:ind w:left="1140"/>
              <w:spacing w:after="0"/>
              <w:rPr>
                <w:sz w:val="20"/>
                <w:szCs w:val="20"/>
                <w:color w:val="auto"/>
              </w:rPr>
            </w:pPr>
            <w:r>
              <w:rPr>
                <w:rFonts w:ascii="Arial" w:cs="Arial" w:eastAsia="Arial" w:hAnsi="Arial"/>
                <w:sz w:val="18"/>
                <w:szCs w:val="18"/>
                <w:color w:val="auto"/>
              </w:rPr>
              <w:t>Operating Expense:</w:t>
            </w:r>
          </w:p>
        </w:tc>
        <w:tc>
          <w:tcPr>
            <w:tcW w:w="120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4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80" w:type="dxa"/>
            <w:vAlign w:val="bottom"/>
          </w:tcPr>
          <w:p>
            <w:pPr>
              <w:spacing w:after="0"/>
              <w:rPr>
                <w:sz w:val="2"/>
                <w:szCs w:val="2"/>
                <w:color w:val="auto"/>
              </w:rPr>
            </w:pPr>
          </w:p>
        </w:tc>
        <w:tc>
          <w:tcPr>
            <w:tcW w:w="7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5180" w:type="dxa"/>
            <w:vAlign w:val="bottom"/>
            <w:gridSpan w:val="2"/>
            <w:vMerge w:val="continue"/>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5180" w:type="dxa"/>
            <w:vAlign w:val="bottom"/>
            <w:gridSpan w:val="2"/>
            <w:vMerge w:val="continue"/>
          </w:tcPr>
          <w:p>
            <w:pPr>
              <w:spacing w:after="0"/>
              <w:rPr>
                <w:sz w:val="17"/>
                <w:szCs w:val="17"/>
                <w:color w:val="auto"/>
              </w:rPr>
            </w:pPr>
          </w:p>
        </w:tc>
        <w:tc>
          <w:tcPr>
            <w:tcW w:w="1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7"/>
        </w:trPr>
        <w:tc>
          <w:tcPr>
            <w:tcW w:w="1160" w:type="dxa"/>
            <w:vAlign w:val="bottom"/>
          </w:tcPr>
          <w:p>
            <w:pPr>
              <w:spacing w:after="0"/>
              <w:rPr>
                <w:sz w:val="18"/>
                <w:szCs w:val="18"/>
                <w:color w:val="auto"/>
              </w:rPr>
            </w:pPr>
          </w:p>
        </w:tc>
        <w:tc>
          <w:tcPr>
            <w:tcW w:w="4020" w:type="dxa"/>
            <w:vAlign w:val="bottom"/>
            <w:shd w:val="clear" w:color="auto" w:fill="CCEEFF"/>
          </w:tcPr>
          <w:p>
            <w:pPr>
              <w:ind w:left="120"/>
              <w:spacing w:after="0"/>
              <w:rPr>
                <w:sz w:val="20"/>
                <w:szCs w:val="20"/>
                <w:color w:val="auto"/>
              </w:rPr>
            </w:pPr>
            <w:r>
              <w:rPr>
                <w:rFonts w:ascii="Arial" w:cs="Arial" w:eastAsia="Arial" w:hAnsi="Arial"/>
                <w:sz w:val="18"/>
                <w:szCs w:val="18"/>
                <w:color w:val="auto"/>
              </w:rPr>
              <w:t>Research and Development</w:t>
            </w:r>
          </w:p>
        </w:tc>
        <w:tc>
          <w:tcPr>
            <w:tcW w:w="1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27,650</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26,169</w:t>
            </w:r>
          </w:p>
        </w:tc>
        <w:tc>
          <w:tcPr>
            <w:tcW w:w="1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1,481</w:t>
            </w:r>
          </w:p>
        </w:tc>
        <w:tc>
          <w:tcPr>
            <w:tcW w:w="1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6%</w:t>
            </w: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4020" w:type="dxa"/>
            <w:vAlign w:val="bottom"/>
          </w:tcPr>
          <w:p>
            <w:pPr>
              <w:ind w:left="120"/>
              <w:spacing w:after="0"/>
              <w:rPr>
                <w:sz w:val="20"/>
                <w:szCs w:val="20"/>
                <w:color w:val="auto"/>
              </w:rPr>
            </w:pPr>
            <w:r>
              <w:rPr>
                <w:rFonts w:ascii="Arial" w:cs="Arial" w:eastAsia="Arial" w:hAnsi="Arial"/>
                <w:sz w:val="18"/>
                <w:szCs w:val="18"/>
                <w:color w:val="auto"/>
              </w:rPr>
              <w:t>Royalty</w:t>
            </w: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12,077</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8,397</w:t>
            </w: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3,680</w:t>
            </w:r>
          </w:p>
        </w:tc>
        <w:tc>
          <w:tcPr>
            <w:tcW w:w="180" w:type="dxa"/>
            <w:vAlign w:val="bottom"/>
          </w:tcPr>
          <w:p>
            <w:pPr>
              <w:spacing w:after="0"/>
              <w:rPr>
                <w:sz w:val="18"/>
                <w:szCs w:val="18"/>
                <w:color w:val="auto"/>
              </w:rPr>
            </w:pPr>
          </w:p>
        </w:tc>
        <w:tc>
          <w:tcPr>
            <w:tcW w:w="1080" w:type="dxa"/>
            <w:vAlign w:val="bottom"/>
            <w:gridSpan w:val="2"/>
          </w:tcPr>
          <w:p>
            <w:pPr>
              <w:jc w:val="right"/>
              <w:ind w:right="160"/>
              <w:spacing w:after="0"/>
              <w:rPr>
                <w:sz w:val="20"/>
                <w:szCs w:val="20"/>
                <w:color w:val="auto"/>
              </w:rPr>
            </w:pPr>
            <w:r>
              <w:rPr>
                <w:rFonts w:ascii="Arial" w:cs="Arial" w:eastAsia="Arial" w:hAnsi="Arial"/>
                <w:sz w:val="18"/>
                <w:szCs w:val="18"/>
                <w:color w:val="auto"/>
              </w:rPr>
              <w:t>44%</w:t>
            </w: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4020" w:type="dxa"/>
            <w:vAlign w:val="bottom"/>
            <w:shd w:val="clear" w:color="auto" w:fill="CCEEFF"/>
          </w:tcPr>
          <w:p>
            <w:pPr>
              <w:ind w:left="120"/>
              <w:spacing w:after="0"/>
              <w:rPr>
                <w:sz w:val="20"/>
                <w:szCs w:val="20"/>
                <w:color w:val="auto"/>
              </w:rPr>
            </w:pPr>
            <w:r>
              <w:rPr>
                <w:rFonts w:ascii="Arial" w:cs="Arial" w:eastAsia="Arial" w:hAnsi="Arial"/>
                <w:sz w:val="18"/>
                <w:szCs w:val="18"/>
                <w:color w:val="auto"/>
              </w:rPr>
              <w:t>Gain on Sale of Assets</w:t>
            </w:r>
          </w:p>
        </w:tc>
        <w:tc>
          <w:tcPr>
            <w:tcW w:w="1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(50)</w:t>
            </w:r>
          </w:p>
        </w:tc>
        <w:tc>
          <w:tcPr>
            <w:tcW w:w="14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(604)</w:t>
            </w: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554</w:t>
            </w:r>
          </w:p>
        </w:tc>
        <w:tc>
          <w:tcPr>
            <w:tcW w:w="1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92%</w:t>
            </w: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4020" w:type="dxa"/>
            <w:vAlign w:val="bottom"/>
          </w:tcPr>
          <w:p>
            <w:pPr>
              <w:ind w:left="120"/>
              <w:spacing w:after="0"/>
              <w:rPr>
                <w:sz w:val="20"/>
                <w:szCs w:val="20"/>
                <w:color w:val="auto"/>
              </w:rPr>
            </w:pPr>
            <w:r>
              <w:rPr>
                <w:rFonts w:ascii="Arial" w:cs="Arial" w:eastAsia="Arial" w:hAnsi="Arial"/>
                <w:sz w:val="18"/>
                <w:szCs w:val="18"/>
                <w:color w:val="auto"/>
              </w:rPr>
              <w:t>General and Administrative</w:t>
            </w: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10,428</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17,119</w:t>
            </w: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gridSpan w:val="2"/>
          </w:tcPr>
          <w:p>
            <w:pPr>
              <w:jc w:val="right"/>
              <w:ind w:right="120"/>
              <w:spacing w:after="0"/>
              <w:rPr>
                <w:sz w:val="20"/>
                <w:szCs w:val="20"/>
                <w:color w:val="auto"/>
              </w:rPr>
            </w:pPr>
            <w:r>
              <w:rPr>
                <w:rFonts w:ascii="Arial" w:cs="Arial" w:eastAsia="Arial" w:hAnsi="Arial"/>
                <w:sz w:val="18"/>
                <w:szCs w:val="18"/>
                <w:color w:val="auto"/>
              </w:rPr>
              <w:t>(6,691)</w:t>
            </w: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(39)%</w:t>
            </w: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4020" w:type="dxa"/>
            <w:vAlign w:val="bottom"/>
            <w:shd w:val="clear" w:color="auto" w:fill="CCEEFF"/>
          </w:tcPr>
          <w:p>
            <w:pPr>
              <w:ind w:left="120"/>
              <w:spacing w:after="0"/>
              <w:rPr>
                <w:sz w:val="20"/>
                <w:szCs w:val="20"/>
                <w:color w:val="auto"/>
              </w:rPr>
            </w:pPr>
            <w:r>
              <w:rPr>
                <w:rFonts w:ascii="Arial" w:cs="Arial" w:eastAsia="Arial" w:hAnsi="Arial"/>
                <w:sz w:val="18"/>
                <w:szCs w:val="18"/>
                <w:color w:val="auto"/>
              </w:rPr>
              <w:t>Amortization of Acquired Intangible Assets</w:t>
            </w:r>
          </w:p>
        </w:tc>
        <w:tc>
          <w:tcPr>
            <w:tcW w:w="1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3,143</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949</w:t>
            </w:r>
          </w:p>
        </w:tc>
        <w:tc>
          <w:tcPr>
            <w:tcW w:w="1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2,194</w:t>
            </w:r>
          </w:p>
        </w:tc>
        <w:tc>
          <w:tcPr>
            <w:tcW w:w="1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231%</w:t>
            </w: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5180" w:type="dxa"/>
            <w:vAlign w:val="bottom"/>
            <w:gridSpan w:val="2"/>
            <w:vMerge w:val="restart"/>
          </w:tcPr>
          <w:p>
            <w:pPr>
              <w:ind w:left="1140"/>
              <w:spacing w:after="0"/>
              <w:rPr>
                <w:sz w:val="20"/>
                <w:szCs w:val="20"/>
                <w:color w:val="auto"/>
              </w:rPr>
            </w:pPr>
            <w:r>
              <w:rPr>
                <w:rFonts w:ascii="Arial" w:cs="Arial" w:eastAsia="Arial" w:hAnsi="Arial"/>
                <w:sz w:val="18"/>
                <w:szCs w:val="18"/>
                <w:color w:val="auto"/>
              </w:rPr>
              <w:t>Total Operating Expense</w:t>
            </w:r>
          </w:p>
        </w:tc>
        <w:tc>
          <w:tcPr>
            <w:tcW w:w="120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4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gridSpan w:val="2"/>
            <w:vMerge w:val="restart"/>
          </w:tcPr>
          <w:p>
            <w:pPr>
              <w:jc w:val="right"/>
              <w:ind w:right="160"/>
              <w:spacing w:after="0"/>
              <w:rPr>
                <w:sz w:val="20"/>
                <w:szCs w:val="20"/>
                <w:color w:val="auto"/>
              </w:rPr>
            </w:pPr>
            <w:r>
              <w:rPr>
                <w:rFonts w:ascii="Arial" w:cs="Arial" w:eastAsia="Arial" w:hAnsi="Arial"/>
                <w:sz w:val="18"/>
                <w:szCs w:val="18"/>
                <w:color w:val="auto"/>
              </w:rPr>
              <w:t>2%</w:t>
            </w:r>
          </w:p>
        </w:tc>
        <w:tc>
          <w:tcPr>
            <w:tcW w:w="11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16"/>
        </w:trPr>
        <w:tc>
          <w:tcPr>
            <w:tcW w:w="5180" w:type="dxa"/>
            <w:vAlign w:val="bottom"/>
            <w:gridSpan w:val="2"/>
            <w:vMerge w:val="continue"/>
          </w:tcPr>
          <w:p>
            <w:pPr>
              <w:spacing w:after="0"/>
              <w:rPr>
                <w:sz w:val="18"/>
                <w:szCs w:val="18"/>
                <w:color w:val="auto"/>
              </w:rPr>
            </w:pP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53,248</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52,030</w:t>
            </w: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1,218</w:t>
            </w:r>
          </w:p>
        </w:tc>
        <w:tc>
          <w:tcPr>
            <w:tcW w:w="180" w:type="dxa"/>
            <w:vAlign w:val="bottom"/>
          </w:tcPr>
          <w:p>
            <w:pPr>
              <w:spacing w:after="0"/>
              <w:rPr>
                <w:sz w:val="18"/>
                <w:szCs w:val="18"/>
                <w:color w:val="auto"/>
              </w:rPr>
            </w:pPr>
          </w:p>
        </w:tc>
        <w:tc>
          <w:tcPr>
            <w:tcW w:w="1080" w:type="dxa"/>
            <w:vAlign w:val="bottom"/>
            <w:gridSpan w:val="2"/>
            <w:vMerge w:val="continue"/>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1160" w:type="dxa"/>
            <w:vAlign w:val="bottom"/>
          </w:tcPr>
          <w:p>
            <w:pPr>
              <w:spacing w:after="0" w:line="20" w:lineRule="exact"/>
              <w:rPr>
                <w:sz w:val="1"/>
                <w:szCs w:val="1"/>
                <w:color w:val="auto"/>
              </w:rPr>
            </w:pPr>
          </w:p>
        </w:tc>
        <w:tc>
          <w:tcPr>
            <w:tcW w:w="402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1160" w:type="dxa"/>
            <w:vAlign w:val="bottom"/>
          </w:tcPr>
          <w:p>
            <w:pPr>
              <w:spacing w:after="0"/>
              <w:rPr>
                <w:sz w:val="18"/>
                <w:szCs w:val="18"/>
                <w:color w:val="auto"/>
              </w:rPr>
            </w:pPr>
          </w:p>
        </w:tc>
        <w:tc>
          <w:tcPr>
            <w:tcW w:w="4020" w:type="dxa"/>
            <w:vAlign w:val="bottom"/>
            <w:shd w:val="clear" w:color="auto" w:fill="CCEEFF"/>
          </w:tcPr>
          <w:p>
            <w:pPr>
              <w:spacing w:after="0"/>
              <w:rPr>
                <w:sz w:val="20"/>
                <w:szCs w:val="20"/>
                <w:color w:val="auto"/>
              </w:rPr>
            </w:pPr>
            <w:r>
              <w:rPr>
                <w:rFonts w:ascii="Arial" w:cs="Arial" w:eastAsia="Arial" w:hAnsi="Arial"/>
                <w:sz w:val="18"/>
                <w:szCs w:val="18"/>
                <w:color w:val="auto"/>
              </w:rPr>
              <w:t>Operating Loss</w:t>
            </w:r>
          </w:p>
        </w:tc>
        <w:tc>
          <w:tcPr>
            <w:tcW w:w="1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(6,455)</w:t>
            </w:r>
          </w:p>
        </w:tc>
        <w:tc>
          <w:tcPr>
            <w:tcW w:w="14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8"/>
              </w:rPr>
              <w:t>(36,850)</w:t>
            </w: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(30,395)</w:t>
            </w:r>
          </w:p>
        </w:tc>
        <w:tc>
          <w:tcPr>
            <w:tcW w:w="10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(82)%</w:t>
            </w: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4020" w:type="dxa"/>
            <w:vAlign w:val="bottom"/>
          </w:tcPr>
          <w:p>
            <w:pPr>
              <w:spacing w:after="0"/>
              <w:rPr>
                <w:sz w:val="20"/>
                <w:szCs w:val="20"/>
                <w:color w:val="auto"/>
              </w:rPr>
            </w:pPr>
            <w:r>
              <w:rPr>
                <w:rFonts w:ascii="Arial" w:cs="Arial" w:eastAsia="Arial" w:hAnsi="Arial"/>
                <w:sz w:val="18"/>
                <w:szCs w:val="18"/>
                <w:color w:val="auto"/>
              </w:rPr>
              <w:t>Investment and Other Income, Net</w:t>
            </w: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5,259</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248</w:t>
            </w: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5,011</w:t>
            </w:r>
          </w:p>
        </w:tc>
        <w:tc>
          <w:tcPr>
            <w:tcW w:w="180" w:type="dxa"/>
            <w:vAlign w:val="bottom"/>
          </w:tcPr>
          <w:p>
            <w:pPr>
              <w:spacing w:after="0"/>
              <w:rPr>
                <w:sz w:val="18"/>
                <w:szCs w:val="18"/>
                <w:color w:val="auto"/>
              </w:rPr>
            </w:pPr>
          </w:p>
        </w:tc>
        <w:tc>
          <w:tcPr>
            <w:tcW w:w="1080" w:type="dxa"/>
            <w:vAlign w:val="bottom"/>
            <w:gridSpan w:val="2"/>
          </w:tcPr>
          <w:p>
            <w:pPr>
              <w:jc w:val="right"/>
              <w:ind w:right="160"/>
              <w:spacing w:after="0"/>
              <w:rPr>
                <w:sz w:val="20"/>
                <w:szCs w:val="20"/>
                <w:color w:val="auto"/>
              </w:rPr>
            </w:pPr>
            <w:r>
              <w:rPr>
                <w:rFonts w:ascii="Arial" w:cs="Arial" w:eastAsia="Arial" w:hAnsi="Arial"/>
                <w:sz w:val="18"/>
                <w:szCs w:val="18"/>
                <w:color w:val="auto"/>
              </w:rPr>
              <w:t>2,021%</w:t>
            </w: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4020" w:type="dxa"/>
            <w:vAlign w:val="bottom"/>
            <w:shd w:val="clear" w:color="auto" w:fill="CCEEFF"/>
          </w:tcPr>
          <w:p>
            <w:pPr>
              <w:spacing w:after="0"/>
              <w:rPr>
                <w:sz w:val="20"/>
                <w:szCs w:val="20"/>
                <w:color w:val="auto"/>
              </w:rPr>
            </w:pPr>
            <w:r>
              <w:rPr>
                <w:rFonts w:ascii="Arial" w:cs="Arial" w:eastAsia="Arial" w:hAnsi="Arial"/>
                <w:sz w:val="18"/>
                <w:szCs w:val="18"/>
                <w:color w:val="auto"/>
              </w:rPr>
              <w:t>Interest Expense</w:t>
            </w:r>
          </w:p>
        </w:tc>
        <w:tc>
          <w:tcPr>
            <w:tcW w:w="1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(1,337)</w:t>
            </w:r>
          </w:p>
        </w:tc>
        <w:tc>
          <w:tcPr>
            <w:tcW w:w="14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(452)</w:t>
            </w: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885</w:t>
            </w:r>
          </w:p>
        </w:tc>
        <w:tc>
          <w:tcPr>
            <w:tcW w:w="1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196%</w:t>
            </w: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5180" w:type="dxa"/>
            <w:vAlign w:val="bottom"/>
            <w:gridSpan w:val="2"/>
            <w:vMerge w:val="restart"/>
          </w:tcPr>
          <w:p>
            <w:pPr>
              <w:ind w:left="1140"/>
              <w:spacing w:after="0"/>
              <w:rPr>
                <w:sz w:val="20"/>
                <w:szCs w:val="20"/>
                <w:color w:val="auto"/>
              </w:rPr>
            </w:pPr>
            <w:r>
              <w:rPr>
                <w:rFonts w:ascii="Arial" w:cs="Arial" w:eastAsia="Arial" w:hAnsi="Arial"/>
                <w:sz w:val="18"/>
                <w:szCs w:val="18"/>
                <w:color w:val="auto"/>
              </w:rPr>
              <w:t>Net Loss Before Income Taxes</w:t>
            </w: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840" w:type="dxa"/>
            <w:vAlign w:val="bottom"/>
            <w:gridSpan w:val="2"/>
          </w:tcPr>
          <w:p>
            <w:pPr>
              <w:spacing w:after="0"/>
              <w:rPr>
                <w:sz w:val="2"/>
                <w:szCs w:val="2"/>
                <w:color w:val="auto"/>
              </w:rPr>
            </w:pPr>
          </w:p>
        </w:tc>
        <w:tc>
          <w:tcPr>
            <w:tcW w:w="140" w:type="dxa"/>
            <w:vAlign w:val="bottom"/>
          </w:tcPr>
          <w:p>
            <w:pPr>
              <w:spacing w:after="0"/>
              <w:rPr>
                <w:sz w:val="2"/>
                <w:szCs w:val="2"/>
                <w:color w:val="auto"/>
              </w:rPr>
            </w:pPr>
          </w:p>
        </w:tc>
        <w:tc>
          <w:tcPr>
            <w:tcW w:w="740" w:type="dxa"/>
            <w:vAlign w:val="bottom"/>
            <w:gridSpan w:val="2"/>
          </w:tcPr>
          <w:p>
            <w:pPr>
              <w:spacing w:after="0"/>
              <w:rPr>
                <w:sz w:val="2"/>
                <w:szCs w:val="2"/>
                <w:color w:val="auto"/>
              </w:rPr>
            </w:pPr>
          </w:p>
        </w:tc>
        <w:tc>
          <w:tcPr>
            <w:tcW w:w="40" w:type="dxa"/>
            <w:vAlign w:val="bottom"/>
          </w:tcPr>
          <w:p>
            <w:pPr>
              <w:spacing w:after="0"/>
              <w:rPr>
                <w:sz w:val="2"/>
                <w:szCs w:val="2"/>
                <w:color w:val="auto"/>
              </w:rPr>
            </w:pPr>
          </w:p>
        </w:tc>
        <w:tc>
          <w:tcPr>
            <w:tcW w:w="120" w:type="dxa"/>
            <w:vAlign w:val="bottom"/>
          </w:tcPr>
          <w:p>
            <w:pPr>
              <w:spacing w:after="0"/>
              <w:rPr>
                <w:sz w:val="2"/>
                <w:szCs w:val="2"/>
                <w:color w:val="auto"/>
              </w:rPr>
            </w:pPr>
          </w:p>
        </w:tc>
        <w:tc>
          <w:tcPr>
            <w:tcW w:w="840" w:type="dxa"/>
            <w:vAlign w:val="bottom"/>
            <w:gridSpan w:val="2"/>
          </w:tcPr>
          <w:p>
            <w:pPr>
              <w:spacing w:after="0"/>
              <w:rPr>
                <w:sz w:val="2"/>
                <w:szCs w:val="2"/>
                <w:color w:val="auto"/>
              </w:rPr>
            </w:pPr>
          </w:p>
        </w:tc>
        <w:tc>
          <w:tcPr>
            <w:tcW w:w="1080" w:type="dxa"/>
            <w:vAlign w:val="bottom"/>
            <w:gridSpan w:val="2"/>
            <w:vMerge w:val="restart"/>
          </w:tcPr>
          <w:p>
            <w:pPr>
              <w:jc w:val="right"/>
              <w:ind w:right="160"/>
              <w:spacing w:after="0"/>
              <w:rPr>
                <w:sz w:val="20"/>
                <w:szCs w:val="20"/>
                <w:color w:val="auto"/>
              </w:rPr>
            </w:pPr>
            <w:r>
              <w:rPr>
                <w:rFonts w:ascii="Arial" w:cs="Arial" w:eastAsia="Arial" w:hAnsi="Arial"/>
                <w:sz w:val="18"/>
                <w:szCs w:val="18"/>
                <w:color w:val="auto"/>
              </w:rPr>
              <w:t>(93)%</w:t>
            </w:r>
          </w:p>
        </w:tc>
        <w:tc>
          <w:tcPr>
            <w:tcW w:w="11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10"/>
        </w:trPr>
        <w:tc>
          <w:tcPr>
            <w:tcW w:w="5180" w:type="dxa"/>
            <w:vAlign w:val="bottom"/>
            <w:gridSpan w:val="2"/>
            <w:vMerge w:val="continue"/>
          </w:tcPr>
          <w:p>
            <w:pPr>
              <w:spacing w:after="0"/>
              <w:rPr>
                <w:sz w:val="18"/>
                <w:szCs w:val="18"/>
                <w:color w:val="auto"/>
              </w:rPr>
            </w:pPr>
          </w:p>
        </w:tc>
        <w:tc>
          <w:tcPr>
            <w:tcW w:w="120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6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(2,533)</w:t>
            </w:r>
          </w:p>
        </w:tc>
        <w:tc>
          <w:tcPr>
            <w:tcW w:w="16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6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9"/>
              </w:rPr>
              <w:t>(37,054)</w:t>
            </w: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6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5"/>
              </w:rPr>
              <w:t>(34,521)</w:t>
            </w:r>
          </w:p>
        </w:tc>
        <w:tc>
          <w:tcPr>
            <w:tcW w:w="180" w:type="dxa"/>
            <w:vAlign w:val="bottom"/>
          </w:tcPr>
          <w:p>
            <w:pPr>
              <w:spacing w:after="0"/>
              <w:rPr>
                <w:sz w:val="18"/>
                <w:szCs w:val="18"/>
                <w:color w:val="auto"/>
              </w:rPr>
            </w:pPr>
          </w:p>
        </w:tc>
        <w:tc>
          <w:tcPr>
            <w:tcW w:w="1080" w:type="dxa"/>
            <w:vAlign w:val="bottom"/>
            <w:gridSpan w:val="2"/>
            <w:vMerge w:val="continue"/>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4020" w:type="dxa"/>
            <w:vAlign w:val="bottom"/>
            <w:shd w:val="clear" w:color="auto" w:fill="CCEEFF"/>
          </w:tcPr>
          <w:p>
            <w:pPr>
              <w:spacing w:after="0"/>
              <w:rPr>
                <w:sz w:val="20"/>
                <w:szCs w:val="20"/>
                <w:color w:val="auto"/>
              </w:rPr>
            </w:pPr>
            <w:r>
              <w:rPr>
                <w:rFonts w:ascii="Arial" w:cs="Arial" w:eastAsia="Arial" w:hAnsi="Arial"/>
                <w:sz w:val="18"/>
                <w:szCs w:val="18"/>
                <w:color w:val="auto"/>
              </w:rPr>
              <w:t>Income Tax Benefit</w:t>
            </w:r>
          </w:p>
        </w:tc>
        <w:tc>
          <w:tcPr>
            <w:tcW w:w="1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529</w:t>
            </w:r>
          </w:p>
        </w:tc>
        <w:tc>
          <w:tcPr>
            <w:tcW w:w="1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(529)</w:t>
            </w: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(100)%</w:t>
            </w: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5180" w:type="dxa"/>
            <w:vAlign w:val="bottom"/>
            <w:gridSpan w:val="2"/>
            <w:vMerge w:val="restart"/>
          </w:tcPr>
          <w:p>
            <w:pPr>
              <w:ind w:left="1140"/>
              <w:spacing w:after="0"/>
              <w:rPr>
                <w:sz w:val="20"/>
                <w:szCs w:val="20"/>
                <w:color w:val="auto"/>
              </w:rPr>
            </w:pPr>
            <w:r>
              <w:rPr>
                <w:rFonts w:ascii="Arial" w:cs="Arial" w:eastAsia="Arial" w:hAnsi="Arial"/>
                <w:sz w:val="18"/>
                <w:szCs w:val="18"/>
                <w:color w:val="auto"/>
              </w:rPr>
              <w:t>Net Loss</w:t>
            </w:r>
          </w:p>
        </w:tc>
        <w:tc>
          <w:tcPr>
            <w:tcW w:w="1300" w:type="dxa"/>
            <w:vAlign w:val="bottom"/>
            <w:gridSpan w:val="2"/>
          </w:tcPr>
          <w:p>
            <w:pPr>
              <w:spacing w:after="0"/>
              <w:rPr>
                <w:sz w:val="2"/>
                <w:szCs w:val="2"/>
                <w:color w:val="auto"/>
              </w:rPr>
            </w:pPr>
          </w:p>
        </w:tc>
        <w:tc>
          <w:tcPr>
            <w:tcW w:w="840" w:type="dxa"/>
            <w:vAlign w:val="bottom"/>
            <w:gridSpan w:val="2"/>
          </w:tcPr>
          <w:p>
            <w:pPr>
              <w:spacing w:after="0"/>
              <w:rPr>
                <w:sz w:val="2"/>
                <w:szCs w:val="2"/>
                <w:color w:val="auto"/>
              </w:rPr>
            </w:pPr>
          </w:p>
        </w:tc>
        <w:tc>
          <w:tcPr>
            <w:tcW w:w="140" w:type="dxa"/>
            <w:vAlign w:val="bottom"/>
          </w:tcPr>
          <w:p>
            <w:pPr>
              <w:spacing w:after="0"/>
              <w:rPr>
                <w:sz w:val="2"/>
                <w:szCs w:val="2"/>
                <w:color w:val="auto"/>
              </w:rPr>
            </w:pPr>
          </w:p>
        </w:tc>
        <w:tc>
          <w:tcPr>
            <w:tcW w:w="740" w:type="dxa"/>
            <w:vAlign w:val="bottom"/>
            <w:gridSpan w:val="2"/>
          </w:tcPr>
          <w:p>
            <w:pPr>
              <w:spacing w:after="0"/>
              <w:rPr>
                <w:sz w:val="2"/>
                <w:szCs w:val="2"/>
                <w:color w:val="auto"/>
              </w:rPr>
            </w:pPr>
          </w:p>
        </w:tc>
        <w:tc>
          <w:tcPr>
            <w:tcW w:w="160" w:type="dxa"/>
            <w:vAlign w:val="bottom"/>
            <w:gridSpan w:val="2"/>
          </w:tcPr>
          <w:p>
            <w:pPr>
              <w:spacing w:after="0"/>
              <w:rPr>
                <w:sz w:val="2"/>
                <w:szCs w:val="2"/>
                <w:color w:val="auto"/>
              </w:rPr>
            </w:pPr>
          </w:p>
        </w:tc>
        <w:tc>
          <w:tcPr>
            <w:tcW w:w="840" w:type="dxa"/>
            <w:vAlign w:val="bottom"/>
            <w:gridSpan w:val="2"/>
          </w:tcPr>
          <w:p>
            <w:pPr>
              <w:spacing w:after="0"/>
              <w:rPr>
                <w:sz w:val="2"/>
                <w:szCs w:val="2"/>
                <w:color w:val="auto"/>
              </w:rPr>
            </w:pPr>
          </w:p>
        </w:tc>
        <w:tc>
          <w:tcPr>
            <w:tcW w:w="1080" w:type="dxa"/>
            <w:vAlign w:val="bottom"/>
            <w:gridSpan w:val="2"/>
            <w:vMerge w:val="restart"/>
          </w:tcPr>
          <w:p>
            <w:pPr>
              <w:jc w:val="right"/>
              <w:ind w:right="160"/>
              <w:spacing w:after="0"/>
              <w:rPr>
                <w:sz w:val="20"/>
                <w:szCs w:val="20"/>
                <w:color w:val="auto"/>
              </w:rPr>
            </w:pPr>
            <w:r>
              <w:rPr>
                <w:rFonts w:ascii="Arial" w:cs="Arial" w:eastAsia="Arial" w:hAnsi="Arial"/>
                <w:sz w:val="18"/>
                <w:szCs w:val="18"/>
                <w:color w:val="auto"/>
              </w:rPr>
              <w:t>(93)%</w:t>
            </w:r>
          </w:p>
        </w:tc>
        <w:tc>
          <w:tcPr>
            <w:tcW w:w="11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16"/>
        </w:trPr>
        <w:tc>
          <w:tcPr>
            <w:tcW w:w="5180" w:type="dxa"/>
            <w:vAlign w:val="bottom"/>
            <w:gridSpan w:val="2"/>
            <w:vMerge w:val="continue"/>
          </w:tcPr>
          <w:p>
            <w:pPr>
              <w:spacing w:after="0"/>
              <w:rPr>
                <w:sz w:val="18"/>
                <w:szCs w:val="18"/>
                <w:color w:val="auto"/>
              </w:rPr>
            </w:pPr>
          </w:p>
        </w:tc>
        <w:tc>
          <w:tcPr>
            <w:tcW w:w="1200" w:type="dxa"/>
            <w:vAlign w:val="bottom"/>
          </w:tcPr>
          <w:p>
            <w:pPr>
              <w:spacing w:after="0"/>
              <w:rPr>
                <w:sz w:val="18"/>
                <w:szCs w:val="18"/>
                <w:color w:val="auto"/>
              </w:rPr>
            </w:pPr>
          </w:p>
        </w:tc>
        <w:tc>
          <w:tcPr>
            <w:tcW w:w="1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6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(2,533)</w:t>
            </w:r>
          </w:p>
        </w:tc>
        <w:tc>
          <w:tcPr>
            <w:tcW w:w="160" w:type="dxa"/>
            <w:vAlign w:val="bottom"/>
          </w:tcPr>
          <w:p>
            <w:pPr>
              <w:spacing w:after="0"/>
              <w:rPr>
                <w:sz w:val="18"/>
                <w:szCs w:val="18"/>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6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9"/>
              </w:rPr>
              <w:t>(36,525)</w:t>
            </w: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6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5"/>
              </w:rPr>
              <w:t>(33,992)</w:t>
            </w:r>
          </w:p>
        </w:tc>
        <w:tc>
          <w:tcPr>
            <w:tcW w:w="180" w:type="dxa"/>
            <w:vAlign w:val="bottom"/>
          </w:tcPr>
          <w:p>
            <w:pPr>
              <w:spacing w:after="0"/>
              <w:rPr>
                <w:sz w:val="18"/>
                <w:szCs w:val="18"/>
                <w:color w:val="auto"/>
              </w:rPr>
            </w:pPr>
          </w:p>
        </w:tc>
        <w:tc>
          <w:tcPr>
            <w:tcW w:w="1080" w:type="dxa"/>
            <w:vAlign w:val="bottom"/>
            <w:gridSpan w:val="2"/>
            <w:vMerge w:val="continue"/>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1160" w:type="dxa"/>
            <w:vAlign w:val="bottom"/>
          </w:tcPr>
          <w:p>
            <w:pPr>
              <w:spacing w:after="0" w:line="20" w:lineRule="exact"/>
              <w:rPr>
                <w:sz w:val="1"/>
                <w:szCs w:val="1"/>
                <w:color w:val="auto"/>
              </w:rPr>
            </w:pPr>
          </w:p>
        </w:tc>
        <w:tc>
          <w:tcPr>
            <w:tcW w:w="4020" w:type="dxa"/>
            <w:vAlign w:val="bottom"/>
          </w:tcPr>
          <w:p>
            <w:pPr>
              <w:spacing w:after="0" w:line="20" w:lineRule="exact"/>
              <w:rPr>
                <w:sz w:val="1"/>
                <w:szCs w:val="1"/>
                <w:color w:val="auto"/>
              </w:rPr>
            </w:pPr>
          </w:p>
        </w:tc>
        <w:tc>
          <w:tcPr>
            <w:tcW w:w="1200" w:type="dxa"/>
            <w:vAlign w:val="bottom"/>
            <w:vMerge w:val="restart"/>
          </w:tcPr>
          <w:p>
            <w:pPr>
              <w:jc w:val="right"/>
              <w:ind w:right="492"/>
              <w:spacing w:after="0"/>
              <w:rPr>
                <w:sz w:val="20"/>
                <w:szCs w:val="20"/>
                <w:color w:val="auto"/>
              </w:rPr>
            </w:pPr>
            <w:r>
              <w:rPr>
                <w:rFonts w:ascii="Arial" w:cs="Arial" w:eastAsia="Arial" w:hAnsi="Arial"/>
                <w:sz w:val="18"/>
                <w:szCs w:val="18"/>
                <w:color w:val="auto"/>
              </w:rPr>
              <w:t>53</w:t>
            </w:r>
          </w:p>
        </w:tc>
        <w:tc>
          <w:tcPr>
            <w:tcW w:w="1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
        </w:trPr>
        <w:tc>
          <w:tcPr>
            <w:tcW w:w="1160" w:type="dxa"/>
            <w:vAlign w:val="bottom"/>
          </w:tcPr>
          <w:p>
            <w:pPr>
              <w:spacing w:after="0" w:line="20" w:lineRule="exact"/>
              <w:rPr>
                <w:sz w:val="1"/>
                <w:szCs w:val="1"/>
                <w:color w:val="auto"/>
              </w:rPr>
            </w:pPr>
          </w:p>
        </w:tc>
        <w:tc>
          <w:tcPr>
            <w:tcW w:w="4020" w:type="dxa"/>
            <w:vAlign w:val="bottom"/>
          </w:tcPr>
          <w:p>
            <w:pPr>
              <w:spacing w:after="0" w:line="20" w:lineRule="exact"/>
              <w:rPr>
                <w:sz w:val="1"/>
                <w:szCs w:val="1"/>
                <w:color w:val="auto"/>
              </w:rPr>
            </w:pPr>
          </w:p>
        </w:tc>
        <w:tc>
          <w:tcPr>
            <w:tcW w:w="1200" w:type="dxa"/>
            <w:vAlign w:val="bottom"/>
            <w:vMerge w:val="continue"/>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1"/>
        </w:trPr>
        <w:tc>
          <w:tcPr>
            <w:tcW w:w="1160" w:type="dxa"/>
            <w:vAlign w:val="bottom"/>
          </w:tcPr>
          <w:p>
            <w:pPr>
              <w:spacing w:after="0"/>
              <w:rPr>
                <w:sz w:val="24"/>
                <w:szCs w:val="24"/>
                <w:color w:val="auto"/>
              </w:rPr>
            </w:pPr>
          </w:p>
        </w:tc>
        <w:tc>
          <w:tcPr>
            <w:tcW w:w="4020" w:type="dxa"/>
            <w:vAlign w:val="bottom"/>
          </w:tcPr>
          <w:p>
            <w:pPr>
              <w:spacing w:after="0"/>
              <w:rPr>
                <w:sz w:val="24"/>
                <w:szCs w:val="24"/>
                <w:color w:val="auto"/>
              </w:rPr>
            </w:pPr>
          </w:p>
        </w:tc>
        <w:tc>
          <w:tcPr>
            <w:tcW w:w="1200" w:type="dxa"/>
            <w:vAlign w:val="bottom"/>
            <w:vMerge w:val="continue"/>
          </w:tcPr>
          <w:p>
            <w:pPr>
              <w:spacing w:after="0"/>
              <w:rPr>
                <w:sz w:val="24"/>
                <w:szCs w:val="24"/>
                <w:color w:val="auto"/>
              </w:rPr>
            </w:pPr>
          </w:p>
        </w:tc>
        <w:tc>
          <w:tcPr>
            <w:tcW w:w="1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8"/>
        </w:trPr>
        <w:tc>
          <w:tcPr>
            <w:tcW w:w="1160" w:type="dxa"/>
            <w:vAlign w:val="bottom"/>
            <w:tcBorders>
              <w:bottom w:val="single" w:sz="8" w:color="808080"/>
            </w:tcBorders>
          </w:tcPr>
          <w:p>
            <w:pPr>
              <w:spacing w:after="0"/>
              <w:rPr>
                <w:sz w:val="19"/>
                <w:szCs w:val="19"/>
                <w:color w:val="auto"/>
              </w:rPr>
            </w:pPr>
          </w:p>
        </w:tc>
        <w:tc>
          <w:tcPr>
            <w:tcW w:w="4020" w:type="dxa"/>
            <w:vAlign w:val="bottom"/>
            <w:tcBorders>
              <w:bottom w:val="single" w:sz="8" w:color="808080"/>
            </w:tcBorders>
          </w:tcPr>
          <w:p>
            <w:pPr>
              <w:spacing w:after="0"/>
              <w:rPr>
                <w:sz w:val="19"/>
                <w:szCs w:val="19"/>
                <w:color w:val="auto"/>
              </w:rPr>
            </w:pPr>
          </w:p>
        </w:tc>
        <w:tc>
          <w:tcPr>
            <w:tcW w:w="120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68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140" w:type="dxa"/>
            <w:vAlign w:val="bottom"/>
            <w:tcBorders>
              <w:bottom w:val="single" w:sz="8" w:color="808080"/>
            </w:tcBorders>
          </w:tcPr>
          <w:p>
            <w:pPr>
              <w:spacing w:after="0"/>
              <w:rPr>
                <w:sz w:val="19"/>
                <w:szCs w:val="19"/>
                <w:color w:val="auto"/>
              </w:rPr>
            </w:pPr>
          </w:p>
        </w:tc>
        <w:tc>
          <w:tcPr>
            <w:tcW w:w="620" w:type="dxa"/>
            <w:vAlign w:val="bottom"/>
            <w:tcBorders>
              <w:bottom w:val="single" w:sz="8" w:color="808080"/>
            </w:tcBorders>
          </w:tcPr>
          <w:p>
            <w:pPr>
              <w:spacing w:after="0"/>
              <w:rPr>
                <w:sz w:val="19"/>
                <w:szCs w:val="19"/>
                <w:color w:val="auto"/>
              </w:rPr>
            </w:pPr>
          </w:p>
        </w:tc>
        <w:tc>
          <w:tcPr>
            <w:tcW w:w="120" w:type="dxa"/>
            <w:vAlign w:val="bottom"/>
            <w:tcBorders>
              <w:bottom w:val="single" w:sz="8" w:color="808080"/>
            </w:tcBorders>
          </w:tcPr>
          <w:p>
            <w:pPr>
              <w:spacing w:after="0"/>
              <w:rPr>
                <w:sz w:val="19"/>
                <w:szCs w:val="19"/>
                <w:color w:val="auto"/>
              </w:rPr>
            </w:pPr>
          </w:p>
        </w:tc>
        <w:tc>
          <w:tcPr>
            <w:tcW w:w="40" w:type="dxa"/>
            <w:vAlign w:val="bottom"/>
            <w:tcBorders>
              <w:bottom w:val="single" w:sz="8" w:color="808080"/>
            </w:tcBorders>
          </w:tcPr>
          <w:p>
            <w:pPr>
              <w:spacing w:after="0"/>
              <w:rPr>
                <w:sz w:val="19"/>
                <w:szCs w:val="19"/>
                <w:color w:val="auto"/>
              </w:rPr>
            </w:pPr>
          </w:p>
        </w:tc>
        <w:tc>
          <w:tcPr>
            <w:tcW w:w="120" w:type="dxa"/>
            <w:vAlign w:val="bottom"/>
            <w:tcBorders>
              <w:bottom w:val="single" w:sz="8" w:color="808080"/>
            </w:tcBorders>
          </w:tcPr>
          <w:p>
            <w:pPr>
              <w:spacing w:after="0"/>
              <w:rPr>
                <w:sz w:val="19"/>
                <w:szCs w:val="19"/>
                <w:color w:val="auto"/>
              </w:rPr>
            </w:pPr>
          </w:p>
        </w:tc>
        <w:tc>
          <w:tcPr>
            <w:tcW w:w="660" w:type="dxa"/>
            <w:vAlign w:val="bottom"/>
            <w:tcBorders>
              <w:bottom w:val="single" w:sz="8" w:color="808080"/>
            </w:tcBorders>
          </w:tcPr>
          <w:p>
            <w:pPr>
              <w:spacing w:after="0"/>
              <w:rPr>
                <w:sz w:val="19"/>
                <w:szCs w:val="19"/>
                <w:color w:val="auto"/>
              </w:rPr>
            </w:pPr>
          </w:p>
        </w:tc>
        <w:tc>
          <w:tcPr>
            <w:tcW w:w="180" w:type="dxa"/>
            <w:vAlign w:val="bottom"/>
            <w:tcBorders>
              <w:bottom w:val="single" w:sz="8" w:color="808080"/>
            </w:tcBorders>
          </w:tcPr>
          <w:p>
            <w:pPr>
              <w:spacing w:after="0"/>
              <w:rPr>
                <w:sz w:val="19"/>
                <w:szCs w:val="19"/>
                <w:color w:val="auto"/>
              </w:rPr>
            </w:pPr>
          </w:p>
        </w:tc>
        <w:tc>
          <w:tcPr>
            <w:tcW w:w="780" w:type="dxa"/>
            <w:vAlign w:val="bottom"/>
            <w:tcBorders>
              <w:bottom w:val="single" w:sz="8" w:color="808080"/>
            </w:tcBorders>
          </w:tcPr>
          <w:p>
            <w:pPr>
              <w:spacing w:after="0"/>
              <w:rPr>
                <w:sz w:val="19"/>
                <w:szCs w:val="19"/>
                <w:color w:val="auto"/>
              </w:rPr>
            </w:pPr>
          </w:p>
        </w:tc>
        <w:tc>
          <w:tcPr>
            <w:tcW w:w="300" w:type="dxa"/>
            <w:vAlign w:val="bottom"/>
            <w:tcBorders>
              <w:bottom w:val="single" w:sz="8" w:color="808080"/>
            </w:tcBorders>
          </w:tcPr>
          <w:p>
            <w:pPr>
              <w:spacing w:after="0"/>
              <w:rPr>
                <w:sz w:val="19"/>
                <w:szCs w:val="19"/>
                <w:color w:val="auto"/>
              </w:rPr>
            </w:pPr>
          </w:p>
        </w:tc>
        <w:tc>
          <w:tcPr>
            <w:tcW w:w="1140" w:type="dxa"/>
            <w:vAlign w:val="bottom"/>
            <w:tcBorders>
              <w:bottom w:val="single" w:sz="8" w:color="808080"/>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58" w:name="page59"/>
    <w:bookmarkEnd w:id="58"/>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Net Loss</w:t>
      </w:r>
    </w:p>
    <w:p>
      <w:pPr>
        <w:spacing w:after="0" w:line="225" w:lineRule="exact"/>
        <w:rPr>
          <w:sz w:val="20"/>
          <w:szCs w:val="20"/>
          <w:color w:val="auto"/>
        </w:rPr>
      </w:pPr>
    </w:p>
    <w:p>
      <w:pPr>
        <w:ind w:right="120" w:firstLine="348"/>
        <w:spacing w:after="0" w:line="256" w:lineRule="auto"/>
        <w:rPr>
          <w:sz w:val="20"/>
          <w:szCs w:val="20"/>
          <w:color w:val="auto"/>
        </w:rPr>
      </w:pPr>
      <w:r>
        <w:rPr>
          <w:rFonts w:ascii="Arial" w:cs="Arial" w:eastAsia="Arial" w:hAnsi="Arial"/>
          <w:sz w:val="18"/>
          <w:szCs w:val="18"/>
          <w:color w:val="auto"/>
        </w:rPr>
        <w:t>The $34.0 million decrease in net loss for the year ended December 31, 2010 compared to the year ended December 31, 2009 was primarily the result of an increase in product development and licensing agreement revenue and other income and a decrease in general and administrative expense. This impact was partially offset by a decrease in contracts and grants and product royalty revenue and increased research and development, royalty and amortization expense on acquired intangible assets.</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Revenue</w:t>
      </w:r>
    </w:p>
    <w:p>
      <w:pPr>
        <w:spacing w:after="0" w:line="225" w:lineRule="exact"/>
        <w:rPr>
          <w:sz w:val="20"/>
          <w:szCs w:val="20"/>
          <w:color w:val="auto"/>
        </w:rPr>
      </w:pPr>
    </w:p>
    <w:p>
      <w:pPr>
        <w:ind w:right="20" w:firstLine="348"/>
        <w:spacing w:after="0" w:line="287" w:lineRule="auto"/>
        <w:rPr>
          <w:sz w:val="20"/>
          <w:szCs w:val="20"/>
          <w:color w:val="auto"/>
        </w:rPr>
      </w:pPr>
      <w:r>
        <w:rPr>
          <w:rFonts w:ascii="Arial" w:cs="Arial" w:eastAsia="Arial" w:hAnsi="Arial"/>
          <w:sz w:val="16"/>
          <w:szCs w:val="16"/>
          <w:color w:val="auto"/>
        </w:rPr>
        <w:t>The $34.5 million increase in product development and licensing agreement revenue for the year ended December 31, 2010 was primarily due to the Pfizer Termination which resulted in us recognizing the remaining deferred revenue of $35.6 million related to the Pfizer Agreement. The $1.6 million decrease in contracts and grants revenue for the year ended December 31, 2010 was due to a decrease in revenue related to our vaccine development work on Rockefeller's DCVax-001 (CDX-2401) program. The $1.3 million decrease in product royalty revenue for the year ended December 31, 2010 was related to our retained interests in Rotarix® net royalties which were not sold to PRF and which is equal to the amount payable to CCH and recognized in royalty expense by us. In late March 2010, the FDA temporarily suspended the use of Rotarix® in the United States as a precautionary measure following the discovery of PCV-1 DNA material in the vaccine. In May 2010, the FDA determined that healthcare practitioners could resume the use of Rotarix®. Our royalties from sales of Rotarix® were negatively impacted during the year ended December 31, 2010 by the FDA's decision to temporarily suspend the use of Rotarix® from March 2010 through May 2010 and that negative impact from the temporary suspension may extend into the future as well. However, our net loss and cash position were not impacted even though our royalty revenue was impacted because there was an offsetting impact on our royalty expense.</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Research and Development Expense</w:t>
      </w:r>
    </w:p>
    <w:p>
      <w:pPr>
        <w:spacing w:after="0" w:line="225" w:lineRule="exact"/>
        <w:rPr>
          <w:sz w:val="20"/>
          <w:szCs w:val="20"/>
          <w:color w:val="auto"/>
        </w:rPr>
      </w:pPr>
    </w:p>
    <w:p>
      <w:pPr>
        <w:ind w:right="740" w:firstLine="351"/>
        <w:spacing w:after="0" w:line="332" w:lineRule="auto"/>
        <w:rPr>
          <w:sz w:val="20"/>
          <w:szCs w:val="20"/>
          <w:color w:val="auto"/>
        </w:rPr>
      </w:pPr>
      <w:r>
        <w:rPr>
          <w:rFonts w:ascii="Arial" w:cs="Arial" w:eastAsia="Arial" w:hAnsi="Arial"/>
          <w:sz w:val="16"/>
          <w:szCs w:val="16"/>
          <w:color w:val="auto"/>
        </w:rPr>
        <w:t>Research and development expenses consist primarily of (i) personnel expenses, (ii) laboratory supply expenses relating to the development of our technology, (iii) facility expenses, and (iv) product development expenses associated with our product candidates as follows:</w:t>
      </w:r>
    </w:p>
    <w:p>
      <w:pPr>
        <w:spacing w:after="0" w:line="338" w:lineRule="exact"/>
        <w:rPr>
          <w:sz w:val="20"/>
          <w:szCs w:val="20"/>
          <w:color w:val="auto"/>
        </w:rPr>
      </w:pPr>
    </w:p>
    <w:tbl>
      <w:tblPr>
        <w:tblLayout w:type="fixed"/>
        <w:tblInd w:w="2300" w:type="dxa"/>
        <w:tblCellMar>
          <w:top w:w="0" w:type="dxa"/>
          <w:left w:w="0" w:type="dxa"/>
          <w:bottom w:w="0" w:type="dxa"/>
          <w:right w:w="0" w:type="dxa"/>
        </w:tblCellMar>
      </w:tblPr>
      <w:tr>
        <w:trPr>
          <w:trHeight w:val="161"/>
        </w:trPr>
        <w:tc>
          <w:tcPr>
            <w:tcW w:w="2980" w:type="dxa"/>
            <w:vAlign w:val="bottom"/>
          </w:tcPr>
          <w:p>
            <w:pPr>
              <w:spacing w:after="0"/>
              <w:rPr>
                <w:sz w:val="14"/>
                <w:szCs w:val="14"/>
                <w:color w:val="auto"/>
              </w:rPr>
            </w:pPr>
          </w:p>
        </w:tc>
        <w:tc>
          <w:tcPr>
            <w:tcW w:w="1720" w:type="dxa"/>
            <w:vAlign w:val="bottom"/>
            <w:gridSpan w:val="4"/>
            <w:vMerge w:val="restart"/>
          </w:tcPr>
          <w:p>
            <w:pPr>
              <w:jc w:val="right"/>
              <w:ind w:right="200"/>
              <w:spacing w:after="0"/>
              <w:rPr>
                <w:sz w:val="20"/>
                <w:szCs w:val="20"/>
                <w:color w:val="auto"/>
              </w:rPr>
            </w:pPr>
            <w:r>
              <w:rPr>
                <w:rFonts w:ascii="Arial" w:cs="Arial" w:eastAsia="Arial" w:hAnsi="Arial"/>
                <w:sz w:val="14"/>
                <w:szCs w:val="14"/>
                <w:b w:val="1"/>
                <w:bCs w:val="1"/>
                <w:color w:val="auto"/>
                <w:w w:val="87"/>
              </w:rPr>
              <w:t>Year Ended December 31,</w:t>
            </w:r>
          </w:p>
        </w:tc>
        <w:tc>
          <w:tcPr>
            <w:tcW w:w="120" w:type="dxa"/>
            <w:vAlign w:val="bottom"/>
          </w:tcPr>
          <w:p>
            <w:pPr>
              <w:spacing w:after="0"/>
              <w:rPr>
                <w:sz w:val="14"/>
                <w:szCs w:val="14"/>
                <w:color w:val="auto"/>
              </w:rPr>
            </w:pPr>
          </w:p>
        </w:tc>
        <w:tc>
          <w:tcPr>
            <w:tcW w:w="82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85"/>
              </w:rPr>
              <w:t>Increase/</w:t>
            </w:r>
          </w:p>
        </w:tc>
        <w:tc>
          <w:tcPr>
            <w:tcW w:w="1200" w:type="dxa"/>
            <w:vAlign w:val="bottom"/>
            <w:gridSpan w:val="2"/>
          </w:tcPr>
          <w:p>
            <w:pPr>
              <w:jc w:val="center"/>
              <w:ind w:right="400"/>
              <w:spacing w:after="0"/>
              <w:rPr>
                <w:sz w:val="20"/>
                <w:szCs w:val="20"/>
                <w:color w:val="auto"/>
              </w:rPr>
            </w:pPr>
            <w:r>
              <w:rPr>
                <w:rFonts w:ascii="Arial" w:cs="Arial" w:eastAsia="Arial" w:hAnsi="Arial"/>
                <w:sz w:val="14"/>
                <w:szCs w:val="14"/>
                <w:b w:val="1"/>
                <w:bCs w:val="1"/>
                <w:color w:val="auto"/>
                <w:w w:val="85"/>
              </w:rPr>
              <w:t>Increase/</w:t>
            </w:r>
          </w:p>
        </w:tc>
        <w:tc>
          <w:tcPr>
            <w:tcW w:w="0" w:type="dxa"/>
            <w:vAlign w:val="bottom"/>
          </w:tcPr>
          <w:p>
            <w:pPr>
              <w:spacing w:after="0"/>
              <w:rPr>
                <w:sz w:val="1"/>
                <w:szCs w:val="1"/>
                <w:color w:val="auto"/>
              </w:rPr>
            </w:pPr>
          </w:p>
        </w:tc>
      </w:tr>
      <w:tr>
        <w:trPr>
          <w:trHeight w:val="67"/>
        </w:trPr>
        <w:tc>
          <w:tcPr>
            <w:tcW w:w="2980" w:type="dxa"/>
            <w:vAlign w:val="bottom"/>
          </w:tcPr>
          <w:p>
            <w:pPr>
              <w:spacing w:after="0"/>
              <w:rPr>
                <w:sz w:val="5"/>
                <w:szCs w:val="5"/>
                <w:color w:val="auto"/>
              </w:rPr>
            </w:pPr>
          </w:p>
        </w:tc>
        <w:tc>
          <w:tcPr>
            <w:tcW w:w="1720" w:type="dxa"/>
            <w:vAlign w:val="bottom"/>
            <w:gridSpan w:val="4"/>
            <w:vMerge w:val="continue"/>
          </w:tcPr>
          <w:p>
            <w:pPr>
              <w:spacing w:after="0"/>
              <w:rPr>
                <w:sz w:val="5"/>
                <w:szCs w:val="5"/>
                <w:color w:val="auto"/>
              </w:rPr>
            </w:pPr>
          </w:p>
        </w:tc>
        <w:tc>
          <w:tcPr>
            <w:tcW w:w="940" w:type="dxa"/>
            <w:vAlign w:val="bottom"/>
            <w:gridSpan w:val="3"/>
            <w:vMerge w:val="restart"/>
          </w:tcPr>
          <w:p>
            <w:pPr>
              <w:jc w:val="center"/>
              <w:ind w:right="140"/>
              <w:spacing w:after="0" w:line="149" w:lineRule="exact"/>
              <w:rPr>
                <w:sz w:val="20"/>
                <w:szCs w:val="20"/>
                <w:color w:val="auto"/>
              </w:rPr>
            </w:pPr>
            <w:r>
              <w:rPr>
                <w:rFonts w:ascii="Arial" w:cs="Arial" w:eastAsia="Arial" w:hAnsi="Arial"/>
                <w:sz w:val="14"/>
                <w:szCs w:val="14"/>
                <w:b w:val="1"/>
                <w:bCs w:val="1"/>
                <w:color w:val="auto"/>
                <w:w w:val="83"/>
              </w:rPr>
              <w:t>(Decrease)</w:t>
            </w:r>
          </w:p>
        </w:tc>
        <w:tc>
          <w:tcPr>
            <w:tcW w:w="1200" w:type="dxa"/>
            <w:vAlign w:val="bottom"/>
            <w:gridSpan w:val="2"/>
            <w:vMerge w:val="restart"/>
          </w:tcPr>
          <w:p>
            <w:pPr>
              <w:jc w:val="center"/>
              <w:ind w:right="400"/>
              <w:spacing w:after="0" w:line="149" w:lineRule="exact"/>
              <w:rPr>
                <w:sz w:val="20"/>
                <w:szCs w:val="20"/>
                <w:color w:val="auto"/>
              </w:rPr>
            </w:pPr>
            <w:r>
              <w:rPr>
                <w:rFonts w:ascii="Arial" w:cs="Arial" w:eastAsia="Arial" w:hAnsi="Arial"/>
                <w:sz w:val="14"/>
                <w:szCs w:val="14"/>
                <w:b w:val="1"/>
                <w:bCs w:val="1"/>
                <w:color w:val="auto"/>
                <w:w w:val="83"/>
              </w:rPr>
              <w:t>(Decrease)</w:t>
            </w:r>
          </w:p>
        </w:tc>
        <w:tc>
          <w:tcPr>
            <w:tcW w:w="0" w:type="dxa"/>
            <w:vAlign w:val="bottom"/>
          </w:tcPr>
          <w:p>
            <w:pPr>
              <w:spacing w:after="0"/>
              <w:rPr>
                <w:sz w:val="1"/>
                <w:szCs w:val="1"/>
                <w:color w:val="auto"/>
              </w:rPr>
            </w:pPr>
          </w:p>
        </w:tc>
      </w:tr>
      <w:tr>
        <w:trPr>
          <w:trHeight w:val="62"/>
        </w:trPr>
        <w:tc>
          <w:tcPr>
            <w:tcW w:w="2980" w:type="dxa"/>
            <w:vAlign w:val="bottom"/>
          </w:tcPr>
          <w:p>
            <w:pPr>
              <w:spacing w:after="0"/>
              <w:rPr>
                <w:sz w:val="5"/>
                <w:szCs w:val="5"/>
                <w:color w:val="auto"/>
              </w:rPr>
            </w:pPr>
          </w:p>
        </w:tc>
        <w:tc>
          <w:tcPr>
            <w:tcW w:w="700" w:type="dxa"/>
            <w:vAlign w:val="bottom"/>
            <w:tcBorders>
              <w:top w:val="single" w:sz="8" w:color="auto"/>
            </w:tcBorders>
          </w:tcPr>
          <w:p>
            <w:pPr>
              <w:spacing w:after="0"/>
              <w:rPr>
                <w:sz w:val="5"/>
                <w:szCs w:val="5"/>
                <w:color w:val="auto"/>
              </w:rPr>
            </w:pPr>
          </w:p>
        </w:tc>
        <w:tc>
          <w:tcPr>
            <w:tcW w:w="160" w:type="dxa"/>
            <w:vAlign w:val="bottom"/>
            <w:tcBorders>
              <w:top w:val="single" w:sz="8" w:color="auto"/>
            </w:tcBorders>
          </w:tcPr>
          <w:p>
            <w:pPr>
              <w:spacing w:after="0"/>
              <w:rPr>
                <w:sz w:val="5"/>
                <w:szCs w:val="5"/>
                <w:color w:val="auto"/>
              </w:rPr>
            </w:pPr>
          </w:p>
        </w:tc>
        <w:tc>
          <w:tcPr>
            <w:tcW w:w="700" w:type="dxa"/>
            <w:vAlign w:val="bottom"/>
            <w:tcBorders>
              <w:top w:val="single" w:sz="8" w:color="auto"/>
            </w:tcBorders>
          </w:tcPr>
          <w:p>
            <w:pPr>
              <w:spacing w:after="0"/>
              <w:rPr>
                <w:sz w:val="5"/>
                <w:szCs w:val="5"/>
                <w:color w:val="auto"/>
              </w:rPr>
            </w:pPr>
          </w:p>
        </w:tc>
        <w:tc>
          <w:tcPr>
            <w:tcW w:w="160" w:type="dxa"/>
            <w:vAlign w:val="bottom"/>
          </w:tcPr>
          <w:p>
            <w:pPr>
              <w:spacing w:after="0"/>
              <w:rPr>
                <w:sz w:val="5"/>
                <w:szCs w:val="5"/>
                <w:color w:val="auto"/>
              </w:rPr>
            </w:pPr>
          </w:p>
        </w:tc>
        <w:tc>
          <w:tcPr>
            <w:tcW w:w="940" w:type="dxa"/>
            <w:vAlign w:val="bottom"/>
            <w:gridSpan w:val="3"/>
            <w:vMerge w:val="continue"/>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61"/>
        </w:trPr>
        <w:tc>
          <w:tcPr>
            <w:tcW w:w="2980" w:type="dxa"/>
            <w:vAlign w:val="bottom"/>
          </w:tcPr>
          <w:p>
            <w:pPr>
              <w:spacing w:after="0"/>
              <w:rPr>
                <w:sz w:val="14"/>
                <w:szCs w:val="14"/>
                <w:color w:val="auto"/>
              </w:rPr>
            </w:pPr>
          </w:p>
        </w:tc>
        <w:tc>
          <w:tcPr>
            <w:tcW w:w="700" w:type="dxa"/>
            <w:vAlign w:val="bottom"/>
            <w:tcBorders>
              <w:bottom w:val="single" w:sz="8" w:color="auto"/>
            </w:tcBorders>
          </w:tcPr>
          <w:p>
            <w:pPr>
              <w:jc w:val="right"/>
              <w:ind w:right="139"/>
              <w:spacing w:after="0"/>
              <w:rPr>
                <w:sz w:val="20"/>
                <w:szCs w:val="20"/>
                <w:color w:val="auto"/>
              </w:rPr>
            </w:pPr>
            <w:r>
              <w:rPr>
                <w:rFonts w:ascii="Arial" w:cs="Arial" w:eastAsia="Arial" w:hAnsi="Arial"/>
                <w:sz w:val="14"/>
                <w:szCs w:val="14"/>
                <w:b w:val="1"/>
                <w:bCs w:val="1"/>
                <w:color w:val="auto"/>
              </w:rPr>
              <w:t>2010</w:t>
            </w:r>
          </w:p>
        </w:tc>
        <w:tc>
          <w:tcPr>
            <w:tcW w:w="160" w:type="dxa"/>
            <w:vAlign w:val="bottom"/>
          </w:tcPr>
          <w:p>
            <w:pPr>
              <w:spacing w:after="0"/>
              <w:rPr>
                <w:sz w:val="14"/>
                <w:szCs w:val="14"/>
                <w:color w:val="auto"/>
              </w:rPr>
            </w:pPr>
          </w:p>
        </w:tc>
        <w:tc>
          <w:tcPr>
            <w:tcW w:w="700" w:type="dxa"/>
            <w:vAlign w:val="bottom"/>
            <w:tcBorders>
              <w:bottom w:val="single" w:sz="8" w:color="auto"/>
            </w:tcBorders>
          </w:tcPr>
          <w:p>
            <w:pPr>
              <w:jc w:val="right"/>
              <w:ind w:right="139"/>
              <w:spacing w:after="0"/>
              <w:rPr>
                <w:sz w:val="20"/>
                <w:szCs w:val="20"/>
                <w:color w:val="auto"/>
              </w:rPr>
            </w:pPr>
            <w:r>
              <w:rPr>
                <w:rFonts w:ascii="Arial" w:cs="Arial" w:eastAsia="Arial" w:hAnsi="Arial"/>
                <w:sz w:val="14"/>
                <w:szCs w:val="14"/>
                <w:b w:val="1"/>
                <w:bCs w:val="1"/>
                <w:color w:val="auto"/>
              </w:rPr>
              <w:t>2009</w:t>
            </w:r>
          </w:p>
        </w:tc>
        <w:tc>
          <w:tcPr>
            <w:tcW w:w="16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jc w:val="center"/>
              <w:ind w:right="39"/>
              <w:spacing w:after="0"/>
              <w:rPr>
                <w:sz w:val="20"/>
                <w:szCs w:val="20"/>
                <w:color w:val="auto"/>
              </w:rPr>
            </w:pPr>
            <w:r>
              <w:rPr>
                <w:rFonts w:ascii="Arial" w:cs="Arial" w:eastAsia="Arial" w:hAnsi="Arial"/>
                <w:sz w:val="14"/>
                <w:szCs w:val="14"/>
                <w:b w:val="1"/>
                <w:bCs w:val="1"/>
                <w:color w:val="auto"/>
                <w:w w:val="76"/>
              </w:rPr>
              <w:t>$</w:t>
            </w:r>
          </w:p>
        </w:tc>
        <w:tc>
          <w:tcPr>
            <w:tcW w:w="160" w:type="dxa"/>
            <w:vAlign w:val="bottom"/>
          </w:tcPr>
          <w:p>
            <w:pPr>
              <w:spacing w:after="0"/>
              <w:rPr>
                <w:sz w:val="14"/>
                <w:szCs w:val="14"/>
                <w:color w:val="auto"/>
              </w:rPr>
            </w:pPr>
          </w:p>
        </w:tc>
        <w:tc>
          <w:tcPr>
            <w:tcW w:w="8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6"/>
              </w:rPr>
              <w:t>%</w:t>
            </w:r>
          </w:p>
        </w:tc>
        <w:tc>
          <w:tcPr>
            <w:tcW w:w="4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9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640" w:type="dxa"/>
            <w:vAlign w:val="bottom"/>
            <w:gridSpan w:val="4"/>
          </w:tcPr>
          <w:p>
            <w:pPr>
              <w:jc w:val="right"/>
              <w:ind w:right="279"/>
              <w:spacing w:after="0" w:line="142" w:lineRule="exact"/>
              <w:rPr>
                <w:sz w:val="20"/>
                <w:szCs w:val="20"/>
                <w:color w:val="auto"/>
              </w:rPr>
            </w:pPr>
            <w:r>
              <w:rPr>
                <w:rFonts w:ascii="Arial" w:cs="Arial" w:eastAsia="Arial" w:hAnsi="Arial"/>
                <w:sz w:val="14"/>
                <w:szCs w:val="14"/>
                <w:b w:val="1"/>
                <w:bCs w:val="1"/>
                <w:color w:val="auto"/>
              </w:rPr>
              <w:t>(In thousands)</w:t>
            </w:r>
          </w:p>
        </w:tc>
        <w:tc>
          <w:tcPr>
            <w:tcW w:w="16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980" w:type="dxa"/>
            <w:vAlign w:val="bottom"/>
            <w:shd w:val="clear" w:color="auto" w:fill="CCEEFF"/>
          </w:tcPr>
          <w:p>
            <w:pPr>
              <w:spacing w:after="0"/>
              <w:rPr>
                <w:sz w:val="20"/>
                <w:szCs w:val="20"/>
                <w:color w:val="auto"/>
              </w:rPr>
            </w:pPr>
            <w:r>
              <w:rPr>
                <w:rFonts w:ascii="Arial" w:cs="Arial" w:eastAsia="Arial" w:hAnsi="Arial"/>
                <w:sz w:val="18"/>
                <w:szCs w:val="18"/>
                <w:color w:val="auto"/>
              </w:rPr>
              <w:t>Personnel</w:t>
            </w:r>
          </w:p>
        </w:tc>
        <w:tc>
          <w:tcPr>
            <w:tcW w:w="8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90"/>
              </w:rPr>
              <w:t>$  12,204</w:t>
            </w:r>
          </w:p>
        </w:tc>
        <w:tc>
          <w:tcPr>
            <w:tcW w:w="8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90"/>
              </w:rPr>
              <w:t>$  11,108</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1,096</w:t>
            </w:r>
          </w:p>
        </w:tc>
        <w:tc>
          <w:tcPr>
            <w:tcW w:w="16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216"/>
        </w:trPr>
        <w:tc>
          <w:tcPr>
            <w:tcW w:w="2980" w:type="dxa"/>
            <w:vAlign w:val="bottom"/>
          </w:tcPr>
          <w:p>
            <w:pPr>
              <w:spacing w:after="0"/>
              <w:rPr>
                <w:sz w:val="20"/>
                <w:szCs w:val="20"/>
                <w:color w:val="auto"/>
              </w:rPr>
            </w:pPr>
            <w:r>
              <w:rPr>
                <w:rFonts w:ascii="Arial" w:cs="Arial" w:eastAsia="Arial" w:hAnsi="Arial"/>
                <w:sz w:val="18"/>
                <w:szCs w:val="18"/>
                <w:color w:val="auto"/>
              </w:rPr>
              <w:t>Laboratory Supplies</w:t>
            </w:r>
          </w:p>
        </w:tc>
        <w:tc>
          <w:tcPr>
            <w:tcW w:w="860" w:type="dxa"/>
            <w:vAlign w:val="bottom"/>
            <w:gridSpan w:val="2"/>
          </w:tcPr>
          <w:p>
            <w:pPr>
              <w:jc w:val="right"/>
              <w:ind w:right="160"/>
              <w:spacing w:after="0"/>
              <w:rPr>
                <w:sz w:val="20"/>
                <w:szCs w:val="20"/>
                <w:color w:val="auto"/>
              </w:rPr>
            </w:pPr>
            <w:r>
              <w:rPr>
                <w:rFonts w:ascii="Arial" w:cs="Arial" w:eastAsia="Arial" w:hAnsi="Arial"/>
                <w:sz w:val="18"/>
                <w:szCs w:val="18"/>
                <w:color w:val="auto"/>
              </w:rPr>
              <w:t>1,779</w:t>
            </w:r>
          </w:p>
        </w:tc>
        <w:tc>
          <w:tcPr>
            <w:tcW w:w="700" w:type="dxa"/>
            <w:vAlign w:val="bottom"/>
          </w:tcPr>
          <w:p>
            <w:pPr>
              <w:jc w:val="right"/>
              <w:spacing w:after="0"/>
              <w:rPr>
                <w:sz w:val="20"/>
                <w:szCs w:val="20"/>
                <w:color w:val="auto"/>
              </w:rPr>
            </w:pPr>
            <w:r>
              <w:rPr>
                <w:rFonts w:ascii="Arial" w:cs="Arial" w:eastAsia="Arial" w:hAnsi="Arial"/>
                <w:sz w:val="18"/>
                <w:szCs w:val="18"/>
                <w:color w:val="auto"/>
              </w:rPr>
              <w:t>2,517</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(738)</w:t>
            </w:r>
          </w:p>
        </w:tc>
        <w:tc>
          <w:tcPr>
            <w:tcW w:w="1200" w:type="dxa"/>
            <w:vAlign w:val="bottom"/>
            <w:gridSpan w:val="2"/>
          </w:tcPr>
          <w:p>
            <w:pPr>
              <w:jc w:val="right"/>
              <w:ind w:right="200"/>
              <w:spacing w:after="0"/>
              <w:rPr>
                <w:sz w:val="20"/>
                <w:szCs w:val="20"/>
                <w:color w:val="auto"/>
              </w:rPr>
            </w:pPr>
            <w:r>
              <w:rPr>
                <w:rFonts w:ascii="Arial" w:cs="Arial" w:eastAsia="Arial" w:hAnsi="Arial"/>
                <w:sz w:val="18"/>
                <w:szCs w:val="18"/>
                <w:color w:val="auto"/>
              </w:rPr>
              <w:t>(29)%</w:t>
            </w:r>
          </w:p>
        </w:tc>
        <w:tc>
          <w:tcPr>
            <w:tcW w:w="0" w:type="dxa"/>
            <w:vAlign w:val="bottom"/>
          </w:tcPr>
          <w:p>
            <w:pPr>
              <w:spacing w:after="0"/>
              <w:rPr>
                <w:sz w:val="1"/>
                <w:szCs w:val="1"/>
                <w:color w:val="auto"/>
              </w:rPr>
            </w:pPr>
          </w:p>
        </w:tc>
      </w:tr>
      <w:tr>
        <w:trPr>
          <w:trHeight w:val="216"/>
        </w:trPr>
        <w:tc>
          <w:tcPr>
            <w:tcW w:w="2980" w:type="dxa"/>
            <w:vAlign w:val="bottom"/>
            <w:shd w:val="clear" w:color="auto" w:fill="CCEEFF"/>
          </w:tcPr>
          <w:p>
            <w:pPr>
              <w:spacing w:after="0"/>
              <w:rPr>
                <w:sz w:val="20"/>
                <w:szCs w:val="20"/>
                <w:color w:val="auto"/>
              </w:rPr>
            </w:pPr>
            <w:r>
              <w:rPr>
                <w:rFonts w:ascii="Arial" w:cs="Arial" w:eastAsia="Arial" w:hAnsi="Arial"/>
                <w:sz w:val="18"/>
                <w:szCs w:val="18"/>
                <w:color w:val="auto"/>
              </w:rPr>
              <w:t>Facility</w:t>
            </w:r>
          </w:p>
        </w:tc>
        <w:tc>
          <w:tcPr>
            <w:tcW w:w="8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4,962</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4,782</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180</w:t>
            </w:r>
          </w:p>
        </w:tc>
        <w:tc>
          <w:tcPr>
            <w:tcW w:w="16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22"/>
        </w:trPr>
        <w:tc>
          <w:tcPr>
            <w:tcW w:w="2980" w:type="dxa"/>
            <w:vAlign w:val="bottom"/>
          </w:tcPr>
          <w:p>
            <w:pPr>
              <w:spacing w:after="0"/>
              <w:rPr>
                <w:sz w:val="20"/>
                <w:szCs w:val="20"/>
                <w:color w:val="auto"/>
              </w:rPr>
            </w:pPr>
            <w:r>
              <w:rPr>
                <w:rFonts w:ascii="Arial" w:cs="Arial" w:eastAsia="Arial" w:hAnsi="Arial"/>
                <w:sz w:val="18"/>
                <w:szCs w:val="18"/>
                <w:color w:val="auto"/>
              </w:rPr>
              <w:t>Product Development</w:t>
            </w:r>
          </w:p>
        </w:tc>
        <w:tc>
          <w:tcPr>
            <w:tcW w:w="860" w:type="dxa"/>
            <w:vAlign w:val="bottom"/>
            <w:gridSpan w:val="2"/>
          </w:tcPr>
          <w:p>
            <w:pPr>
              <w:jc w:val="right"/>
              <w:ind w:right="160"/>
              <w:spacing w:after="0"/>
              <w:rPr>
                <w:sz w:val="20"/>
                <w:szCs w:val="20"/>
                <w:color w:val="auto"/>
              </w:rPr>
            </w:pPr>
            <w:r>
              <w:rPr>
                <w:rFonts w:ascii="Arial" w:cs="Arial" w:eastAsia="Arial" w:hAnsi="Arial"/>
                <w:sz w:val="18"/>
                <w:szCs w:val="18"/>
                <w:color w:val="auto"/>
              </w:rPr>
              <w:t>5,832</w:t>
            </w:r>
          </w:p>
        </w:tc>
        <w:tc>
          <w:tcPr>
            <w:tcW w:w="700" w:type="dxa"/>
            <w:vAlign w:val="bottom"/>
          </w:tcPr>
          <w:p>
            <w:pPr>
              <w:jc w:val="right"/>
              <w:spacing w:after="0"/>
              <w:rPr>
                <w:sz w:val="20"/>
                <w:szCs w:val="20"/>
                <w:color w:val="auto"/>
              </w:rPr>
            </w:pPr>
            <w:r>
              <w:rPr>
                <w:rFonts w:ascii="Arial" w:cs="Arial" w:eastAsia="Arial" w:hAnsi="Arial"/>
                <w:sz w:val="18"/>
                <w:szCs w:val="18"/>
                <w:color w:val="auto"/>
              </w:rPr>
              <w:t>5,758</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74</w:t>
            </w:r>
          </w:p>
        </w:tc>
        <w:tc>
          <w:tcPr>
            <w:tcW w:w="160" w:type="dxa"/>
            <w:vAlign w:val="bottom"/>
          </w:tcPr>
          <w:p>
            <w:pPr>
              <w:spacing w:after="0"/>
              <w:rPr>
                <w:sz w:val="19"/>
                <w:szCs w:val="19"/>
                <w:color w:val="auto"/>
              </w:rPr>
            </w:pPr>
          </w:p>
        </w:tc>
        <w:tc>
          <w:tcPr>
            <w:tcW w:w="1200" w:type="dxa"/>
            <w:vAlign w:val="bottom"/>
            <w:gridSpan w:val="2"/>
          </w:tcPr>
          <w:p>
            <w:pPr>
              <w:jc w:val="right"/>
              <w:ind w:right="260"/>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bl>
    <w:p>
      <w:pPr>
        <w:spacing w:after="0" w:line="201" w:lineRule="exact"/>
        <w:rPr>
          <w:sz w:val="20"/>
          <w:szCs w:val="20"/>
          <w:color w:val="auto"/>
        </w:rPr>
      </w:pPr>
    </w:p>
    <w:p>
      <w:pPr>
        <w:ind w:firstLine="351"/>
        <w:spacing w:after="0" w:line="256" w:lineRule="auto"/>
        <w:rPr>
          <w:sz w:val="20"/>
          <w:szCs w:val="20"/>
          <w:color w:val="auto"/>
        </w:rPr>
      </w:pPr>
      <w:r>
        <w:rPr>
          <w:rFonts w:ascii="Arial" w:cs="Arial" w:eastAsia="Arial" w:hAnsi="Arial"/>
          <w:sz w:val="18"/>
          <w:szCs w:val="18"/>
          <w:color w:val="auto"/>
        </w:rPr>
        <w:t>Personnel expenses primarily include salary, benefits, stock-based compensation and payroll taxes. The $1.1 million increase in personnel expenses for the year ended December 31, 2010 was due to higher headcount, partially offset by $0.9 million in severance expense during the year ended December 31, 2009 related to the CuraGen Merger. We expect personnel expenses to increase over the next twelve months as we plan to continue to increase our headcount, primarily in clinical research personnel.</w:t>
      </w:r>
    </w:p>
    <w:p>
      <w:pPr>
        <w:spacing w:after="0" w:line="197" w:lineRule="exact"/>
        <w:rPr>
          <w:sz w:val="20"/>
          <w:szCs w:val="20"/>
          <w:color w:val="auto"/>
        </w:rPr>
      </w:pPr>
    </w:p>
    <w:p>
      <w:pPr>
        <w:jc w:val="both"/>
        <w:ind w:right="200" w:firstLine="351"/>
        <w:spacing w:after="0" w:line="306" w:lineRule="auto"/>
        <w:rPr>
          <w:sz w:val="20"/>
          <w:szCs w:val="20"/>
          <w:color w:val="auto"/>
        </w:rPr>
      </w:pPr>
      <w:r>
        <w:rPr>
          <w:rFonts w:ascii="Arial" w:cs="Arial" w:eastAsia="Arial" w:hAnsi="Arial"/>
          <w:sz w:val="16"/>
          <w:szCs w:val="16"/>
          <w:color w:val="auto"/>
        </w:rPr>
        <w:t>Laboratory supply expenses include laboratory materials and supplies, services, and other related expenses incurred in the development of our technology. The $0.7 million decrease in laboratory supply expenses was primarily due to the renovations completed during the year ended December 31, 2010 at our Fall River, MA manufacturing facility during which manufacturing activities ceased. We expect</w:t>
      </w:r>
    </w:p>
    <w:p>
      <w:pPr>
        <w:spacing w:after="0" w:line="16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59" w:name="page60"/>
    <w:bookmarkEnd w:id="59"/>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ind w:right="360"/>
        <w:spacing w:after="0" w:line="268" w:lineRule="auto"/>
        <w:rPr>
          <w:sz w:val="20"/>
          <w:szCs w:val="20"/>
          <w:color w:val="auto"/>
        </w:rPr>
      </w:pPr>
      <w:r>
        <w:rPr>
          <w:rFonts w:ascii="Arial" w:cs="Arial" w:eastAsia="Arial" w:hAnsi="Arial"/>
          <w:sz w:val="18"/>
          <w:szCs w:val="18"/>
          <w:color w:val="auto"/>
        </w:rPr>
        <w:t>supply expenses to increase over the next twelve months as a result of increased research and development activities, although there may be fluctuations on a quarterly basis.</w:t>
      </w:r>
    </w:p>
    <w:p>
      <w:pPr>
        <w:spacing w:after="0" w:line="186" w:lineRule="exact"/>
        <w:rPr>
          <w:sz w:val="20"/>
          <w:szCs w:val="20"/>
          <w:color w:val="auto"/>
        </w:rPr>
      </w:pPr>
    </w:p>
    <w:p>
      <w:pPr>
        <w:jc w:val="both"/>
        <w:ind w:right="520" w:firstLine="351"/>
        <w:spacing w:after="0" w:line="306" w:lineRule="auto"/>
        <w:rPr>
          <w:sz w:val="20"/>
          <w:szCs w:val="20"/>
          <w:color w:val="auto"/>
        </w:rPr>
      </w:pPr>
      <w:r>
        <w:rPr>
          <w:rFonts w:ascii="Arial" w:cs="Arial" w:eastAsia="Arial" w:hAnsi="Arial"/>
          <w:sz w:val="16"/>
          <w:szCs w:val="16"/>
          <w:color w:val="auto"/>
        </w:rPr>
        <w:t>Facility expenses include depreciation, amortization, utilities, rent, maintenance, and other related expenses incurred at our facilities. The $0.2 million increase in facility expenses for the year ended December 31, 2010 was primarily due to higher depreciation and amortization expenses. We expect facility expenses to remain relatively consistent over the next twelve months, although there may be fluctuations on a quarterly basis.</w:t>
      </w:r>
    </w:p>
    <w:p>
      <w:pPr>
        <w:spacing w:after="0" w:line="161" w:lineRule="exact"/>
        <w:rPr>
          <w:sz w:val="20"/>
          <w:szCs w:val="20"/>
          <w:color w:val="auto"/>
        </w:rPr>
      </w:pPr>
    </w:p>
    <w:p>
      <w:pPr>
        <w:ind w:right="20" w:firstLine="351"/>
        <w:spacing w:after="0" w:line="255" w:lineRule="auto"/>
        <w:rPr>
          <w:sz w:val="20"/>
          <w:szCs w:val="20"/>
          <w:color w:val="auto"/>
        </w:rPr>
      </w:pPr>
      <w:r>
        <w:rPr>
          <w:rFonts w:ascii="Arial" w:cs="Arial" w:eastAsia="Arial" w:hAnsi="Arial"/>
          <w:sz w:val="18"/>
          <w:szCs w:val="18"/>
          <w:color w:val="auto"/>
        </w:rPr>
        <w:t>Product development expenses include clinical investigator site fees, external trial monitoring costs, data accumulation costs, contracted research and outside clinical drug product manufacturing. The $0.1 million increase in product development expenses for the year ended December 31, 2010 was primarily due to an increase in product development costs related to our CDX-011 program. We expect product development expenses to increase over the next twelve months primarily due to the increase in clinical trial expenses related to our rindopepimut and CDX-011 programs, although there may be fluctuations on a quarterly basis.</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Royalty Expense</w:t>
      </w:r>
    </w:p>
    <w:p>
      <w:pPr>
        <w:spacing w:after="0" w:line="225" w:lineRule="exact"/>
        <w:rPr>
          <w:sz w:val="20"/>
          <w:szCs w:val="20"/>
          <w:color w:val="auto"/>
        </w:rPr>
      </w:pPr>
    </w:p>
    <w:p>
      <w:pPr>
        <w:ind w:right="80" w:firstLine="351"/>
        <w:spacing w:after="0" w:line="254" w:lineRule="auto"/>
        <w:rPr>
          <w:sz w:val="20"/>
          <w:szCs w:val="20"/>
          <w:color w:val="auto"/>
        </w:rPr>
      </w:pPr>
      <w:r>
        <w:rPr>
          <w:rFonts w:ascii="Arial" w:cs="Arial" w:eastAsia="Arial" w:hAnsi="Arial"/>
          <w:sz w:val="18"/>
          <w:szCs w:val="18"/>
          <w:color w:val="auto"/>
        </w:rPr>
        <w:t>Royalty expenses include product royalty and sublicense royalty fees on our out-licensed programs. The $3.7 million increase in royalty expenses for the year ended December 31, 2010 was primarily due to the Pfizer Termination which resulted in us recognizing the remaining deferred sublicense fees related to the Pfizer Agreement of $5.1 million, partially offset by a decrease in Rotarix® related royalty fees. Our retained interests in Rotarix® net royalties which were not sold to PRF are recorded as product royalty revenue and a corresponding amount that is payable to CCH is recorded as royalty expense. We expect royalty expense to decrease over the next twelve months due to the lack of royalty expense related to the Pfizer Agreement, although there may be fluctuations on a quarterly basis.</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General and Administrative Expense</w:t>
      </w:r>
    </w:p>
    <w:p>
      <w:pPr>
        <w:spacing w:after="0" w:line="225" w:lineRule="exact"/>
        <w:rPr>
          <w:sz w:val="20"/>
          <w:szCs w:val="20"/>
          <w:color w:val="auto"/>
        </w:rPr>
      </w:pPr>
    </w:p>
    <w:p>
      <w:pPr>
        <w:ind w:right="40" w:firstLine="348"/>
        <w:spacing w:after="0" w:line="318" w:lineRule="auto"/>
        <w:rPr>
          <w:sz w:val="20"/>
          <w:szCs w:val="20"/>
          <w:color w:val="auto"/>
        </w:rPr>
      </w:pPr>
      <w:r>
        <w:rPr>
          <w:rFonts w:ascii="Arial" w:cs="Arial" w:eastAsia="Arial" w:hAnsi="Arial"/>
          <w:sz w:val="15"/>
          <w:szCs w:val="15"/>
          <w:color w:val="auto"/>
        </w:rPr>
        <w:t>The $6.7 million decrease in general and administrative expenses for the year ended December 31, 2010 was primarily due to $3.3 million in severance expense incurred during the year ended December 31, 2009 related to the CuraGen Merger and a decrease of $2.1 million in consultant and legal expense primarily related to costs incurred in connection with the CuraGen Merger in 2009. The decrease was also a result of $0.7 million in severance expense, including related non-cash stock-based compensation expense, incurred during the year ended December 31, 2009 related to our former SVP, Business Development. We expect general and administrative expense to remain relatively consistent over the next twelve months, although there may be fluctuations on a quarterly basis.</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Amortization Expense</w:t>
      </w:r>
    </w:p>
    <w:p>
      <w:pPr>
        <w:spacing w:after="0" w:line="225" w:lineRule="exact"/>
        <w:rPr>
          <w:sz w:val="20"/>
          <w:szCs w:val="20"/>
          <w:color w:val="auto"/>
        </w:rPr>
      </w:pPr>
    </w:p>
    <w:p>
      <w:pPr>
        <w:ind w:firstLine="348"/>
        <w:spacing w:after="0" w:line="254" w:lineRule="auto"/>
        <w:rPr>
          <w:sz w:val="20"/>
          <w:szCs w:val="20"/>
          <w:color w:val="auto"/>
        </w:rPr>
      </w:pPr>
      <w:r>
        <w:rPr>
          <w:rFonts w:ascii="Arial" w:cs="Arial" w:eastAsia="Arial" w:hAnsi="Arial"/>
          <w:sz w:val="18"/>
          <w:szCs w:val="18"/>
          <w:color w:val="auto"/>
        </w:rPr>
        <w:t>The $2.2 million increase in amortization expenses for the year ended December 31, 2010 was primarily due to intangible assets acquired in connection with the CuraGen Merger including the TopoTarget Agreement. In February 2010, TopoTarget entered into a co-development and commercialization agreement for Belinostat with Spectrum Pharmaceuticals, Inc. which resulted in our receipt of $3.0 million which we recorded as Other Income for the year ended December 31, 2010. We recorded amortization expense related to the TopoTarget Agreement of $1.7 million for the year ended December 31, 2010. We expect amortization expense of acquired intangible assets to decrease over the next twelve months as a result of the TopoTarget Agreement intangible asset becoming fully amortized during 2011.</w:t>
      </w:r>
    </w:p>
    <w:p>
      <w:pPr>
        <w:spacing w:after="0" w:line="19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60" w:name="page61"/>
    <w:bookmarkEnd w:id="60"/>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Investment and Other Income, Net</w:t>
      </w:r>
    </w:p>
    <w:p>
      <w:pPr>
        <w:spacing w:after="0" w:line="225" w:lineRule="exact"/>
        <w:rPr>
          <w:sz w:val="20"/>
          <w:szCs w:val="20"/>
          <w:color w:val="auto"/>
        </w:rPr>
      </w:pPr>
    </w:p>
    <w:p>
      <w:pPr>
        <w:ind w:right="20" w:firstLine="348"/>
        <w:spacing w:after="0" w:line="256" w:lineRule="auto"/>
        <w:rPr>
          <w:sz w:val="20"/>
          <w:szCs w:val="20"/>
          <w:color w:val="auto"/>
        </w:rPr>
      </w:pPr>
      <w:r>
        <w:rPr>
          <w:rFonts w:ascii="Arial" w:cs="Arial" w:eastAsia="Arial" w:hAnsi="Arial"/>
          <w:sz w:val="18"/>
          <w:szCs w:val="18"/>
          <w:color w:val="auto"/>
        </w:rPr>
        <w:t>The $5.0 million increase in investment and other income, net for the year ended December 31, 2010 was primarily due to $3.0 million received in connection with the TopoTarget Agreement and $1.7 million in other income related to the receipt of IRS Qualifying Therapeutic Discovery Grants. We anticipate investment income to decrease over the next twelve months due to lower cash and investment balances caused by the utilization of cash and investment balances in the normal course of funding our operations.</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Interest Expense</w:t>
      </w:r>
    </w:p>
    <w:p>
      <w:pPr>
        <w:spacing w:after="0" w:line="225" w:lineRule="exact"/>
        <w:rPr>
          <w:sz w:val="20"/>
          <w:szCs w:val="20"/>
          <w:color w:val="auto"/>
        </w:rPr>
      </w:pPr>
    </w:p>
    <w:p>
      <w:pPr>
        <w:jc w:val="both"/>
        <w:ind w:right="80" w:firstLine="348"/>
        <w:spacing w:after="0" w:line="303" w:lineRule="auto"/>
        <w:rPr>
          <w:sz w:val="20"/>
          <w:szCs w:val="20"/>
          <w:color w:val="auto"/>
        </w:rPr>
      </w:pPr>
      <w:r>
        <w:rPr>
          <w:rFonts w:ascii="Arial" w:cs="Arial" w:eastAsia="Arial" w:hAnsi="Arial"/>
          <w:sz w:val="15"/>
          <w:szCs w:val="15"/>
          <w:color w:val="auto"/>
        </w:rPr>
        <w:t>The $0.9 million increase in interest expense for the year ended December 31, 2010 was primarily due to the CuraGen Debt we assumed in connection with the CuraGen Merger. On December 30, 2010, we entered into a Loan and Security Agreement (the "Loan Agreement") with MidCap Financial, LLC ("MidCap") pursuant to which we borrowed $10 million (the "Term Loan") from MidCap. In March 2011, we amended the Loan Agreement and borrowed an additional</w:t>
      </w:r>
    </w:p>
    <w:p>
      <w:pPr>
        <w:spacing w:after="0" w:line="1" w:lineRule="exact"/>
        <w:rPr>
          <w:sz w:val="20"/>
          <w:szCs w:val="20"/>
          <w:color w:val="auto"/>
        </w:rPr>
      </w:pPr>
    </w:p>
    <w:p>
      <w:pPr>
        <w:ind w:right="140"/>
        <w:spacing w:after="0" w:line="302" w:lineRule="auto"/>
        <w:rPr>
          <w:sz w:val="20"/>
          <w:szCs w:val="20"/>
          <w:color w:val="auto"/>
        </w:rPr>
      </w:pPr>
      <w:r>
        <w:rPr>
          <w:rFonts w:ascii="Arial" w:cs="Arial" w:eastAsia="Arial" w:hAnsi="Arial"/>
          <w:sz w:val="16"/>
          <w:szCs w:val="16"/>
          <w:color w:val="auto"/>
        </w:rPr>
        <w:t>$5 million from General Electric Capital Corporation ("GECC") (collectively with MidCap, the "Lenders") to increase the amount owed under the Term Loan to $15 million. The Term Loan accrues interest at a fixed annual interest rate equal to the greater of (i) the sum of (A) the LIBOR Rate (as defined in the Loan Agreement) plus (B) 6.25%; or (ii) a minimum rate of 9.50%. We anticipate interest expense to increase over the next twelve months due to the Term Loan.</w:t>
      </w:r>
    </w:p>
    <w:p>
      <w:pPr>
        <w:spacing w:after="0" w:line="16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Income Tax Benefit</w:t>
      </w:r>
    </w:p>
    <w:p>
      <w:pPr>
        <w:spacing w:after="0" w:line="225" w:lineRule="exact"/>
        <w:rPr>
          <w:sz w:val="20"/>
          <w:szCs w:val="20"/>
          <w:color w:val="auto"/>
        </w:rPr>
      </w:pPr>
    </w:p>
    <w:p>
      <w:pPr>
        <w:ind w:right="360" w:firstLine="348"/>
        <w:spacing w:after="0" w:line="268" w:lineRule="auto"/>
        <w:rPr>
          <w:sz w:val="20"/>
          <w:szCs w:val="20"/>
          <w:color w:val="auto"/>
        </w:rPr>
      </w:pPr>
      <w:r>
        <w:rPr>
          <w:rFonts w:ascii="Arial" w:cs="Arial" w:eastAsia="Arial" w:hAnsi="Arial"/>
          <w:sz w:val="18"/>
          <w:szCs w:val="18"/>
          <w:color w:val="auto"/>
        </w:rPr>
        <w:t>The $0.5 million decrease in income tax benefit for the year ended December 31, 2010 was due to non-cash tax consequences as a result of the CuraGen Merger.</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Year Ended December 31, 2009 compared with Year Ended December 31, 2008</w:t>
      </w:r>
    </w:p>
    <w:p>
      <w:pPr>
        <w:spacing w:after="0" w:line="200" w:lineRule="exact"/>
        <w:rPr>
          <w:sz w:val="20"/>
          <w:szCs w:val="20"/>
          <w:color w:val="auto"/>
        </w:rPr>
      </w:pPr>
    </w:p>
    <w:p>
      <w:pPr>
        <w:spacing w:after="0" w:line="22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160" w:type="dxa"/>
            <w:vAlign w:val="bottom"/>
          </w:tcPr>
          <w:p>
            <w:pPr>
              <w:spacing w:after="0"/>
              <w:rPr>
                <w:sz w:val="14"/>
                <w:szCs w:val="14"/>
                <w:color w:val="auto"/>
              </w:rPr>
            </w:pPr>
          </w:p>
        </w:tc>
        <w:tc>
          <w:tcPr>
            <w:tcW w:w="406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720" w:type="dxa"/>
            <w:vAlign w:val="bottom"/>
            <w:gridSpan w:val="5"/>
            <w:vMerge w:val="restart"/>
          </w:tcPr>
          <w:p>
            <w:pPr>
              <w:jc w:val="right"/>
              <w:ind w:right="220"/>
              <w:spacing w:after="0"/>
              <w:rPr>
                <w:sz w:val="20"/>
                <w:szCs w:val="20"/>
                <w:color w:val="auto"/>
              </w:rPr>
            </w:pPr>
            <w:r>
              <w:rPr>
                <w:rFonts w:ascii="Arial" w:cs="Arial" w:eastAsia="Arial" w:hAnsi="Arial"/>
                <w:sz w:val="14"/>
                <w:szCs w:val="14"/>
                <w:b w:val="1"/>
                <w:bCs w:val="1"/>
                <w:color w:val="auto"/>
                <w:w w:val="86"/>
              </w:rPr>
              <w:t>Year Ended December 31,</w:t>
            </w: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4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88"/>
              </w:rPr>
              <w:t>Increase/</w:t>
            </w:r>
          </w:p>
        </w:tc>
        <w:tc>
          <w:tcPr>
            <w:tcW w:w="2220" w:type="dxa"/>
            <w:vAlign w:val="bottom"/>
            <w:gridSpan w:val="3"/>
          </w:tcPr>
          <w:p>
            <w:pPr>
              <w:jc w:val="center"/>
              <w:ind w:right="1460"/>
              <w:spacing w:after="0"/>
              <w:rPr>
                <w:sz w:val="20"/>
                <w:szCs w:val="20"/>
                <w:color w:val="auto"/>
              </w:rPr>
            </w:pPr>
            <w:r>
              <w:rPr>
                <w:rFonts w:ascii="Arial" w:cs="Arial" w:eastAsia="Arial" w:hAnsi="Arial"/>
                <w:sz w:val="14"/>
                <w:szCs w:val="14"/>
                <w:b w:val="1"/>
                <w:bCs w:val="1"/>
                <w:color w:val="auto"/>
                <w:w w:val="85"/>
              </w:rPr>
              <w:t>Increase/</w:t>
            </w:r>
          </w:p>
        </w:tc>
        <w:tc>
          <w:tcPr>
            <w:tcW w:w="0" w:type="dxa"/>
            <w:vAlign w:val="bottom"/>
          </w:tcPr>
          <w:p>
            <w:pPr>
              <w:spacing w:after="0"/>
              <w:rPr>
                <w:sz w:val="1"/>
                <w:szCs w:val="1"/>
                <w:color w:val="auto"/>
              </w:rPr>
            </w:pPr>
          </w:p>
        </w:tc>
      </w:tr>
      <w:tr>
        <w:trPr>
          <w:trHeight w:val="67"/>
        </w:trPr>
        <w:tc>
          <w:tcPr>
            <w:tcW w:w="1160" w:type="dxa"/>
            <w:vAlign w:val="bottom"/>
          </w:tcPr>
          <w:p>
            <w:pPr>
              <w:spacing w:after="0"/>
              <w:rPr>
                <w:sz w:val="5"/>
                <w:szCs w:val="5"/>
                <w:color w:val="auto"/>
              </w:rPr>
            </w:pPr>
          </w:p>
        </w:tc>
        <w:tc>
          <w:tcPr>
            <w:tcW w:w="4060" w:type="dxa"/>
            <w:vAlign w:val="bottom"/>
          </w:tcPr>
          <w:p>
            <w:pPr>
              <w:spacing w:after="0"/>
              <w:rPr>
                <w:sz w:val="5"/>
                <w:szCs w:val="5"/>
                <w:color w:val="auto"/>
              </w:rPr>
            </w:pPr>
          </w:p>
        </w:tc>
        <w:tc>
          <w:tcPr>
            <w:tcW w:w="1160" w:type="dxa"/>
            <w:vAlign w:val="bottom"/>
          </w:tcPr>
          <w:p>
            <w:pPr>
              <w:spacing w:after="0"/>
              <w:rPr>
                <w:sz w:val="5"/>
                <w:szCs w:val="5"/>
                <w:color w:val="auto"/>
              </w:rPr>
            </w:pPr>
          </w:p>
        </w:tc>
        <w:tc>
          <w:tcPr>
            <w:tcW w:w="100" w:type="dxa"/>
            <w:vAlign w:val="bottom"/>
          </w:tcPr>
          <w:p>
            <w:pPr>
              <w:spacing w:after="0"/>
              <w:rPr>
                <w:sz w:val="5"/>
                <w:szCs w:val="5"/>
                <w:color w:val="auto"/>
              </w:rPr>
            </w:pPr>
          </w:p>
        </w:tc>
        <w:tc>
          <w:tcPr>
            <w:tcW w:w="1720" w:type="dxa"/>
            <w:vAlign w:val="bottom"/>
            <w:gridSpan w:val="5"/>
            <w:vMerge w:val="continue"/>
          </w:tcPr>
          <w:p>
            <w:pPr>
              <w:spacing w:after="0"/>
              <w:rPr>
                <w:sz w:val="5"/>
                <w:szCs w:val="5"/>
                <w:color w:val="auto"/>
              </w:rPr>
            </w:pPr>
          </w:p>
        </w:tc>
        <w:tc>
          <w:tcPr>
            <w:tcW w:w="40" w:type="dxa"/>
            <w:vAlign w:val="bottom"/>
          </w:tcPr>
          <w:p>
            <w:pPr>
              <w:spacing w:after="0"/>
              <w:rPr>
                <w:sz w:val="5"/>
                <w:szCs w:val="5"/>
                <w:color w:val="auto"/>
              </w:rPr>
            </w:pPr>
          </w:p>
        </w:tc>
        <w:tc>
          <w:tcPr>
            <w:tcW w:w="960" w:type="dxa"/>
            <w:vAlign w:val="bottom"/>
            <w:gridSpan w:val="3"/>
            <w:vMerge w:val="restart"/>
          </w:tcPr>
          <w:p>
            <w:pPr>
              <w:jc w:val="center"/>
              <w:ind w:right="180"/>
              <w:spacing w:after="0" w:line="149" w:lineRule="exact"/>
              <w:rPr>
                <w:sz w:val="20"/>
                <w:szCs w:val="20"/>
                <w:color w:val="auto"/>
              </w:rPr>
            </w:pPr>
            <w:r>
              <w:rPr>
                <w:rFonts w:ascii="Arial" w:cs="Arial" w:eastAsia="Arial" w:hAnsi="Arial"/>
                <w:sz w:val="14"/>
                <w:szCs w:val="14"/>
                <w:b w:val="1"/>
                <w:bCs w:val="1"/>
                <w:color w:val="auto"/>
                <w:w w:val="86"/>
              </w:rPr>
              <w:t>(Decrease)</w:t>
            </w:r>
          </w:p>
        </w:tc>
        <w:tc>
          <w:tcPr>
            <w:tcW w:w="2220" w:type="dxa"/>
            <w:vAlign w:val="bottom"/>
            <w:gridSpan w:val="3"/>
            <w:vMerge w:val="restart"/>
          </w:tcPr>
          <w:p>
            <w:pPr>
              <w:jc w:val="center"/>
              <w:ind w:right="1460"/>
              <w:spacing w:after="0" w:line="149" w:lineRule="exact"/>
              <w:rPr>
                <w:sz w:val="20"/>
                <w:szCs w:val="20"/>
                <w:color w:val="auto"/>
              </w:rPr>
            </w:pPr>
            <w:r>
              <w:rPr>
                <w:rFonts w:ascii="Arial" w:cs="Arial" w:eastAsia="Arial" w:hAnsi="Arial"/>
                <w:sz w:val="14"/>
                <w:szCs w:val="14"/>
                <w:b w:val="1"/>
                <w:bCs w:val="1"/>
                <w:color w:val="auto"/>
                <w:w w:val="83"/>
              </w:rPr>
              <w:t>(Decrease)</w:t>
            </w:r>
          </w:p>
        </w:tc>
        <w:tc>
          <w:tcPr>
            <w:tcW w:w="0" w:type="dxa"/>
            <w:vAlign w:val="bottom"/>
          </w:tcPr>
          <w:p>
            <w:pPr>
              <w:spacing w:after="0"/>
              <w:rPr>
                <w:sz w:val="1"/>
                <w:szCs w:val="1"/>
                <w:color w:val="auto"/>
              </w:rPr>
            </w:pPr>
          </w:p>
        </w:tc>
      </w:tr>
      <w:tr>
        <w:trPr>
          <w:trHeight w:val="62"/>
        </w:trPr>
        <w:tc>
          <w:tcPr>
            <w:tcW w:w="1160" w:type="dxa"/>
            <w:vAlign w:val="bottom"/>
          </w:tcPr>
          <w:p>
            <w:pPr>
              <w:spacing w:after="0"/>
              <w:rPr>
                <w:sz w:val="5"/>
                <w:szCs w:val="5"/>
                <w:color w:val="auto"/>
              </w:rPr>
            </w:pPr>
          </w:p>
        </w:tc>
        <w:tc>
          <w:tcPr>
            <w:tcW w:w="4060" w:type="dxa"/>
            <w:vAlign w:val="bottom"/>
          </w:tcPr>
          <w:p>
            <w:pPr>
              <w:spacing w:after="0"/>
              <w:rPr>
                <w:sz w:val="5"/>
                <w:szCs w:val="5"/>
                <w:color w:val="auto"/>
              </w:rPr>
            </w:pPr>
          </w:p>
        </w:tc>
        <w:tc>
          <w:tcPr>
            <w:tcW w:w="1160" w:type="dxa"/>
            <w:vAlign w:val="bottom"/>
          </w:tcPr>
          <w:p>
            <w:pPr>
              <w:spacing w:after="0"/>
              <w:rPr>
                <w:sz w:val="5"/>
                <w:szCs w:val="5"/>
                <w:color w:val="auto"/>
              </w:rPr>
            </w:pPr>
          </w:p>
        </w:tc>
        <w:tc>
          <w:tcPr>
            <w:tcW w:w="100" w:type="dxa"/>
            <w:vAlign w:val="bottom"/>
            <w:tcBorders>
              <w:top w:val="single" w:sz="8" w:color="auto"/>
            </w:tcBorders>
          </w:tcPr>
          <w:p>
            <w:pPr>
              <w:spacing w:after="0"/>
              <w:rPr>
                <w:sz w:val="5"/>
                <w:szCs w:val="5"/>
                <w:color w:val="auto"/>
              </w:rPr>
            </w:pPr>
          </w:p>
        </w:tc>
        <w:tc>
          <w:tcPr>
            <w:tcW w:w="680" w:type="dxa"/>
            <w:vAlign w:val="bottom"/>
            <w:tcBorders>
              <w:top w:val="single" w:sz="8" w:color="auto"/>
            </w:tcBorders>
          </w:tcPr>
          <w:p>
            <w:pPr>
              <w:spacing w:after="0"/>
              <w:rPr>
                <w:sz w:val="5"/>
                <w:szCs w:val="5"/>
                <w:color w:val="auto"/>
              </w:rPr>
            </w:pPr>
          </w:p>
        </w:tc>
        <w:tc>
          <w:tcPr>
            <w:tcW w:w="160" w:type="dxa"/>
            <w:vAlign w:val="bottom"/>
            <w:tcBorders>
              <w:top w:val="single" w:sz="8" w:color="auto"/>
            </w:tcBorders>
          </w:tcPr>
          <w:p>
            <w:pPr>
              <w:spacing w:after="0"/>
              <w:rPr>
                <w:sz w:val="5"/>
                <w:szCs w:val="5"/>
                <w:color w:val="auto"/>
              </w:rPr>
            </w:pPr>
          </w:p>
        </w:tc>
        <w:tc>
          <w:tcPr>
            <w:tcW w:w="140" w:type="dxa"/>
            <w:vAlign w:val="bottom"/>
            <w:tcBorders>
              <w:top w:val="single" w:sz="8" w:color="auto"/>
            </w:tcBorders>
          </w:tcPr>
          <w:p>
            <w:pPr>
              <w:spacing w:after="0"/>
              <w:rPr>
                <w:sz w:val="5"/>
                <w:szCs w:val="5"/>
                <w:color w:val="auto"/>
              </w:rPr>
            </w:pPr>
          </w:p>
        </w:tc>
        <w:tc>
          <w:tcPr>
            <w:tcW w:w="620" w:type="dxa"/>
            <w:vAlign w:val="bottom"/>
            <w:tcBorders>
              <w:top w:val="single" w:sz="8" w:color="auto"/>
            </w:tcBorders>
          </w:tcPr>
          <w:p>
            <w:pPr>
              <w:spacing w:after="0"/>
              <w:rPr>
                <w:sz w:val="5"/>
                <w:szCs w:val="5"/>
                <w:color w:val="auto"/>
              </w:rPr>
            </w:pPr>
          </w:p>
        </w:tc>
        <w:tc>
          <w:tcPr>
            <w:tcW w:w="120" w:type="dxa"/>
            <w:vAlign w:val="bottom"/>
          </w:tcPr>
          <w:p>
            <w:pPr>
              <w:spacing w:after="0"/>
              <w:rPr>
                <w:sz w:val="5"/>
                <w:szCs w:val="5"/>
                <w:color w:val="auto"/>
              </w:rPr>
            </w:pPr>
          </w:p>
        </w:tc>
        <w:tc>
          <w:tcPr>
            <w:tcW w:w="40" w:type="dxa"/>
            <w:vAlign w:val="bottom"/>
          </w:tcPr>
          <w:p>
            <w:pPr>
              <w:spacing w:after="0"/>
              <w:rPr>
                <w:sz w:val="5"/>
                <w:szCs w:val="5"/>
                <w:color w:val="auto"/>
              </w:rPr>
            </w:pPr>
          </w:p>
        </w:tc>
        <w:tc>
          <w:tcPr>
            <w:tcW w:w="960" w:type="dxa"/>
            <w:vAlign w:val="bottom"/>
            <w:gridSpan w:val="3"/>
            <w:vMerge w:val="continue"/>
          </w:tcPr>
          <w:p>
            <w:pPr>
              <w:spacing w:after="0"/>
              <w:rPr>
                <w:sz w:val="5"/>
                <w:szCs w:val="5"/>
                <w:color w:val="auto"/>
              </w:rPr>
            </w:pPr>
          </w:p>
        </w:tc>
        <w:tc>
          <w:tcPr>
            <w:tcW w:w="22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61"/>
        </w:trPr>
        <w:tc>
          <w:tcPr>
            <w:tcW w:w="1160" w:type="dxa"/>
            <w:vAlign w:val="bottom"/>
          </w:tcPr>
          <w:p>
            <w:pPr>
              <w:spacing w:after="0"/>
              <w:rPr>
                <w:sz w:val="14"/>
                <w:szCs w:val="14"/>
                <w:color w:val="auto"/>
              </w:rPr>
            </w:pPr>
          </w:p>
        </w:tc>
        <w:tc>
          <w:tcPr>
            <w:tcW w:w="406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jc w:val="right"/>
              <w:ind w:right="174"/>
              <w:spacing w:after="0"/>
              <w:rPr>
                <w:sz w:val="20"/>
                <w:szCs w:val="20"/>
                <w:color w:val="auto"/>
              </w:rPr>
            </w:pPr>
            <w:r>
              <w:rPr>
                <w:rFonts w:ascii="Arial" w:cs="Arial" w:eastAsia="Arial" w:hAnsi="Arial"/>
                <w:sz w:val="14"/>
                <w:szCs w:val="14"/>
                <w:b w:val="1"/>
                <w:bCs w:val="1"/>
                <w:color w:val="auto"/>
              </w:rPr>
              <w:t>2009</w:t>
            </w:r>
          </w:p>
        </w:tc>
        <w:tc>
          <w:tcPr>
            <w:tcW w:w="16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jc w:val="right"/>
              <w:ind w:right="174"/>
              <w:spacing w:after="0"/>
              <w:rPr>
                <w:sz w:val="20"/>
                <w:szCs w:val="20"/>
                <w:color w:val="auto"/>
              </w:rPr>
            </w:pPr>
            <w:r>
              <w:rPr>
                <w:rFonts w:ascii="Arial" w:cs="Arial" w:eastAsia="Arial" w:hAnsi="Arial"/>
                <w:sz w:val="14"/>
                <w:szCs w:val="14"/>
                <w:b w:val="1"/>
                <w:bCs w:val="1"/>
                <w:color w:val="auto"/>
              </w:rPr>
              <w:t>2008</w:t>
            </w:r>
          </w:p>
        </w:tc>
        <w:tc>
          <w:tcPr>
            <w:tcW w:w="1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jc w:val="center"/>
              <w:ind w:right="34"/>
              <w:spacing w:after="0"/>
              <w:rPr>
                <w:sz w:val="20"/>
                <w:szCs w:val="20"/>
                <w:color w:val="auto"/>
              </w:rPr>
            </w:pPr>
            <w:r>
              <w:rPr>
                <w:rFonts w:ascii="Arial" w:cs="Arial" w:eastAsia="Arial" w:hAnsi="Arial"/>
                <w:sz w:val="14"/>
                <w:szCs w:val="14"/>
                <w:b w:val="1"/>
                <w:bCs w:val="1"/>
                <w:color w:val="auto"/>
                <w:w w:val="76"/>
              </w:rPr>
              <w:t>$</w:t>
            </w:r>
          </w:p>
        </w:tc>
        <w:tc>
          <w:tcPr>
            <w:tcW w:w="180" w:type="dxa"/>
            <w:vAlign w:val="bottom"/>
          </w:tcPr>
          <w:p>
            <w:pPr>
              <w:spacing w:after="0"/>
              <w:rPr>
                <w:sz w:val="14"/>
                <w:szCs w:val="14"/>
                <w:color w:val="auto"/>
              </w:rPr>
            </w:pPr>
          </w:p>
        </w:tc>
        <w:tc>
          <w:tcPr>
            <w:tcW w:w="7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w:t>
            </w:r>
          </w:p>
        </w:tc>
        <w:tc>
          <w:tcPr>
            <w:tcW w:w="30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1160" w:type="dxa"/>
            <w:vAlign w:val="bottom"/>
          </w:tcPr>
          <w:p>
            <w:pPr>
              <w:spacing w:after="0"/>
              <w:rPr>
                <w:sz w:val="12"/>
                <w:szCs w:val="12"/>
                <w:color w:val="auto"/>
              </w:rPr>
            </w:pPr>
          </w:p>
        </w:tc>
        <w:tc>
          <w:tcPr>
            <w:tcW w:w="406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560" w:type="dxa"/>
            <w:vAlign w:val="bottom"/>
            <w:gridSpan w:val="5"/>
          </w:tcPr>
          <w:p>
            <w:pPr>
              <w:jc w:val="right"/>
              <w:ind w:right="334"/>
              <w:spacing w:after="0" w:line="142" w:lineRule="exact"/>
              <w:rPr>
                <w:sz w:val="20"/>
                <w:szCs w:val="20"/>
                <w:color w:val="auto"/>
              </w:rPr>
            </w:pPr>
            <w:r>
              <w:rPr>
                <w:rFonts w:ascii="Arial" w:cs="Arial" w:eastAsia="Arial" w:hAnsi="Arial"/>
                <w:sz w:val="14"/>
                <w:szCs w:val="14"/>
                <w:b w:val="1"/>
                <w:bCs w:val="1"/>
                <w:color w:val="auto"/>
              </w:rPr>
              <w:t>(In thousands)</w:t>
            </w:r>
          </w:p>
        </w:tc>
        <w:tc>
          <w:tcPr>
            <w:tcW w:w="1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4060" w:type="dxa"/>
            <w:vAlign w:val="bottom"/>
            <w:shd w:val="clear" w:color="auto" w:fill="CCEEFF"/>
          </w:tcPr>
          <w:p>
            <w:pPr>
              <w:spacing w:after="0"/>
              <w:rPr>
                <w:sz w:val="20"/>
                <w:szCs w:val="20"/>
                <w:color w:val="auto"/>
              </w:rPr>
            </w:pPr>
            <w:r>
              <w:rPr>
                <w:rFonts w:ascii="Arial" w:cs="Arial" w:eastAsia="Arial" w:hAnsi="Arial"/>
                <w:sz w:val="18"/>
                <w:szCs w:val="18"/>
                <w:color w:val="auto"/>
              </w:rPr>
              <w:t>Revenue:</w:t>
            </w:r>
          </w:p>
        </w:tc>
        <w:tc>
          <w:tcPr>
            <w:tcW w:w="1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4060" w:type="dxa"/>
            <w:vAlign w:val="bottom"/>
          </w:tcPr>
          <w:p>
            <w:pPr>
              <w:ind w:left="120"/>
              <w:spacing w:after="0"/>
              <w:rPr>
                <w:sz w:val="20"/>
                <w:szCs w:val="20"/>
                <w:color w:val="auto"/>
              </w:rPr>
            </w:pPr>
            <w:r>
              <w:rPr>
                <w:rFonts w:ascii="Arial" w:cs="Arial" w:eastAsia="Arial" w:hAnsi="Arial"/>
                <w:sz w:val="18"/>
                <w:szCs w:val="18"/>
                <w:color w:val="auto"/>
              </w:rPr>
              <w:t>Product Development and Licensing Agreements</w:t>
            </w:r>
          </w:p>
        </w:tc>
        <w:tc>
          <w:tcPr>
            <w:tcW w:w="1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5,662</w:t>
            </w:r>
          </w:p>
        </w:tc>
        <w:tc>
          <w:tcPr>
            <w:tcW w:w="16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20" w:type="dxa"/>
            <w:vAlign w:val="bottom"/>
          </w:tcPr>
          <w:p>
            <w:pPr>
              <w:jc w:val="right"/>
              <w:spacing w:after="0"/>
              <w:rPr>
                <w:sz w:val="20"/>
                <w:szCs w:val="20"/>
                <w:color w:val="auto"/>
              </w:rPr>
            </w:pPr>
            <w:r>
              <w:rPr>
                <w:rFonts w:ascii="Arial" w:cs="Arial" w:eastAsia="Arial" w:hAnsi="Arial"/>
                <w:sz w:val="18"/>
                <w:szCs w:val="18"/>
                <w:color w:val="auto"/>
              </w:rPr>
              <w:t>3,716</w:t>
            </w:r>
          </w:p>
        </w:tc>
        <w:tc>
          <w:tcPr>
            <w:tcW w:w="120" w:type="dxa"/>
            <w:vAlign w:val="bottom"/>
          </w:tcPr>
          <w:p>
            <w:pPr>
              <w:spacing w:after="0"/>
              <w:rPr>
                <w:sz w:val="18"/>
                <w:szCs w:val="18"/>
                <w:color w:val="auto"/>
              </w:rPr>
            </w:pPr>
          </w:p>
        </w:tc>
        <w:tc>
          <w:tcPr>
            <w:tcW w:w="1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60" w:type="dxa"/>
            <w:vAlign w:val="bottom"/>
          </w:tcPr>
          <w:p>
            <w:pPr>
              <w:jc w:val="right"/>
              <w:spacing w:after="0"/>
              <w:rPr>
                <w:sz w:val="20"/>
                <w:szCs w:val="20"/>
                <w:color w:val="auto"/>
              </w:rPr>
            </w:pPr>
            <w:r>
              <w:rPr>
                <w:rFonts w:ascii="Arial" w:cs="Arial" w:eastAsia="Arial" w:hAnsi="Arial"/>
                <w:sz w:val="18"/>
                <w:szCs w:val="18"/>
                <w:color w:val="auto"/>
              </w:rPr>
              <w:t>1,946</w:t>
            </w:r>
          </w:p>
        </w:tc>
        <w:tc>
          <w:tcPr>
            <w:tcW w:w="180" w:type="dxa"/>
            <w:vAlign w:val="bottom"/>
          </w:tcPr>
          <w:p>
            <w:pPr>
              <w:spacing w:after="0"/>
              <w:rPr>
                <w:sz w:val="18"/>
                <w:szCs w:val="18"/>
                <w:color w:val="auto"/>
              </w:rPr>
            </w:pPr>
          </w:p>
        </w:tc>
        <w:tc>
          <w:tcPr>
            <w:tcW w:w="1080" w:type="dxa"/>
            <w:vAlign w:val="bottom"/>
            <w:gridSpan w:val="2"/>
          </w:tcPr>
          <w:p>
            <w:pPr>
              <w:jc w:val="right"/>
              <w:ind w:right="160"/>
              <w:spacing w:after="0"/>
              <w:rPr>
                <w:sz w:val="20"/>
                <w:szCs w:val="20"/>
                <w:color w:val="auto"/>
              </w:rPr>
            </w:pPr>
            <w:r>
              <w:rPr>
                <w:rFonts w:ascii="Arial" w:cs="Arial" w:eastAsia="Arial" w:hAnsi="Arial"/>
                <w:sz w:val="18"/>
                <w:szCs w:val="18"/>
                <w:color w:val="auto"/>
              </w:rPr>
              <w:t>52%</w:t>
            </w: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4060" w:type="dxa"/>
            <w:vAlign w:val="bottom"/>
            <w:shd w:val="clear" w:color="auto" w:fill="CCEEFF"/>
          </w:tcPr>
          <w:p>
            <w:pPr>
              <w:ind w:left="120"/>
              <w:spacing w:after="0"/>
              <w:rPr>
                <w:sz w:val="20"/>
                <w:szCs w:val="20"/>
                <w:color w:val="auto"/>
              </w:rPr>
            </w:pPr>
            <w:r>
              <w:rPr>
                <w:rFonts w:ascii="Arial" w:cs="Arial" w:eastAsia="Arial" w:hAnsi="Arial"/>
                <w:sz w:val="18"/>
                <w:szCs w:val="18"/>
                <w:color w:val="auto"/>
              </w:rPr>
              <w:t>Contracts and Grants</w:t>
            </w:r>
          </w:p>
        </w:tc>
        <w:tc>
          <w:tcPr>
            <w:tcW w:w="1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1,802</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533</w:t>
            </w:r>
          </w:p>
        </w:tc>
        <w:tc>
          <w:tcPr>
            <w:tcW w:w="1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1,269</w:t>
            </w:r>
          </w:p>
        </w:tc>
        <w:tc>
          <w:tcPr>
            <w:tcW w:w="1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238%</w:t>
            </w: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1160" w:type="dxa"/>
            <w:vAlign w:val="bottom"/>
          </w:tcPr>
          <w:p>
            <w:pPr>
              <w:spacing w:after="0"/>
              <w:rPr>
                <w:sz w:val="19"/>
                <w:szCs w:val="19"/>
                <w:color w:val="auto"/>
              </w:rPr>
            </w:pPr>
          </w:p>
        </w:tc>
        <w:tc>
          <w:tcPr>
            <w:tcW w:w="4060" w:type="dxa"/>
            <w:vAlign w:val="bottom"/>
          </w:tcPr>
          <w:p>
            <w:pPr>
              <w:ind w:left="120"/>
              <w:spacing w:after="0"/>
              <w:rPr>
                <w:sz w:val="20"/>
                <w:szCs w:val="20"/>
                <w:color w:val="auto"/>
              </w:rPr>
            </w:pPr>
            <w:r>
              <w:rPr>
                <w:rFonts w:ascii="Arial" w:cs="Arial" w:eastAsia="Arial" w:hAnsi="Arial"/>
                <w:sz w:val="18"/>
                <w:szCs w:val="18"/>
                <w:color w:val="auto"/>
              </w:rPr>
              <w:t>Product Royalties</w:t>
            </w:r>
          </w:p>
        </w:tc>
        <w:tc>
          <w:tcPr>
            <w:tcW w:w="1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7,716</w:t>
            </w:r>
          </w:p>
        </w:tc>
        <w:tc>
          <w:tcPr>
            <w:tcW w:w="1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3,207</w:t>
            </w:r>
          </w:p>
        </w:tc>
        <w:tc>
          <w:tcPr>
            <w:tcW w:w="1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4,509</w:t>
            </w:r>
          </w:p>
        </w:tc>
        <w:tc>
          <w:tcPr>
            <w:tcW w:w="180" w:type="dxa"/>
            <w:vAlign w:val="bottom"/>
          </w:tcPr>
          <w:p>
            <w:pPr>
              <w:spacing w:after="0"/>
              <w:rPr>
                <w:sz w:val="19"/>
                <w:szCs w:val="19"/>
                <w:color w:val="auto"/>
              </w:rPr>
            </w:pPr>
          </w:p>
        </w:tc>
        <w:tc>
          <w:tcPr>
            <w:tcW w:w="1080" w:type="dxa"/>
            <w:vAlign w:val="bottom"/>
            <w:gridSpan w:val="2"/>
          </w:tcPr>
          <w:p>
            <w:pPr>
              <w:jc w:val="right"/>
              <w:ind w:right="160"/>
              <w:spacing w:after="0"/>
              <w:rPr>
                <w:sz w:val="20"/>
                <w:szCs w:val="20"/>
                <w:color w:val="auto"/>
              </w:rPr>
            </w:pPr>
            <w:r>
              <w:rPr>
                <w:rFonts w:ascii="Arial" w:cs="Arial" w:eastAsia="Arial" w:hAnsi="Arial"/>
                <w:sz w:val="18"/>
                <w:szCs w:val="18"/>
                <w:color w:val="auto"/>
              </w:rPr>
              <w:t>141%</w:t>
            </w:r>
          </w:p>
        </w:tc>
        <w:tc>
          <w:tcPr>
            <w:tcW w:w="1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
        </w:trPr>
        <w:tc>
          <w:tcPr>
            <w:tcW w:w="1160" w:type="dxa"/>
            <w:vAlign w:val="bottom"/>
          </w:tcPr>
          <w:p>
            <w:pPr>
              <w:spacing w:after="0" w:line="20" w:lineRule="exact"/>
              <w:rPr>
                <w:sz w:val="1"/>
                <w:szCs w:val="1"/>
                <w:color w:val="auto"/>
              </w:rPr>
            </w:pPr>
          </w:p>
        </w:tc>
        <w:tc>
          <w:tcPr>
            <w:tcW w:w="406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1160" w:type="dxa"/>
            <w:vAlign w:val="bottom"/>
          </w:tcPr>
          <w:p>
            <w:pPr>
              <w:spacing w:after="0"/>
              <w:rPr>
                <w:sz w:val="18"/>
                <w:szCs w:val="18"/>
                <w:color w:val="auto"/>
              </w:rPr>
            </w:pPr>
          </w:p>
        </w:tc>
        <w:tc>
          <w:tcPr>
            <w:tcW w:w="4060" w:type="dxa"/>
            <w:vAlign w:val="bottom"/>
            <w:shd w:val="clear" w:color="auto" w:fill="CCEEFF"/>
          </w:tcPr>
          <w:p>
            <w:pPr>
              <w:spacing w:after="0"/>
              <w:rPr>
                <w:sz w:val="20"/>
                <w:szCs w:val="20"/>
                <w:color w:val="auto"/>
              </w:rPr>
            </w:pPr>
            <w:r>
              <w:rPr>
                <w:rFonts w:ascii="Arial" w:cs="Arial" w:eastAsia="Arial" w:hAnsi="Arial"/>
                <w:sz w:val="18"/>
                <w:szCs w:val="18"/>
                <w:color w:val="auto"/>
              </w:rPr>
              <w:t>Total Revenue</w:t>
            </w:r>
          </w:p>
        </w:tc>
        <w:tc>
          <w:tcPr>
            <w:tcW w:w="1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15,180</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7,456</w:t>
            </w:r>
          </w:p>
        </w:tc>
        <w:tc>
          <w:tcPr>
            <w:tcW w:w="120" w:type="dxa"/>
            <w:vAlign w:val="bottom"/>
            <w:shd w:val="clear" w:color="auto" w:fill="CCEEFF"/>
          </w:tcPr>
          <w:p>
            <w:pPr>
              <w:spacing w:after="0"/>
              <w:rPr>
                <w:sz w:val="18"/>
                <w:szCs w:val="18"/>
                <w:color w:val="auto"/>
              </w:rPr>
            </w:pPr>
          </w:p>
        </w:tc>
        <w:tc>
          <w:tcPr>
            <w:tcW w:w="1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7,724</w:t>
            </w:r>
          </w:p>
        </w:tc>
        <w:tc>
          <w:tcPr>
            <w:tcW w:w="1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104%</w:t>
            </w: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5220" w:type="dxa"/>
            <w:vAlign w:val="bottom"/>
            <w:gridSpan w:val="2"/>
            <w:vMerge w:val="restart"/>
          </w:tcPr>
          <w:p>
            <w:pPr>
              <w:ind w:left="1140"/>
              <w:spacing w:after="0"/>
              <w:rPr>
                <w:sz w:val="20"/>
                <w:szCs w:val="20"/>
                <w:color w:val="auto"/>
              </w:rPr>
            </w:pPr>
            <w:r>
              <w:rPr>
                <w:rFonts w:ascii="Arial" w:cs="Arial" w:eastAsia="Arial" w:hAnsi="Arial"/>
                <w:sz w:val="18"/>
                <w:szCs w:val="18"/>
                <w:color w:val="auto"/>
              </w:rPr>
              <w:t>Operating Expense:</w:t>
            </w:r>
          </w:p>
        </w:tc>
        <w:tc>
          <w:tcPr>
            <w:tcW w:w="116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4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80" w:type="dxa"/>
            <w:vAlign w:val="bottom"/>
          </w:tcPr>
          <w:p>
            <w:pPr>
              <w:spacing w:after="0"/>
              <w:rPr>
                <w:sz w:val="2"/>
                <w:szCs w:val="2"/>
                <w:color w:val="auto"/>
              </w:rPr>
            </w:pPr>
          </w:p>
        </w:tc>
        <w:tc>
          <w:tcPr>
            <w:tcW w:w="7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5220" w:type="dxa"/>
            <w:vAlign w:val="bottom"/>
            <w:gridSpan w:val="2"/>
            <w:vMerge w:val="continue"/>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5220" w:type="dxa"/>
            <w:vAlign w:val="bottom"/>
            <w:gridSpan w:val="2"/>
            <w:vMerge w:val="continue"/>
          </w:tcPr>
          <w:p>
            <w:pPr>
              <w:spacing w:after="0"/>
              <w:rPr>
                <w:sz w:val="17"/>
                <w:szCs w:val="17"/>
                <w:color w:val="auto"/>
              </w:rPr>
            </w:pPr>
          </w:p>
        </w:tc>
        <w:tc>
          <w:tcPr>
            <w:tcW w:w="1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7"/>
        </w:trPr>
        <w:tc>
          <w:tcPr>
            <w:tcW w:w="1160" w:type="dxa"/>
            <w:vAlign w:val="bottom"/>
          </w:tcPr>
          <w:p>
            <w:pPr>
              <w:spacing w:after="0"/>
              <w:rPr>
                <w:sz w:val="18"/>
                <w:szCs w:val="18"/>
                <w:color w:val="auto"/>
              </w:rPr>
            </w:pPr>
          </w:p>
        </w:tc>
        <w:tc>
          <w:tcPr>
            <w:tcW w:w="4060" w:type="dxa"/>
            <w:vAlign w:val="bottom"/>
            <w:shd w:val="clear" w:color="auto" w:fill="CCEEFF"/>
          </w:tcPr>
          <w:p>
            <w:pPr>
              <w:ind w:left="120"/>
              <w:spacing w:after="0"/>
              <w:rPr>
                <w:sz w:val="20"/>
                <w:szCs w:val="20"/>
                <w:color w:val="auto"/>
              </w:rPr>
            </w:pPr>
            <w:r>
              <w:rPr>
                <w:rFonts w:ascii="Arial" w:cs="Arial" w:eastAsia="Arial" w:hAnsi="Arial"/>
                <w:sz w:val="18"/>
                <w:szCs w:val="18"/>
                <w:color w:val="auto"/>
              </w:rPr>
              <w:t>Research and Development</w:t>
            </w:r>
          </w:p>
        </w:tc>
        <w:tc>
          <w:tcPr>
            <w:tcW w:w="1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26,169</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22,636</w:t>
            </w:r>
          </w:p>
        </w:tc>
        <w:tc>
          <w:tcPr>
            <w:tcW w:w="1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3,533</w:t>
            </w:r>
          </w:p>
        </w:tc>
        <w:tc>
          <w:tcPr>
            <w:tcW w:w="1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16%</w:t>
            </w: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4060" w:type="dxa"/>
            <w:vAlign w:val="bottom"/>
          </w:tcPr>
          <w:p>
            <w:pPr>
              <w:ind w:left="120"/>
              <w:spacing w:after="0"/>
              <w:rPr>
                <w:sz w:val="20"/>
                <w:szCs w:val="20"/>
                <w:color w:val="auto"/>
              </w:rPr>
            </w:pPr>
            <w:r>
              <w:rPr>
                <w:rFonts w:ascii="Arial" w:cs="Arial" w:eastAsia="Arial" w:hAnsi="Arial"/>
                <w:sz w:val="18"/>
                <w:szCs w:val="18"/>
                <w:color w:val="auto"/>
              </w:rPr>
              <w:t>Royalty</w:t>
            </w: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8,397</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3,711</w:t>
            </w: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4,686</w:t>
            </w:r>
          </w:p>
        </w:tc>
        <w:tc>
          <w:tcPr>
            <w:tcW w:w="180" w:type="dxa"/>
            <w:vAlign w:val="bottom"/>
          </w:tcPr>
          <w:p>
            <w:pPr>
              <w:spacing w:after="0"/>
              <w:rPr>
                <w:sz w:val="18"/>
                <w:szCs w:val="18"/>
                <w:color w:val="auto"/>
              </w:rPr>
            </w:pPr>
          </w:p>
        </w:tc>
        <w:tc>
          <w:tcPr>
            <w:tcW w:w="1080" w:type="dxa"/>
            <w:vAlign w:val="bottom"/>
            <w:gridSpan w:val="2"/>
          </w:tcPr>
          <w:p>
            <w:pPr>
              <w:jc w:val="right"/>
              <w:ind w:right="160"/>
              <w:spacing w:after="0"/>
              <w:rPr>
                <w:sz w:val="20"/>
                <w:szCs w:val="20"/>
                <w:color w:val="auto"/>
              </w:rPr>
            </w:pPr>
            <w:r>
              <w:rPr>
                <w:rFonts w:ascii="Arial" w:cs="Arial" w:eastAsia="Arial" w:hAnsi="Arial"/>
                <w:sz w:val="18"/>
                <w:szCs w:val="18"/>
                <w:color w:val="auto"/>
              </w:rPr>
              <w:t>126%</w:t>
            </w: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4060" w:type="dxa"/>
            <w:vAlign w:val="bottom"/>
            <w:shd w:val="clear" w:color="auto" w:fill="CCEEFF"/>
          </w:tcPr>
          <w:p>
            <w:pPr>
              <w:ind w:left="120"/>
              <w:spacing w:after="0"/>
              <w:rPr>
                <w:sz w:val="20"/>
                <w:szCs w:val="20"/>
                <w:color w:val="auto"/>
              </w:rPr>
            </w:pPr>
            <w:r>
              <w:rPr>
                <w:rFonts w:ascii="Arial" w:cs="Arial" w:eastAsia="Arial" w:hAnsi="Arial"/>
                <w:sz w:val="18"/>
                <w:szCs w:val="18"/>
                <w:color w:val="auto"/>
              </w:rPr>
              <w:t>Gain on Sale of Assets</w:t>
            </w:r>
          </w:p>
        </w:tc>
        <w:tc>
          <w:tcPr>
            <w:tcW w:w="1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(604)</w:t>
            </w:r>
          </w:p>
        </w:tc>
        <w:tc>
          <w:tcPr>
            <w:tcW w:w="14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(604)</w:t>
            </w:r>
          </w:p>
        </w:tc>
        <w:tc>
          <w:tcPr>
            <w:tcW w:w="10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n/a</w:t>
            </w: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4060" w:type="dxa"/>
            <w:vAlign w:val="bottom"/>
          </w:tcPr>
          <w:p>
            <w:pPr>
              <w:ind w:left="120"/>
              <w:spacing w:after="0"/>
              <w:rPr>
                <w:sz w:val="20"/>
                <w:szCs w:val="20"/>
                <w:color w:val="auto"/>
              </w:rPr>
            </w:pPr>
            <w:r>
              <w:rPr>
                <w:rFonts w:ascii="Arial" w:cs="Arial" w:eastAsia="Arial" w:hAnsi="Arial"/>
                <w:sz w:val="18"/>
                <w:szCs w:val="18"/>
                <w:color w:val="auto"/>
                <w:w w:val="96"/>
              </w:rPr>
              <w:t>Charge for In-Process Research and Development</w:t>
            </w: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14,756</w:t>
            </w: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gridSpan w:val="2"/>
          </w:tcPr>
          <w:p>
            <w:pPr>
              <w:jc w:val="right"/>
              <w:ind w:right="120"/>
              <w:spacing w:after="0"/>
              <w:rPr>
                <w:sz w:val="20"/>
                <w:szCs w:val="20"/>
                <w:color w:val="auto"/>
              </w:rPr>
            </w:pPr>
            <w:r>
              <w:rPr>
                <w:rFonts w:ascii="Arial" w:cs="Arial" w:eastAsia="Arial" w:hAnsi="Arial"/>
                <w:sz w:val="18"/>
                <w:szCs w:val="18"/>
                <w:color w:val="auto"/>
              </w:rPr>
              <w:t>(14,756)</w:t>
            </w: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(100)%</w:t>
            </w: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4060" w:type="dxa"/>
            <w:vAlign w:val="bottom"/>
            <w:shd w:val="clear" w:color="auto" w:fill="CCEEFF"/>
          </w:tcPr>
          <w:p>
            <w:pPr>
              <w:ind w:left="120"/>
              <w:spacing w:after="0"/>
              <w:rPr>
                <w:sz w:val="20"/>
                <w:szCs w:val="20"/>
                <w:color w:val="auto"/>
              </w:rPr>
            </w:pPr>
            <w:r>
              <w:rPr>
                <w:rFonts w:ascii="Arial" w:cs="Arial" w:eastAsia="Arial" w:hAnsi="Arial"/>
                <w:sz w:val="18"/>
                <w:szCs w:val="18"/>
                <w:color w:val="auto"/>
              </w:rPr>
              <w:t>General and Administrative</w:t>
            </w:r>
          </w:p>
        </w:tc>
        <w:tc>
          <w:tcPr>
            <w:tcW w:w="1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17,119</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14,748</w:t>
            </w:r>
          </w:p>
        </w:tc>
        <w:tc>
          <w:tcPr>
            <w:tcW w:w="1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2,371</w:t>
            </w:r>
          </w:p>
        </w:tc>
        <w:tc>
          <w:tcPr>
            <w:tcW w:w="1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16%</w:t>
            </w: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1160" w:type="dxa"/>
            <w:vAlign w:val="bottom"/>
          </w:tcPr>
          <w:p>
            <w:pPr>
              <w:spacing w:after="0"/>
              <w:rPr>
                <w:sz w:val="19"/>
                <w:szCs w:val="19"/>
                <w:color w:val="auto"/>
              </w:rPr>
            </w:pPr>
          </w:p>
        </w:tc>
        <w:tc>
          <w:tcPr>
            <w:tcW w:w="4060" w:type="dxa"/>
            <w:vAlign w:val="bottom"/>
          </w:tcPr>
          <w:p>
            <w:pPr>
              <w:ind w:left="120"/>
              <w:spacing w:after="0"/>
              <w:rPr>
                <w:sz w:val="20"/>
                <w:szCs w:val="20"/>
                <w:color w:val="auto"/>
              </w:rPr>
            </w:pPr>
            <w:r>
              <w:rPr>
                <w:rFonts w:ascii="Arial" w:cs="Arial" w:eastAsia="Arial" w:hAnsi="Arial"/>
                <w:sz w:val="18"/>
                <w:szCs w:val="18"/>
                <w:color w:val="auto"/>
              </w:rPr>
              <w:t>Amortization of Acquired Intangible Assets</w:t>
            </w:r>
          </w:p>
        </w:tc>
        <w:tc>
          <w:tcPr>
            <w:tcW w:w="1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949</w:t>
            </w:r>
          </w:p>
        </w:tc>
        <w:tc>
          <w:tcPr>
            <w:tcW w:w="1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361</w:t>
            </w:r>
          </w:p>
        </w:tc>
        <w:tc>
          <w:tcPr>
            <w:tcW w:w="1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588</w:t>
            </w:r>
          </w:p>
        </w:tc>
        <w:tc>
          <w:tcPr>
            <w:tcW w:w="180" w:type="dxa"/>
            <w:vAlign w:val="bottom"/>
          </w:tcPr>
          <w:p>
            <w:pPr>
              <w:spacing w:after="0"/>
              <w:rPr>
                <w:sz w:val="19"/>
                <w:szCs w:val="19"/>
                <w:color w:val="auto"/>
              </w:rPr>
            </w:pPr>
          </w:p>
        </w:tc>
        <w:tc>
          <w:tcPr>
            <w:tcW w:w="1080" w:type="dxa"/>
            <w:vAlign w:val="bottom"/>
            <w:gridSpan w:val="2"/>
          </w:tcPr>
          <w:p>
            <w:pPr>
              <w:jc w:val="right"/>
              <w:ind w:right="160"/>
              <w:spacing w:after="0"/>
              <w:rPr>
                <w:sz w:val="20"/>
                <w:szCs w:val="20"/>
                <w:color w:val="auto"/>
              </w:rPr>
            </w:pPr>
            <w:r>
              <w:rPr>
                <w:rFonts w:ascii="Arial" w:cs="Arial" w:eastAsia="Arial" w:hAnsi="Arial"/>
                <w:sz w:val="18"/>
                <w:szCs w:val="18"/>
                <w:color w:val="auto"/>
              </w:rPr>
              <w:t>163%</w:t>
            </w:r>
          </w:p>
        </w:tc>
        <w:tc>
          <w:tcPr>
            <w:tcW w:w="1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
        </w:trPr>
        <w:tc>
          <w:tcPr>
            <w:tcW w:w="1160" w:type="dxa"/>
            <w:vAlign w:val="bottom"/>
          </w:tcPr>
          <w:p>
            <w:pPr>
              <w:spacing w:after="0" w:line="20" w:lineRule="exact"/>
              <w:rPr>
                <w:sz w:val="1"/>
                <w:szCs w:val="1"/>
                <w:color w:val="auto"/>
              </w:rPr>
            </w:pPr>
          </w:p>
        </w:tc>
        <w:tc>
          <w:tcPr>
            <w:tcW w:w="406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1160" w:type="dxa"/>
            <w:vAlign w:val="bottom"/>
          </w:tcPr>
          <w:p>
            <w:pPr>
              <w:spacing w:after="0"/>
              <w:rPr>
                <w:sz w:val="18"/>
                <w:szCs w:val="18"/>
                <w:color w:val="auto"/>
              </w:rPr>
            </w:pPr>
          </w:p>
        </w:tc>
        <w:tc>
          <w:tcPr>
            <w:tcW w:w="4060" w:type="dxa"/>
            <w:vAlign w:val="bottom"/>
            <w:shd w:val="clear" w:color="auto" w:fill="CCEEFF"/>
          </w:tcPr>
          <w:p>
            <w:pPr>
              <w:spacing w:after="0"/>
              <w:rPr>
                <w:sz w:val="20"/>
                <w:szCs w:val="20"/>
                <w:color w:val="auto"/>
              </w:rPr>
            </w:pPr>
            <w:r>
              <w:rPr>
                <w:rFonts w:ascii="Arial" w:cs="Arial" w:eastAsia="Arial" w:hAnsi="Arial"/>
                <w:sz w:val="18"/>
                <w:szCs w:val="18"/>
                <w:color w:val="auto"/>
              </w:rPr>
              <w:t>Total Operating Expense</w:t>
            </w:r>
          </w:p>
        </w:tc>
        <w:tc>
          <w:tcPr>
            <w:tcW w:w="1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52,030</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56,212</w:t>
            </w:r>
          </w:p>
        </w:tc>
        <w:tc>
          <w:tcPr>
            <w:tcW w:w="1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(4,182)</w:t>
            </w: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w:t>
            </w: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5220" w:type="dxa"/>
            <w:vAlign w:val="bottom"/>
            <w:gridSpan w:val="2"/>
            <w:vMerge w:val="restart"/>
          </w:tcPr>
          <w:p>
            <w:pPr>
              <w:ind w:left="1140"/>
              <w:spacing w:after="0"/>
              <w:rPr>
                <w:sz w:val="20"/>
                <w:szCs w:val="20"/>
                <w:color w:val="auto"/>
              </w:rPr>
            </w:pPr>
            <w:r>
              <w:rPr>
                <w:rFonts w:ascii="Arial" w:cs="Arial" w:eastAsia="Arial" w:hAnsi="Arial"/>
                <w:sz w:val="18"/>
                <w:szCs w:val="18"/>
                <w:color w:val="auto"/>
              </w:rPr>
              <w:t>Operating Loss</w:t>
            </w: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840" w:type="dxa"/>
            <w:vAlign w:val="bottom"/>
            <w:gridSpan w:val="2"/>
          </w:tcPr>
          <w:p>
            <w:pPr>
              <w:spacing w:after="0"/>
              <w:rPr>
                <w:sz w:val="2"/>
                <w:szCs w:val="2"/>
                <w:color w:val="auto"/>
              </w:rPr>
            </w:pPr>
          </w:p>
        </w:tc>
        <w:tc>
          <w:tcPr>
            <w:tcW w:w="140" w:type="dxa"/>
            <w:vAlign w:val="bottom"/>
          </w:tcPr>
          <w:p>
            <w:pPr>
              <w:spacing w:after="0"/>
              <w:rPr>
                <w:sz w:val="2"/>
                <w:szCs w:val="2"/>
                <w:color w:val="auto"/>
              </w:rPr>
            </w:pPr>
          </w:p>
        </w:tc>
        <w:tc>
          <w:tcPr>
            <w:tcW w:w="740" w:type="dxa"/>
            <w:vAlign w:val="bottom"/>
            <w:gridSpan w:val="2"/>
          </w:tcPr>
          <w:p>
            <w:pPr>
              <w:spacing w:after="0"/>
              <w:rPr>
                <w:sz w:val="2"/>
                <w:szCs w:val="2"/>
                <w:color w:val="auto"/>
              </w:rPr>
            </w:pPr>
          </w:p>
        </w:tc>
        <w:tc>
          <w:tcPr>
            <w:tcW w:w="40" w:type="dxa"/>
            <w:vAlign w:val="bottom"/>
          </w:tcPr>
          <w:p>
            <w:pPr>
              <w:spacing w:after="0"/>
              <w:rPr>
                <w:sz w:val="2"/>
                <w:szCs w:val="2"/>
                <w:color w:val="auto"/>
              </w:rPr>
            </w:pPr>
          </w:p>
        </w:tc>
        <w:tc>
          <w:tcPr>
            <w:tcW w:w="120" w:type="dxa"/>
            <w:vAlign w:val="bottom"/>
          </w:tcPr>
          <w:p>
            <w:pPr>
              <w:spacing w:after="0"/>
              <w:rPr>
                <w:sz w:val="2"/>
                <w:szCs w:val="2"/>
                <w:color w:val="auto"/>
              </w:rPr>
            </w:pPr>
          </w:p>
        </w:tc>
        <w:tc>
          <w:tcPr>
            <w:tcW w:w="840" w:type="dxa"/>
            <w:vAlign w:val="bottom"/>
            <w:gridSpan w:val="2"/>
          </w:tcPr>
          <w:p>
            <w:pPr>
              <w:spacing w:after="0"/>
              <w:rPr>
                <w:sz w:val="2"/>
                <w:szCs w:val="2"/>
                <w:color w:val="auto"/>
              </w:rPr>
            </w:pPr>
          </w:p>
        </w:tc>
        <w:tc>
          <w:tcPr>
            <w:tcW w:w="1080" w:type="dxa"/>
            <w:vAlign w:val="bottom"/>
            <w:gridSpan w:val="2"/>
            <w:vMerge w:val="restart"/>
          </w:tcPr>
          <w:p>
            <w:pPr>
              <w:jc w:val="right"/>
              <w:ind w:right="100"/>
              <w:spacing w:after="0"/>
              <w:rPr>
                <w:sz w:val="20"/>
                <w:szCs w:val="20"/>
                <w:color w:val="auto"/>
              </w:rPr>
            </w:pPr>
            <w:r>
              <w:rPr>
                <w:rFonts w:ascii="Arial" w:cs="Arial" w:eastAsia="Arial" w:hAnsi="Arial"/>
                <w:sz w:val="18"/>
                <w:szCs w:val="18"/>
                <w:color w:val="auto"/>
              </w:rPr>
              <w:t>(24)%</w:t>
            </w:r>
          </w:p>
        </w:tc>
        <w:tc>
          <w:tcPr>
            <w:tcW w:w="11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10"/>
        </w:trPr>
        <w:tc>
          <w:tcPr>
            <w:tcW w:w="5220" w:type="dxa"/>
            <w:vAlign w:val="bottom"/>
            <w:gridSpan w:val="2"/>
            <w:vMerge w:val="continue"/>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6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8"/>
              </w:rPr>
              <w:t>(36,850)</w:t>
            </w:r>
          </w:p>
        </w:tc>
        <w:tc>
          <w:tcPr>
            <w:tcW w:w="16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6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9"/>
              </w:rPr>
              <w:t>(48,756)</w:t>
            </w: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6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5"/>
              </w:rPr>
              <w:t>(11,906)</w:t>
            </w:r>
          </w:p>
        </w:tc>
        <w:tc>
          <w:tcPr>
            <w:tcW w:w="180" w:type="dxa"/>
            <w:vAlign w:val="bottom"/>
          </w:tcPr>
          <w:p>
            <w:pPr>
              <w:spacing w:after="0"/>
              <w:rPr>
                <w:sz w:val="18"/>
                <w:szCs w:val="18"/>
                <w:color w:val="auto"/>
              </w:rPr>
            </w:pPr>
          </w:p>
        </w:tc>
        <w:tc>
          <w:tcPr>
            <w:tcW w:w="1080" w:type="dxa"/>
            <w:vAlign w:val="bottom"/>
            <w:gridSpan w:val="2"/>
            <w:vMerge w:val="continue"/>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4060" w:type="dxa"/>
            <w:vAlign w:val="bottom"/>
            <w:shd w:val="clear" w:color="auto" w:fill="CCEEFF"/>
          </w:tcPr>
          <w:p>
            <w:pPr>
              <w:spacing w:after="0"/>
              <w:rPr>
                <w:sz w:val="20"/>
                <w:szCs w:val="20"/>
                <w:color w:val="auto"/>
              </w:rPr>
            </w:pPr>
            <w:r>
              <w:rPr>
                <w:rFonts w:ascii="Arial" w:cs="Arial" w:eastAsia="Arial" w:hAnsi="Arial"/>
                <w:sz w:val="18"/>
                <w:szCs w:val="18"/>
                <w:color w:val="auto"/>
              </w:rPr>
              <w:t>Investment and Other Income, Net</w:t>
            </w:r>
          </w:p>
        </w:tc>
        <w:tc>
          <w:tcPr>
            <w:tcW w:w="1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248</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1,411</w:t>
            </w:r>
          </w:p>
        </w:tc>
        <w:tc>
          <w:tcPr>
            <w:tcW w:w="1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(1,163)</w:t>
            </w: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(82)%</w:t>
            </w: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1160" w:type="dxa"/>
            <w:vAlign w:val="bottom"/>
          </w:tcPr>
          <w:p>
            <w:pPr>
              <w:spacing w:after="0"/>
              <w:rPr>
                <w:sz w:val="19"/>
                <w:szCs w:val="19"/>
                <w:color w:val="auto"/>
              </w:rPr>
            </w:pPr>
          </w:p>
        </w:tc>
        <w:tc>
          <w:tcPr>
            <w:tcW w:w="4060" w:type="dxa"/>
            <w:vAlign w:val="bottom"/>
          </w:tcPr>
          <w:p>
            <w:pPr>
              <w:spacing w:after="0"/>
              <w:rPr>
                <w:sz w:val="20"/>
                <w:szCs w:val="20"/>
                <w:color w:val="auto"/>
              </w:rPr>
            </w:pPr>
            <w:r>
              <w:rPr>
                <w:rFonts w:ascii="Arial" w:cs="Arial" w:eastAsia="Arial" w:hAnsi="Arial"/>
                <w:sz w:val="18"/>
                <w:szCs w:val="18"/>
                <w:color w:val="auto"/>
              </w:rPr>
              <w:t>Interest Expense</w:t>
            </w:r>
          </w:p>
        </w:tc>
        <w:tc>
          <w:tcPr>
            <w:tcW w:w="1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40" w:type="dxa"/>
            <w:vAlign w:val="bottom"/>
            <w:gridSpan w:val="2"/>
          </w:tcPr>
          <w:p>
            <w:pPr>
              <w:jc w:val="right"/>
              <w:ind w:right="120"/>
              <w:spacing w:after="0"/>
              <w:rPr>
                <w:sz w:val="20"/>
                <w:szCs w:val="20"/>
                <w:color w:val="auto"/>
              </w:rPr>
            </w:pPr>
            <w:r>
              <w:rPr>
                <w:rFonts w:ascii="Arial" w:cs="Arial" w:eastAsia="Arial" w:hAnsi="Arial"/>
                <w:sz w:val="18"/>
                <w:szCs w:val="18"/>
                <w:color w:val="auto"/>
              </w:rPr>
              <w:t>(452)</w:t>
            </w:r>
          </w:p>
        </w:tc>
        <w:tc>
          <w:tcPr>
            <w:tcW w:w="140" w:type="dxa"/>
            <w:vAlign w:val="bottom"/>
          </w:tcPr>
          <w:p>
            <w:pPr>
              <w:spacing w:after="0"/>
              <w:rPr>
                <w:sz w:val="19"/>
                <w:szCs w:val="19"/>
                <w:color w:val="auto"/>
              </w:rPr>
            </w:pPr>
          </w:p>
        </w:tc>
        <w:tc>
          <w:tcPr>
            <w:tcW w:w="740" w:type="dxa"/>
            <w:vAlign w:val="bottom"/>
            <w:gridSpan w:val="2"/>
          </w:tcPr>
          <w:p>
            <w:pPr>
              <w:jc w:val="right"/>
              <w:ind w:right="60"/>
              <w:spacing w:after="0"/>
              <w:rPr>
                <w:sz w:val="20"/>
                <w:szCs w:val="20"/>
                <w:color w:val="auto"/>
              </w:rPr>
            </w:pPr>
            <w:r>
              <w:rPr>
                <w:rFonts w:ascii="Arial" w:cs="Arial" w:eastAsia="Arial" w:hAnsi="Arial"/>
                <w:sz w:val="18"/>
                <w:szCs w:val="18"/>
                <w:color w:val="auto"/>
              </w:rPr>
              <w:t>(156)</w:t>
            </w: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296</w:t>
            </w:r>
          </w:p>
        </w:tc>
        <w:tc>
          <w:tcPr>
            <w:tcW w:w="180" w:type="dxa"/>
            <w:vAlign w:val="bottom"/>
          </w:tcPr>
          <w:p>
            <w:pPr>
              <w:spacing w:after="0"/>
              <w:rPr>
                <w:sz w:val="19"/>
                <w:szCs w:val="19"/>
                <w:color w:val="auto"/>
              </w:rPr>
            </w:pPr>
          </w:p>
        </w:tc>
        <w:tc>
          <w:tcPr>
            <w:tcW w:w="1080" w:type="dxa"/>
            <w:vAlign w:val="bottom"/>
            <w:gridSpan w:val="2"/>
          </w:tcPr>
          <w:p>
            <w:pPr>
              <w:jc w:val="right"/>
              <w:ind w:right="160"/>
              <w:spacing w:after="0"/>
              <w:rPr>
                <w:sz w:val="20"/>
                <w:szCs w:val="20"/>
                <w:color w:val="auto"/>
              </w:rPr>
            </w:pPr>
            <w:r>
              <w:rPr>
                <w:rFonts w:ascii="Arial" w:cs="Arial" w:eastAsia="Arial" w:hAnsi="Arial"/>
                <w:sz w:val="18"/>
                <w:szCs w:val="18"/>
                <w:color w:val="auto"/>
              </w:rPr>
              <w:t>190%</w:t>
            </w:r>
          </w:p>
        </w:tc>
        <w:tc>
          <w:tcPr>
            <w:tcW w:w="1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
        </w:trPr>
        <w:tc>
          <w:tcPr>
            <w:tcW w:w="1160" w:type="dxa"/>
            <w:vAlign w:val="bottom"/>
          </w:tcPr>
          <w:p>
            <w:pPr>
              <w:spacing w:after="0" w:line="20" w:lineRule="exact"/>
              <w:rPr>
                <w:sz w:val="1"/>
                <w:szCs w:val="1"/>
                <w:color w:val="auto"/>
              </w:rPr>
            </w:pPr>
          </w:p>
        </w:tc>
        <w:tc>
          <w:tcPr>
            <w:tcW w:w="406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1160" w:type="dxa"/>
            <w:vAlign w:val="bottom"/>
          </w:tcPr>
          <w:p>
            <w:pPr>
              <w:spacing w:after="0"/>
              <w:rPr>
                <w:sz w:val="18"/>
                <w:szCs w:val="18"/>
                <w:color w:val="auto"/>
              </w:rPr>
            </w:pPr>
          </w:p>
        </w:tc>
        <w:tc>
          <w:tcPr>
            <w:tcW w:w="4060" w:type="dxa"/>
            <w:vAlign w:val="bottom"/>
            <w:shd w:val="clear" w:color="auto" w:fill="CCEEFF"/>
          </w:tcPr>
          <w:p>
            <w:pPr>
              <w:spacing w:after="0"/>
              <w:rPr>
                <w:sz w:val="20"/>
                <w:szCs w:val="20"/>
                <w:color w:val="auto"/>
              </w:rPr>
            </w:pPr>
            <w:r>
              <w:rPr>
                <w:rFonts w:ascii="Arial" w:cs="Arial" w:eastAsia="Arial" w:hAnsi="Arial"/>
                <w:sz w:val="18"/>
                <w:szCs w:val="18"/>
                <w:color w:val="auto"/>
              </w:rPr>
              <w:t>Net Loss Before Income Taxes</w:t>
            </w:r>
          </w:p>
        </w:tc>
        <w:tc>
          <w:tcPr>
            <w:tcW w:w="1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(37,054)</w:t>
            </w:r>
          </w:p>
        </w:tc>
        <w:tc>
          <w:tcPr>
            <w:tcW w:w="14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8"/>
              </w:rPr>
              <w:t>(47,501)</w:t>
            </w: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(10,447)</w:t>
            </w: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(22)%</w:t>
            </w: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1160" w:type="dxa"/>
            <w:vAlign w:val="bottom"/>
          </w:tcPr>
          <w:p>
            <w:pPr>
              <w:spacing w:after="0"/>
              <w:rPr>
                <w:sz w:val="19"/>
                <w:szCs w:val="19"/>
                <w:color w:val="auto"/>
              </w:rPr>
            </w:pPr>
          </w:p>
        </w:tc>
        <w:tc>
          <w:tcPr>
            <w:tcW w:w="4060" w:type="dxa"/>
            <w:vAlign w:val="bottom"/>
          </w:tcPr>
          <w:p>
            <w:pPr>
              <w:spacing w:after="0"/>
              <w:rPr>
                <w:sz w:val="20"/>
                <w:szCs w:val="20"/>
                <w:color w:val="auto"/>
              </w:rPr>
            </w:pPr>
            <w:r>
              <w:rPr>
                <w:rFonts w:ascii="Arial" w:cs="Arial" w:eastAsia="Arial" w:hAnsi="Arial"/>
                <w:sz w:val="18"/>
                <w:szCs w:val="18"/>
                <w:color w:val="auto"/>
              </w:rPr>
              <w:t>Income Tax Benefit</w:t>
            </w:r>
          </w:p>
        </w:tc>
        <w:tc>
          <w:tcPr>
            <w:tcW w:w="1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529</w:t>
            </w:r>
          </w:p>
        </w:tc>
        <w:tc>
          <w:tcPr>
            <w:tcW w:w="1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4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529</w:t>
            </w:r>
          </w:p>
        </w:tc>
        <w:tc>
          <w:tcPr>
            <w:tcW w:w="180" w:type="dxa"/>
            <w:vAlign w:val="bottom"/>
          </w:tcPr>
          <w:p>
            <w:pPr>
              <w:spacing w:after="0"/>
              <w:rPr>
                <w:sz w:val="19"/>
                <w:szCs w:val="19"/>
                <w:color w:val="auto"/>
              </w:rPr>
            </w:pPr>
          </w:p>
        </w:tc>
        <w:tc>
          <w:tcPr>
            <w:tcW w:w="1080" w:type="dxa"/>
            <w:vAlign w:val="bottom"/>
            <w:gridSpan w:val="2"/>
          </w:tcPr>
          <w:p>
            <w:pPr>
              <w:jc w:val="right"/>
              <w:ind w:right="320"/>
              <w:spacing w:after="0"/>
              <w:rPr>
                <w:sz w:val="20"/>
                <w:szCs w:val="20"/>
                <w:color w:val="auto"/>
              </w:rPr>
            </w:pPr>
            <w:r>
              <w:rPr>
                <w:rFonts w:ascii="Arial" w:cs="Arial" w:eastAsia="Arial" w:hAnsi="Arial"/>
                <w:sz w:val="18"/>
                <w:szCs w:val="18"/>
                <w:color w:val="auto"/>
              </w:rPr>
              <w:t>n/a</w:t>
            </w:r>
          </w:p>
        </w:tc>
        <w:tc>
          <w:tcPr>
            <w:tcW w:w="1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
        </w:trPr>
        <w:tc>
          <w:tcPr>
            <w:tcW w:w="1160" w:type="dxa"/>
            <w:vAlign w:val="bottom"/>
          </w:tcPr>
          <w:p>
            <w:pPr>
              <w:spacing w:after="0" w:line="20" w:lineRule="exact"/>
              <w:rPr>
                <w:sz w:val="1"/>
                <w:szCs w:val="1"/>
                <w:color w:val="auto"/>
              </w:rPr>
            </w:pPr>
          </w:p>
        </w:tc>
        <w:tc>
          <w:tcPr>
            <w:tcW w:w="406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1160" w:type="dxa"/>
            <w:vAlign w:val="bottom"/>
          </w:tcPr>
          <w:p>
            <w:pPr>
              <w:spacing w:after="0"/>
              <w:rPr>
                <w:sz w:val="18"/>
                <w:szCs w:val="18"/>
                <w:color w:val="auto"/>
              </w:rPr>
            </w:pPr>
          </w:p>
        </w:tc>
        <w:tc>
          <w:tcPr>
            <w:tcW w:w="4060" w:type="dxa"/>
            <w:vAlign w:val="bottom"/>
            <w:shd w:val="clear" w:color="auto" w:fill="CCEEFF"/>
          </w:tcPr>
          <w:p>
            <w:pPr>
              <w:spacing w:after="0"/>
              <w:rPr>
                <w:sz w:val="20"/>
                <w:szCs w:val="20"/>
                <w:color w:val="auto"/>
              </w:rPr>
            </w:pPr>
            <w:r>
              <w:rPr>
                <w:rFonts w:ascii="Arial" w:cs="Arial" w:eastAsia="Arial" w:hAnsi="Arial"/>
                <w:sz w:val="18"/>
                <w:szCs w:val="18"/>
                <w:color w:val="auto"/>
              </w:rPr>
              <w:t>Net Loss</w:t>
            </w:r>
          </w:p>
        </w:tc>
        <w:tc>
          <w:tcPr>
            <w:tcW w:w="1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(36,525)</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8"/>
              </w:rPr>
              <w:t>(47,501)</w:t>
            </w:r>
          </w:p>
        </w:tc>
        <w:tc>
          <w:tcPr>
            <w:tcW w:w="1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(10,976)</w:t>
            </w: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(23)%</w:t>
            </w: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1160" w:type="dxa"/>
            <w:vAlign w:val="bottom"/>
          </w:tcPr>
          <w:p>
            <w:pPr>
              <w:spacing w:after="0"/>
              <w:rPr>
                <w:sz w:val="2"/>
                <w:szCs w:val="2"/>
                <w:color w:val="auto"/>
              </w:rPr>
            </w:pPr>
          </w:p>
        </w:tc>
        <w:tc>
          <w:tcPr>
            <w:tcW w:w="4060" w:type="dxa"/>
            <w:vAlign w:val="bottom"/>
          </w:tcPr>
          <w:p>
            <w:pPr>
              <w:spacing w:after="0"/>
              <w:rPr>
                <w:sz w:val="2"/>
                <w:szCs w:val="2"/>
                <w:color w:val="auto"/>
              </w:rPr>
            </w:pPr>
          </w:p>
        </w:tc>
        <w:tc>
          <w:tcPr>
            <w:tcW w:w="1160" w:type="dxa"/>
            <w:vAlign w:val="bottom"/>
            <w:vMerge w:val="restart"/>
          </w:tcPr>
          <w:p>
            <w:pPr>
              <w:jc w:val="right"/>
              <w:ind w:right="492"/>
              <w:spacing w:after="0"/>
              <w:rPr>
                <w:sz w:val="20"/>
                <w:szCs w:val="20"/>
                <w:color w:val="auto"/>
              </w:rPr>
            </w:pPr>
            <w:r>
              <w:rPr>
                <w:rFonts w:ascii="Arial" w:cs="Arial" w:eastAsia="Arial" w:hAnsi="Arial"/>
                <w:sz w:val="18"/>
                <w:szCs w:val="18"/>
                <w:color w:val="auto"/>
              </w:rPr>
              <w:t>56</w:t>
            </w:r>
          </w:p>
        </w:tc>
        <w:tc>
          <w:tcPr>
            <w:tcW w:w="10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4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80" w:type="dxa"/>
            <w:vAlign w:val="bottom"/>
          </w:tcPr>
          <w:p>
            <w:pPr>
              <w:spacing w:after="0"/>
              <w:rPr>
                <w:sz w:val="2"/>
                <w:szCs w:val="2"/>
                <w:color w:val="auto"/>
              </w:rPr>
            </w:pPr>
          </w:p>
        </w:tc>
        <w:tc>
          <w:tcPr>
            <w:tcW w:w="7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1160" w:type="dxa"/>
            <w:vAlign w:val="bottom"/>
          </w:tcPr>
          <w:p>
            <w:pPr>
              <w:spacing w:after="0" w:line="20" w:lineRule="exact"/>
              <w:rPr>
                <w:sz w:val="1"/>
                <w:szCs w:val="1"/>
                <w:color w:val="auto"/>
              </w:rPr>
            </w:pPr>
          </w:p>
        </w:tc>
        <w:tc>
          <w:tcPr>
            <w:tcW w:w="4060" w:type="dxa"/>
            <w:vAlign w:val="bottom"/>
          </w:tcPr>
          <w:p>
            <w:pPr>
              <w:spacing w:after="0" w:line="20" w:lineRule="exact"/>
              <w:rPr>
                <w:sz w:val="1"/>
                <w:szCs w:val="1"/>
                <w:color w:val="auto"/>
              </w:rPr>
            </w:pPr>
          </w:p>
        </w:tc>
        <w:tc>
          <w:tcPr>
            <w:tcW w:w="1160" w:type="dxa"/>
            <w:vAlign w:val="bottom"/>
            <w:vMerge w:val="continue"/>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1"/>
        </w:trPr>
        <w:tc>
          <w:tcPr>
            <w:tcW w:w="1160" w:type="dxa"/>
            <w:vAlign w:val="bottom"/>
          </w:tcPr>
          <w:p>
            <w:pPr>
              <w:spacing w:after="0"/>
              <w:rPr>
                <w:sz w:val="24"/>
                <w:szCs w:val="24"/>
                <w:color w:val="auto"/>
              </w:rPr>
            </w:pPr>
          </w:p>
        </w:tc>
        <w:tc>
          <w:tcPr>
            <w:tcW w:w="4060" w:type="dxa"/>
            <w:vAlign w:val="bottom"/>
          </w:tcPr>
          <w:p>
            <w:pPr>
              <w:spacing w:after="0"/>
              <w:rPr>
                <w:sz w:val="24"/>
                <w:szCs w:val="24"/>
                <w:color w:val="auto"/>
              </w:rPr>
            </w:pPr>
          </w:p>
        </w:tc>
        <w:tc>
          <w:tcPr>
            <w:tcW w:w="1160" w:type="dxa"/>
            <w:vAlign w:val="bottom"/>
            <w:vMerge w:val="continue"/>
          </w:tcPr>
          <w:p>
            <w:pPr>
              <w:spacing w:after="0"/>
              <w:rPr>
                <w:sz w:val="24"/>
                <w:szCs w:val="24"/>
                <w:color w:val="auto"/>
              </w:rPr>
            </w:pPr>
          </w:p>
        </w:tc>
        <w:tc>
          <w:tcPr>
            <w:tcW w:w="1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8"/>
        </w:trPr>
        <w:tc>
          <w:tcPr>
            <w:tcW w:w="1160" w:type="dxa"/>
            <w:vAlign w:val="bottom"/>
            <w:tcBorders>
              <w:bottom w:val="single" w:sz="8" w:color="808080"/>
            </w:tcBorders>
          </w:tcPr>
          <w:p>
            <w:pPr>
              <w:spacing w:after="0"/>
              <w:rPr>
                <w:sz w:val="19"/>
                <w:szCs w:val="19"/>
                <w:color w:val="auto"/>
              </w:rPr>
            </w:pPr>
          </w:p>
        </w:tc>
        <w:tc>
          <w:tcPr>
            <w:tcW w:w="4060" w:type="dxa"/>
            <w:vAlign w:val="bottom"/>
            <w:tcBorders>
              <w:bottom w:val="single" w:sz="8" w:color="808080"/>
            </w:tcBorders>
          </w:tcPr>
          <w:p>
            <w:pPr>
              <w:spacing w:after="0"/>
              <w:rPr>
                <w:sz w:val="19"/>
                <w:szCs w:val="19"/>
                <w:color w:val="auto"/>
              </w:rPr>
            </w:pPr>
          </w:p>
        </w:tc>
        <w:tc>
          <w:tcPr>
            <w:tcW w:w="116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68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140" w:type="dxa"/>
            <w:vAlign w:val="bottom"/>
            <w:tcBorders>
              <w:bottom w:val="single" w:sz="8" w:color="808080"/>
            </w:tcBorders>
          </w:tcPr>
          <w:p>
            <w:pPr>
              <w:spacing w:after="0"/>
              <w:rPr>
                <w:sz w:val="19"/>
                <w:szCs w:val="19"/>
                <w:color w:val="auto"/>
              </w:rPr>
            </w:pPr>
          </w:p>
        </w:tc>
        <w:tc>
          <w:tcPr>
            <w:tcW w:w="620" w:type="dxa"/>
            <w:vAlign w:val="bottom"/>
            <w:tcBorders>
              <w:bottom w:val="single" w:sz="8" w:color="808080"/>
            </w:tcBorders>
          </w:tcPr>
          <w:p>
            <w:pPr>
              <w:spacing w:after="0"/>
              <w:rPr>
                <w:sz w:val="19"/>
                <w:szCs w:val="19"/>
                <w:color w:val="auto"/>
              </w:rPr>
            </w:pPr>
          </w:p>
        </w:tc>
        <w:tc>
          <w:tcPr>
            <w:tcW w:w="120" w:type="dxa"/>
            <w:vAlign w:val="bottom"/>
            <w:tcBorders>
              <w:bottom w:val="single" w:sz="8" w:color="808080"/>
            </w:tcBorders>
          </w:tcPr>
          <w:p>
            <w:pPr>
              <w:spacing w:after="0"/>
              <w:rPr>
                <w:sz w:val="19"/>
                <w:szCs w:val="19"/>
                <w:color w:val="auto"/>
              </w:rPr>
            </w:pPr>
          </w:p>
        </w:tc>
        <w:tc>
          <w:tcPr>
            <w:tcW w:w="40" w:type="dxa"/>
            <w:vAlign w:val="bottom"/>
            <w:tcBorders>
              <w:bottom w:val="single" w:sz="8" w:color="808080"/>
            </w:tcBorders>
          </w:tcPr>
          <w:p>
            <w:pPr>
              <w:spacing w:after="0"/>
              <w:rPr>
                <w:sz w:val="19"/>
                <w:szCs w:val="19"/>
                <w:color w:val="auto"/>
              </w:rPr>
            </w:pPr>
          </w:p>
        </w:tc>
        <w:tc>
          <w:tcPr>
            <w:tcW w:w="120" w:type="dxa"/>
            <w:vAlign w:val="bottom"/>
            <w:tcBorders>
              <w:bottom w:val="single" w:sz="8" w:color="808080"/>
            </w:tcBorders>
          </w:tcPr>
          <w:p>
            <w:pPr>
              <w:spacing w:after="0"/>
              <w:rPr>
                <w:sz w:val="19"/>
                <w:szCs w:val="19"/>
                <w:color w:val="auto"/>
              </w:rPr>
            </w:pPr>
          </w:p>
        </w:tc>
        <w:tc>
          <w:tcPr>
            <w:tcW w:w="660" w:type="dxa"/>
            <w:vAlign w:val="bottom"/>
            <w:tcBorders>
              <w:bottom w:val="single" w:sz="8" w:color="808080"/>
            </w:tcBorders>
          </w:tcPr>
          <w:p>
            <w:pPr>
              <w:spacing w:after="0"/>
              <w:rPr>
                <w:sz w:val="19"/>
                <w:szCs w:val="19"/>
                <w:color w:val="auto"/>
              </w:rPr>
            </w:pPr>
          </w:p>
        </w:tc>
        <w:tc>
          <w:tcPr>
            <w:tcW w:w="180" w:type="dxa"/>
            <w:vAlign w:val="bottom"/>
            <w:tcBorders>
              <w:bottom w:val="single" w:sz="8" w:color="808080"/>
            </w:tcBorders>
          </w:tcPr>
          <w:p>
            <w:pPr>
              <w:spacing w:after="0"/>
              <w:rPr>
                <w:sz w:val="19"/>
                <w:szCs w:val="19"/>
                <w:color w:val="auto"/>
              </w:rPr>
            </w:pPr>
          </w:p>
        </w:tc>
        <w:tc>
          <w:tcPr>
            <w:tcW w:w="780" w:type="dxa"/>
            <w:vAlign w:val="bottom"/>
            <w:tcBorders>
              <w:bottom w:val="single" w:sz="8" w:color="808080"/>
            </w:tcBorders>
          </w:tcPr>
          <w:p>
            <w:pPr>
              <w:spacing w:after="0"/>
              <w:rPr>
                <w:sz w:val="19"/>
                <w:szCs w:val="19"/>
                <w:color w:val="auto"/>
              </w:rPr>
            </w:pPr>
          </w:p>
        </w:tc>
        <w:tc>
          <w:tcPr>
            <w:tcW w:w="300" w:type="dxa"/>
            <w:vAlign w:val="bottom"/>
            <w:tcBorders>
              <w:bottom w:val="single" w:sz="8" w:color="808080"/>
            </w:tcBorders>
          </w:tcPr>
          <w:p>
            <w:pPr>
              <w:spacing w:after="0"/>
              <w:rPr>
                <w:sz w:val="19"/>
                <w:szCs w:val="19"/>
                <w:color w:val="auto"/>
              </w:rPr>
            </w:pPr>
          </w:p>
        </w:tc>
        <w:tc>
          <w:tcPr>
            <w:tcW w:w="1140" w:type="dxa"/>
            <w:vAlign w:val="bottom"/>
            <w:tcBorders>
              <w:bottom w:val="single" w:sz="8" w:color="808080"/>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61" w:name="page62"/>
    <w:bookmarkEnd w:id="61"/>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Net Loss</w:t>
      </w:r>
    </w:p>
    <w:p>
      <w:pPr>
        <w:spacing w:after="0" w:line="225" w:lineRule="exact"/>
        <w:rPr>
          <w:sz w:val="20"/>
          <w:szCs w:val="20"/>
          <w:color w:val="auto"/>
        </w:rPr>
      </w:pPr>
    </w:p>
    <w:p>
      <w:pPr>
        <w:ind w:firstLine="348"/>
        <w:spacing w:after="0" w:line="259" w:lineRule="auto"/>
        <w:rPr>
          <w:sz w:val="20"/>
          <w:szCs w:val="20"/>
          <w:color w:val="auto"/>
        </w:rPr>
      </w:pPr>
      <w:r>
        <w:rPr>
          <w:rFonts w:ascii="Arial" w:cs="Arial" w:eastAsia="Arial" w:hAnsi="Arial"/>
          <w:sz w:val="18"/>
          <w:szCs w:val="18"/>
          <w:color w:val="auto"/>
        </w:rPr>
        <w:t>The $11.0 million decrease in net loss for the year ended December 31, 2009 compared to the year ended December 31, 2008 was primarily the result of a decrease in charges for acquired in-process research and development combined with increased revenues, partially offset by increased research and development, royalty and general and administrative expenses.</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Revenue</w:t>
      </w:r>
    </w:p>
    <w:p>
      <w:pPr>
        <w:spacing w:after="0" w:line="225" w:lineRule="exact"/>
        <w:rPr>
          <w:sz w:val="20"/>
          <w:szCs w:val="20"/>
          <w:color w:val="auto"/>
        </w:rPr>
      </w:pPr>
    </w:p>
    <w:p>
      <w:pPr>
        <w:jc w:val="both"/>
        <w:ind w:right="60" w:firstLine="348"/>
        <w:spacing w:after="0" w:line="294" w:lineRule="auto"/>
        <w:rPr>
          <w:sz w:val="20"/>
          <w:szCs w:val="20"/>
          <w:color w:val="auto"/>
        </w:rPr>
      </w:pPr>
      <w:r>
        <w:rPr>
          <w:rFonts w:ascii="Arial" w:cs="Arial" w:eastAsia="Arial" w:hAnsi="Arial"/>
          <w:sz w:val="16"/>
          <w:szCs w:val="16"/>
          <w:color w:val="auto"/>
        </w:rPr>
        <w:t>The $1.9 million increase in product development and licensing agreement revenue for the year ended December 31, 2009 was primarily due to an increase of $2.3 million in Pfizer related revenue. The $1.3 million increase in contract and grant revenue for the year ended December 31, 2009 was primarily due to an increase of $1.4 million in revenue related to our vaccine development work on Rockefeller's CDX-2401 program. The $4.5 million increase in product royalty revenue for the year ended December 31, 2009 was primarily related to our retained interests in Rotarix® net royalties which were not sold to PRF and which is equal to the amount payable to CCH and recognized in royalty expense by us.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Research and Development Expense</w:t>
      </w:r>
    </w:p>
    <w:p>
      <w:pPr>
        <w:spacing w:after="0" w:line="330" w:lineRule="exact"/>
        <w:rPr>
          <w:sz w:val="20"/>
          <w:szCs w:val="20"/>
          <w:color w:val="auto"/>
        </w:rPr>
      </w:pPr>
    </w:p>
    <w:tbl>
      <w:tblPr>
        <w:tblLayout w:type="fixed"/>
        <w:tblInd w:w="2300" w:type="dxa"/>
        <w:tblCellMar>
          <w:top w:w="0" w:type="dxa"/>
          <w:left w:w="0" w:type="dxa"/>
          <w:bottom w:w="0" w:type="dxa"/>
          <w:right w:w="0" w:type="dxa"/>
        </w:tblCellMar>
      </w:tblPr>
      <w:tr>
        <w:trPr>
          <w:trHeight w:val="161"/>
        </w:trPr>
        <w:tc>
          <w:tcPr>
            <w:tcW w:w="3300" w:type="dxa"/>
            <w:vAlign w:val="bottom"/>
          </w:tcPr>
          <w:p>
            <w:pPr>
              <w:spacing w:after="0"/>
              <w:rPr>
                <w:sz w:val="14"/>
                <w:szCs w:val="14"/>
                <w:color w:val="auto"/>
              </w:rPr>
            </w:pPr>
          </w:p>
        </w:tc>
        <w:tc>
          <w:tcPr>
            <w:tcW w:w="1640" w:type="dxa"/>
            <w:vAlign w:val="bottom"/>
            <w:gridSpan w:val="4"/>
          </w:tcPr>
          <w:p>
            <w:pPr>
              <w:jc w:val="right"/>
              <w:ind w:right="560"/>
              <w:spacing w:after="0"/>
              <w:rPr>
                <w:sz w:val="20"/>
                <w:szCs w:val="20"/>
                <w:color w:val="auto"/>
              </w:rPr>
            </w:pPr>
            <w:r>
              <w:rPr>
                <w:rFonts w:ascii="Arial" w:cs="Arial" w:eastAsia="Arial" w:hAnsi="Arial"/>
                <w:sz w:val="14"/>
                <w:szCs w:val="14"/>
                <w:b w:val="1"/>
                <w:bCs w:val="1"/>
                <w:color w:val="auto"/>
              </w:rPr>
              <w:t>Year Ended</w:t>
            </w:r>
          </w:p>
        </w:tc>
        <w:tc>
          <w:tcPr>
            <w:tcW w:w="120" w:type="dxa"/>
            <w:vAlign w:val="bottom"/>
          </w:tcPr>
          <w:p>
            <w:pPr>
              <w:spacing w:after="0"/>
              <w:rPr>
                <w:sz w:val="14"/>
                <w:szCs w:val="14"/>
                <w:color w:val="auto"/>
              </w:rPr>
            </w:pPr>
          </w:p>
        </w:tc>
        <w:tc>
          <w:tcPr>
            <w:tcW w:w="840" w:type="dxa"/>
            <w:vAlign w:val="bottom"/>
            <w:gridSpan w:val="2"/>
            <w:vMerge w:val="restart"/>
          </w:tcPr>
          <w:p>
            <w:pPr>
              <w:jc w:val="center"/>
              <w:ind w:right="280"/>
              <w:spacing w:after="0"/>
              <w:rPr>
                <w:sz w:val="20"/>
                <w:szCs w:val="20"/>
                <w:color w:val="auto"/>
              </w:rPr>
            </w:pPr>
            <w:r>
              <w:rPr>
                <w:rFonts w:ascii="Arial" w:cs="Arial" w:eastAsia="Arial" w:hAnsi="Arial"/>
                <w:sz w:val="14"/>
                <w:szCs w:val="14"/>
                <w:b w:val="1"/>
                <w:bCs w:val="1"/>
                <w:color w:val="auto"/>
                <w:w w:val="85"/>
              </w:rPr>
              <w:t>Increase/</w:t>
            </w:r>
          </w:p>
        </w:tc>
        <w:tc>
          <w:tcPr>
            <w:tcW w:w="940" w:type="dxa"/>
            <w:vAlign w:val="bottom"/>
            <w:gridSpan w:val="2"/>
            <w:vMerge w:val="restart"/>
          </w:tcPr>
          <w:p>
            <w:pPr>
              <w:jc w:val="center"/>
              <w:ind w:right="180"/>
              <w:spacing w:after="0"/>
              <w:rPr>
                <w:sz w:val="20"/>
                <w:szCs w:val="20"/>
                <w:color w:val="auto"/>
              </w:rPr>
            </w:pPr>
            <w:r>
              <w:rPr>
                <w:rFonts w:ascii="Arial" w:cs="Arial" w:eastAsia="Arial" w:hAnsi="Arial"/>
                <w:sz w:val="14"/>
                <w:szCs w:val="14"/>
                <w:b w:val="1"/>
                <w:bCs w:val="1"/>
                <w:color w:val="auto"/>
                <w:w w:val="85"/>
              </w:rPr>
              <w:t>Increase/</w:t>
            </w:r>
          </w:p>
        </w:tc>
        <w:tc>
          <w:tcPr>
            <w:tcW w:w="0" w:type="dxa"/>
            <w:vAlign w:val="bottom"/>
          </w:tcPr>
          <w:p>
            <w:pPr>
              <w:spacing w:after="0"/>
              <w:rPr>
                <w:sz w:val="1"/>
                <w:szCs w:val="1"/>
                <w:color w:val="auto"/>
              </w:rPr>
            </w:pPr>
          </w:p>
        </w:tc>
      </w:tr>
      <w:tr>
        <w:trPr>
          <w:trHeight w:val="95"/>
        </w:trPr>
        <w:tc>
          <w:tcPr>
            <w:tcW w:w="3300" w:type="dxa"/>
            <w:vAlign w:val="bottom"/>
          </w:tcPr>
          <w:p>
            <w:pPr>
              <w:spacing w:after="0"/>
              <w:rPr>
                <w:sz w:val="8"/>
                <w:szCs w:val="8"/>
                <w:color w:val="auto"/>
              </w:rPr>
            </w:pPr>
          </w:p>
        </w:tc>
        <w:tc>
          <w:tcPr>
            <w:tcW w:w="1640" w:type="dxa"/>
            <w:vAlign w:val="bottom"/>
            <w:gridSpan w:val="4"/>
            <w:vMerge w:val="restart"/>
          </w:tcPr>
          <w:p>
            <w:pPr>
              <w:jc w:val="right"/>
              <w:ind w:right="500"/>
              <w:spacing w:after="0"/>
              <w:rPr>
                <w:sz w:val="20"/>
                <w:szCs w:val="20"/>
                <w:color w:val="auto"/>
              </w:rPr>
            </w:pPr>
            <w:r>
              <w:rPr>
                <w:rFonts w:ascii="Arial" w:cs="Arial" w:eastAsia="Arial" w:hAnsi="Arial"/>
                <w:sz w:val="14"/>
                <w:szCs w:val="14"/>
                <w:b w:val="1"/>
                <w:bCs w:val="1"/>
                <w:color w:val="auto"/>
              </w:rPr>
              <w:t>December 31,</w:t>
            </w:r>
          </w:p>
        </w:tc>
        <w:tc>
          <w:tcPr>
            <w:tcW w:w="120" w:type="dxa"/>
            <w:vAlign w:val="bottom"/>
          </w:tcPr>
          <w:p>
            <w:pPr>
              <w:spacing w:after="0"/>
              <w:rPr>
                <w:sz w:val="8"/>
                <w:szCs w:val="8"/>
                <w:color w:val="auto"/>
              </w:rPr>
            </w:pPr>
          </w:p>
        </w:tc>
        <w:tc>
          <w:tcPr>
            <w:tcW w:w="840" w:type="dxa"/>
            <w:vAlign w:val="bottom"/>
            <w:gridSpan w:val="2"/>
            <w:vMerge w:val="continue"/>
          </w:tcPr>
          <w:p>
            <w:pPr>
              <w:spacing w:after="0"/>
              <w:rPr>
                <w:sz w:val="8"/>
                <w:szCs w:val="8"/>
                <w:color w:val="auto"/>
              </w:rPr>
            </w:pPr>
          </w:p>
        </w:tc>
        <w:tc>
          <w:tcPr>
            <w:tcW w:w="940" w:type="dxa"/>
            <w:vAlign w:val="bottom"/>
            <w:gridSpan w:val="2"/>
            <w:vMerge w:val="continue"/>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3300" w:type="dxa"/>
            <w:vAlign w:val="bottom"/>
          </w:tcPr>
          <w:p>
            <w:pPr>
              <w:spacing w:after="0"/>
              <w:rPr>
                <w:sz w:val="5"/>
                <w:szCs w:val="5"/>
                <w:color w:val="auto"/>
              </w:rPr>
            </w:pPr>
          </w:p>
        </w:tc>
        <w:tc>
          <w:tcPr>
            <w:tcW w:w="1640" w:type="dxa"/>
            <w:vAlign w:val="bottom"/>
            <w:gridSpan w:val="4"/>
            <w:vMerge w:val="continue"/>
          </w:tcPr>
          <w:p>
            <w:pPr>
              <w:spacing w:after="0"/>
              <w:rPr>
                <w:sz w:val="5"/>
                <w:szCs w:val="5"/>
                <w:color w:val="auto"/>
              </w:rPr>
            </w:pPr>
          </w:p>
        </w:tc>
        <w:tc>
          <w:tcPr>
            <w:tcW w:w="960" w:type="dxa"/>
            <w:vAlign w:val="bottom"/>
            <w:gridSpan w:val="3"/>
            <w:vMerge w:val="restart"/>
          </w:tcPr>
          <w:p>
            <w:pPr>
              <w:jc w:val="center"/>
              <w:ind w:right="160"/>
              <w:spacing w:after="0" w:line="149" w:lineRule="exact"/>
              <w:rPr>
                <w:sz w:val="20"/>
                <w:szCs w:val="20"/>
                <w:color w:val="auto"/>
              </w:rPr>
            </w:pPr>
            <w:r>
              <w:rPr>
                <w:rFonts w:ascii="Arial" w:cs="Arial" w:eastAsia="Arial" w:hAnsi="Arial"/>
                <w:sz w:val="14"/>
                <w:szCs w:val="14"/>
                <w:b w:val="1"/>
                <w:bCs w:val="1"/>
                <w:color w:val="auto"/>
                <w:w w:val="83"/>
              </w:rPr>
              <w:t>(Decrease)</w:t>
            </w:r>
          </w:p>
        </w:tc>
        <w:tc>
          <w:tcPr>
            <w:tcW w:w="940" w:type="dxa"/>
            <w:vAlign w:val="bottom"/>
            <w:gridSpan w:val="2"/>
            <w:vMerge w:val="restart"/>
          </w:tcPr>
          <w:p>
            <w:pPr>
              <w:jc w:val="center"/>
              <w:ind w:right="180"/>
              <w:spacing w:after="0" w:line="149" w:lineRule="exact"/>
              <w:rPr>
                <w:sz w:val="20"/>
                <w:szCs w:val="20"/>
                <w:color w:val="auto"/>
              </w:rPr>
            </w:pPr>
            <w:r>
              <w:rPr>
                <w:rFonts w:ascii="Arial" w:cs="Arial" w:eastAsia="Arial" w:hAnsi="Arial"/>
                <w:sz w:val="14"/>
                <w:szCs w:val="14"/>
                <w:b w:val="1"/>
                <w:bCs w:val="1"/>
                <w:color w:val="auto"/>
                <w:w w:val="83"/>
              </w:rPr>
              <w:t>(Decrease)</w:t>
            </w:r>
          </w:p>
        </w:tc>
        <w:tc>
          <w:tcPr>
            <w:tcW w:w="0" w:type="dxa"/>
            <w:vAlign w:val="bottom"/>
          </w:tcPr>
          <w:p>
            <w:pPr>
              <w:spacing w:after="0"/>
              <w:rPr>
                <w:sz w:val="1"/>
                <w:szCs w:val="1"/>
                <w:color w:val="auto"/>
              </w:rPr>
            </w:pPr>
          </w:p>
        </w:tc>
      </w:tr>
      <w:tr>
        <w:trPr>
          <w:trHeight w:val="62"/>
        </w:trPr>
        <w:tc>
          <w:tcPr>
            <w:tcW w:w="3300" w:type="dxa"/>
            <w:vAlign w:val="bottom"/>
          </w:tcPr>
          <w:p>
            <w:pPr>
              <w:spacing w:after="0"/>
              <w:rPr>
                <w:sz w:val="5"/>
                <w:szCs w:val="5"/>
                <w:color w:val="auto"/>
              </w:rPr>
            </w:pPr>
          </w:p>
        </w:tc>
        <w:tc>
          <w:tcPr>
            <w:tcW w:w="700" w:type="dxa"/>
            <w:vAlign w:val="bottom"/>
            <w:tcBorders>
              <w:top w:val="single" w:sz="8" w:color="auto"/>
            </w:tcBorders>
          </w:tcPr>
          <w:p>
            <w:pPr>
              <w:spacing w:after="0"/>
              <w:rPr>
                <w:sz w:val="5"/>
                <w:szCs w:val="5"/>
                <w:color w:val="auto"/>
              </w:rPr>
            </w:pPr>
          </w:p>
        </w:tc>
        <w:tc>
          <w:tcPr>
            <w:tcW w:w="160" w:type="dxa"/>
            <w:vAlign w:val="bottom"/>
            <w:tcBorders>
              <w:top w:val="single" w:sz="8" w:color="auto"/>
            </w:tcBorders>
          </w:tcPr>
          <w:p>
            <w:pPr>
              <w:spacing w:after="0"/>
              <w:rPr>
                <w:sz w:val="5"/>
                <w:szCs w:val="5"/>
                <w:color w:val="auto"/>
              </w:rPr>
            </w:pPr>
          </w:p>
        </w:tc>
        <w:tc>
          <w:tcPr>
            <w:tcW w:w="620" w:type="dxa"/>
            <w:vAlign w:val="bottom"/>
            <w:tcBorders>
              <w:top w:val="single" w:sz="8" w:color="auto"/>
            </w:tcBorders>
          </w:tcPr>
          <w:p>
            <w:pPr>
              <w:spacing w:after="0"/>
              <w:rPr>
                <w:sz w:val="5"/>
                <w:szCs w:val="5"/>
                <w:color w:val="auto"/>
              </w:rPr>
            </w:pPr>
          </w:p>
        </w:tc>
        <w:tc>
          <w:tcPr>
            <w:tcW w:w="160" w:type="dxa"/>
            <w:vAlign w:val="bottom"/>
          </w:tcPr>
          <w:p>
            <w:pPr>
              <w:spacing w:after="0"/>
              <w:rPr>
                <w:sz w:val="5"/>
                <w:szCs w:val="5"/>
                <w:color w:val="auto"/>
              </w:rPr>
            </w:pPr>
          </w:p>
        </w:tc>
        <w:tc>
          <w:tcPr>
            <w:tcW w:w="960" w:type="dxa"/>
            <w:vAlign w:val="bottom"/>
            <w:gridSpan w:val="3"/>
            <w:vMerge w:val="continue"/>
          </w:tcPr>
          <w:p>
            <w:pPr>
              <w:spacing w:after="0"/>
              <w:rPr>
                <w:sz w:val="5"/>
                <w:szCs w:val="5"/>
                <w:color w:val="auto"/>
              </w:rPr>
            </w:pPr>
          </w:p>
        </w:tc>
        <w:tc>
          <w:tcPr>
            <w:tcW w:w="940" w:type="dxa"/>
            <w:vAlign w:val="bottom"/>
            <w:gridSpan w:val="2"/>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61"/>
        </w:trPr>
        <w:tc>
          <w:tcPr>
            <w:tcW w:w="3300" w:type="dxa"/>
            <w:vAlign w:val="bottom"/>
          </w:tcPr>
          <w:p>
            <w:pPr>
              <w:spacing w:after="0"/>
              <w:rPr>
                <w:sz w:val="14"/>
                <w:szCs w:val="14"/>
                <w:color w:val="auto"/>
              </w:rPr>
            </w:pPr>
          </w:p>
        </w:tc>
        <w:tc>
          <w:tcPr>
            <w:tcW w:w="700" w:type="dxa"/>
            <w:vAlign w:val="bottom"/>
            <w:tcBorders>
              <w:bottom w:val="single" w:sz="8" w:color="auto"/>
            </w:tcBorders>
          </w:tcPr>
          <w:p>
            <w:pPr>
              <w:jc w:val="right"/>
              <w:ind w:right="141"/>
              <w:spacing w:after="0"/>
              <w:rPr>
                <w:sz w:val="20"/>
                <w:szCs w:val="20"/>
                <w:color w:val="auto"/>
              </w:rPr>
            </w:pPr>
            <w:r>
              <w:rPr>
                <w:rFonts w:ascii="Arial" w:cs="Arial" w:eastAsia="Arial" w:hAnsi="Arial"/>
                <w:sz w:val="14"/>
                <w:szCs w:val="14"/>
                <w:b w:val="1"/>
                <w:bCs w:val="1"/>
                <w:color w:val="auto"/>
              </w:rPr>
              <w:t>2009</w:t>
            </w:r>
          </w:p>
        </w:tc>
        <w:tc>
          <w:tcPr>
            <w:tcW w:w="160" w:type="dxa"/>
            <w:vAlign w:val="bottom"/>
          </w:tcPr>
          <w:p>
            <w:pPr>
              <w:spacing w:after="0"/>
              <w:rPr>
                <w:sz w:val="14"/>
                <w:szCs w:val="14"/>
                <w:color w:val="auto"/>
              </w:rPr>
            </w:pPr>
          </w:p>
        </w:tc>
        <w:tc>
          <w:tcPr>
            <w:tcW w:w="620" w:type="dxa"/>
            <w:vAlign w:val="bottom"/>
            <w:tcBorders>
              <w:bottom w:val="single" w:sz="8" w:color="auto"/>
            </w:tcBorders>
          </w:tcPr>
          <w:p>
            <w:pPr>
              <w:jc w:val="right"/>
              <w:ind w:right="99"/>
              <w:spacing w:after="0"/>
              <w:rPr>
                <w:sz w:val="20"/>
                <w:szCs w:val="20"/>
                <w:color w:val="auto"/>
              </w:rPr>
            </w:pPr>
            <w:r>
              <w:rPr>
                <w:rFonts w:ascii="Arial" w:cs="Arial" w:eastAsia="Arial" w:hAnsi="Arial"/>
                <w:sz w:val="14"/>
                <w:szCs w:val="14"/>
                <w:b w:val="1"/>
                <w:bCs w:val="1"/>
                <w:color w:val="auto"/>
              </w:rPr>
              <w:t>2008</w:t>
            </w:r>
          </w:p>
        </w:tc>
        <w:tc>
          <w:tcPr>
            <w:tcW w:w="16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jc w:val="center"/>
              <w:ind w:right="39"/>
              <w:spacing w:after="0"/>
              <w:rPr>
                <w:sz w:val="20"/>
                <w:szCs w:val="20"/>
                <w:color w:val="auto"/>
              </w:rPr>
            </w:pPr>
            <w:r>
              <w:rPr>
                <w:rFonts w:ascii="Arial" w:cs="Arial" w:eastAsia="Arial" w:hAnsi="Arial"/>
                <w:sz w:val="14"/>
                <w:szCs w:val="14"/>
                <w:b w:val="1"/>
                <w:bCs w:val="1"/>
                <w:color w:val="auto"/>
              </w:rPr>
              <w:t>$</w:t>
            </w:r>
          </w:p>
        </w:tc>
        <w:tc>
          <w:tcPr>
            <w:tcW w:w="160" w:type="dxa"/>
            <w:vAlign w:val="bottom"/>
          </w:tcPr>
          <w:p>
            <w:pPr>
              <w:spacing w:after="0"/>
              <w:rPr>
                <w:sz w:val="14"/>
                <w:szCs w:val="14"/>
                <w:color w:val="auto"/>
              </w:rPr>
            </w:pPr>
          </w:p>
        </w:tc>
        <w:tc>
          <w:tcPr>
            <w:tcW w:w="7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w:t>
            </w: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33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580" w:type="dxa"/>
            <w:vAlign w:val="bottom"/>
            <w:gridSpan w:val="4"/>
          </w:tcPr>
          <w:p>
            <w:pPr>
              <w:jc w:val="center"/>
              <w:spacing w:after="0" w:line="142" w:lineRule="exact"/>
              <w:rPr>
                <w:sz w:val="20"/>
                <w:szCs w:val="20"/>
                <w:color w:val="auto"/>
              </w:rPr>
            </w:pPr>
            <w:r>
              <w:rPr>
                <w:rFonts w:ascii="Arial" w:cs="Arial" w:eastAsia="Arial" w:hAnsi="Arial"/>
                <w:sz w:val="14"/>
                <w:szCs w:val="14"/>
                <w:b w:val="1"/>
                <w:bCs w:val="1"/>
                <w:color w:val="auto"/>
                <w:w w:val="87"/>
              </w:rPr>
              <w:t>(In thousands)</w:t>
            </w:r>
          </w:p>
        </w:tc>
        <w:tc>
          <w:tcPr>
            <w:tcW w:w="1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3300" w:type="dxa"/>
            <w:vAlign w:val="bottom"/>
            <w:shd w:val="clear" w:color="auto" w:fill="CCEEFF"/>
          </w:tcPr>
          <w:p>
            <w:pPr>
              <w:spacing w:after="0"/>
              <w:rPr>
                <w:sz w:val="20"/>
                <w:szCs w:val="20"/>
                <w:color w:val="auto"/>
              </w:rPr>
            </w:pPr>
            <w:r>
              <w:rPr>
                <w:rFonts w:ascii="Arial" w:cs="Arial" w:eastAsia="Arial" w:hAnsi="Arial"/>
                <w:sz w:val="18"/>
                <w:szCs w:val="18"/>
                <w:color w:val="auto"/>
              </w:rPr>
              <w:t>Personnel</w:t>
            </w:r>
          </w:p>
        </w:tc>
        <w:tc>
          <w:tcPr>
            <w:tcW w:w="8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90"/>
              </w:rPr>
              <w:t>$  11,108</w:t>
            </w:r>
          </w:p>
        </w:tc>
        <w:tc>
          <w:tcPr>
            <w:tcW w:w="7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92"/>
              </w:rPr>
              <w:t>$  8,785</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2,323</w:t>
            </w:r>
          </w:p>
        </w:tc>
        <w:tc>
          <w:tcPr>
            <w:tcW w:w="9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26%</w:t>
            </w:r>
          </w:p>
        </w:tc>
        <w:tc>
          <w:tcPr>
            <w:tcW w:w="0" w:type="dxa"/>
            <w:vAlign w:val="bottom"/>
          </w:tcPr>
          <w:p>
            <w:pPr>
              <w:spacing w:after="0"/>
              <w:rPr>
                <w:sz w:val="1"/>
                <w:szCs w:val="1"/>
                <w:color w:val="auto"/>
              </w:rPr>
            </w:pPr>
          </w:p>
        </w:tc>
      </w:tr>
      <w:tr>
        <w:trPr>
          <w:trHeight w:val="216"/>
        </w:trPr>
        <w:tc>
          <w:tcPr>
            <w:tcW w:w="3300" w:type="dxa"/>
            <w:vAlign w:val="bottom"/>
          </w:tcPr>
          <w:p>
            <w:pPr>
              <w:spacing w:after="0"/>
              <w:rPr>
                <w:sz w:val="20"/>
                <w:szCs w:val="20"/>
                <w:color w:val="auto"/>
              </w:rPr>
            </w:pPr>
            <w:r>
              <w:rPr>
                <w:rFonts w:ascii="Arial" w:cs="Arial" w:eastAsia="Arial" w:hAnsi="Arial"/>
                <w:sz w:val="18"/>
                <w:szCs w:val="18"/>
                <w:color w:val="auto"/>
              </w:rPr>
              <w:t>Laboratory Supplies</w:t>
            </w:r>
          </w:p>
        </w:tc>
        <w:tc>
          <w:tcPr>
            <w:tcW w:w="700" w:type="dxa"/>
            <w:vAlign w:val="bottom"/>
          </w:tcPr>
          <w:p>
            <w:pPr>
              <w:jc w:val="right"/>
              <w:spacing w:after="0"/>
              <w:rPr>
                <w:sz w:val="20"/>
                <w:szCs w:val="20"/>
                <w:color w:val="auto"/>
              </w:rPr>
            </w:pPr>
            <w:r>
              <w:rPr>
                <w:rFonts w:ascii="Arial" w:cs="Arial" w:eastAsia="Arial" w:hAnsi="Arial"/>
                <w:sz w:val="18"/>
                <w:szCs w:val="18"/>
                <w:color w:val="auto"/>
              </w:rPr>
              <w:t>2,517</w:t>
            </w:r>
          </w:p>
        </w:tc>
        <w:tc>
          <w:tcPr>
            <w:tcW w:w="160" w:type="dxa"/>
            <w:vAlign w:val="bottom"/>
          </w:tcPr>
          <w:p>
            <w:pPr>
              <w:spacing w:after="0"/>
              <w:rPr>
                <w:sz w:val="18"/>
                <w:szCs w:val="18"/>
                <w:color w:val="auto"/>
              </w:rPr>
            </w:pPr>
          </w:p>
        </w:tc>
        <w:tc>
          <w:tcPr>
            <w:tcW w:w="780" w:type="dxa"/>
            <w:vAlign w:val="bottom"/>
            <w:gridSpan w:val="2"/>
          </w:tcPr>
          <w:p>
            <w:pPr>
              <w:jc w:val="right"/>
              <w:ind w:right="160"/>
              <w:spacing w:after="0"/>
              <w:rPr>
                <w:sz w:val="20"/>
                <w:szCs w:val="20"/>
                <w:color w:val="auto"/>
              </w:rPr>
            </w:pPr>
            <w:r>
              <w:rPr>
                <w:rFonts w:ascii="Arial" w:cs="Arial" w:eastAsia="Arial" w:hAnsi="Arial"/>
                <w:sz w:val="18"/>
                <w:szCs w:val="18"/>
                <w:color w:val="auto"/>
              </w:rPr>
              <w:t>2,179</w:t>
            </w:r>
          </w:p>
        </w:tc>
        <w:tc>
          <w:tcPr>
            <w:tcW w:w="120" w:type="dxa"/>
            <w:vAlign w:val="bottom"/>
          </w:tcPr>
          <w:p>
            <w:pPr>
              <w:spacing w:after="0"/>
              <w:rPr>
                <w:sz w:val="18"/>
                <w:szCs w:val="18"/>
                <w:color w:val="auto"/>
              </w:rPr>
            </w:pPr>
          </w:p>
        </w:tc>
        <w:tc>
          <w:tcPr>
            <w:tcW w:w="840" w:type="dxa"/>
            <w:vAlign w:val="bottom"/>
            <w:gridSpan w:val="2"/>
          </w:tcPr>
          <w:p>
            <w:pPr>
              <w:jc w:val="right"/>
              <w:ind w:right="160"/>
              <w:spacing w:after="0"/>
              <w:rPr>
                <w:sz w:val="20"/>
                <w:szCs w:val="20"/>
                <w:color w:val="auto"/>
              </w:rPr>
            </w:pPr>
            <w:r>
              <w:rPr>
                <w:rFonts w:ascii="Arial" w:cs="Arial" w:eastAsia="Arial" w:hAnsi="Arial"/>
                <w:sz w:val="18"/>
                <w:szCs w:val="18"/>
                <w:color w:val="auto"/>
              </w:rPr>
              <w:t>338</w:t>
            </w:r>
          </w:p>
        </w:tc>
        <w:tc>
          <w:tcPr>
            <w:tcW w:w="940" w:type="dxa"/>
            <w:vAlign w:val="bottom"/>
            <w:gridSpan w:val="2"/>
          </w:tcPr>
          <w:p>
            <w:pPr>
              <w:jc w:val="right"/>
              <w:ind w:right="20"/>
              <w:spacing w:after="0"/>
              <w:rPr>
                <w:sz w:val="20"/>
                <w:szCs w:val="20"/>
                <w:color w:val="auto"/>
              </w:rPr>
            </w:pPr>
            <w:r>
              <w:rPr>
                <w:rFonts w:ascii="Arial" w:cs="Arial" w:eastAsia="Arial" w:hAnsi="Arial"/>
                <w:sz w:val="18"/>
                <w:szCs w:val="18"/>
                <w:color w:val="auto"/>
              </w:rPr>
              <w:t>16%</w:t>
            </w:r>
          </w:p>
        </w:tc>
        <w:tc>
          <w:tcPr>
            <w:tcW w:w="0" w:type="dxa"/>
            <w:vAlign w:val="bottom"/>
          </w:tcPr>
          <w:p>
            <w:pPr>
              <w:spacing w:after="0"/>
              <w:rPr>
                <w:sz w:val="1"/>
                <w:szCs w:val="1"/>
                <w:color w:val="auto"/>
              </w:rPr>
            </w:pPr>
          </w:p>
        </w:tc>
      </w:tr>
      <w:tr>
        <w:trPr>
          <w:trHeight w:val="216"/>
        </w:trPr>
        <w:tc>
          <w:tcPr>
            <w:tcW w:w="3300" w:type="dxa"/>
            <w:vAlign w:val="bottom"/>
            <w:shd w:val="clear" w:color="auto" w:fill="CCEEFF"/>
          </w:tcPr>
          <w:p>
            <w:pPr>
              <w:spacing w:after="0"/>
              <w:rPr>
                <w:sz w:val="20"/>
                <w:szCs w:val="20"/>
                <w:color w:val="auto"/>
              </w:rPr>
            </w:pPr>
            <w:r>
              <w:rPr>
                <w:rFonts w:ascii="Arial" w:cs="Arial" w:eastAsia="Arial" w:hAnsi="Arial"/>
                <w:sz w:val="18"/>
                <w:szCs w:val="18"/>
                <w:color w:val="auto"/>
              </w:rPr>
              <w:t>Facility</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4,782</w:t>
            </w:r>
          </w:p>
        </w:tc>
        <w:tc>
          <w:tcPr>
            <w:tcW w:w="16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4,180</w:t>
            </w:r>
          </w:p>
        </w:tc>
        <w:tc>
          <w:tcPr>
            <w:tcW w:w="12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602</w:t>
            </w:r>
          </w:p>
        </w:tc>
        <w:tc>
          <w:tcPr>
            <w:tcW w:w="9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14%</w:t>
            </w:r>
          </w:p>
        </w:tc>
        <w:tc>
          <w:tcPr>
            <w:tcW w:w="0" w:type="dxa"/>
            <w:vAlign w:val="bottom"/>
          </w:tcPr>
          <w:p>
            <w:pPr>
              <w:spacing w:after="0"/>
              <w:rPr>
                <w:sz w:val="1"/>
                <w:szCs w:val="1"/>
                <w:color w:val="auto"/>
              </w:rPr>
            </w:pPr>
          </w:p>
        </w:tc>
      </w:tr>
      <w:tr>
        <w:trPr>
          <w:trHeight w:val="222"/>
        </w:trPr>
        <w:tc>
          <w:tcPr>
            <w:tcW w:w="3300" w:type="dxa"/>
            <w:vAlign w:val="bottom"/>
          </w:tcPr>
          <w:p>
            <w:pPr>
              <w:spacing w:after="0"/>
              <w:rPr>
                <w:sz w:val="20"/>
                <w:szCs w:val="20"/>
                <w:color w:val="auto"/>
              </w:rPr>
            </w:pPr>
            <w:r>
              <w:rPr>
                <w:rFonts w:ascii="Arial" w:cs="Arial" w:eastAsia="Arial" w:hAnsi="Arial"/>
                <w:sz w:val="18"/>
                <w:szCs w:val="18"/>
                <w:color w:val="auto"/>
              </w:rPr>
              <w:t>Product Development</w:t>
            </w:r>
          </w:p>
        </w:tc>
        <w:tc>
          <w:tcPr>
            <w:tcW w:w="700" w:type="dxa"/>
            <w:vAlign w:val="bottom"/>
          </w:tcPr>
          <w:p>
            <w:pPr>
              <w:jc w:val="right"/>
              <w:spacing w:after="0"/>
              <w:rPr>
                <w:sz w:val="20"/>
                <w:szCs w:val="20"/>
                <w:color w:val="auto"/>
              </w:rPr>
            </w:pPr>
            <w:r>
              <w:rPr>
                <w:rFonts w:ascii="Arial" w:cs="Arial" w:eastAsia="Arial" w:hAnsi="Arial"/>
                <w:sz w:val="18"/>
                <w:szCs w:val="18"/>
                <w:color w:val="auto"/>
              </w:rPr>
              <w:t>5,758</w:t>
            </w:r>
          </w:p>
        </w:tc>
        <w:tc>
          <w:tcPr>
            <w:tcW w:w="160" w:type="dxa"/>
            <w:vAlign w:val="bottom"/>
          </w:tcPr>
          <w:p>
            <w:pPr>
              <w:spacing w:after="0"/>
              <w:rPr>
                <w:sz w:val="19"/>
                <w:szCs w:val="19"/>
                <w:color w:val="auto"/>
              </w:rPr>
            </w:pPr>
          </w:p>
        </w:tc>
        <w:tc>
          <w:tcPr>
            <w:tcW w:w="780" w:type="dxa"/>
            <w:vAlign w:val="bottom"/>
            <w:gridSpan w:val="2"/>
          </w:tcPr>
          <w:p>
            <w:pPr>
              <w:jc w:val="right"/>
              <w:ind w:right="160"/>
              <w:spacing w:after="0"/>
              <w:rPr>
                <w:sz w:val="20"/>
                <w:szCs w:val="20"/>
                <w:color w:val="auto"/>
              </w:rPr>
            </w:pPr>
            <w:r>
              <w:rPr>
                <w:rFonts w:ascii="Arial" w:cs="Arial" w:eastAsia="Arial" w:hAnsi="Arial"/>
                <w:sz w:val="18"/>
                <w:szCs w:val="18"/>
                <w:color w:val="auto"/>
              </w:rPr>
              <w:t>5,192</w:t>
            </w:r>
          </w:p>
        </w:tc>
        <w:tc>
          <w:tcPr>
            <w:tcW w:w="120" w:type="dxa"/>
            <w:vAlign w:val="bottom"/>
          </w:tcPr>
          <w:p>
            <w:pPr>
              <w:spacing w:after="0"/>
              <w:rPr>
                <w:sz w:val="19"/>
                <w:szCs w:val="19"/>
                <w:color w:val="auto"/>
              </w:rPr>
            </w:pPr>
          </w:p>
        </w:tc>
        <w:tc>
          <w:tcPr>
            <w:tcW w:w="840" w:type="dxa"/>
            <w:vAlign w:val="bottom"/>
            <w:gridSpan w:val="2"/>
          </w:tcPr>
          <w:p>
            <w:pPr>
              <w:jc w:val="right"/>
              <w:ind w:right="160"/>
              <w:spacing w:after="0"/>
              <w:rPr>
                <w:sz w:val="20"/>
                <w:szCs w:val="20"/>
                <w:color w:val="auto"/>
              </w:rPr>
            </w:pPr>
            <w:r>
              <w:rPr>
                <w:rFonts w:ascii="Arial" w:cs="Arial" w:eastAsia="Arial" w:hAnsi="Arial"/>
                <w:sz w:val="18"/>
                <w:szCs w:val="18"/>
                <w:color w:val="auto"/>
              </w:rPr>
              <w:t>566</w:t>
            </w:r>
          </w:p>
        </w:tc>
        <w:tc>
          <w:tcPr>
            <w:tcW w:w="940" w:type="dxa"/>
            <w:vAlign w:val="bottom"/>
            <w:gridSpan w:val="2"/>
          </w:tcPr>
          <w:p>
            <w:pPr>
              <w:jc w:val="right"/>
              <w:ind w:right="20"/>
              <w:spacing w:after="0"/>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bl>
    <w:p>
      <w:pPr>
        <w:spacing w:after="0" w:line="201" w:lineRule="exact"/>
        <w:rPr>
          <w:sz w:val="20"/>
          <w:szCs w:val="20"/>
          <w:color w:val="auto"/>
        </w:rPr>
      </w:pPr>
    </w:p>
    <w:p>
      <w:pPr>
        <w:ind w:firstLine="348"/>
        <w:spacing w:after="0" w:line="290" w:lineRule="auto"/>
        <w:rPr>
          <w:sz w:val="20"/>
          <w:szCs w:val="20"/>
          <w:color w:val="auto"/>
        </w:rPr>
      </w:pPr>
      <w:r>
        <w:rPr>
          <w:rFonts w:ascii="Arial" w:cs="Arial" w:eastAsia="Arial" w:hAnsi="Arial"/>
          <w:sz w:val="16"/>
          <w:szCs w:val="16"/>
          <w:color w:val="auto"/>
        </w:rPr>
        <w:t>The $2.3 million increase in personnel expenses for the year ended December 31, 2009 was primarily due to higher headcount and $0.9 million in severance expense related to the CuraGen Merger. The $0.3 million increase in laboratory supply expenses for the year ended December 31, 2009 was primarily due to increased research, preclinical and manufacturing activities. The $0.6 million increase in facility expenses for the year ended December 31, 2009 was primarily due to higher depreciation and amortization expenses. The $0.6 million increase in product development expenses for the year ended December 31, 2009 was primarily due to an increase in preclinical work related to the CDX-1401 and CDX-2401 programs. The decrease in clinical expenses for CDX-110 for the year ended December 31, 2009 due to the transfer of clinical management of our CDX-110 program to Pfizer was primarily offset by the increase in clinical expenses related to our CDX-011 program acquired from CuraGen.</w:t>
      </w:r>
    </w:p>
    <w:p>
      <w:pPr>
        <w:spacing w:after="0" w:line="17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Royalty Expense</w:t>
      </w:r>
    </w:p>
    <w:p>
      <w:pPr>
        <w:spacing w:after="0" w:line="225" w:lineRule="exact"/>
        <w:rPr>
          <w:sz w:val="20"/>
          <w:szCs w:val="20"/>
          <w:color w:val="auto"/>
        </w:rPr>
      </w:pPr>
    </w:p>
    <w:p>
      <w:pPr>
        <w:ind w:right="40" w:firstLine="351"/>
        <w:spacing w:after="0" w:line="306" w:lineRule="auto"/>
        <w:rPr>
          <w:sz w:val="20"/>
          <w:szCs w:val="20"/>
          <w:color w:val="auto"/>
        </w:rPr>
      </w:pPr>
      <w:r>
        <w:rPr>
          <w:rFonts w:ascii="Arial" w:cs="Arial" w:eastAsia="Arial" w:hAnsi="Arial"/>
          <w:sz w:val="16"/>
          <w:szCs w:val="16"/>
          <w:color w:val="auto"/>
        </w:rPr>
        <w:t>Royalty expenses include product royalty and sublicense royalty fees on our out-licensed programs. The $4.7 million increase in royalty expenses for the year ended December 31, 2009 was primarily due to an increase in Rotarix® related royalty fees. Our retained interests in Rotarix® net royalties which were not sold to PRF are recorded as product royalty revenue and a corresponding amount that is payable to CCH is recorded as royalty expense.</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General and Administrative Expense</w:t>
      </w:r>
    </w:p>
    <w:p>
      <w:pPr>
        <w:spacing w:after="0" w:line="225" w:lineRule="exact"/>
        <w:rPr>
          <w:sz w:val="20"/>
          <w:szCs w:val="20"/>
          <w:color w:val="auto"/>
        </w:rPr>
      </w:pPr>
    </w:p>
    <w:p>
      <w:pPr>
        <w:ind w:right="160" w:firstLine="348"/>
        <w:spacing w:after="0" w:line="332" w:lineRule="auto"/>
        <w:rPr>
          <w:sz w:val="20"/>
          <w:szCs w:val="20"/>
          <w:color w:val="auto"/>
        </w:rPr>
      </w:pPr>
      <w:r>
        <w:rPr>
          <w:rFonts w:ascii="Arial" w:cs="Arial" w:eastAsia="Arial" w:hAnsi="Arial"/>
          <w:sz w:val="16"/>
          <w:szCs w:val="16"/>
          <w:color w:val="auto"/>
        </w:rPr>
        <w:t>The $2.4 million increase in general and administrative expenses for the year ended December 31, 2009 was primarily due to (i) $3.3 million in severance expense related to the CuraGen Merger, (ii) an increase in consultant and legal expense of $0.6 million during the year ended December 31, 2009</w:t>
      </w:r>
    </w:p>
    <w:p>
      <w:pPr>
        <w:spacing w:after="0" w:line="139"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40"/>
          </w:cols>
          <w:pgMar w:left="240" w:top="131" w:right="319" w:bottom="1440" w:gutter="0" w:footer="0" w:header="0"/>
        </w:sectPr>
      </w:pPr>
    </w:p>
    <w:bookmarkStart w:id="62" w:name="page63"/>
    <w:bookmarkEnd w:id="62"/>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ind w:right="100"/>
        <w:spacing w:after="0" w:line="256" w:lineRule="auto"/>
        <w:rPr>
          <w:sz w:val="20"/>
          <w:szCs w:val="20"/>
          <w:color w:val="auto"/>
        </w:rPr>
      </w:pPr>
      <w:r>
        <w:rPr>
          <w:rFonts w:ascii="Arial" w:cs="Arial" w:eastAsia="Arial" w:hAnsi="Arial"/>
          <w:sz w:val="18"/>
          <w:szCs w:val="18"/>
          <w:color w:val="auto"/>
        </w:rPr>
        <w:t>primarily related to the CuraGen Merger and (iii) $0.7 million in severance expense, including related non-cash stock-based compensation expense, incurred during the year ended December 31, 2009 related to our former SVP, Business Development. The effect of these increases was partially offset by $1.4 million in severance expense and $1.3 million in stock-based compensation expense incurred during the year ended December 31, 2008 related to our former President and Chief Executive Officer.</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Amortization Expense</w:t>
      </w:r>
    </w:p>
    <w:p>
      <w:pPr>
        <w:spacing w:after="0" w:line="225" w:lineRule="exact"/>
        <w:rPr>
          <w:sz w:val="20"/>
          <w:szCs w:val="20"/>
          <w:color w:val="auto"/>
        </w:rPr>
      </w:pPr>
    </w:p>
    <w:p>
      <w:pPr>
        <w:ind w:right="40" w:firstLine="348"/>
        <w:spacing w:after="0" w:line="268" w:lineRule="auto"/>
        <w:rPr>
          <w:sz w:val="20"/>
          <w:szCs w:val="20"/>
          <w:color w:val="auto"/>
        </w:rPr>
      </w:pPr>
      <w:r>
        <w:rPr>
          <w:rFonts w:ascii="Arial" w:cs="Arial" w:eastAsia="Arial" w:hAnsi="Arial"/>
          <w:sz w:val="18"/>
          <w:szCs w:val="18"/>
          <w:color w:val="auto"/>
        </w:rPr>
        <w:t>The $0.6 million increase in amortization expenses for the year ended December 31, 2009 was primarily due to intangible assets acquired in connection with the CuraGen Merger.</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Investment and Other Income, Net</w:t>
      </w:r>
    </w:p>
    <w:p>
      <w:pPr>
        <w:spacing w:after="0" w:line="225" w:lineRule="exact"/>
        <w:rPr>
          <w:sz w:val="20"/>
          <w:szCs w:val="20"/>
          <w:color w:val="auto"/>
        </w:rPr>
      </w:pPr>
    </w:p>
    <w:p>
      <w:pPr>
        <w:ind w:right="400" w:firstLine="348"/>
        <w:spacing w:after="0" w:line="259" w:lineRule="auto"/>
        <w:rPr>
          <w:sz w:val="20"/>
          <w:szCs w:val="20"/>
          <w:color w:val="auto"/>
        </w:rPr>
      </w:pPr>
      <w:r>
        <w:rPr>
          <w:rFonts w:ascii="Arial" w:cs="Arial" w:eastAsia="Arial" w:hAnsi="Arial"/>
          <w:sz w:val="18"/>
          <w:szCs w:val="18"/>
          <w:color w:val="auto"/>
        </w:rPr>
        <w:t>The $1.2 million decrease in investment and other income, net for the year ended December 31, 2009 was primarily due to other income of $0.9 million recorded for the year ended December 31, 2008 related to the $10 million milestone payment we received from PRF in connection with the U.S. launch of Rotarix®.</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Interest Expense</w:t>
      </w:r>
    </w:p>
    <w:p>
      <w:pPr>
        <w:spacing w:after="0" w:line="225" w:lineRule="exact"/>
        <w:rPr>
          <w:sz w:val="20"/>
          <w:szCs w:val="20"/>
          <w:color w:val="auto"/>
        </w:rPr>
      </w:pPr>
    </w:p>
    <w:p>
      <w:pPr>
        <w:ind w:right="120" w:firstLine="348"/>
        <w:spacing w:after="0" w:line="268" w:lineRule="auto"/>
        <w:rPr>
          <w:sz w:val="20"/>
          <w:szCs w:val="20"/>
          <w:color w:val="auto"/>
        </w:rPr>
      </w:pPr>
      <w:r>
        <w:rPr>
          <w:rFonts w:ascii="Arial" w:cs="Arial" w:eastAsia="Arial" w:hAnsi="Arial"/>
          <w:sz w:val="18"/>
          <w:szCs w:val="18"/>
          <w:color w:val="auto"/>
        </w:rPr>
        <w:t>The $0.3 million increase in interest expense for the year ended December 31, 2009 was primarily due to the CuraGen Debt we assumed in connection with the CuraGen Merger.</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Income Tax Benefit</w:t>
      </w:r>
    </w:p>
    <w:p>
      <w:pPr>
        <w:spacing w:after="0" w:line="225" w:lineRule="exact"/>
        <w:rPr>
          <w:sz w:val="20"/>
          <w:szCs w:val="20"/>
          <w:color w:val="auto"/>
        </w:rPr>
      </w:pPr>
    </w:p>
    <w:p>
      <w:pPr>
        <w:ind w:right="380" w:firstLine="348"/>
        <w:spacing w:after="0" w:line="268" w:lineRule="auto"/>
        <w:rPr>
          <w:sz w:val="20"/>
          <w:szCs w:val="20"/>
          <w:color w:val="auto"/>
        </w:rPr>
      </w:pPr>
      <w:r>
        <w:rPr>
          <w:rFonts w:ascii="Arial" w:cs="Arial" w:eastAsia="Arial" w:hAnsi="Arial"/>
          <w:sz w:val="18"/>
          <w:szCs w:val="18"/>
          <w:color w:val="auto"/>
        </w:rPr>
        <w:t>The $0.5 million increase in income tax benefit for the year ended December 31, 2009 was due to non-cash tax consequences as a result of the CuraGen Merger.</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231" w:lineRule="exact"/>
        <w:rPr>
          <w:sz w:val="20"/>
          <w:szCs w:val="20"/>
          <w:color w:val="auto"/>
        </w:rPr>
      </w:pPr>
    </w:p>
    <w:p>
      <w:pPr>
        <w:ind w:firstLine="341"/>
        <w:spacing w:after="0" w:line="289" w:lineRule="auto"/>
        <w:rPr>
          <w:sz w:val="20"/>
          <w:szCs w:val="20"/>
          <w:color w:val="auto"/>
        </w:rPr>
      </w:pPr>
      <w:r>
        <w:rPr>
          <w:rFonts w:ascii="Arial" w:cs="Arial" w:eastAsia="Arial" w:hAnsi="Arial"/>
          <w:sz w:val="16"/>
          <w:szCs w:val="16"/>
          <w:color w:val="auto"/>
        </w:rPr>
        <w:t>At December 31, 2010, our principal sources of liquidity consisted of cash, cash equivalents and marketable securities of $61.1 million. Our working capital at December 31, 2010 was $42.7 million. At December 31, 2010, we had 4% convertible subordinated debt of $12.5 million which matured and was paid to the debt holders in February 2011. At December 31, 2010, our Term Loan balance was $10.0 million. In March 2011, we amended the Loan Agreement and borrowed an additional $5 million from GECC to increase the amount owed under the Term Loan to $15 million. All amounts borrowed under the Term Loan mature in December 2013. We incurred a loss of $2.5 million for the year ended December 31, 2010. Net cash used in operations for the year ended December 31, 2010 was $30.4 million. We believe that the cash, cash equivalents and marketable securities at December 31, 2010 in addition to the cash inflows from interest income on invested funds and our ability to control certain costs, including those related to clinical trials, manufacturing and preclinical activities, will be sufficient to meet estimated working capital requirements and fund planned operations for at least the next twelve months.</w:t>
      </w:r>
    </w:p>
    <w:p>
      <w:pPr>
        <w:spacing w:after="0" w:line="172" w:lineRule="exact"/>
        <w:rPr>
          <w:sz w:val="20"/>
          <w:szCs w:val="20"/>
          <w:color w:val="auto"/>
        </w:rPr>
      </w:pPr>
    </w:p>
    <w:p>
      <w:pPr>
        <w:ind w:right="160" w:firstLine="351"/>
        <w:spacing w:after="0" w:line="294" w:lineRule="auto"/>
        <w:rPr>
          <w:sz w:val="20"/>
          <w:szCs w:val="20"/>
          <w:color w:val="auto"/>
        </w:rPr>
      </w:pPr>
      <w:r>
        <w:rPr>
          <w:rFonts w:ascii="Arial" w:cs="Arial" w:eastAsia="Arial" w:hAnsi="Arial"/>
          <w:sz w:val="16"/>
          <w:szCs w:val="16"/>
          <w:color w:val="auto"/>
        </w:rPr>
        <w:t>Our cash equivalents are highly liquid investments with a maturity of three months or less at the date of purchase and consist primarily of investments in money market mutual funds with commercial banks and financial institutions. We maintain cash balances with financial institutions in excess of insured limits. We do not anticipate any losses with respect to such cash balances. We invest our excess cash balances in marketable securities including municipal bond securities, U.S. government agency securities, and high-grade corporate bonds that meet high credit quality standards, as specified in our investment policy. Our investment policy seeks to manage these assets to achieve our goals of preserving principal and maintaining adequate liquidity.</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63" w:name="page64"/>
    <w:bookmarkEnd w:id="63"/>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40" w:firstLine="348"/>
        <w:spacing w:after="0" w:line="294" w:lineRule="auto"/>
        <w:rPr>
          <w:sz w:val="20"/>
          <w:szCs w:val="20"/>
          <w:color w:val="auto"/>
        </w:rPr>
      </w:pPr>
      <w:r>
        <w:rPr>
          <w:rFonts w:ascii="Arial" w:cs="Arial" w:eastAsia="Arial" w:hAnsi="Arial"/>
          <w:sz w:val="16"/>
          <w:szCs w:val="16"/>
          <w:color w:val="auto"/>
        </w:rPr>
        <w:t>The use of our cash flows for operations has primarily consisted of salaries and wages for our employees, facility and facility-related costs for our offices, laboratories and manufacturing facility, fees paid in connection with preclinical studies, clinical studies, contract manufacturing, laboratory supplies and services, consulting, legal and other professional fees. To date, the primary sources of cash flows from operations have been payments received from our collaborative partners and from government entities. The timing of any new collaboration agreements, government contracts or grants and any payments under these agreements, contracts or grants cannot be easily predicted and may vary significantly from quarter to quarter.</w:t>
      </w:r>
    </w:p>
    <w:p>
      <w:pPr>
        <w:spacing w:after="0" w:line="170" w:lineRule="exact"/>
        <w:rPr>
          <w:sz w:val="20"/>
          <w:szCs w:val="20"/>
          <w:color w:val="auto"/>
        </w:rPr>
      </w:pPr>
    </w:p>
    <w:p>
      <w:pPr>
        <w:ind w:firstLine="351"/>
        <w:spacing w:after="0" w:line="288" w:lineRule="auto"/>
        <w:rPr>
          <w:sz w:val="20"/>
          <w:szCs w:val="20"/>
          <w:color w:val="auto"/>
        </w:rPr>
      </w:pPr>
      <w:r>
        <w:rPr>
          <w:rFonts w:ascii="Arial" w:cs="Arial" w:eastAsia="Arial" w:hAnsi="Arial"/>
          <w:sz w:val="16"/>
          <w:szCs w:val="16"/>
          <w:color w:val="auto"/>
        </w:rPr>
        <w:t>During the next twelve, we will take further steps to raise additional capital to meet our long-term liquidity needs including, but not limited to, the licensing of technology programs with existing or new collaborative partners, possible business combinations, issuance of debt, or the issuance of common stock or other securities via private placements or public offerings. While we may continue to seek capital through a number of means, there can be no assurance that additional financing will be available on acceptable terms, if at all, and our negotiating position in capital-raising efforts may worsen as existing resources are used. There is also no assurance that we will be able to enter into further collaborative relationships. Additional equity financing may be dilutive to our stockholders; debt financing, if available, may involve significant cash payment obligations and covenants that restrict our ability to operate as a business; and licensing or strategic collaborations may result in royalties or other terms which reduce our economic potential from products under development. If we are unable to raise the funds necessary to meet our long-term liquidity needs, we may have to delay or discontinue the development of one or more programs, license out programs earlier than expected, raise funds at significant discount or on other unfavorable terms, or sell all or part of us.</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Operating Activities</w:t>
      </w:r>
    </w:p>
    <w:p>
      <w:pPr>
        <w:spacing w:after="0" w:line="225" w:lineRule="exact"/>
        <w:rPr>
          <w:sz w:val="20"/>
          <w:szCs w:val="20"/>
          <w:color w:val="auto"/>
        </w:rPr>
      </w:pPr>
    </w:p>
    <w:p>
      <w:pPr>
        <w:ind w:right="20" w:firstLine="351"/>
        <w:spacing w:after="0" w:line="294" w:lineRule="auto"/>
        <w:rPr>
          <w:sz w:val="20"/>
          <w:szCs w:val="20"/>
          <w:color w:val="auto"/>
        </w:rPr>
      </w:pPr>
      <w:r>
        <w:rPr>
          <w:rFonts w:ascii="Arial" w:cs="Arial" w:eastAsia="Arial" w:hAnsi="Arial"/>
          <w:sz w:val="16"/>
          <w:szCs w:val="16"/>
          <w:color w:val="auto"/>
        </w:rPr>
        <w:t>Net cash used in operating activities was $30.4 million for the year ended December 31, 2010 compared to $29.9 million for the year ended December 31, 2009. The increase in net cash used in operating activities was primarily due to a decrease of $1.9 million in other long-term liabilities for the year ended December 31, 2010 as compared to an increase of $2.7 million for the year ended December 31, 2009, partially offset by a decrease of $1.2 million in accounts payable and accrued expenses for the year ended December 31, 2010 as compared to a decrease of $2.5 million for the year ended December 31, 2009. We expect that cash used in operating activities will increase over the next twelve months primarily related to costs incurred on our rindopepimut program.</w:t>
      </w:r>
    </w:p>
    <w:p>
      <w:pPr>
        <w:spacing w:after="0" w:line="170" w:lineRule="exact"/>
        <w:rPr>
          <w:sz w:val="20"/>
          <w:szCs w:val="20"/>
          <w:color w:val="auto"/>
        </w:rPr>
      </w:pPr>
    </w:p>
    <w:p>
      <w:pPr>
        <w:ind w:right="60" w:firstLine="348"/>
        <w:spacing w:after="0" w:line="256" w:lineRule="auto"/>
        <w:rPr>
          <w:sz w:val="20"/>
          <w:szCs w:val="20"/>
          <w:color w:val="auto"/>
        </w:rPr>
      </w:pPr>
      <w:r>
        <w:rPr>
          <w:rFonts w:ascii="Arial" w:cs="Arial" w:eastAsia="Arial" w:hAnsi="Arial"/>
          <w:sz w:val="18"/>
          <w:szCs w:val="18"/>
          <w:color w:val="auto"/>
        </w:rPr>
        <w:t>We have incurred and will continue to incur significant costs in the area of research and development, including preclinical and clinical trials, as our product candidates are developed. We plan to spend significant amounts to progress our current product candidates through the clinical trial and commercialization process as well as to develop additional product candidates. As our product candidates progress through the clinical trial process, we may be obligated to make significant milestone payments.</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Investing Activities</w:t>
      </w:r>
    </w:p>
    <w:p>
      <w:pPr>
        <w:spacing w:after="0" w:line="225" w:lineRule="exact"/>
        <w:rPr>
          <w:sz w:val="20"/>
          <w:szCs w:val="20"/>
          <w:color w:val="auto"/>
        </w:rPr>
      </w:pPr>
    </w:p>
    <w:p>
      <w:pPr>
        <w:ind w:right="180" w:firstLine="351"/>
        <w:spacing w:after="0" w:line="291" w:lineRule="auto"/>
        <w:rPr>
          <w:sz w:val="20"/>
          <w:szCs w:val="20"/>
          <w:color w:val="auto"/>
        </w:rPr>
      </w:pPr>
      <w:r>
        <w:rPr>
          <w:rFonts w:ascii="Arial" w:cs="Arial" w:eastAsia="Arial" w:hAnsi="Arial"/>
          <w:sz w:val="16"/>
          <w:szCs w:val="16"/>
          <w:color w:val="auto"/>
        </w:rPr>
        <w:t>Net cash used in investing activities was $16.2 million for the year ended December 31, 2010 compared to net cash provided by investing activities of $45.1 million for the year ended December 31, 2009. The increase in net cash used in investing activities was primarily due to net purchases of marketable securities for the year ended December 31, 2010 of $14.1 million as compared to $6.9 million for the year ended December 31, 2009 and the $51.7 million in cash acquired in 2009 as a result of the CuraGen Merger. We expect that cash provided by investing activities will increase over the next twelve months as we fund our operations through the net proceeds from the sale and maturity of marketable securities, cash provided by financing activities and/or new partnerships, although there may be significant fluctuations on a quarterly basis.</w:t>
      </w:r>
    </w:p>
    <w:p>
      <w:pPr>
        <w:spacing w:after="0" w:line="17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64" w:name="page65"/>
    <w:bookmarkEnd w:id="64"/>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Financing Activities</w:t>
      </w:r>
    </w:p>
    <w:p>
      <w:pPr>
        <w:spacing w:after="0" w:line="225" w:lineRule="exact"/>
        <w:rPr>
          <w:sz w:val="20"/>
          <w:szCs w:val="20"/>
          <w:color w:val="auto"/>
        </w:rPr>
      </w:pPr>
    </w:p>
    <w:p>
      <w:pPr>
        <w:ind w:left="360"/>
        <w:spacing w:after="0"/>
        <w:rPr>
          <w:sz w:val="20"/>
          <w:szCs w:val="20"/>
          <w:color w:val="auto"/>
        </w:rPr>
      </w:pPr>
      <w:r>
        <w:rPr>
          <w:rFonts w:ascii="Arial" w:cs="Arial" w:eastAsia="Arial" w:hAnsi="Arial"/>
          <w:sz w:val="16"/>
          <w:szCs w:val="16"/>
          <w:color w:val="auto"/>
        </w:rPr>
        <w:t>Net cash provided by financing activities was $10.8 million for the year ended December 31, 2010 compared to net cash used in financing activities of</w:t>
      </w:r>
    </w:p>
    <w:p>
      <w:pPr>
        <w:spacing w:after="0" w:line="38" w:lineRule="exact"/>
        <w:rPr>
          <w:sz w:val="20"/>
          <w:szCs w:val="20"/>
          <w:color w:val="auto"/>
        </w:rPr>
      </w:pPr>
    </w:p>
    <w:p>
      <w:pPr>
        <w:spacing w:after="0"/>
        <w:rPr>
          <w:sz w:val="20"/>
          <w:szCs w:val="20"/>
          <w:color w:val="auto"/>
        </w:rPr>
      </w:pPr>
      <w:r>
        <w:rPr>
          <w:rFonts w:ascii="Arial" w:cs="Arial" w:eastAsia="Arial" w:hAnsi="Arial"/>
          <w:sz w:val="16"/>
          <w:szCs w:val="16"/>
          <w:color w:val="auto"/>
        </w:rPr>
        <w:t>$2.5 million for the year ended December 31, 2009. The increase in net cash provided by financing activities was primarily due to the $10.0 million Term Loan</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entered into with MidCap in December 2010.</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Equity Offering</w:t>
      </w:r>
    </w:p>
    <w:p>
      <w:pPr>
        <w:spacing w:after="0" w:line="225" w:lineRule="exact"/>
        <w:rPr>
          <w:sz w:val="20"/>
          <w:szCs w:val="20"/>
          <w:color w:val="auto"/>
        </w:rPr>
      </w:pPr>
    </w:p>
    <w:p>
      <w:pPr>
        <w:ind w:firstLine="351"/>
        <w:spacing w:after="0" w:line="259" w:lineRule="auto"/>
        <w:rPr>
          <w:sz w:val="20"/>
          <w:szCs w:val="20"/>
          <w:color w:val="auto"/>
        </w:rPr>
      </w:pPr>
      <w:r>
        <w:rPr>
          <w:rFonts w:ascii="Arial" w:cs="Arial" w:eastAsia="Arial" w:hAnsi="Arial"/>
          <w:sz w:val="18"/>
          <w:szCs w:val="18"/>
          <w:color w:val="auto"/>
        </w:rPr>
        <w:t>In April 2010, we filed a shelf registration statement with the Securities and Exchange Commission to register for sale any combination of the types of securities described in the filing up to a dollar amount of $150 million. The shelf registration went effective on April 22, 2010. No securities have been sold by us from this shelf registration.</w:t>
      </w:r>
    </w:p>
    <w:p>
      <w:pPr>
        <w:spacing w:after="0" w:line="194" w:lineRule="exact"/>
        <w:rPr>
          <w:sz w:val="20"/>
          <w:szCs w:val="20"/>
          <w:color w:val="auto"/>
        </w:rPr>
      </w:pPr>
    </w:p>
    <w:p>
      <w:pPr>
        <w:ind w:right="20" w:firstLine="351"/>
        <w:spacing w:after="0" w:line="298" w:lineRule="auto"/>
        <w:rPr>
          <w:sz w:val="20"/>
          <w:szCs w:val="20"/>
          <w:color w:val="auto"/>
        </w:rPr>
      </w:pPr>
      <w:r>
        <w:rPr>
          <w:rFonts w:ascii="Arial" w:cs="Arial" w:eastAsia="Arial" w:hAnsi="Arial"/>
          <w:sz w:val="16"/>
          <w:szCs w:val="16"/>
          <w:color w:val="auto"/>
        </w:rPr>
        <w:t>On January 6, 2011, we entered into a controlled equity offering sales agreement (the "Cantor Agreement") with Cantor Fitzgerald &amp; Co. ("Cantor") pursuant to which we may issue and sell up to 5,000,000 shares of our common stock from time to time through Cantor, acting as agent. We agreed to pay Cantor a commission up to 5% of the gross proceeds from each sale and to reimburse Cantor for certain expenses incurred in connection with entering into the Cantor Agreement. As of March 2, 2011, we had not sold any shares of common stock under the Cantor Agreement.</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CuraGen Debt</w:t>
      </w:r>
    </w:p>
    <w:p>
      <w:pPr>
        <w:spacing w:after="0" w:line="225" w:lineRule="exact"/>
        <w:rPr>
          <w:sz w:val="20"/>
          <w:szCs w:val="20"/>
          <w:color w:val="auto"/>
        </w:rPr>
      </w:pPr>
    </w:p>
    <w:p>
      <w:pPr>
        <w:ind w:right="160" w:firstLine="351"/>
        <w:spacing w:after="0" w:line="332" w:lineRule="auto"/>
        <w:rPr>
          <w:sz w:val="20"/>
          <w:szCs w:val="20"/>
          <w:color w:val="auto"/>
        </w:rPr>
      </w:pPr>
      <w:r>
        <w:rPr>
          <w:rFonts w:ascii="Arial" w:cs="Arial" w:eastAsia="Arial" w:hAnsi="Arial"/>
          <w:sz w:val="16"/>
          <w:szCs w:val="16"/>
          <w:color w:val="auto"/>
        </w:rPr>
        <w:t>In connection with the CuraGen Merger, we assumed CuraGen's obligations under the $12.5 million in 4% convertible subordinated debt due February 15, 2011 (the "CuraGen Debt"). In February 2011, we paid $12.8 million to satisfy all outstanding principal and accrued interest related to the CuraGen Debt.</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Term Loan</w:t>
      </w:r>
    </w:p>
    <w:p>
      <w:pPr>
        <w:spacing w:after="0" w:line="225" w:lineRule="exact"/>
        <w:rPr>
          <w:sz w:val="20"/>
          <w:szCs w:val="20"/>
          <w:color w:val="auto"/>
        </w:rPr>
      </w:pPr>
    </w:p>
    <w:p>
      <w:pPr>
        <w:ind w:right="80" w:firstLine="351"/>
        <w:spacing w:after="0" w:line="283" w:lineRule="auto"/>
        <w:rPr>
          <w:sz w:val="20"/>
          <w:szCs w:val="20"/>
          <w:color w:val="auto"/>
        </w:rPr>
      </w:pPr>
      <w:r>
        <w:rPr>
          <w:rFonts w:ascii="Arial" w:cs="Arial" w:eastAsia="Arial" w:hAnsi="Arial"/>
          <w:sz w:val="16"/>
          <w:szCs w:val="16"/>
          <w:color w:val="auto"/>
        </w:rPr>
        <w:t>On December 30, 2010, we entered into a Loan and Security Agreement (the "Loan Agreement") with MidCap Financial, LLC ("MidCap") pursuant to which we borrowed $10 million (the "Term Loan") from MidCap. In March 2011, we amended the Loan Agreement and borrowed an additional $5 million from GECC to increase the amount owed under the Term Loan to $15 million. No additional advances are available under the Loan Agreement. The Term Loan accrues interest at a fixed annual interest rate equal to the greater of (i) the sum of (A) the LIBOR Rate (as defined in the Loan Agreement) plus (B) 6.25%; or</w:t>
      </w:r>
    </w:p>
    <w:p>
      <w:pPr>
        <w:spacing w:after="0" w:line="3" w:lineRule="exact"/>
        <w:rPr>
          <w:sz w:val="20"/>
          <w:szCs w:val="20"/>
          <w:color w:val="auto"/>
        </w:rPr>
      </w:pPr>
    </w:p>
    <w:p>
      <w:pPr>
        <w:ind w:firstLine="8"/>
        <w:spacing w:after="0" w:line="254" w:lineRule="auto"/>
        <w:tabs>
          <w:tab w:leader="none" w:pos="258" w:val="left"/>
        </w:tabs>
        <w:numPr>
          <w:ilvl w:val="0"/>
          <w:numId w:val="25"/>
        </w:numPr>
        <w:rPr>
          <w:rFonts w:ascii="Arial" w:cs="Arial" w:eastAsia="Arial" w:hAnsi="Arial"/>
          <w:sz w:val="18"/>
          <w:szCs w:val="18"/>
          <w:color w:val="auto"/>
        </w:rPr>
      </w:pPr>
      <w:r>
        <w:rPr>
          <w:rFonts w:ascii="Arial" w:cs="Arial" w:eastAsia="Arial" w:hAnsi="Arial"/>
          <w:sz w:val="18"/>
          <w:szCs w:val="18"/>
          <w:color w:val="auto"/>
        </w:rPr>
        <w:t>a minimum rate of 9.50%. We must make monthly interest payments commencing on February 1, 2011 and must repay the principal amount of the Term Loan in 27 equal consecutive monthly installments commencing on October 1, 2011. Notwithstanding the foregoing, all unpaid principal and accrued interest with respect to the Term Loan is due and payable on the earlier of (A) December 30, 2013 or (B) the date that the Term Loan otherwise becomes due and payable under the terms of the Loan Agreement.</w:t>
      </w:r>
    </w:p>
    <w:p>
      <w:pPr>
        <w:spacing w:after="0" w:line="198" w:lineRule="exact"/>
        <w:rPr>
          <w:sz w:val="20"/>
          <w:szCs w:val="20"/>
          <w:color w:val="auto"/>
        </w:rPr>
      </w:pPr>
    </w:p>
    <w:p>
      <w:pPr>
        <w:jc w:val="both"/>
        <w:ind w:right="120" w:firstLine="351"/>
        <w:spacing w:after="0" w:line="259" w:lineRule="auto"/>
        <w:rPr>
          <w:sz w:val="20"/>
          <w:szCs w:val="20"/>
          <w:color w:val="auto"/>
        </w:rPr>
      </w:pPr>
      <w:r>
        <w:rPr>
          <w:rFonts w:ascii="Arial" w:cs="Arial" w:eastAsia="Arial" w:hAnsi="Arial"/>
          <w:sz w:val="18"/>
          <w:szCs w:val="18"/>
          <w:color w:val="auto"/>
        </w:rPr>
        <w:t>Upon repayment of the Term Loan in full, we are also obligated to make a final payment fee of $0.5 million ("Final Payment"). We may prepay all, but not less than all, of the Term Loan subject to a prepayment premium of 1% in year three, 2% in year two, and 4% in year one of the original principal amount of the Term Loan.</w:t>
      </w:r>
    </w:p>
    <w:p>
      <w:pPr>
        <w:spacing w:after="0" w:line="194" w:lineRule="exact"/>
        <w:rPr>
          <w:sz w:val="20"/>
          <w:szCs w:val="20"/>
          <w:color w:val="auto"/>
        </w:rPr>
      </w:pPr>
    </w:p>
    <w:p>
      <w:pPr>
        <w:ind w:right="40" w:firstLine="351"/>
        <w:spacing w:after="0" w:line="298" w:lineRule="auto"/>
        <w:rPr>
          <w:sz w:val="20"/>
          <w:szCs w:val="20"/>
          <w:color w:val="auto"/>
        </w:rPr>
      </w:pPr>
      <w:r>
        <w:rPr>
          <w:rFonts w:ascii="Arial" w:cs="Arial" w:eastAsia="Arial" w:hAnsi="Arial"/>
          <w:sz w:val="16"/>
          <w:szCs w:val="16"/>
          <w:color w:val="auto"/>
        </w:rPr>
        <w:t>Our obligations under the Loan Agreement are secured by a first priority lien upon and security interest in substantially all of our existing and after-acquired assets, excluding our intellectual property assets. Under the Loan Agreement, we are subject to specified affirmative and negative covenants customary for financings of this type. The Loan Agreement provides that, upon the occurrence of certain specified events of default customary for financings of this type, our obligations under the Loan Agreement may be automatically accelerated, whereupon our obligations under the Loan Agreement</w:t>
      </w:r>
    </w:p>
    <w:p>
      <w:pPr>
        <w:spacing w:after="0" w:line="16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131" w:right="279" w:bottom="1440" w:gutter="0" w:footer="0" w:header="0"/>
        </w:sectPr>
      </w:pPr>
    </w:p>
    <w:bookmarkStart w:id="65" w:name="page66"/>
    <w:bookmarkEnd w:id="65"/>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spacing w:after="0"/>
        <w:rPr>
          <w:sz w:val="20"/>
          <w:szCs w:val="20"/>
          <w:color w:val="auto"/>
        </w:rPr>
      </w:pPr>
      <w:r>
        <w:rPr>
          <w:rFonts w:ascii="Arial" w:cs="Arial" w:eastAsia="Arial" w:hAnsi="Arial"/>
          <w:sz w:val="18"/>
          <w:szCs w:val="18"/>
          <w:color w:val="auto"/>
        </w:rPr>
        <w:t>shall be immediately due and payable. At December 31, 2010, we believe we are in compliance with the Loan Agreement.</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AGGREGATE CONTRACTUAL OBLIGATIONS</w:t>
      </w:r>
    </w:p>
    <w:p>
      <w:pPr>
        <w:spacing w:after="0" w:line="231" w:lineRule="exact"/>
        <w:rPr>
          <w:sz w:val="20"/>
          <w:szCs w:val="20"/>
          <w:color w:val="auto"/>
        </w:rPr>
      </w:pPr>
    </w:p>
    <w:p>
      <w:pPr>
        <w:ind w:right="80" w:firstLine="348"/>
        <w:spacing w:after="0" w:line="294" w:lineRule="auto"/>
        <w:rPr>
          <w:sz w:val="20"/>
          <w:szCs w:val="20"/>
          <w:color w:val="auto"/>
        </w:rPr>
      </w:pPr>
      <w:r>
        <w:rPr>
          <w:rFonts w:ascii="Arial" w:cs="Arial" w:eastAsia="Arial" w:hAnsi="Arial"/>
          <w:sz w:val="16"/>
          <w:szCs w:val="16"/>
          <w:color w:val="auto"/>
        </w:rPr>
        <w:t>We have entered into license agreements whereby we have received licenses or options to license technology, specified patents and/or patent applications. These license and collaboration agreements generally provide for royalty payments equal to specified percentages of product sales, annual license maintenance fees, continuing patent prosecution costs and potential future milestone payments to third parties upon the achievement of certain development, regulatory and/or commercial milestones. Because the achievement of these milestones had not occurred as of December 31, 2010, such contingencies have not been recorded in our financial statements. We expect to incur approximately $1.9 million of milestone payments in 2011.</w:t>
      </w:r>
    </w:p>
    <w:p>
      <w:pPr>
        <w:spacing w:after="0" w:line="170" w:lineRule="exact"/>
        <w:rPr>
          <w:sz w:val="20"/>
          <w:szCs w:val="20"/>
          <w:color w:val="auto"/>
        </w:rPr>
      </w:pPr>
    </w:p>
    <w:p>
      <w:pPr>
        <w:ind w:right="140" w:firstLine="348"/>
        <w:spacing w:after="0" w:line="306" w:lineRule="auto"/>
        <w:rPr>
          <w:sz w:val="20"/>
          <w:szCs w:val="20"/>
          <w:color w:val="auto"/>
        </w:rPr>
      </w:pPr>
      <w:r>
        <w:rPr>
          <w:rFonts w:ascii="Arial" w:cs="Arial" w:eastAsia="Arial" w:hAnsi="Arial"/>
          <w:sz w:val="16"/>
          <w:szCs w:val="16"/>
          <w:color w:val="auto"/>
        </w:rPr>
        <w:t>The following table summarizes our contractual obligations (not including contingent royalty and milestone payments as described above) at December 31, 2010 and the effect such obligations and commercial commitments are expected to have on our liquidity and cash flow in future years. These obligations, commitments and supporting arrangements represent expected payments based on current operating forecasts, which are subject to change:</w:t>
      </w:r>
    </w:p>
    <w:p>
      <w:pPr>
        <w:spacing w:after="0" w:line="21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160" w:type="dxa"/>
            <w:vAlign w:val="bottom"/>
          </w:tcPr>
          <w:p>
            <w:pPr>
              <w:spacing w:after="0"/>
              <w:rPr>
                <w:sz w:val="14"/>
                <w:szCs w:val="14"/>
                <w:color w:val="auto"/>
              </w:rPr>
            </w:pPr>
          </w:p>
        </w:tc>
        <w:tc>
          <w:tcPr>
            <w:tcW w:w="1840" w:type="dxa"/>
            <w:vAlign w:val="bottom"/>
          </w:tcPr>
          <w:p>
            <w:pPr>
              <w:spacing w:after="0"/>
              <w:rPr>
                <w:sz w:val="14"/>
                <w:szCs w:val="14"/>
                <w:color w:val="auto"/>
              </w:rPr>
            </w:pPr>
          </w:p>
        </w:tc>
        <w:tc>
          <w:tcPr>
            <w:tcW w:w="16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60" w:type="dxa"/>
            <w:vAlign w:val="bottom"/>
          </w:tcPr>
          <w:p>
            <w:pPr>
              <w:jc w:val="right"/>
              <w:ind w:right="115"/>
              <w:spacing w:after="0"/>
              <w:rPr>
                <w:sz w:val="20"/>
                <w:szCs w:val="20"/>
                <w:color w:val="auto"/>
              </w:rPr>
            </w:pPr>
            <w:r>
              <w:rPr>
                <w:rFonts w:ascii="Arial" w:cs="Arial" w:eastAsia="Arial" w:hAnsi="Arial"/>
                <w:sz w:val="14"/>
                <w:szCs w:val="14"/>
                <w:b w:val="1"/>
                <w:bCs w:val="1"/>
                <w:color w:val="auto"/>
              </w:rPr>
              <w:t>Total</w:t>
            </w:r>
          </w:p>
        </w:tc>
        <w:tc>
          <w:tcPr>
            <w:tcW w:w="1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60" w:type="dxa"/>
            <w:vAlign w:val="bottom"/>
          </w:tcPr>
          <w:p>
            <w:pPr>
              <w:jc w:val="right"/>
              <w:ind w:right="155"/>
              <w:spacing w:after="0"/>
              <w:rPr>
                <w:sz w:val="20"/>
                <w:szCs w:val="20"/>
                <w:color w:val="auto"/>
              </w:rPr>
            </w:pPr>
            <w:r>
              <w:rPr>
                <w:rFonts w:ascii="Arial" w:cs="Arial" w:eastAsia="Arial" w:hAnsi="Arial"/>
                <w:sz w:val="14"/>
                <w:szCs w:val="14"/>
                <w:b w:val="1"/>
                <w:bCs w:val="1"/>
                <w:color w:val="auto"/>
                <w:w w:val="96"/>
              </w:rPr>
              <w:t>2011</w:t>
            </w:r>
          </w:p>
        </w:tc>
        <w:tc>
          <w:tcPr>
            <w:tcW w:w="1000" w:type="dxa"/>
            <w:vAlign w:val="bottom"/>
            <w:gridSpan w:val="3"/>
          </w:tcPr>
          <w:p>
            <w:pPr>
              <w:jc w:val="right"/>
              <w:ind w:right="15"/>
              <w:spacing w:after="0"/>
              <w:rPr>
                <w:sz w:val="20"/>
                <w:szCs w:val="20"/>
                <w:color w:val="auto"/>
              </w:rPr>
            </w:pPr>
            <w:r>
              <w:rPr>
                <w:rFonts w:ascii="Arial" w:cs="Arial" w:eastAsia="Arial" w:hAnsi="Arial"/>
                <w:sz w:val="14"/>
                <w:szCs w:val="14"/>
                <w:b w:val="1"/>
                <w:bCs w:val="1"/>
                <w:color w:val="auto"/>
              </w:rPr>
              <w:t>2012 - 2013</w:t>
            </w:r>
          </w:p>
        </w:tc>
        <w:tc>
          <w:tcPr>
            <w:tcW w:w="120" w:type="dxa"/>
            <w:vAlign w:val="bottom"/>
          </w:tcPr>
          <w:p>
            <w:pPr>
              <w:spacing w:after="0"/>
              <w:rPr>
                <w:sz w:val="14"/>
                <w:szCs w:val="14"/>
                <w:color w:val="auto"/>
              </w:rPr>
            </w:pPr>
          </w:p>
        </w:tc>
        <w:tc>
          <w:tcPr>
            <w:tcW w:w="880" w:type="dxa"/>
            <w:vAlign w:val="bottom"/>
            <w:gridSpan w:val="3"/>
          </w:tcPr>
          <w:p>
            <w:pPr>
              <w:jc w:val="right"/>
              <w:ind w:right="12"/>
              <w:spacing w:after="0"/>
              <w:rPr>
                <w:sz w:val="20"/>
                <w:szCs w:val="20"/>
                <w:color w:val="auto"/>
              </w:rPr>
            </w:pPr>
            <w:r>
              <w:rPr>
                <w:rFonts w:ascii="Arial" w:cs="Arial" w:eastAsia="Arial" w:hAnsi="Arial"/>
                <w:sz w:val="14"/>
                <w:szCs w:val="14"/>
                <w:b w:val="1"/>
                <w:bCs w:val="1"/>
                <w:color w:val="auto"/>
              </w:rPr>
              <w:t>2014 - 2015</w:t>
            </w:r>
          </w:p>
        </w:tc>
        <w:tc>
          <w:tcPr>
            <w:tcW w:w="160" w:type="dxa"/>
            <w:vAlign w:val="bottom"/>
          </w:tcPr>
          <w:p>
            <w:pPr>
              <w:spacing w:after="0"/>
              <w:rPr>
                <w:sz w:val="14"/>
                <w:szCs w:val="14"/>
                <w:color w:val="auto"/>
              </w:rPr>
            </w:pPr>
          </w:p>
        </w:tc>
        <w:tc>
          <w:tcPr>
            <w:tcW w:w="920" w:type="dxa"/>
            <w:vAlign w:val="bottom"/>
            <w:gridSpan w:val="3"/>
          </w:tcPr>
          <w:p>
            <w:pPr>
              <w:ind w:left="60"/>
              <w:spacing w:after="0"/>
              <w:rPr>
                <w:sz w:val="20"/>
                <w:szCs w:val="20"/>
                <w:color w:val="auto"/>
              </w:rPr>
            </w:pPr>
            <w:r>
              <w:rPr>
                <w:rFonts w:ascii="Arial" w:cs="Arial" w:eastAsia="Arial" w:hAnsi="Arial"/>
                <w:sz w:val="14"/>
                <w:szCs w:val="14"/>
                <w:b w:val="1"/>
                <w:bCs w:val="1"/>
                <w:color w:val="auto"/>
              </w:rPr>
              <w:t>Thereafter</w:t>
            </w:r>
          </w:p>
        </w:tc>
        <w:tc>
          <w:tcPr>
            <w:tcW w:w="0" w:type="dxa"/>
            <w:vAlign w:val="bottom"/>
          </w:tcPr>
          <w:p>
            <w:pPr>
              <w:spacing w:after="0"/>
              <w:rPr>
                <w:sz w:val="1"/>
                <w:szCs w:val="1"/>
                <w:color w:val="auto"/>
              </w:rPr>
            </w:pPr>
          </w:p>
        </w:tc>
      </w:tr>
      <w:tr>
        <w:trPr>
          <w:trHeight w:val="142"/>
        </w:trPr>
        <w:tc>
          <w:tcPr>
            <w:tcW w:w="1160" w:type="dxa"/>
            <w:vAlign w:val="bottom"/>
          </w:tcPr>
          <w:p>
            <w:pPr>
              <w:spacing w:after="0"/>
              <w:rPr>
                <w:sz w:val="12"/>
                <w:szCs w:val="12"/>
                <w:color w:val="auto"/>
              </w:rPr>
            </w:pPr>
          </w:p>
        </w:tc>
        <w:tc>
          <w:tcPr>
            <w:tcW w:w="1840" w:type="dxa"/>
            <w:vAlign w:val="bottom"/>
          </w:tcPr>
          <w:p>
            <w:pPr>
              <w:spacing w:after="0"/>
              <w:rPr>
                <w:sz w:val="12"/>
                <w:szCs w:val="12"/>
                <w:color w:val="auto"/>
              </w:rPr>
            </w:pPr>
          </w:p>
        </w:tc>
        <w:tc>
          <w:tcPr>
            <w:tcW w:w="162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560" w:type="dxa"/>
            <w:vAlign w:val="bottom"/>
            <w:tcBorders>
              <w:top w:val="single" w:sz="8" w:color="auto"/>
            </w:tcBorders>
          </w:tcPr>
          <w:p>
            <w:pPr>
              <w:spacing w:after="0"/>
              <w:rPr>
                <w:sz w:val="12"/>
                <w:szCs w:val="12"/>
                <w:color w:val="auto"/>
              </w:rPr>
            </w:pPr>
          </w:p>
        </w:tc>
        <w:tc>
          <w:tcPr>
            <w:tcW w:w="180" w:type="dxa"/>
            <w:vAlign w:val="bottom"/>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560" w:type="dxa"/>
            <w:vAlign w:val="bottom"/>
            <w:tcBorders>
              <w:top w:val="single" w:sz="8" w:color="auto"/>
            </w:tcBorders>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76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w w:val="76"/>
              </w:rPr>
              <w:t>(In thousands)</w:t>
            </w:r>
          </w:p>
        </w:tc>
        <w:tc>
          <w:tcPr>
            <w:tcW w:w="1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60" w:type="dxa"/>
            <w:vAlign w:val="bottom"/>
            <w:tcBorders>
              <w:top w:val="single" w:sz="8" w:color="auto"/>
            </w:tcBorders>
          </w:tcPr>
          <w:p>
            <w:pPr>
              <w:spacing w:after="0"/>
              <w:rPr>
                <w:sz w:val="12"/>
                <w:szCs w:val="12"/>
                <w:color w:val="auto"/>
              </w:rPr>
            </w:pPr>
          </w:p>
        </w:tc>
        <w:tc>
          <w:tcPr>
            <w:tcW w:w="580" w:type="dxa"/>
            <w:vAlign w:val="bottom"/>
            <w:tcBorders>
              <w:top w:val="single" w:sz="8" w:color="auto"/>
            </w:tcBorders>
          </w:tcPr>
          <w:p>
            <w:pPr>
              <w:spacing w:after="0"/>
              <w:rPr>
                <w:sz w:val="12"/>
                <w:szCs w:val="12"/>
                <w:color w:val="auto"/>
              </w:rPr>
            </w:pPr>
          </w:p>
        </w:tc>
        <w:tc>
          <w:tcPr>
            <w:tcW w:w="160" w:type="dxa"/>
            <w:vAlign w:val="bottom"/>
          </w:tcPr>
          <w:p>
            <w:pPr>
              <w:spacing w:after="0"/>
              <w:rPr>
                <w:sz w:val="12"/>
                <w:szCs w:val="12"/>
                <w:color w:val="auto"/>
              </w:rPr>
            </w:pPr>
          </w:p>
        </w:tc>
        <w:tc>
          <w:tcPr>
            <w:tcW w:w="220" w:type="dxa"/>
            <w:vAlign w:val="bottom"/>
            <w:tcBorders>
              <w:top w:val="single" w:sz="8" w:color="auto"/>
            </w:tcBorders>
          </w:tcPr>
          <w:p>
            <w:pPr>
              <w:spacing w:after="0"/>
              <w:rPr>
                <w:sz w:val="12"/>
                <w:szCs w:val="12"/>
                <w:color w:val="auto"/>
              </w:rPr>
            </w:pPr>
          </w:p>
        </w:tc>
        <w:tc>
          <w:tcPr>
            <w:tcW w:w="540" w:type="dxa"/>
            <w:vAlign w:val="bottom"/>
            <w:tcBorders>
              <w:top w:val="single" w:sz="8" w:color="auto"/>
            </w:tcBorders>
          </w:tcPr>
          <w:p>
            <w:pPr>
              <w:spacing w:after="0"/>
              <w:rPr>
                <w:sz w:val="12"/>
                <w:szCs w:val="12"/>
                <w:color w:val="auto"/>
              </w:rPr>
            </w:pP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34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Contractual obligations:</w:t>
            </w:r>
          </w:p>
        </w:tc>
        <w:tc>
          <w:tcPr>
            <w:tcW w:w="10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3460" w:type="dxa"/>
            <w:vAlign w:val="bottom"/>
            <w:gridSpan w:val="2"/>
          </w:tcPr>
          <w:p>
            <w:pPr>
              <w:ind w:left="120"/>
              <w:spacing w:after="0"/>
              <w:rPr>
                <w:sz w:val="20"/>
                <w:szCs w:val="20"/>
                <w:color w:val="auto"/>
              </w:rPr>
            </w:pPr>
            <w:r>
              <w:rPr>
                <w:rFonts w:ascii="Arial" w:cs="Arial" w:eastAsia="Arial" w:hAnsi="Arial"/>
                <w:sz w:val="18"/>
                <w:szCs w:val="18"/>
                <w:color w:val="auto"/>
              </w:rPr>
              <w:t>Operating lease obligations(1)</w:t>
            </w:r>
          </w:p>
        </w:tc>
        <w:tc>
          <w:tcPr>
            <w:tcW w:w="11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60" w:type="dxa"/>
            <w:vAlign w:val="bottom"/>
          </w:tcPr>
          <w:p>
            <w:pPr>
              <w:jc w:val="right"/>
              <w:spacing w:after="0"/>
              <w:rPr>
                <w:sz w:val="20"/>
                <w:szCs w:val="20"/>
                <w:color w:val="auto"/>
              </w:rPr>
            </w:pPr>
            <w:r>
              <w:rPr>
                <w:rFonts w:ascii="Arial" w:cs="Arial" w:eastAsia="Arial" w:hAnsi="Arial"/>
                <w:sz w:val="18"/>
                <w:szCs w:val="18"/>
                <w:color w:val="auto"/>
                <w:w w:val="98"/>
              </w:rPr>
              <w:t>17,671</w:t>
            </w:r>
          </w:p>
        </w:tc>
        <w:tc>
          <w:tcPr>
            <w:tcW w:w="3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60" w:type="dxa"/>
            <w:vAlign w:val="bottom"/>
          </w:tcPr>
          <w:p>
            <w:pPr>
              <w:jc w:val="right"/>
              <w:spacing w:after="0"/>
              <w:rPr>
                <w:sz w:val="20"/>
                <w:szCs w:val="20"/>
                <w:color w:val="auto"/>
              </w:rPr>
            </w:pPr>
            <w:r>
              <w:rPr>
                <w:rFonts w:ascii="Arial" w:cs="Arial" w:eastAsia="Arial" w:hAnsi="Arial"/>
                <w:sz w:val="18"/>
                <w:szCs w:val="18"/>
                <w:color w:val="auto"/>
              </w:rPr>
              <w:t>2,470</w:t>
            </w: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5,428</w:t>
            </w:r>
          </w:p>
        </w:tc>
        <w:tc>
          <w:tcPr>
            <w:tcW w:w="120" w:type="dxa"/>
            <w:vAlign w:val="bottom"/>
          </w:tcPr>
          <w:p>
            <w:pPr>
              <w:spacing w:after="0"/>
              <w:rPr>
                <w:sz w:val="18"/>
                <w:szCs w:val="18"/>
                <w:color w:val="auto"/>
              </w:rPr>
            </w:pPr>
          </w:p>
        </w:tc>
        <w:tc>
          <w:tcPr>
            <w:tcW w:w="300" w:type="dxa"/>
            <w:vAlign w:val="bottom"/>
            <w:gridSpan w:val="2"/>
          </w:tcPr>
          <w:p>
            <w:pPr>
              <w:jc w:val="right"/>
              <w:ind w:right="103"/>
              <w:spacing w:after="0"/>
              <w:rPr>
                <w:sz w:val="20"/>
                <w:szCs w:val="20"/>
                <w:color w:val="auto"/>
              </w:rPr>
            </w:pPr>
            <w:r>
              <w:rPr>
                <w:rFonts w:ascii="Arial" w:cs="Arial" w:eastAsia="Arial" w:hAnsi="Arial"/>
                <w:sz w:val="18"/>
                <w:szCs w:val="18"/>
                <w:color w:val="auto"/>
                <w:w w:val="99"/>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5,639</w:t>
            </w:r>
          </w:p>
        </w:tc>
        <w:tc>
          <w:tcPr>
            <w:tcW w:w="380" w:type="dxa"/>
            <w:vAlign w:val="bottom"/>
            <w:gridSpan w:val="2"/>
          </w:tcPr>
          <w:p>
            <w:pPr>
              <w:jc w:val="right"/>
              <w:ind w:right="68"/>
              <w:spacing w:after="0"/>
              <w:rPr>
                <w:sz w:val="20"/>
                <w:szCs w:val="20"/>
                <w:color w:val="auto"/>
              </w:rPr>
            </w:pPr>
            <w:r>
              <w:rPr>
                <w:rFonts w:ascii="Arial" w:cs="Arial" w:eastAsia="Arial" w:hAnsi="Arial"/>
                <w:sz w:val="18"/>
                <w:szCs w:val="18"/>
                <w:color w:val="auto"/>
              </w:rPr>
              <w:t>$</w:t>
            </w:r>
          </w:p>
        </w:tc>
        <w:tc>
          <w:tcPr>
            <w:tcW w:w="540" w:type="dxa"/>
            <w:vAlign w:val="bottom"/>
          </w:tcPr>
          <w:p>
            <w:pPr>
              <w:jc w:val="right"/>
              <w:spacing w:after="0"/>
              <w:rPr>
                <w:sz w:val="20"/>
                <w:szCs w:val="20"/>
                <w:color w:val="auto"/>
              </w:rPr>
            </w:pPr>
            <w:r>
              <w:rPr>
                <w:rFonts w:ascii="Arial" w:cs="Arial" w:eastAsia="Arial" w:hAnsi="Arial"/>
                <w:sz w:val="18"/>
                <w:szCs w:val="18"/>
                <w:color w:val="auto"/>
              </w:rPr>
              <w:t>4,134</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346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Other contractual obligations(2)</w:t>
            </w:r>
          </w:p>
        </w:tc>
        <w:tc>
          <w:tcPr>
            <w:tcW w:w="10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6,905</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6,905</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3460" w:type="dxa"/>
            <w:vAlign w:val="bottom"/>
            <w:gridSpan w:val="2"/>
          </w:tcPr>
          <w:p>
            <w:pPr>
              <w:ind w:left="120"/>
              <w:spacing w:after="0"/>
              <w:rPr>
                <w:sz w:val="20"/>
                <w:szCs w:val="20"/>
                <w:color w:val="auto"/>
              </w:rPr>
            </w:pPr>
            <w:r>
              <w:rPr>
                <w:rFonts w:ascii="Arial" w:cs="Arial" w:eastAsia="Arial" w:hAnsi="Arial"/>
                <w:sz w:val="18"/>
                <w:szCs w:val="18"/>
                <w:color w:val="auto"/>
              </w:rPr>
              <w:t>Other long-term liabilities(3)</w:t>
            </w:r>
          </w:p>
        </w:tc>
        <w:tc>
          <w:tcPr>
            <w:tcW w:w="10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613</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81</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113</w:t>
            </w: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123</w:t>
            </w: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296</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346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Term Loan(4)</w:t>
            </w:r>
          </w:p>
        </w:tc>
        <w:tc>
          <w:tcPr>
            <w:tcW w:w="10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10,300</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1,111</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9,189</w:t>
            </w:r>
          </w:p>
        </w:tc>
        <w:tc>
          <w:tcPr>
            <w:tcW w:w="1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3460" w:type="dxa"/>
            <w:vAlign w:val="bottom"/>
            <w:gridSpan w:val="2"/>
          </w:tcPr>
          <w:p>
            <w:pPr>
              <w:ind w:left="120"/>
              <w:spacing w:after="0"/>
              <w:rPr>
                <w:sz w:val="20"/>
                <w:szCs w:val="20"/>
                <w:color w:val="auto"/>
              </w:rPr>
            </w:pPr>
            <w:r>
              <w:rPr>
                <w:rFonts w:ascii="Arial" w:cs="Arial" w:eastAsia="Arial" w:hAnsi="Arial"/>
                <w:sz w:val="18"/>
                <w:szCs w:val="18"/>
                <w:color w:val="auto"/>
              </w:rPr>
              <w:t>Convertible subordinated debt(5)</w:t>
            </w:r>
          </w:p>
        </w:tc>
        <w:tc>
          <w:tcPr>
            <w:tcW w:w="10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w w:val="98"/>
              </w:rPr>
              <w:t>12,503</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w w:val="94"/>
              </w:rPr>
              <w:t>12,503</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8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346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CuraGen severance obligations</w:t>
            </w:r>
          </w:p>
        </w:tc>
        <w:tc>
          <w:tcPr>
            <w:tcW w:w="10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685</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685</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4620" w:type="dxa"/>
            <w:vAlign w:val="bottom"/>
            <w:gridSpan w:val="3"/>
            <w:vMerge w:val="restart"/>
          </w:tcPr>
          <w:p>
            <w:pPr>
              <w:ind w:left="1140"/>
              <w:spacing w:after="0"/>
              <w:rPr>
                <w:sz w:val="20"/>
                <w:szCs w:val="20"/>
                <w:color w:val="auto"/>
              </w:rPr>
            </w:pPr>
            <w:r>
              <w:rPr>
                <w:rFonts w:ascii="Arial" w:cs="Arial" w:eastAsia="Arial" w:hAnsi="Arial"/>
                <w:sz w:val="18"/>
                <w:szCs w:val="18"/>
                <w:color w:val="auto"/>
              </w:rPr>
              <w:t>Total contractual obligations</w:t>
            </w:r>
          </w:p>
        </w:tc>
        <w:tc>
          <w:tcPr>
            <w:tcW w:w="1140" w:type="dxa"/>
            <w:vAlign w:val="bottom"/>
            <w:gridSpan w:val="2"/>
          </w:tcPr>
          <w:p>
            <w:pPr>
              <w:spacing w:after="0"/>
              <w:rPr>
                <w:sz w:val="2"/>
                <w:szCs w:val="2"/>
                <w:color w:val="auto"/>
              </w:rPr>
            </w:pPr>
          </w:p>
        </w:tc>
        <w:tc>
          <w:tcPr>
            <w:tcW w:w="560" w:type="dxa"/>
            <w:vAlign w:val="bottom"/>
          </w:tcPr>
          <w:p>
            <w:pPr>
              <w:spacing w:after="0"/>
              <w:rPr>
                <w:sz w:val="2"/>
                <w:szCs w:val="2"/>
                <w:color w:val="auto"/>
              </w:rPr>
            </w:pPr>
          </w:p>
        </w:tc>
        <w:tc>
          <w:tcPr>
            <w:tcW w:w="320" w:type="dxa"/>
            <w:vAlign w:val="bottom"/>
            <w:gridSpan w:val="2"/>
          </w:tcPr>
          <w:p>
            <w:pPr>
              <w:spacing w:after="0"/>
              <w:rPr>
                <w:sz w:val="2"/>
                <w:szCs w:val="2"/>
                <w:color w:val="auto"/>
              </w:rPr>
            </w:pPr>
          </w:p>
        </w:tc>
        <w:tc>
          <w:tcPr>
            <w:tcW w:w="560" w:type="dxa"/>
            <w:vAlign w:val="bottom"/>
          </w:tcPr>
          <w:p>
            <w:pPr>
              <w:spacing w:after="0"/>
              <w:rPr>
                <w:sz w:val="2"/>
                <w:szCs w:val="2"/>
                <w:color w:val="auto"/>
              </w:rPr>
            </w:pPr>
          </w:p>
        </w:tc>
        <w:tc>
          <w:tcPr>
            <w:tcW w:w="240" w:type="dxa"/>
            <w:vAlign w:val="bottom"/>
            <w:gridSpan w:val="2"/>
          </w:tcPr>
          <w:p>
            <w:pPr>
              <w:spacing w:after="0"/>
              <w:rPr>
                <w:sz w:val="2"/>
                <w:szCs w:val="2"/>
                <w:color w:val="auto"/>
              </w:rPr>
            </w:pPr>
          </w:p>
        </w:tc>
        <w:tc>
          <w:tcPr>
            <w:tcW w:w="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gridSpan w:val="2"/>
          </w:tcPr>
          <w:p>
            <w:pPr>
              <w:spacing w:after="0"/>
              <w:rPr>
                <w:sz w:val="2"/>
                <w:szCs w:val="2"/>
                <w:color w:val="auto"/>
              </w:rPr>
            </w:pPr>
          </w:p>
        </w:tc>
        <w:tc>
          <w:tcPr>
            <w:tcW w:w="580" w:type="dxa"/>
            <w:vAlign w:val="bottom"/>
          </w:tcPr>
          <w:p>
            <w:pPr>
              <w:spacing w:after="0"/>
              <w:rPr>
                <w:sz w:val="2"/>
                <w:szCs w:val="2"/>
                <w:color w:val="auto"/>
              </w:rPr>
            </w:pPr>
          </w:p>
        </w:tc>
        <w:tc>
          <w:tcPr>
            <w:tcW w:w="380" w:type="dxa"/>
            <w:vAlign w:val="bottom"/>
            <w:gridSpan w:val="2"/>
          </w:tcPr>
          <w:p>
            <w:pPr>
              <w:spacing w:after="0"/>
              <w:rPr>
                <w:sz w:val="2"/>
                <w:szCs w:val="2"/>
                <w:color w:val="auto"/>
              </w:rPr>
            </w:pPr>
          </w:p>
        </w:tc>
        <w:tc>
          <w:tcPr>
            <w:tcW w:w="540" w:type="dxa"/>
            <w:vAlign w:val="bottom"/>
          </w:tcPr>
          <w:p>
            <w:pPr>
              <w:spacing w:after="0"/>
              <w:rPr>
                <w:sz w:val="2"/>
                <w:szCs w:val="2"/>
                <w:color w:val="auto"/>
              </w:rPr>
            </w:pPr>
          </w:p>
        </w:tc>
        <w:tc>
          <w:tcPr>
            <w:tcW w:w="1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16"/>
        </w:trPr>
        <w:tc>
          <w:tcPr>
            <w:tcW w:w="4620" w:type="dxa"/>
            <w:vAlign w:val="bottom"/>
            <w:gridSpan w:val="3"/>
            <w:vMerge w:val="continue"/>
          </w:tcPr>
          <w:p>
            <w:pPr>
              <w:spacing w:after="0"/>
              <w:rPr>
                <w:sz w:val="18"/>
                <w:szCs w:val="18"/>
                <w:color w:val="auto"/>
              </w:rPr>
            </w:pPr>
          </w:p>
        </w:tc>
        <w:tc>
          <w:tcPr>
            <w:tcW w:w="1000" w:type="dxa"/>
            <w:vAlign w:val="bottom"/>
          </w:tcPr>
          <w:p>
            <w:pPr>
              <w:spacing w:after="0"/>
              <w:rPr>
                <w:sz w:val="18"/>
                <w:szCs w:val="18"/>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5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8"/>
              </w:rPr>
              <w:t>48,677</w:t>
            </w:r>
          </w:p>
        </w:tc>
        <w:tc>
          <w:tcPr>
            <w:tcW w:w="180" w:type="dxa"/>
            <w:vAlign w:val="bottom"/>
          </w:tcPr>
          <w:p>
            <w:pPr>
              <w:spacing w:after="0"/>
              <w:rPr>
                <w:sz w:val="18"/>
                <w:szCs w:val="18"/>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4"/>
              </w:rPr>
              <w:t>23,755</w:t>
            </w:r>
          </w:p>
        </w:tc>
        <w:tc>
          <w:tcPr>
            <w:tcW w:w="160" w:type="dxa"/>
            <w:vAlign w:val="bottom"/>
          </w:tcPr>
          <w:p>
            <w:pPr>
              <w:spacing w:after="0"/>
              <w:rPr>
                <w:sz w:val="18"/>
                <w:szCs w:val="18"/>
                <w:color w:val="auto"/>
              </w:rPr>
            </w:pPr>
          </w:p>
        </w:tc>
        <w:tc>
          <w:tcPr>
            <w:tcW w:w="8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7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14,730</w:t>
            </w: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60" w:type="dxa"/>
            <w:vAlign w:val="bottom"/>
            <w:tcBorders>
              <w:top w:val="single" w:sz="8" w:color="auto"/>
            </w:tcBorders>
          </w:tcPr>
          <w:p>
            <w:pPr>
              <w:jc w:val="right"/>
              <w:ind w:right="103"/>
              <w:spacing w:after="0"/>
              <w:rPr>
                <w:sz w:val="20"/>
                <w:szCs w:val="20"/>
                <w:color w:val="auto"/>
              </w:rPr>
            </w:pPr>
            <w:r>
              <w:rPr>
                <w:rFonts w:ascii="Arial" w:cs="Arial" w:eastAsia="Arial" w:hAnsi="Arial"/>
                <w:sz w:val="15"/>
                <w:szCs w:val="15"/>
                <w:color w:val="auto"/>
                <w:w w:val="71"/>
              </w:rPr>
              <w:t>$</w:t>
            </w:r>
          </w:p>
        </w:tc>
        <w:tc>
          <w:tcPr>
            <w:tcW w:w="5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5,762</w:t>
            </w:r>
          </w:p>
        </w:tc>
        <w:tc>
          <w:tcPr>
            <w:tcW w:w="160" w:type="dxa"/>
            <w:vAlign w:val="bottom"/>
          </w:tcPr>
          <w:p>
            <w:pPr>
              <w:spacing w:after="0"/>
              <w:rPr>
                <w:sz w:val="18"/>
                <w:szCs w:val="18"/>
                <w:color w:val="auto"/>
              </w:rPr>
            </w:pPr>
          </w:p>
        </w:tc>
        <w:tc>
          <w:tcPr>
            <w:tcW w:w="220" w:type="dxa"/>
            <w:vAlign w:val="bottom"/>
            <w:tcBorders>
              <w:top w:val="single" w:sz="8" w:color="auto"/>
            </w:tcBorders>
          </w:tcPr>
          <w:p>
            <w:pPr>
              <w:jc w:val="right"/>
              <w:ind w:right="68"/>
              <w:spacing w:after="0"/>
              <w:rPr>
                <w:sz w:val="20"/>
                <w:szCs w:val="20"/>
                <w:color w:val="auto"/>
              </w:rPr>
            </w:pPr>
            <w:r>
              <w:rPr>
                <w:rFonts w:ascii="Arial" w:cs="Arial" w:eastAsia="Arial" w:hAnsi="Arial"/>
                <w:sz w:val="15"/>
                <w:szCs w:val="15"/>
                <w:color w:val="auto"/>
                <w:w w:val="71"/>
              </w:rPr>
              <w:t>$</w:t>
            </w:r>
          </w:p>
        </w:tc>
        <w:tc>
          <w:tcPr>
            <w:tcW w:w="5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4,430</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1160" w:type="dxa"/>
            <w:vAlign w:val="bottom"/>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
        </w:trPr>
        <w:tc>
          <w:tcPr>
            <w:tcW w:w="1160" w:type="dxa"/>
            <w:vAlign w:val="bottom"/>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9"/>
        </w:trPr>
        <w:tc>
          <w:tcPr>
            <w:tcW w:w="1160" w:type="dxa"/>
            <w:vAlign w:val="bottom"/>
            <w:tcBorders>
              <w:bottom w:val="single" w:sz="8" w:color="auto"/>
            </w:tcBorders>
          </w:tcPr>
          <w:p>
            <w:pPr>
              <w:spacing w:after="0"/>
              <w:rPr>
                <w:sz w:val="7"/>
                <w:szCs w:val="7"/>
                <w:color w:val="auto"/>
              </w:rPr>
            </w:pPr>
          </w:p>
        </w:tc>
        <w:tc>
          <w:tcPr>
            <w:tcW w:w="1840" w:type="dxa"/>
            <w:vAlign w:val="bottom"/>
            <w:tcBorders>
              <w:bottom w:val="single" w:sz="8" w:color="auto"/>
            </w:tcBorders>
          </w:tcPr>
          <w:p>
            <w:pPr>
              <w:spacing w:after="0"/>
              <w:rPr>
                <w:sz w:val="7"/>
                <w:szCs w:val="7"/>
                <w:color w:val="auto"/>
              </w:rPr>
            </w:pPr>
          </w:p>
        </w:tc>
        <w:tc>
          <w:tcPr>
            <w:tcW w:w="1620" w:type="dxa"/>
            <w:vAlign w:val="bottom"/>
          </w:tcPr>
          <w:p>
            <w:pPr>
              <w:spacing w:after="0"/>
              <w:rPr>
                <w:sz w:val="7"/>
                <w:szCs w:val="7"/>
                <w:color w:val="auto"/>
              </w:rPr>
            </w:pPr>
          </w:p>
        </w:tc>
        <w:tc>
          <w:tcPr>
            <w:tcW w:w="1000" w:type="dxa"/>
            <w:vAlign w:val="bottom"/>
          </w:tcPr>
          <w:p>
            <w:pPr>
              <w:spacing w:after="0"/>
              <w:rPr>
                <w:sz w:val="7"/>
                <w:szCs w:val="7"/>
                <w:color w:val="auto"/>
              </w:rPr>
            </w:pPr>
          </w:p>
        </w:tc>
        <w:tc>
          <w:tcPr>
            <w:tcW w:w="140" w:type="dxa"/>
            <w:vAlign w:val="bottom"/>
          </w:tcPr>
          <w:p>
            <w:pPr>
              <w:spacing w:after="0"/>
              <w:rPr>
                <w:sz w:val="7"/>
                <w:szCs w:val="7"/>
                <w:color w:val="auto"/>
              </w:rPr>
            </w:pPr>
          </w:p>
        </w:tc>
        <w:tc>
          <w:tcPr>
            <w:tcW w:w="560" w:type="dxa"/>
            <w:vAlign w:val="bottom"/>
          </w:tcPr>
          <w:p>
            <w:pPr>
              <w:spacing w:after="0"/>
              <w:rPr>
                <w:sz w:val="7"/>
                <w:szCs w:val="7"/>
                <w:color w:val="auto"/>
              </w:rPr>
            </w:pPr>
          </w:p>
        </w:tc>
        <w:tc>
          <w:tcPr>
            <w:tcW w:w="180" w:type="dxa"/>
            <w:vAlign w:val="bottom"/>
          </w:tcPr>
          <w:p>
            <w:pPr>
              <w:spacing w:after="0"/>
              <w:rPr>
                <w:sz w:val="7"/>
                <w:szCs w:val="7"/>
                <w:color w:val="auto"/>
              </w:rPr>
            </w:pPr>
          </w:p>
        </w:tc>
        <w:tc>
          <w:tcPr>
            <w:tcW w:w="140" w:type="dxa"/>
            <w:vAlign w:val="bottom"/>
          </w:tcPr>
          <w:p>
            <w:pPr>
              <w:spacing w:after="0"/>
              <w:rPr>
                <w:sz w:val="7"/>
                <w:szCs w:val="7"/>
                <w:color w:val="auto"/>
              </w:rPr>
            </w:pPr>
          </w:p>
        </w:tc>
        <w:tc>
          <w:tcPr>
            <w:tcW w:w="560" w:type="dxa"/>
            <w:vAlign w:val="bottom"/>
          </w:tcPr>
          <w:p>
            <w:pPr>
              <w:spacing w:after="0"/>
              <w:rPr>
                <w:sz w:val="7"/>
                <w:szCs w:val="7"/>
                <w:color w:val="auto"/>
              </w:rPr>
            </w:pPr>
          </w:p>
        </w:tc>
        <w:tc>
          <w:tcPr>
            <w:tcW w:w="160" w:type="dxa"/>
            <w:vAlign w:val="bottom"/>
          </w:tcPr>
          <w:p>
            <w:pPr>
              <w:spacing w:after="0"/>
              <w:rPr>
                <w:sz w:val="7"/>
                <w:szCs w:val="7"/>
                <w:color w:val="auto"/>
              </w:rPr>
            </w:pPr>
          </w:p>
        </w:tc>
        <w:tc>
          <w:tcPr>
            <w:tcW w:w="80" w:type="dxa"/>
            <w:vAlign w:val="bottom"/>
          </w:tcPr>
          <w:p>
            <w:pPr>
              <w:spacing w:after="0"/>
              <w:rPr>
                <w:sz w:val="7"/>
                <w:szCs w:val="7"/>
                <w:color w:val="auto"/>
              </w:rPr>
            </w:pPr>
          </w:p>
        </w:tc>
        <w:tc>
          <w:tcPr>
            <w:tcW w:w="760" w:type="dxa"/>
            <w:vAlign w:val="bottom"/>
          </w:tcPr>
          <w:p>
            <w:pPr>
              <w:spacing w:after="0"/>
              <w:rPr>
                <w:sz w:val="7"/>
                <w:szCs w:val="7"/>
                <w:color w:val="auto"/>
              </w:rPr>
            </w:pPr>
          </w:p>
        </w:tc>
        <w:tc>
          <w:tcPr>
            <w:tcW w:w="120" w:type="dxa"/>
            <w:vAlign w:val="bottom"/>
          </w:tcPr>
          <w:p>
            <w:pPr>
              <w:spacing w:after="0"/>
              <w:rPr>
                <w:sz w:val="7"/>
                <w:szCs w:val="7"/>
                <w:color w:val="auto"/>
              </w:rPr>
            </w:pPr>
          </w:p>
        </w:tc>
        <w:tc>
          <w:tcPr>
            <w:tcW w:w="40" w:type="dxa"/>
            <w:vAlign w:val="bottom"/>
          </w:tcPr>
          <w:p>
            <w:pPr>
              <w:spacing w:after="0"/>
              <w:rPr>
                <w:sz w:val="7"/>
                <w:szCs w:val="7"/>
                <w:color w:val="auto"/>
              </w:rPr>
            </w:pPr>
          </w:p>
        </w:tc>
        <w:tc>
          <w:tcPr>
            <w:tcW w:w="260" w:type="dxa"/>
            <w:vAlign w:val="bottom"/>
          </w:tcPr>
          <w:p>
            <w:pPr>
              <w:spacing w:after="0"/>
              <w:rPr>
                <w:sz w:val="7"/>
                <w:szCs w:val="7"/>
                <w:color w:val="auto"/>
              </w:rPr>
            </w:pPr>
          </w:p>
        </w:tc>
        <w:tc>
          <w:tcPr>
            <w:tcW w:w="580" w:type="dxa"/>
            <w:vAlign w:val="bottom"/>
          </w:tcPr>
          <w:p>
            <w:pPr>
              <w:spacing w:after="0"/>
              <w:rPr>
                <w:sz w:val="7"/>
                <w:szCs w:val="7"/>
                <w:color w:val="auto"/>
              </w:rPr>
            </w:pPr>
          </w:p>
        </w:tc>
        <w:tc>
          <w:tcPr>
            <w:tcW w:w="160" w:type="dxa"/>
            <w:vAlign w:val="bottom"/>
          </w:tcPr>
          <w:p>
            <w:pPr>
              <w:spacing w:after="0"/>
              <w:rPr>
                <w:sz w:val="7"/>
                <w:szCs w:val="7"/>
                <w:color w:val="auto"/>
              </w:rPr>
            </w:pPr>
          </w:p>
        </w:tc>
        <w:tc>
          <w:tcPr>
            <w:tcW w:w="220" w:type="dxa"/>
            <w:vAlign w:val="bottom"/>
          </w:tcPr>
          <w:p>
            <w:pPr>
              <w:spacing w:after="0"/>
              <w:rPr>
                <w:sz w:val="7"/>
                <w:szCs w:val="7"/>
                <w:color w:val="auto"/>
              </w:rPr>
            </w:pPr>
          </w:p>
        </w:tc>
        <w:tc>
          <w:tcPr>
            <w:tcW w:w="540" w:type="dxa"/>
            <w:vAlign w:val="bottom"/>
          </w:tcPr>
          <w:p>
            <w:pPr>
              <w:spacing w:after="0"/>
              <w:rPr>
                <w:sz w:val="7"/>
                <w:szCs w:val="7"/>
                <w:color w:val="auto"/>
              </w:rPr>
            </w:pPr>
          </w:p>
        </w:tc>
        <w:tc>
          <w:tcPr>
            <w:tcW w:w="160" w:type="dxa"/>
            <w:vAlign w:val="bottom"/>
          </w:tcPr>
          <w:p>
            <w:pPr>
              <w:spacing w:after="0"/>
              <w:rPr>
                <w:sz w:val="7"/>
                <w:szCs w:val="7"/>
                <w:color w:val="auto"/>
              </w:rPr>
            </w:pPr>
          </w:p>
        </w:tc>
        <w:tc>
          <w:tcPr>
            <w:tcW w:w="0" w:type="dxa"/>
            <w:vAlign w:val="bottom"/>
          </w:tcPr>
          <w:p>
            <w:pPr>
              <w:spacing w:after="0"/>
              <w:rPr>
                <w:sz w:val="1"/>
                <w:szCs w:val="1"/>
                <w:color w:val="auto"/>
              </w:rPr>
            </w:pPr>
          </w:p>
        </w:tc>
      </w:tr>
    </w:tbl>
    <w:p>
      <w:pPr>
        <w:spacing w:after="0" w:line="221" w:lineRule="exact"/>
        <w:rPr>
          <w:sz w:val="20"/>
          <w:szCs w:val="20"/>
          <w:color w:val="auto"/>
        </w:rPr>
      </w:pPr>
    </w:p>
    <w:p>
      <w:pPr>
        <w:ind w:left="540" w:hanging="532"/>
        <w:spacing w:after="0"/>
        <w:tabs>
          <w:tab w:leader="none" w:pos="540" w:val="left"/>
        </w:tabs>
        <w:numPr>
          <w:ilvl w:val="0"/>
          <w:numId w:val="26"/>
        </w:numPr>
        <w:rPr>
          <w:rFonts w:ascii="Arial" w:cs="Arial" w:eastAsia="Arial" w:hAnsi="Arial"/>
          <w:sz w:val="18"/>
          <w:szCs w:val="18"/>
          <w:color w:val="auto"/>
        </w:rPr>
      </w:pPr>
      <w:r>
        <w:rPr>
          <w:rFonts w:ascii="Arial" w:cs="Arial" w:eastAsia="Arial" w:hAnsi="Arial"/>
          <w:sz w:val="18"/>
          <w:szCs w:val="18"/>
          <w:color w:val="auto"/>
        </w:rPr>
        <w:t>Such amounts primarily consist of payments for our facility leases and do not assume the exercise of renewal terms.</w:t>
      </w:r>
    </w:p>
    <w:p>
      <w:pPr>
        <w:spacing w:after="0" w:line="252" w:lineRule="exact"/>
        <w:rPr>
          <w:rFonts w:ascii="Arial" w:cs="Arial" w:eastAsia="Arial" w:hAnsi="Arial"/>
          <w:sz w:val="18"/>
          <w:szCs w:val="18"/>
          <w:color w:val="auto"/>
        </w:rPr>
      </w:pPr>
    </w:p>
    <w:p>
      <w:pPr>
        <w:ind w:left="540" w:right="20" w:hanging="532"/>
        <w:spacing w:after="0" w:line="268" w:lineRule="auto"/>
        <w:tabs>
          <w:tab w:leader="none" w:pos="540" w:val="left"/>
        </w:tabs>
        <w:numPr>
          <w:ilvl w:val="0"/>
          <w:numId w:val="26"/>
        </w:numPr>
        <w:rPr>
          <w:rFonts w:ascii="Arial" w:cs="Arial" w:eastAsia="Arial" w:hAnsi="Arial"/>
          <w:sz w:val="18"/>
          <w:szCs w:val="18"/>
          <w:color w:val="auto"/>
        </w:rPr>
      </w:pPr>
      <w:r>
        <w:rPr>
          <w:rFonts w:ascii="Arial" w:cs="Arial" w:eastAsia="Arial" w:hAnsi="Arial"/>
          <w:sz w:val="18"/>
          <w:szCs w:val="18"/>
          <w:color w:val="auto"/>
        </w:rPr>
        <w:t>Such amounts primarily consist of research and development commitments with third parties. Our obligation to pay certain of these amounts may increase or be reduced based on certain future events.</w:t>
      </w:r>
    </w:p>
    <w:p>
      <w:pPr>
        <w:spacing w:after="0" w:line="199" w:lineRule="exact"/>
        <w:rPr>
          <w:rFonts w:ascii="Arial" w:cs="Arial" w:eastAsia="Arial" w:hAnsi="Arial"/>
          <w:sz w:val="18"/>
          <w:szCs w:val="18"/>
          <w:color w:val="auto"/>
        </w:rPr>
      </w:pPr>
    </w:p>
    <w:p>
      <w:pPr>
        <w:ind w:left="540" w:hanging="532"/>
        <w:spacing w:after="0"/>
        <w:tabs>
          <w:tab w:leader="none" w:pos="540" w:val="left"/>
        </w:tabs>
        <w:numPr>
          <w:ilvl w:val="0"/>
          <w:numId w:val="26"/>
        </w:numPr>
        <w:rPr>
          <w:rFonts w:ascii="Arial" w:cs="Arial" w:eastAsia="Arial" w:hAnsi="Arial"/>
          <w:sz w:val="18"/>
          <w:szCs w:val="18"/>
          <w:color w:val="auto"/>
        </w:rPr>
      </w:pPr>
      <w:r>
        <w:rPr>
          <w:rFonts w:ascii="Arial" w:cs="Arial" w:eastAsia="Arial" w:hAnsi="Arial"/>
          <w:sz w:val="18"/>
          <w:szCs w:val="18"/>
          <w:color w:val="auto"/>
        </w:rPr>
        <w:t>Such amounts include the outstanding balance on a loan and note payable which accrue interest at 5.5% and is payable monthly.</w:t>
      </w:r>
    </w:p>
    <w:p>
      <w:pPr>
        <w:spacing w:after="0" w:line="238" w:lineRule="exact"/>
        <w:rPr>
          <w:rFonts w:ascii="Arial" w:cs="Arial" w:eastAsia="Arial" w:hAnsi="Arial"/>
          <w:sz w:val="18"/>
          <w:szCs w:val="18"/>
          <w:color w:val="auto"/>
        </w:rPr>
      </w:pPr>
    </w:p>
    <w:p>
      <w:pPr>
        <w:ind w:left="540" w:right="260" w:hanging="532"/>
        <w:spacing w:after="0" w:line="259" w:lineRule="auto"/>
        <w:tabs>
          <w:tab w:leader="none" w:pos="540" w:val="left"/>
        </w:tabs>
        <w:numPr>
          <w:ilvl w:val="0"/>
          <w:numId w:val="26"/>
        </w:numPr>
        <w:rPr>
          <w:rFonts w:ascii="Arial" w:cs="Arial" w:eastAsia="Arial" w:hAnsi="Arial"/>
          <w:sz w:val="18"/>
          <w:szCs w:val="18"/>
          <w:color w:val="auto"/>
        </w:rPr>
      </w:pPr>
      <w:r>
        <w:rPr>
          <w:rFonts w:ascii="Arial" w:cs="Arial" w:eastAsia="Arial" w:hAnsi="Arial"/>
          <w:sz w:val="18"/>
          <w:szCs w:val="18"/>
          <w:color w:val="auto"/>
        </w:rPr>
        <w:t>Such amounts include the outstanding balance at December 31, 2010 on the Term Loan along with the Final Payment. In March 2011, we amended the Loan Agreement and borrowed an additional $5 million from GECC to increase the amount owed under the Term Loan to $15 million. All amounts borrowed under the Term Loan mature in December 2013.</w:t>
      </w:r>
    </w:p>
    <w:p>
      <w:pPr>
        <w:spacing w:after="0" w:line="221" w:lineRule="exact"/>
        <w:rPr>
          <w:rFonts w:ascii="Arial" w:cs="Arial" w:eastAsia="Arial" w:hAnsi="Arial"/>
          <w:sz w:val="18"/>
          <w:szCs w:val="18"/>
          <w:color w:val="auto"/>
        </w:rPr>
      </w:pPr>
    </w:p>
    <w:p>
      <w:pPr>
        <w:ind w:left="540" w:right="500" w:hanging="532"/>
        <w:spacing w:after="0" w:line="332" w:lineRule="auto"/>
        <w:tabs>
          <w:tab w:leader="none" w:pos="540" w:val="left"/>
        </w:tabs>
        <w:numPr>
          <w:ilvl w:val="0"/>
          <w:numId w:val="26"/>
        </w:numPr>
        <w:rPr>
          <w:rFonts w:ascii="Arial" w:cs="Arial" w:eastAsia="Arial" w:hAnsi="Arial"/>
          <w:sz w:val="16"/>
          <w:szCs w:val="16"/>
          <w:color w:val="auto"/>
        </w:rPr>
      </w:pPr>
      <w:r>
        <w:rPr>
          <w:rFonts w:ascii="Arial" w:cs="Arial" w:eastAsia="Arial" w:hAnsi="Arial"/>
          <w:sz w:val="16"/>
          <w:szCs w:val="16"/>
          <w:color w:val="auto"/>
        </w:rPr>
        <w:t>Such amounts include the outstanding balance on convertible subordinated debt which accrued interest at 4% and matured on February 15, 2011. In February 2011, we paid $12.8 million to satisfy all outstanding principal and accrued interest related to the convertible subordinated debt.</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ACCOUNTING PRONOUNCEMENTS</w:t>
      </w:r>
    </w:p>
    <w:p>
      <w:pPr>
        <w:spacing w:after="0" w:line="231" w:lineRule="exact"/>
        <w:rPr>
          <w:sz w:val="20"/>
          <w:szCs w:val="20"/>
          <w:color w:val="auto"/>
        </w:rPr>
      </w:pPr>
    </w:p>
    <w:p>
      <w:pPr>
        <w:ind w:firstLine="351"/>
        <w:spacing w:after="0" w:line="268" w:lineRule="auto"/>
        <w:rPr>
          <w:sz w:val="20"/>
          <w:szCs w:val="20"/>
          <w:color w:val="auto"/>
        </w:rPr>
      </w:pPr>
      <w:r>
        <w:rPr>
          <w:rFonts w:ascii="Arial" w:cs="Arial" w:eastAsia="Arial" w:hAnsi="Arial"/>
          <w:sz w:val="18"/>
          <w:szCs w:val="18"/>
          <w:color w:val="auto"/>
        </w:rPr>
        <w:t>Refer to Note 2, "Summary of Significant Accounting Policies," in the accompanying notes to the consolidated financial statements for a discussion of recent accounting pronouncements.</w:t>
      </w:r>
    </w:p>
    <w:p>
      <w:pPr>
        <w:spacing w:after="0" w:line="18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66" w:name="page67"/>
    <w:bookmarkEnd w:id="66"/>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OFF-BALANCE SHEET ARRANGEMENTS</w:t>
      </w:r>
    </w:p>
    <w:p>
      <w:pPr>
        <w:spacing w:after="0" w:line="231" w:lineRule="exact"/>
        <w:rPr>
          <w:sz w:val="20"/>
          <w:szCs w:val="20"/>
          <w:color w:val="auto"/>
        </w:rPr>
      </w:pPr>
    </w:p>
    <w:p>
      <w:pPr>
        <w:ind w:left="360"/>
        <w:spacing w:after="0"/>
        <w:rPr>
          <w:sz w:val="20"/>
          <w:szCs w:val="20"/>
          <w:color w:val="auto"/>
        </w:rPr>
      </w:pPr>
      <w:r>
        <w:rPr>
          <w:rFonts w:ascii="Arial" w:cs="Arial" w:eastAsia="Arial" w:hAnsi="Arial"/>
          <w:sz w:val="18"/>
          <w:szCs w:val="18"/>
          <w:color w:val="auto"/>
        </w:rPr>
        <w:t>None.</w:t>
      </w:r>
    </w:p>
    <w:p>
      <w:pPr>
        <w:spacing w:after="0" w:line="219" w:lineRule="exact"/>
        <w:rPr>
          <w:sz w:val="20"/>
          <w:szCs w:val="20"/>
          <w:color w:val="auto"/>
        </w:rPr>
      </w:pPr>
    </w:p>
    <w:p>
      <w:pPr>
        <w:spacing w:after="0"/>
        <w:tabs>
          <w:tab w:leader="none" w:pos="820" w:val="left"/>
        </w:tabs>
        <w:rPr>
          <w:sz w:val="20"/>
          <w:szCs w:val="20"/>
          <w:color w:val="auto"/>
        </w:rPr>
      </w:pPr>
      <w:r>
        <w:rPr>
          <w:rFonts w:ascii="Arial" w:cs="Arial" w:eastAsia="Arial" w:hAnsi="Arial"/>
          <w:sz w:val="18"/>
          <w:szCs w:val="18"/>
          <w:b w:val="1"/>
          <w:bCs w:val="1"/>
          <w:color w:val="auto"/>
        </w:rPr>
        <w:t>Item 7A.</w:t>
      </w:r>
      <w:r>
        <w:rPr>
          <w:sz w:val="20"/>
          <w:szCs w:val="20"/>
          <w:color w:val="auto"/>
        </w:rPr>
        <w:tab/>
      </w:r>
      <w:r>
        <w:rPr>
          <w:rFonts w:ascii="Arial" w:cs="Arial" w:eastAsia="Arial" w:hAnsi="Arial"/>
          <w:sz w:val="16"/>
          <w:szCs w:val="16"/>
          <w:b w:val="1"/>
          <w:bCs w:val="1"/>
          <w:color w:val="auto"/>
        </w:rPr>
        <w:t>QUANTITATIVE AND QUALITATIVE DISCLOSURES ABOUT MARKET RISK</w:t>
      </w:r>
    </w:p>
    <w:p>
      <w:pPr>
        <w:spacing w:after="0" w:line="231" w:lineRule="exact"/>
        <w:rPr>
          <w:sz w:val="20"/>
          <w:szCs w:val="20"/>
          <w:color w:val="auto"/>
        </w:rPr>
      </w:pPr>
    </w:p>
    <w:p>
      <w:pPr>
        <w:ind w:firstLine="348"/>
        <w:spacing w:after="0" w:line="290" w:lineRule="auto"/>
        <w:rPr>
          <w:sz w:val="20"/>
          <w:szCs w:val="20"/>
          <w:color w:val="auto"/>
        </w:rPr>
      </w:pPr>
      <w:r>
        <w:rPr>
          <w:rFonts w:ascii="Arial" w:cs="Arial" w:eastAsia="Arial" w:hAnsi="Arial"/>
          <w:sz w:val="16"/>
          <w:szCs w:val="16"/>
          <w:color w:val="auto"/>
        </w:rPr>
        <w:t>We own financial instruments that are sensitive to market risk as part of our investment portfolio. Our investment portfolio is used to preserve our capital until it is used to fund operations, including our research and development activities. None of these market-risk sensitive instruments are held for trading purposes. We invest our cash primarily in money market mutual funds. These investments are evaluated quarterly to determine the fair value of the portfolio. From time to time, we invest our excess cash balances in marketable securities including municipal bond securities, U.S. government agency securities, and high-grade corporate bonds that meet high credit quality standards, as specified in our investment policy. Our investment policy seeks to manage these assets to achieve our goals of preserving principal and maintaining adequate liquidity. Because of the short-term nature of these investments, we do not believe we have material exposure due to market risk. The impact to our financial position and results of operations from likely changes in interest rates is not material.</w:t>
      </w:r>
    </w:p>
    <w:p>
      <w:pPr>
        <w:spacing w:after="0" w:line="172" w:lineRule="exact"/>
        <w:rPr>
          <w:sz w:val="20"/>
          <w:szCs w:val="20"/>
          <w:color w:val="auto"/>
        </w:rPr>
      </w:pPr>
    </w:p>
    <w:p>
      <w:pPr>
        <w:ind w:right="160" w:firstLine="348"/>
        <w:spacing w:after="0" w:line="332" w:lineRule="auto"/>
        <w:rPr>
          <w:sz w:val="20"/>
          <w:szCs w:val="20"/>
          <w:color w:val="auto"/>
        </w:rPr>
      </w:pPr>
      <w:r>
        <w:rPr>
          <w:rFonts w:ascii="Arial" w:cs="Arial" w:eastAsia="Arial" w:hAnsi="Arial"/>
          <w:sz w:val="16"/>
          <w:szCs w:val="16"/>
          <w:color w:val="auto"/>
        </w:rPr>
        <w:t>We do not utilize derivative financial instruments. The carrying amounts reflected in the consolidated balance sheet of cash and cash equivalents, accounts receivables and accounts payable approximates fair value at December 31, 2010 due to the short-term maturities of these instruments.</w:t>
      </w:r>
    </w:p>
    <w:p>
      <w:pPr>
        <w:spacing w:after="0" w:line="139"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131" w:right="279" w:bottom="1440" w:gutter="0" w:footer="0" w:header="0"/>
        </w:sectPr>
      </w:pPr>
    </w:p>
    <w:bookmarkStart w:id="67" w:name="page68"/>
    <w:bookmarkEnd w:id="67"/>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19" w:lineRule="exact"/>
        <w:rPr>
          <w:sz w:val="20"/>
          <w:szCs w:val="20"/>
          <w:color w:val="auto"/>
        </w:rPr>
      </w:pPr>
    </w:p>
    <w:p>
      <w:pPr>
        <w:spacing w:after="0"/>
        <w:tabs>
          <w:tab w:leader="none" w:pos="700" w:val="left"/>
        </w:tabs>
        <w:rPr>
          <w:sz w:val="20"/>
          <w:szCs w:val="20"/>
          <w:color w:val="auto"/>
        </w:rPr>
      </w:pPr>
      <w:r>
        <w:rPr>
          <w:rFonts w:ascii="Arial" w:cs="Arial" w:eastAsia="Arial" w:hAnsi="Arial"/>
          <w:sz w:val="18"/>
          <w:szCs w:val="18"/>
          <w:b w:val="1"/>
          <w:bCs w:val="1"/>
          <w:color w:val="auto"/>
        </w:rPr>
        <w:t>Item 8.</w:t>
      </w:r>
      <w:r>
        <w:rPr>
          <w:sz w:val="20"/>
          <w:szCs w:val="20"/>
          <w:color w:val="auto"/>
        </w:rPr>
        <w:tab/>
      </w:r>
      <w:r>
        <w:rPr>
          <w:rFonts w:ascii="Arial" w:cs="Arial" w:eastAsia="Arial" w:hAnsi="Arial"/>
          <w:sz w:val="16"/>
          <w:szCs w:val="16"/>
          <w:b w:val="1"/>
          <w:bCs w:val="1"/>
          <w:color w:val="auto"/>
        </w:rPr>
        <w:t>FINANCIAL STATEMENTS AND SUPPLEMENTARY DATA</w:t>
      </w:r>
    </w:p>
    <w:p>
      <w:pPr>
        <w:spacing w:after="0" w:line="225" w:lineRule="exact"/>
        <w:rPr>
          <w:sz w:val="20"/>
          <w:szCs w:val="20"/>
          <w:color w:val="auto"/>
        </w:rPr>
      </w:pPr>
    </w:p>
    <w:p>
      <w:pPr>
        <w:ind w:left="2680"/>
        <w:spacing w:after="0"/>
        <w:rPr>
          <w:sz w:val="20"/>
          <w:szCs w:val="20"/>
          <w:color w:val="auto"/>
        </w:rPr>
      </w:pPr>
      <w:r>
        <w:rPr>
          <w:rFonts w:ascii="Arial" w:cs="Arial" w:eastAsia="Arial" w:hAnsi="Arial"/>
          <w:sz w:val="18"/>
          <w:szCs w:val="18"/>
          <w:b w:val="1"/>
          <w:bCs w:val="1"/>
          <w:color w:val="auto"/>
        </w:rPr>
        <w:t>REPORT OF INDEPENDENT REGISTERED PUBLIC ACCOUNTING FIRM</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color w:val="auto"/>
        </w:rPr>
        <w:t>To the Board of Directors and Stockholders of Celldex Therapeutics, Inc.:</w:t>
      </w:r>
    </w:p>
    <w:p>
      <w:pPr>
        <w:spacing w:after="0" w:line="225" w:lineRule="exact"/>
        <w:rPr>
          <w:sz w:val="20"/>
          <w:szCs w:val="20"/>
          <w:color w:val="auto"/>
        </w:rPr>
      </w:pPr>
    </w:p>
    <w:p>
      <w:pPr>
        <w:ind w:right="60" w:firstLine="351"/>
        <w:spacing w:after="0" w:line="285" w:lineRule="auto"/>
        <w:rPr>
          <w:sz w:val="20"/>
          <w:szCs w:val="20"/>
          <w:color w:val="auto"/>
        </w:rPr>
      </w:pPr>
      <w:r>
        <w:rPr>
          <w:rFonts w:ascii="Arial" w:cs="Arial" w:eastAsia="Arial" w:hAnsi="Arial"/>
          <w:sz w:val="16"/>
          <w:szCs w:val="16"/>
          <w:color w:val="auto"/>
        </w:rPr>
        <w:t xml:space="preserve">In our opinion, the accompanying consolidated balance sheets and the related consolidated statements of operations, of stockholders' equity (deficit) and comprehensive loss, and of cash flows, present fairly, in all material respects, the financial position of Celldex Therapeutics, Inc. and its subsidiaries at December 31, 2010 and December 31, 2009, and the results of their operations and their cash flows for each of the three years in the period ended December 31, 2010 in conformity with accounting principles generally accepted in the United States of America. Also in our opinion, the Company maintained, in all material respects, effective internal control over financial reporting as of December 31, 2010, based on criteria established in </w:t>
      </w:r>
      <w:r>
        <w:rPr>
          <w:rFonts w:ascii="Arial" w:cs="Arial" w:eastAsia="Arial" w:hAnsi="Arial"/>
          <w:sz w:val="16"/>
          <w:szCs w:val="16"/>
          <w:i w:val="1"/>
          <w:iCs w:val="1"/>
          <w:color w:val="auto"/>
        </w:rPr>
        <w:t>Internal Control—Integrated Framework</w:t>
      </w:r>
      <w:r>
        <w:rPr>
          <w:rFonts w:ascii="Arial" w:cs="Arial" w:eastAsia="Arial" w:hAnsi="Arial"/>
          <w:sz w:val="16"/>
          <w:szCs w:val="16"/>
          <w:color w:val="auto"/>
        </w:rPr>
        <w:t xml:space="preserve"> issued by the Committee of Sponsoring Organizations of the Treadway Commission (COSO). The Company's management is responsible for these financial statements, for maintaining effective internal control over financial reporting and for its assessment of the effectiveness of internal control over financial reporting, included in Management's Annual Report on Internal Control over Financial Reporting appearing under Item 9A. Our responsibility is to express opinions on these financial statements and on the Company's internal control over financial reporting based on our integrated audits. We conducted our audits in accordance with the standards of the Public Company Accounting Oversight Board (United States). Those standards require that we plan and perform the audits to obtain reasonable assurance about whether the financial statements are free of material misstatement and whether effective internal control over financial reporting was maintained in all material respects. Our audits of the financial statements included examining, on a test basis, evidence supporting the amounts and disclosures in the financial statements, assessing the accounting principles used and significant estimates made by management, and evaluating the overall financial statement presentation. Our audit of internal control over financial reporting included obtaining an understanding of internal control over financial reporting, assessing the risk that a material weakness exists, and testing and evaluating the design and operating effectiveness of internal control based on the assessed risk. Our audits also included performing such other procedures as we considered necessary in the circumstances. We believe that our audits provide a reasonable basis for our opinions.</w:t>
      </w:r>
    </w:p>
    <w:p>
      <w:pPr>
        <w:spacing w:after="0" w:line="175" w:lineRule="exact"/>
        <w:rPr>
          <w:sz w:val="20"/>
          <w:szCs w:val="20"/>
          <w:color w:val="auto"/>
        </w:rPr>
      </w:pPr>
    </w:p>
    <w:p>
      <w:pPr>
        <w:ind w:left="340"/>
        <w:spacing w:after="0"/>
        <w:rPr>
          <w:sz w:val="20"/>
          <w:szCs w:val="20"/>
          <w:color w:val="auto"/>
        </w:rPr>
      </w:pPr>
      <w:r>
        <w:rPr>
          <w:rFonts w:ascii="Arial" w:cs="Arial" w:eastAsia="Arial" w:hAnsi="Arial"/>
          <w:sz w:val="16"/>
          <w:szCs w:val="16"/>
          <w:color w:val="auto"/>
        </w:rPr>
        <w:t>As discussed in Note 2 to the consolidated financial statements, the Company changed the manner in which it accounts for business combinations in 2009.</w:t>
      </w:r>
    </w:p>
    <w:p>
      <w:pPr>
        <w:spacing w:after="0" w:line="248" w:lineRule="exact"/>
        <w:rPr>
          <w:sz w:val="20"/>
          <w:szCs w:val="20"/>
          <w:color w:val="auto"/>
        </w:rPr>
      </w:pPr>
    </w:p>
    <w:p>
      <w:pPr>
        <w:ind w:right="120" w:firstLine="341"/>
        <w:spacing w:after="0" w:line="290" w:lineRule="auto"/>
        <w:rPr>
          <w:sz w:val="20"/>
          <w:szCs w:val="20"/>
          <w:color w:val="auto"/>
        </w:rPr>
      </w:pPr>
      <w:r>
        <w:rPr>
          <w:rFonts w:ascii="Arial" w:cs="Arial" w:eastAsia="Arial" w:hAnsi="Arial"/>
          <w:sz w:val="16"/>
          <w:szCs w:val="16"/>
          <w:color w:val="auto"/>
        </w:rPr>
        <w:t>A company's internal control over financial reporting is a process designed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(i) pertain to the maintenance of records that, in reasonable detail, accurately and fairly reflect the transactions and dispositions of the assets of the company; (ii)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(iii) provide reasonable assurance regarding prevention or timely detection of unauthorized acquisition, use, or disposition of the company's assets that could have a material effect on the financial statements.</w:t>
      </w:r>
    </w:p>
    <w:p>
      <w:pPr>
        <w:spacing w:after="0" w:line="172" w:lineRule="exact"/>
        <w:rPr>
          <w:sz w:val="20"/>
          <w:szCs w:val="20"/>
          <w:color w:val="auto"/>
        </w:rPr>
      </w:pPr>
    </w:p>
    <w:p>
      <w:pPr>
        <w:ind w:firstLine="351"/>
        <w:spacing w:after="0" w:line="259" w:lineRule="auto"/>
        <w:rPr>
          <w:sz w:val="20"/>
          <w:szCs w:val="20"/>
          <w:color w:val="auto"/>
        </w:rPr>
      </w:pPr>
      <w:r>
        <w:rPr>
          <w:rFonts w:ascii="Arial" w:cs="Arial" w:eastAsia="Arial" w:hAnsi="Arial"/>
          <w:sz w:val="18"/>
          <w:szCs w:val="18"/>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color w:val="auto"/>
        </w:rPr>
        <w:t>/s/ PricewaterhouseCoopers LLP</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Boston, Massachusetts</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March 9, 2011</w:t>
      </w:r>
    </w:p>
    <w:p>
      <w:pPr>
        <w:spacing w:after="0" w:line="21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68" w:name="page69"/>
    <w:bookmarkEnd w:id="68"/>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ind w:right="-1099"/>
        <w:spacing w:after="0"/>
        <w:rPr>
          <w:sz w:val="20"/>
          <w:szCs w:val="20"/>
          <w:color w:val="auto"/>
        </w:rPr>
      </w:pPr>
      <w:r>
        <w:rPr>
          <w:rFonts w:ascii="Arial" w:cs="Arial" w:eastAsia="Arial" w:hAnsi="Arial"/>
          <w:sz w:val="18"/>
          <w:szCs w:val="18"/>
          <w:b w:val="1"/>
          <w:bCs w:val="1"/>
          <w:color w:val="auto"/>
        </w:rPr>
        <w:t>CELLDEX THERAPEUTICS, INC.</w:t>
      </w:r>
    </w:p>
    <w:p>
      <w:pPr>
        <w:spacing w:after="0" w:line="225" w:lineRule="exact"/>
        <w:rPr>
          <w:sz w:val="20"/>
          <w:szCs w:val="20"/>
          <w:color w:val="auto"/>
        </w:rPr>
      </w:pPr>
    </w:p>
    <w:p>
      <w:pPr>
        <w:jc w:val="center"/>
        <w:ind w:right="-1099"/>
        <w:spacing w:after="0"/>
        <w:rPr>
          <w:sz w:val="20"/>
          <w:szCs w:val="20"/>
          <w:color w:val="auto"/>
        </w:rPr>
      </w:pPr>
      <w:r>
        <w:rPr>
          <w:rFonts w:ascii="Arial" w:cs="Arial" w:eastAsia="Arial" w:hAnsi="Arial"/>
          <w:sz w:val="18"/>
          <w:szCs w:val="18"/>
          <w:b w:val="1"/>
          <w:bCs w:val="1"/>
          <w:color w:val="auto"/>
        </w:rPr>
        <w:t>CONSOLIDATED BALANCE SHEETS</w:t>
      </w:r>
    </w:p>
    <w:p>
      <w:pPr>
        <w:spacing w:after="0" w:line="225" w:lineRule="exact"/>
        <w:rPr>
          <w:sz w:val="20"/>
          <w:szCs w:val="20"/>
          <w:color w:val="auto"/>
        </w:rPr>
      </w:pPr>
    </w:p>
    <w:p>
      <w:pPr>
        <w:ind w:left="3760"/>
        <w:spacing w:after="0"/>
        <w:rPr>
          <w:sz w:val="20"/>
          <w:szCs w:val="20"/>
          <w:color w:val="auto"/>
        </w:rPr>
      </w:pPr>
      <w:r>
        <w:rPr>
          <w:rFonts w:ascii="Arial" w:cs="Arial" w:eastAsia="Arial" w:hAnsi="Arial"/>
          <w:sz w:val="18"/>
          <w:szCs w:val="18"/>
          <w:b w:val="1"/>
          <w:bCs w:val="1"/>
          <w:color w:val="auto"/>
        </w:rPr>
        <w:t>(In thousands, except share and per share amounts)</w:t>
      </w:r>
    </w:p>
    <w:p>
      <w:pPr>
        <w:spacing w:after="0" w:line="281" w:lineRule="exact"/>
        <w:rPr>
          <w:sz w:val="20"/>
          <w:szCs w:val="20"/>
          <w:color w:val="auto"/>
        </w:rPr>
      </w:pPr>
    </w:p>
    <w:tbl>
      <w:tblPr>
        <w:tblLayout w:type="fixed"/>
        <w:tblInd w:w="114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62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300" w:type="dxa"/>
            <w:vAlign w:val="bottom"/>
            <w:gridSpan w:val="2"/>
          </w:tcPr>
          <w:p>
            <w:pPr>
              <w:jc w:val="right"/>
              <w:ind w:right="200"/>
              <w:spacing w:after="0"/>
              <w:rPr>
                <w:sz w:val="20"/>
                <w:szCs w:val="20"/>
                <w:color w:val="auto"/>
              </w:rPr>
            </w:pPr>
            <w:r>
              <w:rPr>
                <w:rFonts w:ascii="Arial" w:cs="Arial" w:eastAsia="Arial" w:hAnsi="Arial"/>
                <w:sz w:val="14"/>
                <w:szCs w:val="14"/>
                <w:b w:val="1"/>
                <w:bCs w:val="1"/>
                <w:color w:val="auto"/>
                <w:w w:val="85"/>
              </w:rPr>
              <w:t>December 31, 2010</w:t>
            </w: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360" w:type="dxa"/>
            <w:vAlign w:val="bottom"/>
            <w:gridSpan w:val="2"/>
          </w:tcPr>
          <w:p>
            <w:pPr>
              <w:jc w:val="right"/>
              <w:ind w:right="260"/>
              <w:spacing w:after="0"/>
              <w:rPr>
                <w:sz w:val="20"/>
                <w:szCs w:val="20"/>
                <w:color w:val="auto"/>
              </w:rPr>
            </w:pPr>
            <w:r>
              <w:rPr>
                <w:rFonts w:ascii="Arial" w:cs="Arial" w:eastAsia="Arial" w:hAnsi="Arial"/>
                <w:sz w:val="14"/>
                <w:szCs w:val="14"/>
                <w:b w:val="1"/>
                <w:bCs w:val="1"/>
                <w:color w:val="auto"/>
                <w:w w:val="85"/>
              </w:rPr>
              <w:t>December 31, 2009</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2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ASSETS</w:t>
            </w:r>
          </w:p>
        </w:tc>
        <w:tc>
          <w:tcPr>
            <w:tcW w:w="80" w:type="dxa"/>
            <w:vAlign w:val="bottom"/>
            <w:tcBorders>
              <w:top w:val="single" w:sz="8" w:color="auto"/>
            </w:tcBorders>
            <w:shd w:val="clear" w:color="auto" w:fill="CCEEFF"/>
          </w:tcPr>
          <w:p>
            <w:pPr>
              <w:spacing w:after="0"/>
              <w:rPr>
                <w:sz w:val="18"/>
                <w:szCs w:val="18"/>
                <w:color w:val="auto"/>
              </w:rPr>
            </w:pPr>
          </w:p>
        </w:tc>
        <w:tc>
          <w:tcPr>
            <w:tcW w:w="120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1200" w:type="dxa"/>
            <w:vAlign w:val="bottom"/>
            <w:tcBorders>
              <w:top w:val="single" w:sz="8" w:color="auto"/>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40" w:type="dxa"/>
            <w:vAlign w:val="bottom"/>
          </w:tcPr>
          <w:p>
            <w:pPr>
              <w:spacing w:after="0"/>
              <w:rPr>
                <w:sz w:val="20"/>
                <w:szCs w:val="20"/>
                <w:color w:val="auto"/>
              </w:rPr>
            </w:pPr>
            <w:r>
              <w:rPr>
                <w:rFonts w:ascii="Arial" w:cs="Arial" w:eastAsia="Arial" w:hAnsi="Arial"/>
                <w:sz w:val="18"/>
                <w:szCs w:val="18"/>
                <w:color w:val="auto"/>
              </w:rPr>
              <w:t>Current Assets:</w:t>
            </w:r>
          </w:p>
        </w:tc>
        <w:tc>
          <w:tcPr>
            <w:tcW w:w="8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40" w:type="dxa"/>
            <w:vAlign w:val="bottom"/>
            <w:shd w:val="clear" w:color="auto" w:fill="CCEEFF"/>
          </w:tcPr>
          <w:p>
            <w:pPr>
              <w:ind w:left="120"/>
              <w:spacing w:after="0"/>
              <w:rPr>
                <w:sz w:val="20"/>
                <w:szCs w:val="20"/>
                <w:color w:val="auto"/>
              </w:rPr>
            </w:pPr>
            <w:r>
              <w:rPr>
                <w:rFonts w:ascii="Arial" w:cs="Arial" w:eastAsia="Arial" w:hAnsi="Arial"/>
                <w:sz w:val="18"/>
                <w:szCs w:val="18"/>
                <w:color w:val="auto"/>
              </w:rPr>
              <w:t>Cash and Cash Equivalents</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21,287</w:t>
            </w:r>
          </w:p>
        </w:tc>
        <w:tc>
          <w:tcPr>
            <w:tcW w:w="100" w:type="dxa"/>
            <w:vAlign w:val="bottom"/>
            <w:shd w:val="clear" w:color="auto" w:fill="CCEEFF"/>
          </w:tcPr>
          <w:p>
            <w:pPr>
              <w:spacing w:after="0"/>
              <w:rPr>
                <w:sz w:val="18"/>
                <w:szCs w:val="18"/>
                <w:color w:val="auto"/>
              </w:rPr>
            </w:pPr>
          </w:p>
        </w:tc>
        <w:tc>
          <w:tcPr>
            <w:tcW w:w="1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57,002</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40" w:type="dxa"/>
            <w:vAlign w:val="bottom"/>
          </w:tcPr>
          <w:p>
            <w:pPr>
              <w:ind w:left="120"/>
              <w:spacing w:after="0"/>
              <w:rPr>
                <w:sz w:val="20"/>
                <w:szCs w:val="20"/>
                <w:color w:val="auto"/>
              </w:rPr>
            </w:pPr>
            <w:r>
              <w:rPr>
                <w:rFonts w:ascii="Arial" w:cs="Arial" w:eastAsia="Arial" w:hAnsi="Arial"/>
                <w:sz w:val="18"/>
                <w:szCs w:val="18"/>
                <w:color w:val="auto"/>
              </w:rPr>
              <w:t>Marketable Securities</w:t>
            </w:r>
          </w:p>
        </w:tc>
        <w:tc>
          <w:tcPr>
            <w:tcW w:w="8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39,811</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25,451</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40" w:type="dxa"/>
            <w:vAlign w:val="bottom"/>
            <w:shd w:val="clear" w:color="auto" w:fill="CCEEFF"/>
          </w:tcPr>
          <w:p>
            <w:pPr>
              <w:ind w:left="120"/>
              <w:spacing w:after="0"/>
              <w:rPr>
                <w:sz w:val="20"/>
                <w:szCs w:val="20"/>
                <w:color w:val="auto"/>
              </w:rPr>
            </w:pPr>
            <w:r>
              <w:rPr>
                <w:rFonts w:ascii="Arial" w:cs="Arial" w:eastAsia="Arial" w:hAnsi="Arial"/>
                <w:sz w:val="18"/>
                <w:szCs w:val="18"/>
                <w:color w:val="auto"/>
              </w:rPr>
              <w:t>Accounts and Other Receivables</w:t>
            </w:r>
          </w:p>
        </w:tc>
        <w:tc>
          <w:tcPr>
            <w:tcW w:w="8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324</w:t>
            </w: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544</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6240" w:type="dxa"/>
            <w:vAlign w:val="bottom"/>
          </w:tcPr>
          <w:p>
            <w:pPr>
              <w:ind w:left="120"/>
              <w:spacing w:after="0"/>
              <w:rPr>
                <w:sz w:val="20"/>
                <w:szCs w:val="20"/>
                <w:color w:val="auto"/>
              </w:rPr>
            </w:pPr>
            <w:r>
              <w:rPr>
                <w:rFonts w:ascii="Arial" w:cs="Arial" w:eastAsia="Arial" w:hAnsi="Arial"/>
                <w:sz w:val="18"/>
                <w:szCs w:val="18"/>
                <w:color w:val="auto"/>
              </w:rPr>
              <w:t>Prepaid and Other Current Assets</w:t>
            </w:r>
          </w:p>
        </w:tc>
        <w:tc>
          <w:tcPr>
            <w:tcW w:w="8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1,525</w:t>
            </w:r>
          </w:p>
        </w:tc>
        <w:tc>
          <w:tcPr>
            <w:tcW w:w="1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979</w:t>
            </w:r>
          </w:p>
        </w:tc>
        <w:tc>
          <w:tcPr>
            <w:tcW w:w="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62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240" w:type="dxa"/>
            <w:vAlign w:val="bottom"/>
            <w:shd w:val="clear" w:color="auto" w:fill="CCEEFF"/>
          </w:tcPr>
          <w:p>
            <w:pPr>
              <w:ind w:left="260"/>
              <w:spacing w:after="0"/>
              <w:rPr>
                <w:sz w:val="20"/>
                <w:szCs w:val="20"/>
                <w:color w:val="auto"/>
              </w:rPr>
            </w:pPr>
            <w:r>
              <w:rPr>
                <w:rFonts w:ascii="Arial" w:cs="Arial" w:eastAsia="Arial" w:hAnsi="Arial"/>
                <w:sz w:val="18"/>
                <w:szCs w:val="18"/>
                <w:color w:val="auto"/>
              </w:rPr>
              <w:t>Total Current Assets</w:t>
            </w:r>
          </w:p>
        </w:tc>
        <w:tc>
          <w:tcPr>
            <w:tcW w:w="8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62,947</w:t>
            </w: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83,976</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6260" w:type="dxa"/>
            <w:vAlign w:val="bottom"/>
            <w:gridSpan w:val="2"/>
            <w:vMerge w:val="restart"/>
          </w:tcPr>
          <w:p>
            <w:pPr>
              <w:spacing w:after="0"/>
              <w:rPr>
                <w:sz w:val="20"/>
                <w:szCs w:val="20"/>
                <w:color w:val="auto"/>
              </w:rPr>
            </w:pPr>
            <w:r>
              <w:rPr>
                <w:rFonts w:ascii="Arial" w:cs="Arial" w:eastAsia="Arial" w:hAnsi="Arial"/>
                <w:sz w:val="18"/>
                <w:szCs w:val="18"/>
                <w:color w:val="auto"/>
              </w:rPr>
              <w:t>Property and Equipment, Net</w:t>
            </w:r>
          </w:p>
        </w:tc>
        <w:tc>
          <w:tcPr>
            <w:tcW w:w="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10"/>
        </w:trPr>
        <w:tc>
          <w:tcPr>
            <w:tcW w:w="6260" w:type="dxa"/>
            <w:vAlign w:val="bottom"/>
            <w:gridSpan w:val="2"/>
            <w:vMerge w:val="continue"/>
          </w:tcPr>
          <w:p>
            <w:pPr>
              <w:spacing w:after="0"/>
              <w:rPr>
                <w:sz w:val="18"/>
                <w:szCs w:val="18"/>
                <w:color w:val="auto"/>
              </w:rPr>
            </w:pPr>
          </w:p>
        </w:tc>
        <w:tc>
          <w:tcPr>
            <w:tcW w:w="8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10,832</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11,489</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40" w:type="dxa"/>
            <w:vAlign w:val="bottom"/>
            <w:shd w:val="clear" w:color="auto" w:fill="CCEEFF"/>
          </w:tcPr>
          <w:p>
            <w:pPr>
              <w:spacing w:after="0"/>
              <w:rPr>
                <w:sz w:val="20"/>
                <w:szCs w:val="20"/>
                <w:color w:val="auto"/>
              </w:rPr>
            </w:pPr>
            <w:r>
              <w:rPr>
                <w:rFonts w:ascii="Arial" w:cs="Arial" w:eastAsia="Arial" w:hAnsi="Arial"/>
                <w:sz w:val="18"/>
                <w:szCs w:val="18"/>
                <w:color w:val="auto"/>
              </w:rPr>
              <w:t>Intangible Assets, Net</w:t>
            </w:r>
          </w:p>
        </w:tc>
        <w:tc>
          <w:tcPr>
            <w:tcW w:w="8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26,836</w:t>
            </w: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29,979</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40" w:type="dxa"/>
            <w:vAlign w:val="bottom"/>
          </w:tcPr>
          <w:p>
            <w:pPr>
              <w:spacing w:after="0"/>
              <w:rPr>
                <w:sz w:val="20"/>
                <w:szCs w:val="20"/>
                <w:color w:val="auto"/>
              </w:rPr>
            </w:pPr>
            <w:r>
              <w:rPr>
                <w:rFonts w:ascii="Arial" w:cs="Arial" w:eastAsia="Arial" w:hAnsi="Arial"/>
                <w:sz w:val="18"/>
                <w:szCs w:val="18"/>
                <w:color w:val="auto"/>
              </w:rPr>
              <w:t>Goodwill</w:t>
            </w:r>
          </w:p>
        </w:tc>
        <w:tc>
          <w:tcPr>
            <w:tcW w:w="8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8,965</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8,965</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40" w:type="dxa"/>
            <w:vAlign w:val="bottom"/>
            <w:shd w:val="clear" w:color="auto" w:fill="CCEEFF"/>
          </w:tcPr>
          <w:p>
            <w:pPr>
              <w:spacing w:after="0"/>
              <w:rPr>
                <w:sz w:val="20"/>
                <w:szCs w:val="20"/>
                <w:color w:val="auto"/>
              </w:rPr>
            </w:pPr>
            <w:r>
              <w:rPr>
                <w:rFonts w:ascii="Arial" w:cs="Arial" w:eastAsia="Arial" w:hAnsi="Arial"/>
                <w:sz w:val="18"/>
                <w:szCs w:val="18"/>
                <w:color w:val="auto"/>
              </w:rPr>
              <w:t>Other Assets</w:t>
            </w:r>
          </w:p>
        </w:tc>
        <w:tc>
          <w:tcPr>
            <w:tcW w:w="8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363</w:t>
            </w: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5,955</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6240" w:type="dxa"/>
            <w:vAlign w:val="bottom"/>
            <w:vMerge w:val="restart"/>
          </w:tcPr>
          <w:p>
            <w:pPr>
              <w:ind w:left="260"/>
              <w:spacing w:after="0"/>
              <w:rPr>
                <w:sz w:val="20"/>
                <w:szCs w:val="20"/>
                <w:color w:val="auto"/>
              </w:rPr>
            </w:pPr>
            <w:r>
              <w:rPr>
                <w:rFonts w:ascii="Arial" w:cs="Arial" w:eastAsia="Arial" w:hAnsi="Arial"/>
                <w:sz w:val="18"/>
                <w:szCs w:val="18"/>
                <w:color w:val="auto"/>
              </w:rPr>
              <w:t>Total Assets</w:t>
            </w:r>
          </w:p>
        </w:tc>
        <w:tc>
          <w:tcPr>
            <w:tcW w:w="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gridSpan w:val="2"/>
          </w:tcPr>
          <w:p>
            <w:pPr>
              <w:spacing w:after="0"/>
              <w:rPr>
                <w:sz w:val="2"/>
                <w:szCs w:val="2"/>
                <w:color w:val="auto"/>
              </w:rPr>
            </w:pPr>
          </w:p>
        </w:tc>
        <w:tc>
          <w:tcPr>
            <w:tcW w:w="1200" w:type="dxa"/>
            <w:vAlign w:val="bottom"/>
          </w:tcPr>
          <w:p>
            <w:pPr>
              <w:spacing w:after="0"/>
              <w:rPr>
                <w:sz w:val="2"/>
                <w:szCs w:val="2"/>
                <w:color w:val="auto"/>
              </w:rPr>
            </w:pPr>
          </w:p>
        </w:tc>
        <w:tc>
          <w:tcPr>
            <w:tcW w:w="1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40" w:type="dxa"/>
            <w:vAlign w:val="bottom"/>
            <w:vMerge w:val="continue"/>
          </w:tcPr>
          <w:p>
            <w:pPr>
              <w:spacing w:after="0"/>
              <w:rPr>
                <w:sz w:val="18"/>
                <w:szCs w:val="18"/>
                <w:color w:val="auto"/>
              </w:rPr>
            </w:pPr>
          </w:p>
        </w:tc>
        <w:tc>
          <w:tcPr>
            <w:tcW w:w="8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2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109,943</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2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140,364</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62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2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tcPr>
          <w:p>
            <w:pPr>
              <w:spacing w:after="0"/>
              <w:rPr>
                <w:sz w:val="17"/>
                <w:szCs w:val="17"/>
                <w:color w:val="auto"/>
              </w:rPr>
            </w:pPr>
          </w:p>
        </w:tc>
        <w:tc>
          <w:tcPr>
            <w:tcW w:w="6240" w:type="dxa"/>
            <w:vAlign w:val="bottom"/>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LIABILITIES AND STOCKHOLDERS' EQUITY</w:t>
            </w:r>
          </w:p>
        </w:tc>
        <w:tc>
          <w:tcPr>
            <w:tcW w:w="8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40" w:type="dxa"/>
            <w:vAlign w:val="bottom"/>
          </w:tcPr>
          <w:p>
            <w:pPr>
              <w:spacing w:after="0"/>
              <w:rPr>
                <w:sz w:val="20"/>
                <w:szCs w:val="20"/>
                <w:color w:val="auto"/>
              </w:rPr>
            </w:pPr>
            <w:r>
              <w:rPr>
                <w:rFonts w:ascii="Arial" w:cs="Arial" w:eastAsia="Arial" w:hAnsi="Arial"/>
                <w:sz w:val="18"/>
                <w:szCs w:val="18"/>
                <w:color w:val="auto"/>
              </w:rPr>
              <w:t>Current Liabilities:</w:t>
            </w:r>
          </w:p>
        </w:tc>
        <w:tc>
          <w:tcPr>
            <w:tcW w:w="8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40" w:type="dxa"/>
            <w:vAlign w:val="bottom"/>
            <w:shd w:val="clear" w:color="auto" w:fill="CCEEFF"/>
          </w:tcPr>
          <w:p>
            <w:pPr>
              <w:ind w:left="120"/>
              <w:spacing w:after="0"/>
              <w:rPr>
                <w:sz w:val="20"/>
                <w:szCs w:val="20"/>
                <w:color w:val="auto"/>
              </w:rPr>
            </w:pPr>
            <w:r>
              <w:rPr>
                <w:rFonts w:ascii="Arial" w:cs="Arial" w:eastAsia="Arial" w:hAnsi="Arial"/>
                <w:sz w:val="18"/>
                <w:szCs w:val="18"/>
                <w:color w:val="auto"/>
              </w:rPr>
              <w:t>Accounts Payable</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931</w:t>
            </w:r>
          </w:p>
        </w:tc>
        <w:tc>
          <w:tcPr>
            <w:tcW w:w="100" w:type="dxa"/>
            <w:vAlign w:val="bottom"/>
            <w:shd w:val="clear" w:color="auto" w:fill="CCEEFF"/>
          </w:tcPr>
          <w:p>
            <w:pPr>
              <w:spacing w:after="0"/>
              <w:rPr>
                <w:sz w:val="18"/>
                <w:szCs w:val="18"/>
                <w:color w:val="auto"/>
              </w:rPr>
            </w:pPr>
          </w:p>
        </w:tc>
        <w:tc>
          <w:tcPr>
            <w:tcW w:w="1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1,445</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40" w:type="dxa"/>
            <w:vAlign w:val="bottom"/>
          </w:tcPr>
          <w:p>
            <w:pPr>
              <w:ind w:left="120"/>
              <w:spacing w:after="0"/>
              <w:rPr>
                <w:sz w:val="20"/>
                <w:szCs w:val="20"/>
                <w:color w:val="auto"/>
              </w:rPr>
            </w:pPr>
            <w:r>
              <w:rPr>
                <w:rFonts w:ascii="Arial" w:cs="Arial" w:eastAsia="Arial" w:hAnsi="Arial"/>
                <w:sz w:val="18"/>
                <w:szCs w:val="18"/>
                <w:color w:val="auto"/>
              </w:rPr>
              <w:t>Accrued Expenses</w:t>
            </w:r>
          </w:p>
        </w:tc>
        <w:tc>
          <w:tcPr>
            <w:tcW w:w="8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4,936</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5,615</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40" w:type="dxa"/>
            <w:vAlign w:val="bottom"/>
            <w:shd w:val="clear" w:color="auto" w:fill="CCEEFF"/>
          </w:tcPr>
          <w:p>
            <w:pPr>
              <w:ind w:left="120"/>
              <w:spacing w:after="0"/>
              <w:rPr>
                <w:sz w:val="20"/>
                <w:szCs w:val="20"/>
                <w:color w:val="auto"/>
              </w:rPr>
            </w:pPr>
            <w:r>
              <w:rPr>
                <w:rFonts w:ascii="Arial" w:cs="Arial" w:eastAsia="Arial" w:hAnsi="Arial"/>
                <w:sz w:val="18"/>
                <w:szCs w:val="18"/>
                <w:color w:val="auto"/>
              </w:rPr>
              <w:t>Current Portion of Deferred Revenue</w:t>
            </w:r>
          </w:p>
        </w:tc>
        <w:tc>
          <w:tcPr>
            <w:tcW w:w="8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5,191</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40" w:type="dxa"/>
            <w:vAlign w:val="bottom"/>
          </w:tcPr>
          <w:p>
            <w:pPr>
              <w:ind w:left="120"/>
              <w:spacing w:after="0"/>
              <w:rPr>
                <w:sz w:val="20"/>
                <w:szCs w:val="20"/>
                <w:color w:val="auto"/>
              </w:rPr>
            </w:pPr>
            <w:r>
              <w:rPr>
                <w:rFonts w:ascii="Arial" w:cs="Arial" w:eastAsia="Arial" w:hAnsi="Arial"/>
                <w:sz w:val="18"/>
                <w:szCs w:val="18"/>
                <w:color w:val="auto"/>
              </w:rPr>
              <w:t>Current Portion of Long-Term Liabilities</w:t>
            </w:r>
          </w:p>
        </w:tc>
        <w:tc>
          <w:tcPr>
            <w:tcW w:w="8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818</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2,156</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40" w:type="dxa"/>
            <w:vAlign w:val="bottom"/>
            <w:shd w:val="clear" w:color="auto" w:fill="CCEEFF"/>
          </w:tcPr>
          <w:p>
            <w:pPr>
              <w:ind w:left="120"/>
              <w:spacing w:after="0"/>
              <w:rPr>
                <w:sz w:val="20"/>
                <w:szCs w:val="20"/>
                <w:color w:val="auto"/>
              </w:rPr>
            </w:pPr>
            <w:r>
              <w:rPr>
                <w:rFonts w:ascii="Arial" w:cs="Arial" w:eastAsia="Arial" w:hAnsi="Arial"/>
                <w:sz w:val="18"/>
                <w:szCs w:val="18"/>
                <w:color w:val="auto"/>
              </w:rPr>
              <w:t>Current Portion of Term Loan</w:t>
            </w:r>
          </w:p>
        </w:tc>
        <w:tc>
          <w:tcPr>
            <w:tcW w:w="8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1,111</w:t>
            </w: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6240" w:type="dxa"/>
            <w:vAlign w:val="bottom"/>
          </w:tcPr>
          <w:p>
            <w:pPr>
              <w:ind w:left="120"/>
              <w:spacing w:after="0"/>
              <w:rPr>
                <w:sz w:val="20"/>
                <w:szCs w:val="20"/>
                <w:color w:val="auto"/>
              </w:rPr>
            </w:pPr>
            <w:r>
              <w:rPr>
                <w:rFonts w:ascii="Arial" w:cs="Arial" w:eastAsia="Arial" w:hAnsi="Arial"/>
                <w:sz w:val="18"/>
                <w:szCs w:val="18"/>
                <w:color w:val="auto"/>
              </w:rPr>
              <w:t>Convertible Subordinated Debt</w:t>
            </w:r>
          </w:p>
        </w:tc>
        <w:tc>
          <w:tcPr>
            <w:tcW w:w="8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12,412</w:t>
            </w:r>
          </w:p>
        </w:tc>
        <w:tc>
          <w:tcPr>
            <w:tcW w:w="1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3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62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240" w:type="dxa"/>
            <w:vAlign w:val="bottom"/>
            <w:shd w:val="clear" w:color="auto" w:fill="CCEEFF"/>
          </w:tcPr>
          <w:p>
            <w:pPr>
              <w:ind w:left="260"/>
              <w:spacing w:after="0"/>
              <w:rPr>
                <w:sz w:val="20"/>
                <w:szCs w:val="20"/>
                <w:color w:val="auto"/>
              </w:rPr>
            </w:pPr>
            <w:r>
              <w:rPr>
                <w:rFonts w:ascii="Arial" w:cs="Arial" w:eastAsia="Arial" w:hAnsi="Arial"/>
                <w:sz w:val="18"/>
                <w:szCs w:val="18"/>
                <w:color w:val="auto"/>
              </w:rPr>
              <w:t>Total Current Liabilities</w:t>
            </w:r>
          </w:p>
        </w:tc>
        <w:tc>
          <w:tcPr>
            <w:tcW w:w="8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20,208</w:t>
            </w: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14,407</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6260" w:type="dxa"/>
            <w:vAlign w:val="bottom"/>
            <w:gridSpan w:val="2"/>
            <w:vMerge w:val="restart"/>
          </w:tcPr>
          <w:p>
            <w:pPr>
              <w:spacing w:after="0"/>
              <w:rPr>
                <w:sz w:val="20"/>
                <w:szCs w:val="20"/>
                <w:color w:val="auto"/>
              </w:rPr>
            </w:pPr>
            <w:r>
              <w:rPr>
                <w:rFonts w:ascii="Arial" w:cs="Arial" w:eastAsia="Arial" w:hAnsi="Arial"/>
                <w:sz w:val="18"/>
                <w:szCs w:val="18"/>
                <w:color w:val="auto"/>
              </w:rPr>
              <w:t>Deferred Revenue</w:t>
            </w:r>
          </w:p>
        </w:tc>
        <w:tc>
          <w:tcPr>
            <w:tcW w:w="80" w:type="dxa"/>
            <w:vAlign w:val="bottom"/>
          </w:tcPr>
          <w:p>
            <w:pPr>
              <w:spacing w:after="0"/>
              <w:rPr>
                <w:sz w:val="2"/>
                <w:szCs w:val="2"/>
                <w:color w:val="auto"/>
              </w:rPr>
            </w:pPr>
          </w:p>
        </w:tc>
        <w:tc>
          <w:tcPr>
            <w:tcW w:w="1300" w:type="dxa"/>
            <w:vAlign w:val="bottom"/>
            <w:gridSpan w:val="2"/>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10"/>
        </w:trPr>
        <w:tc>
          <w:tcPr>
            <w:tcW w:w="6260" w:type="dxa"/>
            <w:vAlign w:val="bottom"/>
            <w:gridSpan w:val="2"/>
            <w:vMerge w:val="continue"/>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12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12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34,191</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40" w:type="dxa"/>
            <w:vAlign w:val="bottom"/>
            <w:shd w:val="clear" w:color="auto" w:fill="CCEEFF"/>
          </w:tcPr>
          <w:p>
            <w:pPr>
              <w:spacing w:after="0"/>
              <w:rPr>
                <w:sz w:val="20"/>
                <w:szCs w:val="20"/>
                <w:color w:val="auto"/>
              </w:rPr>
            </w:pPr>
            <w:r>
              <w:rPr>
                <w:rFonts w:ascii="Arial" w:cs="Arial" w:eastAsia="Arial" w:hAnsi="Arial"/>
                <w:sz w:val="18"/>
                <w:szCs w:val="18"/>
                <w:color w:val="auto"/>
              </w:rPr>
              <w:t>Convertible Subordinated Debt</w:t>
            </w:r>
          </w:p>
        </w:tc>
        <w:tc>
          <w:tcPr>
            <w:tcW w:w="8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11,684</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40" w:type="dxa"/>
            <w:vAlign w:val="bottom"/>
          </w:tcPr>
          <w:p>
            <w:pPr>
              <w:spacing w:after="0"/>
              <w:rPr>
                <w:sz w:val="20"/>
                <w:szCs w:val="20"/>
                <w:color w:val="auto"/>
              </w:rPr>
            </w:pPr>
            <w:r>
              <w:rPr>
                <w:rFonts w:ascii="Arial" w:cs="Arial" w:eastAsia="Arial" w:hAnsi="Arial"/>
                <w:sz w:val="18"/>
                <w:szCs w:val="18"/>
                <w:color w:val="auto"/>
              </w:rPr>
              <w:t>Term Loan, less Current Portion</w:t>
            </w:r>
          </w:p>
        </w:tc>
        <w:tc>
          <w:tcPr>
            <w:tcW w:w="8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8,889</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3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40" w:type="dxa"/>
            <w:vAlign w:val="bottom"/>
            <w:shd w:val="clear" w:color="auto" w:fill="CCEEFF"/>
          </w:tcPr>
          <w:p>
            <w:pPr>
              <w:spacing w:after="0"/>
              <w:rPr>
                <w:sz w:val="20"/>
                <w:szCs w:val="20"/>
                <w:color w:val="auto"/>
              </w:rPr>
            </w:pPr>
            <w:r>
              <w:rPr>
                <w:rFonts w:ascii="Arial" w:cs="Arial" w:eastAsia="Arial" w:hAnsi="Arial"/>
                <w:sz w:val="18"/>
                <w:szCs w:val="18"/>
                <w:color w:val="auto"/>
              </w:rPr>
              <w:t>Other Long-Term Liabilities</w:t>
            </w:r>
          </w:p>
        </w:tc>
        <w:tc>
          <w:tcPr>
            <w:tcW w:w="8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5,591</w:t>
            </w: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6,315</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6240" w:type="dxa"/>
            <w:vAlign w:val="bottom"/>
            <w:vMerge w:val="restart"/>
          </w:tcPr>
          <w:p>
            <w:pPr>
              <w:ind w:left="260"/>
              <w:spacing w:after="0"/>
              <w:rPr>
                <w:sz w:val="20"/>
                <w:szCs w:val="20"/>
                <w:color w:val="auto"/>
              </w:rPr>
            </w:pPr>
            <w:r>
              <w:rPr>
                <w:rFonts w:ascii="Arial" w:cs="Arial" w:eastAsia="Arial" w:hAnsi="Arial"/>
                <w:sz w:val="18"/>
                <w:szCs w:val="18"/>
                <w:color w:val="auto"/>
              </w:rPr>
              <w:t>Total Liabilities</w:t>
            </w:r>
          </w:p>
        </w:tc>
        <w:tc>
          <w:tcPr>
            <w:tcW w:w="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4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34,688</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66,597</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62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240" w:type="dxa"/>
            <w:vAlign w:val="bottom"/>
            <w:shd w:val="clear" w:color="auto" w:fill="CCEEFF"/>
          </w:tcPr>
          <w:p>
            <w:pPr>
              <w:spacing w:after="0"/>
              <w:rPr>
                <w:sz w:val="20"/>
                <w:szCs w:val="20"/>
                <w:color w:val="auto"/>
              </w:rPr>
            </w:pPr>
            <w:r>
              <w:rPr>
                <w:rFonts w:ascii="Arial" w:cs="Arial" w:eastAsia="Arial" w:hAnsi="Arial"/>
                <w:sz w:val="18"/>
                <w:szCs w:val="18"/>
                <w:color w:val="auto"/>
              </w:rPr>
              <w:t>Commitments and Contingent Liabilities (Notes 14 and 16)</w:t>
            </w:r>
          </w:p>
        </w:tc>
        <w:tc>
          <w:tcPr>
            <w:tcW w:w="8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431"/>
        </w:trPr>
        <w:tc>
          <w:tcPr>
            <w:tcW w:w="6260" w:type="dxa"/>
            <w:vAlign w:val="bottom"/>
            <w:gridSpan w:val="2"/>
          </w:tcPr>
          <w:p>
            <w:pPr>
              <w:spacing w:after="0"/>
              <w:rPr>
                <w:sz w:val="20"/>
                <w:szCs w:val="20"/>
                <w:color w:val="auto"/>
              </w:rPr>
            </w:pPr>
            <w:r>
              <w:rPr>
                <w:rFonts w:ascii="Arial" w:cs="Arial" w:eastAsia="Arial" w:hAnsi="Arial"/>
                <w:sz w:val="18"/>
                <w:szCs w:val="18"/>
                <w:color w:val="auto"/>
              </w:rPr>
              <w:t>Stockholders' Equity:</w:t>
            </w:r>
          </w:p>
        </w:tc>
        <w:tc>
          <w:tcPr>
            <w:tcW w:w="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6240" w:type="dxa"/>
            <w:vAlign w:val="bottom"/>
            <w:shd w:val="clear" w:color="auto" w:fill="CCEEFF"/>
          </w:tcPr>
          <w:p>
            <w:pPr>
              <w:ind w:left="120"/>
              <w:spacing w:after="0"/>
              <w:rPr>
                <w:sz w:val="20"/>
                <w:szCs w:val="20"/>
                <w:color w:val="auto"/>
              </w:rPr>
            </w:pPr>
            <w:r>
              <w:rPr>
                <w:rFonts w:ascii="Arial" w:cs="Arial" w:eastAsia="Arial" w:hAnsi="Arial"/>
                <w:sz w:val="18"/>
                <w:szCs w:val="18"/>
                <w:color w:val="auto"/>
                <w:w w:val="97"/>
              </w:rPr>
              <w:t>Convertible Preferred Stock, $.01 Par Value; 3,000,000 Shares Authorized; No</w:t>
            </w:r>
          </w:p>
        </w:tc>
        <w:tc>
          <w:tcPr>
            <w:tcW w:w="8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6240" w:type="dxa"/>
            <w:vAlign w:val="bottom"/>
            <w:shd w:val="clear" w:color="auto" w:fill="CCEEFF"/>
          </w:tcPr>
          <w:p>
            <w:pPr>
              <w:ind w:left="300"/>
              <w:spacing w:after="0"/>
              <w:rPr>
                <w:sz w:val="20"/>
                <w:szCs w:val="20"/>
                <w:color w:val="auto"/>
              </w:rPr>
            </w:pPr>
            <w:r>
              <w:rPr>
                <w:rFonts w:ascii="Arial" w:cs="Arial" w:eastAsia="Arial" w:hAnsi="Arial"/>
                <w:sz w:val="18"/>
                <w:szCs w:val="18"/>
                <w:color w:val="auto"/>
              </w:rPr>
              <w:t>Shares Issued and Outstanding at December 31, 2010 and 2009</w:t>
            </w:r>
          </w:p>
        </w:tc>
        <w:tc>
          <w:tcPr>
            <w:tcW w:w="80" w:type="dxa"/>
            <w:vAlign w:val="bottom"/>
            <w:shd w:val="clear" w:color="auto" w:fill="CCEEFF"/>
          </w:tcPr>
          <w:p>
            <w:pPr>
              <w:spacing w:after="0"/>
              <w:rPr>
                <w:sz w:val="19"/>
                <w:szCs w:val="19"/>
                <w:color w:val="auto"/>
              </w:rPr>
            </w:pPr>
          </w:p>
        </w:tc>
        <w:tc>
          <w:tcPr>
            <w:tcW w:w="13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3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6240" w:type="dxa"/>
            <w:vAlign w:val="bottom"/>
          </w:tcPr>
          <w:p>
            <w:pPr>
              <w:ind w:left="120"/>
              <w:spacing w:after="0"/>
              <w:rPr>
                <w:sz w:val="20"/>
                <w:szCs w:val="20"/>
                <w:color w:val="auto"/>
              </w:rPr>
            </w:pPr>
            <w:r>
              <w:rPr>
                <w:rFonts w:ascii="Arial" w:cs="Arial" w:eastAsia="Arial" w:hAnsi="Arial"/>
                <w:sz w:val="18"/>
                <w:szCs w:val="18"/>
                <w:color w:val="auto"/>
                <w:w w:val="92"/>
              </w:rPr>
              <w:t>Common Stock, $.001 Par Value; 297,000,000 Shares Authorized; 32,055,382 and</w:t>
            </w:r>
          </w:p>
        </w:tc>
        <w:tc>
          <w:tcPr>
            <w:tcW w:w="8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40" w:type="dxa"/>
            <w:vAlign w:val="bottom"/>
          </w:tcPr>
          <w:p>
            <w:pPr>
              <w:ind w:left="300"/>
              <w:spacing w:after="0"/>
              <w:rPr>
                <w:sz w:val="20"/>
                <w:szCs w:val="20"/>
                <w:color w:val="auto"/>
              </w:rPr>
            </w:pPr>
            <w:r>
              <w:rPr>
                <w:rFonts w:ascii="Arial" w:cs="Arial" w:eastAsia="Arial" w:hAnsi="Arial"/>
                <w:sz w:val="18"/>
                <w:szCs w:val="18"/>
                <w:color w:val="auto"/>
                <w:w w:val="96"/>
              </w:rPr>
              <w:t>31,685,061 Shares Issued and Outstanding at December 31, 2010 and 2009,</w:t>
            </w:r>
          </w:p>
        </w:tc>
        <w:tc>
          <w:tcPr>
            <w:tcW w:w="8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240" w:type="dxa"/>
            <w:vAlign w:val="bottom"/>
          </w:tcPr>
          <w:p>
            <w:pPr>
              <w:ind w:left="300"/>
              <w:spacing w:after="0"/>
              <w:rPr>
                <w:sz w:val="20"/>
                <w:szCs w:val="20"/>
                <w:color w:val="auto"/>
              </w:rPr>
            </w:pPr>
            <w:r>
              <w:rPr>
                <w:rFonts w:ascii="Arial" w:cs="Arial" w:eastAsia="Arial" w:hAnsi="Arial"/>
                <w:sz w:val="18"/>
                <w:szCs w:val="18"/>
                <w:color w:val="auto"/>
              </w:rPr>
              <w:t>respectively</w:t>
            </w:r>
          </w:p>
        </w:tc>
        <w:tc>
          <w:tcPr>
            <w:tcW w:w="8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32</w:t>
            </w:r>
          </w:p>
        </w:tc>
        <w:tc>
          <w:tcPr>
            <w:tcW w:w="1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32</w:t>
            </w:r>
          </w:p>
        </w:tc>
        <w:tc>
          <w:tcPr>
            <w:tcW w:w="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6240" w:type="dxa"/>
            <w:vAlign w:val="bottom"/>
            <w:shd w:val="clear" w:color="auto" w:fill="CCEEFF"/>
          </w:tcPr>
          <w:p>
            <w:pPr>
              <w:ind w:left="120"/>
              <w:spacing w:after="0"/>
              <w:rPr>
                <w:sz w:val="20"/>
                <w:szCs w:val="20"/>
                <w:color w:val="auto"/>
              </w:rPr>
            </w:pPr>
            <w:r>
              <w:rPr>
                <w:rFonts w:ascii="Arial" w:cs="Arial" w:eastAsia="Arial" w:hAnsi="Arial"/>
                <w:sz w:val="18"/>
                <w:szCs w:val="18"/>
                <w:color w:val="auto"/>
              </w:rPr>
              <w:t>Additional Paid-In Capital</w:t>
            </w:r>
          </w:p>
        </w:tc>
        <w:tc>
          <w:tcPr>
            <w:tcW w:w="8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232,679</w:t>
            </w: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228,863</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40" w:type="dxa"/>
            <w:vAlign w:val="bottom"/>
          </w:tcPr>
          <w:p>
            <w:pPr>
              <w:ind w:left="120"/>
              <w:spacing w:after="0"/>
              <w:rPr>
                <w:sz w:val="20"/>
                <w:szCs w:val="20"/>
                <w:color w:val="auto"/>
              </w:rPr>
            </w:pPr>
            <w:r>
              <w:rPr>
                <w:rFonts w:ascii="Arial" w:cs="Arial" w:eastAsia="Arial" w:hAnsi="Arial"/>
                <w:sz w:val="18"/>
                <w:szCs w:val="18"/>
                <w:color w:val="auto"/>
              </w:rPr>
              <w:t>Accumulated Other Comprehensive Income</w:t>
            </w:r>
          </w:p>
        </w:tc>
        <w:tc>
          <w:tcPr>
            <w:tcW w:w="8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2,751</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2,546</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40" w:type="dxa"/>
            <w:vAlign w:val="bottom"/>
            <w:shd w:val="clear" w:color="auto" w:fill="CCEEFF"/>
          </w:tcPr>
          <w:p>
            <w:pPr>
              <w:ind w:left="120"/>
              <w:spacing w:after="0"/>
              <w:rPr>
                <w:sz w:val="20"/>
                <w:szCs w:val="20"/>
                <w:color w:val="auto"/>
              </w:rPr>
            </w:pPr>
            <w:r>
              <w:rPr>
                <w:rFonts w:ascii="Arial" w:cs="Arial" w:eastAsia="Arial" w:hAnsi="Arial"/>
                <w:sz w:val="18"/>
                <w:szCs w:val="18"/>
                <w:color w:val="auto"/>
              </w:rPr>
              <w:t>Accumulated Deficit</w:t>
            </w:r>
          </w:p>
        </w:tc>
        <w:tc>
          <w:tcPr>
            <w:tcW w:w="8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(160,207)</w:t>
            </w: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(157,674)</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6240" w:type="dxa"/>
            <w:vAlign w:val="bottom"/>
            <w:vMerge w:val="restart"/>
          </w:tcPr>
          <w:p>
            <w:pPr>
              <w:ind w:left="260"/>
              <w:spacing w:after="0"/>
              <w:rPr>
                <w:sz w:val="20"/>
                <w:szCs w:val="20"/>
                <w:color w:val="auto"/>
              </w:rPr>
            </w:pPr>
            <w:r>
              <w:rPr>
                <w:rFonts w:ascii="Arial" w:cs="Arial" w:eastAsia="Arial" w:hAnsi="Arial"/>
                <w:sz w:val="18"/>
                <w:szCs w:val="18"/>
                <w:color w:val="auto"/>
              </w:rPr>
              <w:t>Total Stockholders' Equity</w:t>
            </w:r>
          </w:p>
        </w:tc>
        <w:tc>
          <w:tcPr>
            <w:tcW w:w="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4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75,255</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73,767</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62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240" w:type="dxa"/>
            <w:vAlign w:val="bottom"/>
            <w:shd w:val="clear" w:color="auto" w:fill="CCEEFF"/>
          </w:tcPr>
          <w:p>
            <w:pPr>
              <w:ind w:left="260"/>
              <w:spacing w:after="0"/>
              <w:rPr>
                <w:sz w:val="20"/>
                <w:szCs w:val="20"/>
                <w:color w:val="auto"/>
              </w:rPr>
            </w:pPr>
            <w:r>
              <w:rPr>
                <w:rFonts w:ascii="Arial" w:cs="Arial" w:eastAsia="Arial" w:hAnsi="Arial"/>
                <w:sz w:val="18"/>
                <w:szCs w:val="18"/>
                <w:color w:val="auto"/>
              </w:rPr>
              <w:t>Total Liabilities and Stockholders' Equity</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109,943</w:t>
            </w:r>
          </w:p>
        </w:tc>
        <w:tc>
          <w:tcPr>
            <w:tcW w:w="100" w:type="dxa"/>
            <w:vAlign w:val="bottom"/>
            <w:shd w:val="clear" w:color="auto" w:fill="CCEEFF"/>
          </w:tcPr>
          <w:p>
            <w:pPr>
              <w:spacing w:after="0"/>
              <w:rPr>
                <w:sz w:val="18"/>
                <w:szCs w:val="18"/>
                <w:color w:val="auto"/>
              </w:rPr>
            </w:pPr>
          </w:p>
        </w:tc>
        <w:tc>
          <w:tcPr>
            <w:tcW w:w="1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140,364</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6240" w:type="dxa"/>
            <w:vAlign w:val="bottom"/>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2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8" w:lineRule="exact"/>
        <w:rPr>
          <w:sz w:val="20"/>
          <w:szCs w:val="20"/>
          <w:color w:val="auto"/>
        </w:rPr>
      </w:pPr>
    </w:p>
    <w:p>
      <w:pPr>
        <w:jc w:val="center"/>
        <w:ind w:right="-1139"/>
        <w:spacing w:after="0"/>
        <w:rPr>
          <w:sz w:val="20"/>
          <w:szCs w:val="20"/>
          <w:color w:val="auto"/>
        </w:rPr>
      </w:pPr>
      <w:r>
        <w:rPr>
          <w:rFonts w:ascii="Arial" w:cs="Arial" w:eastAsia="Arial" w:hAnsi="Arial"/>
          <w:sz w:val="18"/>
          <w:szCs w:val="18"/>
          <w:color w:val="auto"/>
        </w:rPr>
        <w:t>The accompanying notes are an integral part of the consolidated financial statements.</w:t>
      </w:r>
    </w:p>
    <w:p>
      <w:pPr>
        <w:spacing w:after="0" w:line="225"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80"/>
          </w:cols>
          <w:pgMar w:left="240" w:top="131" w:right="1379" w:bottom="1440" w:gutter="0" w:footer="0" w:header="0"/>
        </w:sectPr>
      </w:pPr>
    </w:p>
    <w:bookmarkStart w:id="69" w:name="page70"/>
    <w:bookmarkEnd w:id="69"/>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ind w:right="-1099"/>
        <w:spacing w:after="0"/>
        <w:rPr>
          <w:sz w:val="20"/>
          <w:szCs w:val="20"/>
          <w:color w:val="auto"/>
        </w:rPr>
      </w:pPr>
      <w:r>
        <w:rPr>
          <w:rFonts w:ascii="Arial" w:cs="Arial" w:eastAsia="Arial" w:hAnsi="Arial"/>
          <w:sz w:val="18"/>
          <w:szCs w:val="18"/>
          <w:b w:val="1"/>
          <w:bCs w:val="1"/>
          <w:color w:val="auto"/>
        </w:rPr>
        <w:t>CELLDEX THERAPEUTICS, INC.</w:t>
      </w:r>
    </w:p>
    <w:p>
      <w:pPr>
        <w:spacing w:after="0" w:line="225" w:lineRule="exact"/>
        <w:rPr>
          <w:sz w:val="20"/>
          <w:szCs w:val="20"/>
          <w:color w:val="auto"/>
        </w:rPr>
      </w:pPr>
    </w:p>
    <w:p>
      <w:pPr>
        <w:jc w:val="center"/>
        <w:ind w:right="-1099"/>
        <w:spacing w:after="0"/>
        <w:rPr>
          <w:sz w:val="20"/>
          <w:szCs w:val="20"/>
          <w:color w:val="auto"/>
        </w:rPr>
      </w:pPr>
      <w:r>
        <w:rPr>
          <w:rFonts w:ascii="Arial" w:cs="Arial" w:eastAsia="Arial" w:hAnsi="Arial"/>
          <w:sz w:val="18"/>
          <w:szCs w:val="18"/>
          <w:b w:val="1"/>
          <w:bCs w:val="1"/>
          <w:color w:val="auto"/>
        </w:rPr>
        <w:t>CONSOLIDATED STATEMENTS OF OPERATIONS</w:t>
      </w:r>
    </w:p>
    <w:p>
      <w:pPr>
        <w:spacing w:after="0" w:line="225" w:lineRule="exact"/>
        <w:rPr>
          <w:sz w:val="20"/>
          <w:szCs w:val="20"/>
          <w:color w:val="auto"/>
        </w:rPr>
      </w:pPr>
    </w:p>
    <w:p>
      <w:pPr>
        <w:ind w:left="4140"/>
        <w:spacing w:after="0"/>
        <w:rPr>
          <w:sz w:val="20"/>
          <w:szCs w:val="20"/>
          <w:color w:val="auto"/>
        </w:rPr>
      </w:pPr>
      <w:r>
        <w:rPr>
          <w:rFonts w:ascii="Arial" w:cs="Arial" w:eastAsia="Arial" w:hAnsi="Arial"/>
          <w:sz w:val="18"/>
          <w:szCs w:val="18"/>
          <w:b w:val="1"/>
          <w:bCs w:val="1"/>
          <w:color w:val="auto"/>
        </w:rPr>
        <w:t>(In thousands, except per share amounts)</w:t>
      </w:r>
    </w:p>
    <w:p>
      <w:pPr>
        <w:spacing w:after="0" w:line="214" w:lineRule="exact"/>
        <w:rPr>
          <w:sz w:val="20"/>
          <w:szCs w:val="20"/>
          <w:color w:val="auto"/>
        </w:rPr>
      </w:pPr>
    </w:p>
    <w:tbl>
      <w:tblPr>
        <w:tblLayout w:type="fixed"/>
        <w:tblInd w:w="114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8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360" w:type="dxa"/>
            <w:vAlign w:val="bottom"/>
            <w:gridSpan w:val="2"/>
          </w:tcPr>
          <w:p>
            <w:pPr>
              <w:jc w:val="right"/>
              <w:ind w:right="480"/>
              <w:spacing w:after="0"/>
              <w:rPr>
                <w:sz w:val="20"/>
                <w:szCs w:val="20"/>
                <w:color w:val="auto"/>
              </w:rPr>
            </w:pPr>
            <w:r>
              <w:rPr>
                <w:rFonts w:ascii="Arial" w:cs="Arial" w:eastAsia="Arial" w:hAnsi="Arial"/>
                <w:sz w:val="14"/>
                <w:szCs w:val="14"/>
                <w:b w:val="1"/>
                <w:bCs w:val="1"/>
                <w:color w:val="auto"/>
              </w:rPr>
              <w:t>Year Ended</w:t>
            </w:r>
          </w:p>
        </w:tc>
        <w:tc>
          <w:tcPr>
            <w:tcW w:w="80" w:type="dxa"/>
            <w:vAlign w:val="bottom"/>
          </w:tcPr>
          <w:p>
            <w:pPr>
              <w:spacing w:after="0"/>
              <w:rPr>
                <w:sz w:val="14"/>
                <w:szCs w:val="14"/>
                <w:color w:val="auto"/>
              </w:rPr>
            </w:pPr>
          </w:p>
        </w:tc>
        <w:tc>
          <w:tcPr>
            <w:tcW w:w="1300" w:type="dxa"/>
            <w:vAlign w:val="bottom"/>
            <w:gridSpan w:val="2"/>
          </w:tcPr>
          <w:p>
            <w:pPr>
              <w:jc w:val="right"/>
              <w:ind w:right="420"/>
              <w:spacing w:after="0"/>
              <w:rPr>
                <w:sz w:val="20"/>
                <w:szCs w:val="20"/>
                <w:color w:val="auto"/>
              </w:rPr>
            </w:pPr>
            <w:r>
              <w:rPr>
                <w:rFonts w:ascii="Arial" w:cs="Arial" w:eastAsia="Arial" w:hAnsi="Arial"/>
                <w:sz w:val="14"/>
                <w:szCs w:val="14"/>
                <w:b w:val="1"/>
                <w:bCs w:val="1"/>
                <w:color w:val="auto"/>
              </w:rPr>
              <w:t>Year Ended</w:t>
            </w: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360" w:type="dxa"/>
            <w:vAlign w:val="bottom"/>
            <w:gridSpan w:val="2"/>
          </w:tcPr>
          <w:p>
            <w:pPr>
              <w:jc w:val="right"/>
              <w:ind w:right="460"/>
              <w:spacing w:after="0"/>
              <w:rPr>
                <w:sz w:val="20"/>
                <w:szCs w:val="20"/>
                <w:color w:val="auto"/>
              </w:rPr>
            </w:pPr>
            <w:r>
              <w:rPr>
                <w:rFonts w:ascii="Arial" w:cs="Arial" w:eastAsia="Arial" w:hAnsi="Arial"/>
                <w:sz w:val="14"/>
                <w:szCs w:val="14"/>
                <w:b w:val="1"/>
                <w:bCs w:val="1"/>
                <w:color w:val="auto"/>
              </w:rPr>
              <w:t>Year Ended</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48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360" w:type="dxa"/>
            <w:vAlign w:val="bottom"/>
            <w:gridSpan w:val="2"/>
          </w:tcPr>
          <w:p>
            <w:pPr>
              <w:jc w:val="right"/>
              <w:ind w:right="280"/>
              <w:spacing w:after="0"/>
              <w:rPr>
                <w:sz w:val="20"/>
                <w:szCs w:val="20"/>
                <w:color w:val="auto"/>
              </w:rPr>
            </w:pPr>
            <w:r>
              <w:rPr>
                <w:rFonts w:ascii="Arial" w:cs="Arial" w:eastAsia="Arial" w:hAnsi="Arial"/>
                <w:sz w:val="14"/>
                <w:szCs w:val="14"/>
                <w:b w:val="1"/>
                <w:bCs w:val="1"/>
                <w:color w:val="auto"/>
                <w:w w:val="84"/>
              </w:rPr>
              <w:t>December 31, 2010</w:t>
            </w:r>
          </w:p>
        </w:tc>
        <w:tc>
          <w:tcPr>
            <w:tcW w:w="80" w:type="dxa"/>
            <w:vAlign w:val="bottom"/>
          </w:tcPr>
          <w:p>
            <w:pPr>
              <w:spacing w:after="0"/>
              <w:rPr>
                <w:sz w:val="14"/>
                <w:szCs w:val="14"/>
                <w:color w:val="auto"/>
              </w:rPr>
            </w:pPr>
          </w:p>
        </w:tc>
        <w:tc>
          <w:tcPr>
            <w:tcW w:w="1300" w:type="dxa"/>
            <w:vAlign w:val="bottom"/>
            <w:gridSpan w:val="2"/>
          </w:tcPr>
          <w:p>
            <w:pPr>
              <w:jc w:val="right"/>
              <w:ind w:right="200"/>
              <w:spacing w:after="0"/>
              <w:rPr>
                <w:sz w:val="20"/>
                <w:szCs w:val="20"/>
                <w:color w:val="auto"/>
              </w:rPr>
            </w:pPr>
            <w:r>
              <w:rPr>
                <w:rFonts w:ascii="Arial" w:cs="Arial" w:eastAsia="Arial" w:hAnsi="Arial"/>
                <w:sz w:val="14"/>
                <w:szCs w:val="14"/>
                <w:b w:val="1"/>
                <w:bCs w:val="1"/>
                <w:color w:val="auto"/>
                <w:w w:val="85"/>
              </w:rPr>
              <w:t>December 31, 2009</w:t>
            </w: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360" w:type="dxa"/>
            <w:vAlign w:val="bottom"/>
            <w:gridSpan w:val="2"/>
          </w:tcPr>
          <w:p>
            <w:pPr>
              <w:jc w:val="right"/>
              <w:ind w:right="260"/>
              <w:spacing w:after="0"/>
              <w:rPr>
                <w:sz w:val="20"/>
                <w:szCs w:val="20"/>
                <w:color w:val="auto"/>
              </w:rPr>
            </w:pPr>
            <w:r>
              <w:rPr>
                <w:rFonts w:ascii="Arial" w:cs="Arial" w:eastAsia="Arial" w:hAnsi="Arial"/>
                <w:sz w:val="14"/>
                <w:szCs w:val="14"/>
                <w:b w:val="1"/>
                <w:bCs w:val="1"/>
                <w:color w:val="auto"/>
                <w:w w:val="85"/>
              </w:rPr>
              <w:t>December 31, 2008</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8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REVENUE:</w:t>
            </w:r>
          </w:p>
        </w:tc>
        <w:tc>
          <w:tcPr>
            <w:tcW w:w="80" w:type="dxa"/>
            <w:vAlign w:val="bottom"/>
            <w:tcBorders>
              <w:top w:val="single" w:sz="8" w:color="auto"/>
            </w:tcBorders>
            <w:shd w:val="clear" w:color="auto" w:fill="CCEEFF"/>
          </w:tcPr>
          <w:p>
            <w:pPr>
              <w:spacing w:after="0"/>
              <w:rPr>
                <w:sz w:val="18"/>
                <w:szCs w:val="18"/>
                <w:color w:val="auto"/>
              </w:rPr>
            </w:pPr>
          </w:p>
        </w:tc>
        <w:tc>
          <w:tcPr>
            <w:tcW w:w="1200" w:type="dxa"/>
            <w:vAlign w:val="bottom"/>
            <w:tcBorders>
              <w:top w:val="single" w:sz="8" w:color="auto"/>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120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1200" w:type="dxa"/>
            <w:vAlign w:val="bottom"/>
            <w:tcBorders>
              <w:top w:val="single" w:sz="8" w:color="auto"/>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00" w:type="dxa"/>
            <w:vAlign w:val="bottom"/>
          </w:tcPr>
          <w:p>
            <w:pPr>
              <w:spacing w:after="0"/>
              <w:rPr>
                <w:sz w:val="20"/>
                <w:szCs w:val="20"/>
                <w:color w:val="auto"/>
              </w:rPr>
            </w:pPr>
            <w:r>
              <w:rPr>
                <w:rFonts w:ascii="Arial" w:cs="Arial" w:eastAsia="Arial" w:hAnsi="Arial"/>
                <w:sz w:val="18"/>
                <w:szCs w:val="18"/>
                <w:color w:val="auto"/>
              </w:rPr>
              <w:t>Product Development and Licensing Agreements</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40,187</w:t>
            </w:r>
          </w:p>
        </w:tc>
        <w:tc>
          <w:tcPr>
            <w:tcW w:w="160" w:type="dxa"/>
            <w:vAlign w:val="bottom"/>
          </w:tcPr>
          <w:p>
            <w:pPr>
              <w:spacing w:after="0"/>
              <w:rPr>
                <w:sz w:val="18"/>
                <w:szCs w:val="18"/>
                <w:color w:val="auto"/>
              </w:rPr>
            </w:pP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5,662</w:t>
            </w:r>
          </w:p>
        </w:tc>
        <w:tc>
          <w:tcPr>
            <w:tcW w:w="100" w:type="dxa"/>
            <w:vAlign w:val="bottom"/>
          </w:tcPr>
          <w:p>
            <w:pPr>
              <w:spacing w:after="0"/>
              <w:rPr>
                <w:sz w:val="18"/>
                <w:szCs w:val="18"/>
                <w:color w:val="auto"/>
              </w:rPr>
            </w:pPr>
          </w:p>
        </w:tc>
        <w:tc>
          <w:tcPr>
            <w:tcW w:w="1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3,716</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00" w:type="dxa"/>
            <w:vAlign w:val="bottom"/>
            <w:shd w:val="clear" w:color="auto" w:fill="CCEEFF"/>
          </w:tcPr>
          <w:p>
            <w:pPr>
              <w:spacing w:after="0"/>
              <w:rPr>
                <w:sz w:val="20"/>
                <w:szCs w:val="20"/>
                <w:color w:val="auto"/>
              </w:rPr>
            </w:pPr>
            <w:r>
              <w:rPr>
                <w:rFonts w:ascii="Arial" w:cs="Arial" w:eastAsia="Arial" w:hAnsi="Arial"/>
                <w:sz w:val="18"/>
                <w:szCs w:val="18"/>
                <w:color w:val="auto"/>
              </w:rPr>
              <w:t>Contracts and Grants</w:t>
            </w:r>
          </w:p>
        </w:tc>
        <w:tc>
          <w:tcPr>
            <w:tcW w:w="8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220</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1,802</w:t>
            </w: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533</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4800" w:type="dxa"/>
            <w:vAlign w:val="bottom"/>
          </w:tcPr>
          <w:p>
            <w:pPr>
              <w:spacing w:after="0"/>
              <w:rPr>
                <w:sz w:val="20"/>
                <w:szCs w:val="20"/>
                <w:color w:val="auto"/>
              </w:rPr>
            </w:pPr>
            <w:r>
              <w:rPr>
                <w:rFonts w:ascii="Arial" w:cs="Arial" w:eastAsia="Arial" w:hAnsi="Arial"/>
                <w:sz w:val="18"/>
                <w:szCs w:val="18"/>
                <w:color w:val="auto"/>
              </w:rPr>
              <w:t>Product Royalties</w:t>
            </w:r>
          </w:p>
        </w:tc>
        <w:tc>
          <w:tcPr>
            <w:tcW w:w="8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6,386</w:t>
            </w: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7,716</w:t>
            </w:r>
          </w:p>
        </w:tc>
        <w:tc>
          <w:tcPr>
            <w:tcW w:w="1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3,207</w:t>
            </w:r>
          </w:p>
        </w:tc>
        <w:tc>
          <w:tcPr>
            <w:tcW w:w="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48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800" w:type="dxa"/>
            <w:vAlign w:val="bottom"/>
            <w:shd w:val="clear" w:color="auto" w:fill="CCEEFF"/>
          </w:tcPr>
          <w:p>
            <w:pPr>
              <w:ind w:left="120"/>
              <w:spacing w:after="0"/>
              <w:rPr>
                <w:sz w:val="20"/>
                <w:szCs w:val="20"/>
                <w:color w:val="auto"/>
              </w:rPr>
            </w:pPr>
            <w:r>
              <w:rPr>
                <w:rFonts w:ascii="Arial" w:cs="Arial" w:eastAsia="Arial" w:hAnsi="Arial"/>
                <w:sz w:val="18"/>
                <w:szCs w:val="18"/>
                <w:color w:val="auto"/>
              </w:rPr>
              <w:t>Total Revenue</w:t>
            </w:r>
          </w:p>
        </w:tc>
        <w:tc>
          <w:tcPr>
            <w:tcW w:w="8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46,793</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15,180</w:t>
            </w: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7,456</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482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OPERATING EXPENSE:</w:t>
            </w:r>
          </w:p>
        </w:tc>
        <w:tc>
          <w:tcPr>
            <w:tcW w:w="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424"/>
        </w:trPr>
        <w:tc>
          <w:tcPr>
            <w:tcW w:w="4820" w:type="dxa"/>
            <w:vAlign w:val="bottom"/>
            <w:gridSpan w:val="2"/>
            <w:vMerge w:val="continue"/>
          </w:tcPr>
          <w:p>
            <w:pPr>
              <w:spacing w:after="0"/>
              <w:rPr>
                <w:sz w:val="24"/>
                <w:szCs w:val="24"/>
                <w:color w:val="auto"/>
              </w:rPr>
            </w:pPr>
          </w:p>
        </w:tc>
        <w:tc>
          <w:tcPr>
            <w:tcW w:w="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4800" w:type="dxa"/>
            <w:vAlign w:val="bottom"/>
            <w:shd w:val="clear" w:color="auto" w:fill="CCEEFF"/>
          </w:tcPr>
          <w:p>
            <w:pPr>
              <w:spacing w:after="0"/>
              <w:rPr>
                <w:sz w:val="20"/>
                <w:szCs w:val="20"/>
                <w:color w:val="auto"/>
              </w:rPr>
            </w:pPr>
            <w:r>
              <w:rPr>
                <w:rFonts w:ascii="Arial" w:cs="Arial" w:eastAsia="Arial" w:hAnsi="Arial"/>
                <w:sz w:val="18"/>
                <w:szCs w:val="18"/>
                <w:color w:val="auto"/>
              </w:rPr>
              <w:t>Research and Development</w:t>
            </w:r>
          </w:p>
        </w:tc>
        <w:tc>
          <w:tcPr>
            <w:tcW w:w="8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27,650</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26,169</w:t>
            </w: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22,636</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00" w:type="dxa"/>
            <w:vAlign w:val="bottom"/>
          </w:tcPr>
          <w:p>
            <w:pPr>
              <w:spacing w:after="0"/>
              <w:rPr>
                <w:sz w:val="20"/>
                <w:szCs w:val="20"/>
                <w:color w:val="auto"/>
              </w:rPr>
            </w:pPr>
            <w:r>
              <w:rPr>
                <w:rFonts w:ascii="Arial" w:cs="Arial" w:eastAsia="Arial" w:hAnsi="Arial"/>
                <w:sz w:val="18"/>
                <w:szCs w:val="18"/>
                <w:color w:val="auto"/>
              </w:rPr>
              <w:t>Royalty</w:t>
            </w:r>
          </w:p>
        </w:tc>
        <w:tc>
          <w:tcPr>
            <w:tcW w:w="8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12,077</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8,397</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3,711</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00" w:type="dxa"/>
            <w:vAlign w:val="bottom"/>
            <w:shd w:val="clear" w:color="auto" w:fill="CCEEFF"/>
          </w:tcPr>
          <w:p>
            <w:pPr>
              <w:spacing w:after="0"/>
              <w:rPr>
                <w:sz w:val="20"/>
                <w:szCs w:val="20"/>
                <w:color w:val="auto"/>
              </w:rPr>
            </w:pPr>
            <w:r>
              <w:rPr>
                <w:rFonts w:ascii="Arial" w:cs="Arial" w:eastAsia="Arial" w:hAnsi="Arial"/>
                <w:sz w:val="18"/>
                <w:szCs w:val="18"/>
                <w:color w:val="auto"/>
              </w:rPr>
              <w:t>Gain on Sale of Assets</w:t>
            </w:r>
          </w:p>
        </w:tc>
        <w:tc>
          <w:tcPr>
            <w:tcW w:w="8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(50)</w:t>
            </w:r>
          </w:p>
        </w:tc>
        <w:tc>
          <w:tcPr>
            <w:tcW w:w="8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(604)</w:t>
            </w: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00" w:type="dxa"/>
            <w:vAlign w:val="bottom"/>
          </w:tcPr>
          <w:p>
            <w:pPr>
              <w:spacing w:after="0"/>
              <w:rPr>
                <w:sz w:val="20"/>
                <w:szCs w:val="20"/>
                <w:color w:val="auto"/>
              </w:rPr>
            </w:pPr>
            <w:r>
              <w:rPr>
                <w:rFonts w:ascii="Arial" w:cs="Arial" w:eastAsia="Arial" w:hAnsi="Arial"/>
                <w:sz w:val="18"/>
                <w:szCs w:val="18"/>
                <w:color w:val="auto"/>
              </w:rPr>
              <w:t>Charge for In-Process Research and Development</w:t>
            </w:r>
          </w:p>
        </w:tc>
        <w:tc>
          <w:tcPr>
            <w:tcW w:w="80" w:type="dxa"/>
            <w:vAlign w:val="bottom"/>
          </w:tcPr>
          <w:p>
            <w:pPr>
              <w:spacing w:after="0"/>
              <w:rPr>
                <w:sz w:val="18"/>
                <w:szCs w:val="18"/>
                <w:color w:val="auto"/>
              </w:rPr>
            </w:pPr>
          </w:p>
        </w:tc>
        <w:tc>
          <w:tcPr>
            <w:tcW w:w="13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3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14,756</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00" w:type="dxa"/>
            <w:vAlign w:val="bottom"/>
            <w:shd w:val="clear" w:color="auto" w:fill="CCEEFF"/>
          </w:tcPr>
          <w:p>
            <w:pPr>
              <w:spacing w:after="0"/>
              <w:rPr>
                <w:sz w:val="20"/>
                <w:szCs w:val="20"/>
                <w:color w:val="auto"/>
              </w:rPr>
            </w:pPr>
            <w:r>
              <w:rPr>
                <w:rFonts w:ascii="Arial" w:cs="Arial" w:eastAsia="Arial" w:hAnsi="Arial"/>
                <w:sz w:val="18"/>
                <w:szCs w:val="18"/>
                <w:color w:val="auto"/>
              </w:rPr>
              <w:t>General and Administrative</w:t>
            </w:r>
          </w:p>
        </w:tc>
        <w:tc>
          <w:tcPr>
            <w:tcW w:w="8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10,428</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17,119</w:t>
            </w: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14,748</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4800" w:type="dxa"/>
            <w:vAlign w:val="bottom"/>
          </w:tcPr>
          <w:p>
            <w:pPr>
              <w:spacing w:after="0"/>
              <w:rPr>
                <w:sz w:val="20"/>
                <w:szCs w:val="20"/>
                <w:color w:val="auto"/>
              </w:rPr>
            </w:pPr>
            <w:r>
              <w:rPr>
                <w:rFonts w:ascii="Arial" w:cs="Arial" w:eastAsia="Arial" w:hAnsi="Arial"/>
                <w:sz w:val="18"/>
                <w:szCs w:val="18"/>
                <w:color w:val="auto"/>
              </w:rPr>
              <w:t>Amortization of Acquired Intangible Assets</w:t>
            </w:r>
          </w:p>
        </w:tc>
        <w:tc>
          <w:tcPr>
            <w:tcW w:w="8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3,143</w:t>
            </w: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949</w:t>
            </w:r>
          </w:p>
        </w:tc>
        <w:tc>
          <w:tcPr>
            <w:tcW w:w="1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361</w:t>
            </w:r>
          </w:p>
        </w:tc>
        <w:tc>
          <w:tcPr>
            <w:tcW w:w="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48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800" w:type="dxa"/>
            <w:vAlign w:val="bottom"/>
            <w:shd w:val="clear" w:color="auto" w:fill="CCEEFF"/>
          </w:tcPr>
          <w:p>
            <w:pPr>
              <w:ind w:left="120"/>
              <w:spacing w:after="0"/>
              <w:rPr>
                <w:sz w:val="20"/>
                <w:szCs w:val="20"/>
                <w:color w:val="auto"/>
              </w:rPr>
            </w:pPr>
            <w:r>
              <w:rPr>
                <w:rFonts w:ascii="Arial" w:cs="Arial" w:eastAsia="Arial" w:hAnsi="Arial"/>
                <w:sz w:val="18"/>
                <w:szCs w:val="18"/>
                <w:color w:val="auto"/>
              </w:rPr>
              <w:t>Total Operating Expense</w:t>
            </w:r>
          </w:p>
        </w:tc>
        <w:tc>
          <w:tcPr>
            <w:tcW w:w="8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53,248</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52,030</w:t>
            </w: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56,212</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4820" w:type="dxa"/>
            <w:vAlign w:val="bottom"/>
            <w:gridSpan w:val="2"/>
            <w:vMerge w:val="restart"/>
          </w:tcPr>
          <w:p>
            <w:pPr>
              <w:spacing w:after="0"/>
              <w:rPr>
                <w:sz w:val="20"/>
                <w:szCs w:val="20"/>
                <w:color w:val="auto"/>
              </w:rPr>
            </w:pPr>
            <w:r>
              <w:rPr>
                <w:rFonts w:ascii="Arial" w:cs="Arial" w:eastAsia="Arial" w:hAnsi="Arial"/>
                <w:sz w:val="18"/>
                <w:szCs w:val="18"/>
                <w:color w:val="auto"/>
              </w:rPr>
              <w:t>Operating Loss</w:t>
            </w:r>
          </w:p>
        </w:tc>
        <w:tc>
          <w:tcPr>
            <w:tcW w:w="80" w:type="dxa"/>
            <w:vAlign w:val="bottom"/>
          </w:tcPr>
          <w:p>
            <w:pPr>
              <w:spacing w:after="0"/>
              <w:rPr>
                <w:sz w:val="2"/>
                <w:szCs w:val="2"/>
                <w:color w:val="auto"/>
              </w:rPr>
            </w:pPr>
          </w:p>
        </w:tc>
        <w:tc>
          <w:tcPr>
            <w:tcW w:w="1360" w:type="dxa"/>
            <w:vAlign w:val="bottom"/>
            <w:gridSpan w:val="2"/>
          </w:tcPr>
          <w:p>
            <w:pPr>
              <w:spacing w:after="0"/>
              <w:rPr>
                <w:sz w:val="2"/>
                <w:szCs w:val="2"/>
                <w:color w:val="auto"/>
              </w:rPr>
            </w:pPr>
          </w:p>
        </w:tc>
        <w:tc>
          <w:tcPr>
            <w:tcW w:w="80" w:type="dxa"/>
            <w:vAlign w:val="bottom"/>
          </w:tcPr>
          <w:p>
            <w:pPr>
              <w:spacing w:after="0"/>
              <w:rPr>
                <w:sz w:val="2"/>
                <w:szCs w:val="2"/>
                <w:color w:val="auto"/>
              </w:rPr>
            </w:pPr>
          </w:p>
        </w:tc>
        <w:tc>
          <w:tcPr>
            <w:tcW w:w="1300" w:type="dxa"/>
            <w:vAlign w:val="bottom"/>
            <w:gridSpan w:val="2"/>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Pr>
          <w:p>
            <w:pPr>
              <w:spacing w:after="0"/>
              <w:rPr>
                <w:sz w:val="2"/>
                <w:szCs w:val="2"/>
                <w:color w:val="auto"/>
              </w:rPr>
            </w:pPr>
          </w:p>
        </w:tc>
        <w:tc>
          <w:tcPr>
            <w:tcW w:w="1360" w:type="dxa"/>
            <w:vAlign w:val="bottom"/>
            <w:gridSpan w:val="2"/>
          </w:tcPr>
          <w:p>
            <w:pPr>
              <w:spacing w:after="0"/>
              <w:rPr>
                <w:sz w:val="2"/>
                <w:szCs w:val="2"/>
                <w:color w:val="auto"/>
              </w:rPr>
            </w:pPr>
          </w:p>
        </w:tc>
        <w:tc>
          <w:tcPr>
            <w:tcW w:w="0" w:type="dxa"/>
            <w:vAlign w:val="bottom"/>
          </w:tcPr>
          <w:p>
            <w:pPr>
              <w:spacing w:after="0"/>
              <w:rPr>
                <w:sz w:val="1"/>
                <w:szCs w:val="1"/>
                <w:color w:val="auto"/>
              </w:rPr>
            </w:pPr>
          </w:p>
        </w:tc>
      </w:tr>
      <w:tr>
        <w:trPr>
          <w:trHeight w:val="210"/>
        </w:trPr>
        <w:tc>
          <w:tcPr>
            <w:tcW w:w="4820" w:type="dxa"/>
            <w:vAlign w:val="bottom"/>
            <w:gridSpan w:val="2"/>
            <w:vMerge w:val="continue"/>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12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(6,455)</w:t>
            </w:r>
          </w:p>
        </w:tc>
        <w:tc>
          <w:tcPr>
            <w:tcW w:w="160" w:type="dxa"/>
            <w:vAlign w:val="bottom"/>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12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(36,850)</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12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(48,756)</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00" w:type="dxa"/>
            <w:vAlign w:val="bottom"/>
            <w:shd w:val="clear" w:color="auto" w:fill="CCEEFF"/>
          </w:tcPr>
          <w:p>
            <w:pPr>
              <w:spacing w:after="0"/>
              <w:rPr>
                <w:sz w:val="20"/>
                <w:szCs w:val="20"/>
                <w:color w:val="auto"/>
              </w:rPr>
            </w:pPr>
            <w:r>
              <w:rPr>
                <w:rFonts w:ascii="Arial" w:cs="Arial" w:eastAsia="Arial" w:hAnsi="Arial"/>
                <w:sz w:val="18"/>
                <w:szCs w:val="18"/>
                <w:color w:val="auto"/>
              </w:rPr>
              <w:t>Investment and Other Income, Net</w:t>
            </w:r>
          </w:p>
        </w:tc>
        <w:tc>
          <w:tcPr>
            <w:tcW w:w="8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5,259</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248</w:t>
            </w: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1,411</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4800" w:type="dxa"/>
            <w:vAlign w:val="bottom"/>
          </w:tcPr>
          <w:p>
            <w:pPr>
              <w:spacing w:after="0"/>
              <w:rPr>
                <w:sz w:val="20"/>
                <w:szCs w:val="20"/>
                <w:color w:val="auto"/>
              </w:rPr>
            </w:pPr>
            <w:r>
              <w:rPr>
                <w:rFonts w:ascii="Arial" w:cs="Arial" w:eastAsia="Arial" w:hAnsi="Arial"/>
                <w:sz w:val="18"/>
                <w:szCs w:val="18"/>
                <w:color w:val="auto"/>
              </w:rPr>
              <w:t>Interest Expense</w:t>
            </w:r>
          </w:p>
        </w:tc>
        <w:tc>
          <w:tcPr>
            <w:tcW w:w="80" w:type="dxa"/>
            <w:vAlign w:val="bottom"/>
          </w:tcPr>
          <w:p>
            <w:pPr>
              <w:spacing w:after="0"/>
              <w:rPr>
                <w:sz w:val="19"/>
                <w:szCs w:val="19"/>
                <w:color w:val="auto"/>
              </w:rPr>
            </w:pPr>
          </w:p>
        </w:tc>
        <w:tc>
          <w:tcPr>
            <w:tcW w:w="1360" w:type="dxa"/>
            <w:vAlign w:val="bottom"/>
            <w:gridSpan w:val="2"/>
          </w:tcPr>
          <w:p>
            <w:pPr>
              <w:jc w:val="right"/>
              <w:ind w:right="120"/>
              <w:spacing w:after="0"/>
              <w:rPr>
                <w:sz w:val="20"/>
                <w:szCs w:val="20"/>
                <w:color w:val="auto"/>
              </w:rPr>
            </w:pPr>
            <w:r>
              <w:rPr>
                <w:rFonts w:ascii="Arial" w:cs="Arial" w:eastAsia="Arial" w:hAnsi="Arial"/>
                <w:sz w:val="18"/>
                <w:szCs w:val="18"/>
                <w:color w:val="auto"/>
              </w:rPr>
              <w:t>(1,337)</w:t>
            </w:r>
          </w:p>
        </w:tc>
        <w:tc>
          <w:tcPr>
            <w:tcW w:w="80" w:type="dxa"/>
            <w:vAlign w:val="bottom"/>
          </w:tcPr>
          <w:p>
            <w:pPr>
              <w:spacing w:after="0"/>
              <w:rPr>
                <w:sz w:val="19"/>
                <w:szCs w:val="19"/>
                <w:color w:val="auto"/>
              </w:rPr>
            </w:pPr>
          </w:p>
        </w:tc>
        <w:tc>
          <w:tcPr>
            <w:tcW w:w="1300" w:type="dxa"/>
            <w:vAlign w:val="bottom"/>
            <w:gridSpan w:val="2"/>
          </w:tcPr>
          <w:p>
            <w:pPr>
              <w:jc w:val="right"/>
              <w:ind w:right="40"/>
              <w:spacing w:after="0"/>
              <w:rPr>
                <w:sz w:val="20"/>
                <w:szCs w:val="20"/>
                <w:color w:val="auto"/>
              </w:rPr>
            </w:pPr>
            <w:r>
              <w:rPr>
                <w:rFonts w:ascii="Arial" w:cs="Arial" w:eastAsia="Arial" w:hAnsi="Arial"/>
                <w:sz w:val="18"/>
                <w:szCs w:val="18"/>
                <w:color w:val="auto"/>
              </w:rPr>
              <w:t>(452)</w:t>
            </w:r>
          </w:p>
        </w:tc>
        <w:tc>
          <w:tcPr>
            <w:tcW w:w="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360" w:type="dxa"/>
            <w:vAlign w:val="bottom"/>
            <w:gridSpan w:val="2"/>
          </w:tcPr>
          <w:p>
            <w:pPr>
              <w:jc w:val="right"/>
              <w:ind w:right="100"/>
              <w:spacing w:after="0"/>
              <w:rPr>
                <w:sz w:val="20"/>
                <w:szCs w:val="20"/>
                <w:color w:val="auto"/>
              </w:rPr>
            </w:pPr>
            <w:r>
              <w:rPr>
                <w:rFonts w:ascii="Arial" w:cs="Arial" w:eastAsia="Arial" w:hAnsi="Arial"/>
                <w:sz w:val="18"/>
                <w:szCs w:val="18"/>
                <w:color w:val="auto"/>
              </w:rPr>
              <w:t>(156)</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48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800" w:type="dxa"/>
            <w:vAlign w:val="bottom"/>
            <w:shd w:val="clear" w:color="auto" w:fill="CCEEFF"/>
          </w:tcPr>
          <w:p>
            <w:pPr>
              <w:spacing w:after="0"/>
              <w:rPr>
                <w:sz w:val="20"/>
                <w:szCs w:val="20"/>
                <w:color w:val="auto"/>
              </w:rPr>
            </w:pPr>
            <w:r>
              <w:rPr>
                <w:rFonts w:ascii="Arial" w:cs="Arial" w:eastAsia="Arial" w:hAnsi="Arial"/>
                <w:sz w:val="18"/>
                <w:szCs w:val="18"/>
                <w:color w:val="auto"/>
              </w:rPr>
              <w:t>Net Loss Before Income Taxes</w:t>
            </w:r>
          </w:p>
        </w:tc>
        <w:tc>
          <w:tcPr>
            <w:tcW w:w="8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(2,533)</w:t>
            </w:r>
          </w:p>
        </w:tc>
        <w:tc>
          <w:tcPr>
            <w:tcW w:w="8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(37,054)</w:t>
            </w: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(47,501)</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4800" w:type="dxa"/>
            <w:vAlign w:val="bottom"/>
          </w:tcPr>
          <w:p>
            <w:pPr>
              <w:spacing w:after="0"/>
              <w:rPr>
                <w:sz w:val="20"/>
                <w:szCs w:val="20"/>
                <w:color w:val="auto"/>
              </w:rPr>
            </w:pPr>
            <w:r>
              <w:rPr>
                <w:rFonts w:ascii="Arial" w:cs="Arial" w:eastAsia="Arial" w:hAnsi="Arial"/>
                <w:sz w:val="18"/>
                <w:szCs w:val="18"/>
                <w:color w:val="auto"/>
              </w:rPr>
              <w:t>Income Tax Benefit</w:t>
            </w:r>
          </w:p>
        </w:tc>
        <w:tc>
          <w:tcPr>
            <w:tcW w:w="80" w:type="dxa"/>
            <w:vAlign w:val="bottom"/>
          </w:tcPr>
          <w:p>
            <w:pPr>
              <w:spacing w:after="0"/>
              <w:rPr>
                <w:sz w:val="19"/>
                <w:szCs w:val="19"/>
                <w:color w:val="auto"/>
              </w:rPr>
            </w:pPr>
          </w:p>
        </w:tc>
        <w:tc>
          <w:tcPr>
            <w:tcW w:w="13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529</w:t>
            </w:r>
          </w:p>
        </w:tc>
        <w:tc>
          <w:tcPr>
            <w:tcW w:w="1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3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48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800" w:type="dxa"/>
            <w:vAlign w:val="bottom"/>
            <w:shd w:val="clear" w:color="auto" w:fill="CCEEFF"/>
          </w:tcPr>
          <w:p>
            <w:pPr>
              <w:spacing w:after="0"/>
              <w:rPr>
                <w:sz w:val="20"/>
                <w:szCs w:val="20"/>
                <w:color w:val="auto"/>
              </w:rPr>
            </w:pPr>
            <w:r>
              <w:rPr>
                <w:rFonts w:ascii="Arial" w:cs="Arial" w:eastAsia="Arial" w:hAnsi="Arial"/>
                <w:sz w:val="18"/>
                <w:szCs w:val="18"/>
                <w:color w:val="auto"/>
              </w:rPr>
              <w:t>Net Loss</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3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(2,533)</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3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(36,525)</w:t>
            </w:r>
          </w:p>
        </w:tc>
        <w:tc>
          <w:tcPr>
            <w:tcW w:w="1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(47,501)</w:t>
            </w:r>
          </w:p>
        </w:tc>
        <w:tc>
          <w:tcPr>
            <w:tcW w:w="0" w:type="dxa"/>
            <w:vAlign w:val="bottom"/>
          </w:tcPr>
          <w:p>
            <w:pPr>
              <w:spacing w:after="0"/>
              <w:rPr>
                <w:sz w:val="1"/>
                <w:szCs w:val="1"/>
                <w:color w:val="auto"/>
              </w:rPr>
            </w:pPr>
          </w:p>
        </w:tc>
      </w:tr>
      <w:tr>
        <w:trPr>
          <w:trHeight w:val="27"/>
        </w:trPr>
        <w:tc>
          <w:tcPr>
            <w:tcW w:w="4820" w:type="dxa"/>
            <w:vAlign w:val="bottom"/>
            <w:gridSpan w:val="2"/>
            <w:vMerge w:val="restart"/>
          </w:tcPr>
          <w:p>
            <w:pPr>
              <w:spacing w:after="0"/>
              <w:rPr>
                <w:sz w:val="20"/>
                <w:szCs w:val="20"/>
                <w:color w:val="auto"/>
              </w:rPr>
            </w:pPr>
            <w:r>
              <w:rPr>
                <w:rFonts w:ascii="Arial" w:cs="Arial" w:eastAsia="Arial" w:hAnsi="Arial"/>
                <w:sz w:val="18"/>
                <w:szCs w:val="18"/>
                <w:color w:val="auto"/>
                <w:w w:val="98"/>
              </w:rPr>
              <w:t>Basic and Diluted Net Loss Per Common Share (See Note 2)</w:t>
            </w:r>
          </w:p>
        </w:tc>
        <w:tc>
          <w:tcPr>
            <w:tcW w:w="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4820" w:type="dxa"/>
            <w:vAlign w:val="bottom"/>
            <w:gridSpan w:val="2"/>
            <w:vMerge w:val="continu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36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300" w:type="dxa"/>
            <w:vAlign w:val="bottom"/>
            <w:gridSpan w:val="2"/>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136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4820" w:type="dxa"/>
            <w:vAlign w:val="bottom"/>
            <w:gridSpan w:val="2"/>
            <w:vMerge w:val="continue"/>
          </w:tcPr>
          <w:p>
            <w:pPr>
              <w:spacing w:after="0"/>
              <w:rPr>
                <w:sz w:val="17"/>
                <w:szCs w:val="17"/>
                <w:color w:val="auto"/>
              </w:rPr>
            </w:pPr>
          </w:p>
        </w:tc>
        <w:tc>
          <w:tcPr>
            <w:tcW w:w="8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200" w:type="dxa"/>
            <w:vAlign w:val="bottom"/>
            <w:tcBorders>
              <w:top w:val="single" w:sz="8" w:color="auto"/>
            </w:tcBorders>
          </w:tcPr>
          <w:p>
            <w:pPr>
              <w:jc w:val="right"/>
              <w:spacing w:after="0" w:line="203" w:lineRule="exact"/>
              <w:rPr>
                <w:sz w:val="20"/>
                <w:szCs w:val="20"/>
                <w:color w:val="auto"/>
              </w:rPr>
            </w:pPr>
            <w:r>
              <w:rPr>
                <w:rFonts w:ascii="Arial" w:cs="Arial" w:eastAsia="Arial" w:hAnsi="Arial"/>
                <w:sz w:val="18"/>
                <w:szCs w:val="18"/>
                <w:color w:val="auto"/>
              </w:rPr>
              <w:t>(0.08)</w:t>
            </w:r>
          </w:p>
        </w:tc>
        <w:tc>
          <w:tcPr>
            <w:tcW w:w="160" w:type="dxa"/>
            <w:vAlign w:val="bottom"/>
          </w:tcPr>
          <w:p>
            <w:pPr>
              <w:spacing w:after="0"/>
              <w:rPr>
                <w:sz w:val="17"/>
                <w:szCs w:val="17"/>
                <w:color w:val="auto"/>
              </w:rPr>
            </w:pPr>
          </w:p>
        </w:tc>
        <w:tc>
          <w:tcPr>
            <w:tcW w:w="8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200" w:type="dxa"/>
            <w:vAlign w:val="bottom"/>
            <w:tcBorders>
              <w:top w:val="single" w:sz="8" w:color="auto"/>
            </w:tcBorders>
          </w:tcPr>
          <w:p>
            <w:pPr>
              <w:jc w:val="right"/>
              <w:spacing w:after="0" w:line="203" w:lineRule="exact"/>
              <w:rPr>
                <w:sz w:val="20"/>
                <w:szCs w:val="20"/>
                <w:color w:val="auto"/>
              </w:rPr>
            </w:pPr>
            <w:r>
              <w:rPr>
                <w:rFonts w:ascii="Arial" w:cs="Arial" w:eastAsia="Arial" w:hAnsi="Arial"/>
                <w:sz w:val="18"/>
                <w:szCs w:val="18"/>
                <w:color w:val="auto"/>
              </w:rPr>
              <w:t>(1.84)</w:t>
            </w: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200" w:type="dxa"/>
            <w:vAlign w:val="bottom"/>
            <w:tcBorders>
              <w:top w:val="single" w:sz="8" w:color="auto"/>
            </w:tcBorders>
          </w:tcPr>
          <w:p>
            <w:pPr>
              <w:jc w:val="right"/>
              <w:spacing w:after="0" w:line="203" w:lineRule="exact"/>
              <w:rPr>
                <w:sz w:val="20"/>
                <w:szCs w:val="20"/>
                <w:color w:val="auto"/>
              </w:rPr>
            </w:pPr>
            <w:r>
              <w:rPr>
                <w:rFonts w:ascii="Arial" w:cs="Arial" w:eastAsia="Arial" w:hAnsi="Arial"/>
                <w:sz w:val="18"/>
                <w:szCs w:val="18"/>
                <w:color w:val="auto"/>
              </w:rPr>
              <w:t>(3.34)</w:t>
            </w: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48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8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8"/>
        </w:trPr>
        <w:tc>
          <w:tcPr>
            <w:tcW w:w="20" w:type="dxa"/>
            <w:vAlign w:val="bottom"/>
          </w:tcPr>
          <w:p>
            <w:pPr>
              <w:spacing w:after="0"/>
              <w:rPr>
                <w:sz w:val="16"/>
                <w:szCs w:val="16"/>
                <w:color w:val="auto"/>
              </w:rPr>
            </w:pPr>
          </w:p>
        </w:tc>
        <w:tc>
          <w:tcPr>
            <w:tcW w:w="4800" w:type="dxa"/>
            <w:vAlign w:val="bottom"/>
            <w:shd w:val="clear" w:color="auto" w:fill="CCEEFF"/>
          </w:tcPr>
          <w:p>
            <w:pPr>
              <w:spacing w:after="0" w:line="189" w:lineRule="exact"/>
              <w:rPr>
                <w:sz w:val="20"/>
                <w:szCs w:val="20"/>
                <w:color w:val="auto"/>
              </w:rPr>
            </w:pPr>
            <w:r>
              <w:rPr>
                <w:rFonts w:ascii="Arial" w:cs="Arial" w:eastAsia="Arial" w:hAnsi="Arial"/>
                <w:sz w:val="18"/>
                <w:szCs w:val="18"/>
                <w:color w:val="auto"/>
                <w:w w:val="91"/>
              </w:rPr>
              <w:t>Shares Used in Calculating Basic and Diluted Net Loss per Share</w:t>
            </w:r>
          </w:p>
        </w:tc>
        <w:tc>
          <w:tcPr>
            <w:tcW w:w="80" w:type="dxa"/>
            <w:vAlign w:val="bottom"/>
            <w:shd w:val="clear" w:color="auto" w:fill="CCEEFF"/>
          </w:tcPr>
          <w:p>
            <w:pPr>
              <w:spacing w:after="0"/>
              <w:rPr>
                <w:sz w:val="16"/>
                <w:szCs w:val="16"/>
                <w:color w:val="auto"/>
              </w:rPr>
            </w:pPr>
          </w:p>
        </w:tc>
        <w:tc>
          <w:tcPr>
            <w:tcW w:w="12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2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2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48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(See Note 2)</w:t>
            </w:r>
          </w:p>
        </w:tc>
        <w:tc>
          <w:tcPr>
            <w:tcW w:w="8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31,868</w:t>
            </w:r>
          </w:p>
        </w:tc>
        <w:tc>
          <w:tcPr>
            <w:tcW w:w="1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19,823</w:t>
            </w:r>
          </w:p>
        </w:tc>
        <w:tc>
          <w:tcPr>
            <w:tcW w:w="10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14,217</w:t>
            </w:r>
          </w:p>
        </w:tc>
        <w:tc>
          <w:tcPr>
            <w:tcW w:w="1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4800" w:type="dxa"/>
            <w:vAlign w:val="bottom"/>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8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8" w:lineRule="exact"/>
        <w:rPr>
          <w:sz w:val="20"/>
          <w:szCs w:val="20"/>
          <w:color w:val="auto"/>
        </w:rPr>
      </w:pPr>
    </w:p>
    <w:p>
      <w:pPr>
        <w:jc w:val="center"/>
        <w:ind w:right="-1139"/>
        <w:spacing w:after="0"/>
        <w:rPr>
          <w:sz w:val="20"/>
          <w:szCs w:val="20"/>
          <w:color w:val="auto"/>
        </w:rPr>
      </w:pPr>
      <w:r>
        <w:rPr>
          <w:rFonts w:ascii="Arial" w:cs="Arial" w:eastAsia="Arial" w:hAnsi="Arial"/>
          <w:sz w:val="18"/>
          <w:szCs w:val="18"/>
          <w:color w:val="auto"/>
        </w:rPr>
        <w:t>The accompanying notes are an integral part of the consolidated financial statements.</w:t>
      </w:r>
    </w:p>
    <w:p>
      <w:pPr>
        <w:spacing w:after="0" w:line="225"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80"/>
          </w:cols>
          <w:pgMar w:left="240" w:top="131" w:right="1379" w:bottom="1440" w:gutter="0" w:footer="0" w:header="0"/>
        </w:sectPr>
      </w:pPr>
    </w:p>
    <w:bookmarkStart w:id="70" w:name="page71"/>
    <w:bookmarkEnd w:id="70"/>
    <w:p>
      <w:pPr>
        <w:spacing w:after="0" w:line="62" w:lineRule="exact"/>
        <w:rPr>
          <w:sz w:val="20"/>
          <w:szCs w:val="20"/>
          <w:color w:val="auto"/>
        </w:rPr>
      </w:pPr>
    </w:p>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19" w:lineRule="exact"/>
        <w:rPr>
          <w:sz w:val="20"/>
          <w:szCs w:val="20"/>
          <w:color w:val="auto"/>
        </w:rPr>
      </w:pPr>
    </w:p>
    <w:p>
      <w:pPr>
        <w:jc w:val="center"/>
        <w:ind w:right="-1019"/>
        <w:spacing w:after="0"/>
        <w:rPr>
          <w:sz w:val="20"/>
          <w:szCs w:val="20"/>
          <w:color w:val="auto"/>
        </w:rPr>
      </w:pPr>
      <w:r>
        <w:rPr>
          <w:rFonts w:ascii="Arial" w:cs="Arial" w:eastAsia="Arial" w:hAnsi="Arial"/>
          <w:sz w:val="18"/>
          <w:szCs w:val="18"/>
          <w:b w:val="1"/>
          <w:bCs w:val="1"/>
          <w:color w:val="auto"/>
        </w:rPr>
        <w:t>CELLDEX THERAPEUTICS, INC.</w:t>
      </w:r>
    </w:p>
    <w:p>
      <w:pPr>
        <w:spacing w:after="0" w:line="225" w:lineRule="exact"/>
        <w:rPr>
          <w:sz w:val="20"/>
          <w:szCs w:val="20"/>
          <w:color w:val="auto"/>
        </w:rPr>
      </w:pPr>
    </w:p>
    <w:p>
      <w:pPr>
        <w:jc w:val="center"/>
        <w:ind w:right="-1019"/>
        <w:spacing w:after="0"/>
        <w:rPr>
          <w:sz w:val="20"/>
          <w:szCs w:val="20"/>
          <w:color w:val="auto"/>
        </w:rPr>
      </w:pPr>
      <w:r>
        <w:rPr>
          <w:rFonts w:ascii="Arial" w:cs="Arial" w:eastAsia="Arial" w:hAnsi="Arial"/>
          <w:sz w:val="18"/>
          <w:szCs w:val="18"/>
          <w:b w:val="1"/>
          <w:bCs w:val="1"/>
          <w:color w:val="auto"/>
        </w:rPr>
        <w:t>CONSOLIDATED STATEMENTS OF STOCKHOLDERS' EQUITY (DEFICIT) AND COMPREHENSIVE LOSS</w:t>
      </w:r>
    </w:p>
    <w:p>
      <w:pPr>
        <w:spacing w:after="0" w:line="225" w:lineRule="exact"/>
        <w:rPr>
          <w:sz w:val="20"/>
          <w:szCs w:val="20"/>
          <w:color w:val="auto"/>
        </w:rPr>
      </w:pPr>
    </w:p>
    <w:p>
      <w:pPr>
        <w:ind w:left="4320"/>
        <w:spacing w:after="0"/>
        <w:rPr>
          <w:sz w:val="20"/>
          <w:szCs w:val="20"/>
          <w:color w:val="auto"/>
        </w:rPr>
      </w:pPr>
      <w:r>
        <w:rPr>
          <w:rFonts w:ascii="Arial" w:cs="Arial" w:eastAsia="Arial" w:hAnsi="Arial"/>
          <w:sz w:val="18"/>
          <w:szCs w:val="18"/>
          <w:b w:val="1"/>
          <w:bCs w:val="1"/>
          <w:color w:val="auto"/>
        </w:rPr>
        <w:t>(In thousands, except share amounts)</w:t>
      </w:r>
    </w:p>
    <w:p>
      <w:pPr>
        <w:spacing w:after="0" w:line="214" w:lineRule="exact"/>
        <w:rPr>
          <w:sz w:val="20"/>
          <w:szCs w:val="20"/>
          <w:color w:val="auto"/>
        </w:rPr>
      </w:pPr>
    </w:p>
    <w:tbl>
      <w:tblPr>
        <w:tblLayout w:type="fixed"/>
        <w:tblInd w:w="114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8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85"/>
              </w:rPr>
              <w:t>Class A</w:t>
            </w:r>
          </w:p>
        </w:tc>
        <w:tc>
          <w:tcPr>
            <w:tcW w:w="100" w:type="dxa"/>
            <w:vAlign w:val="bottom"/>
          </w:tcPr>
          <w:p>
            <w:pPr>
              <w:spacing w:after="0"/>
              <w:rPr>
                <w:sz w:val="14"/>
                <w:szCs w:val="14"/>
                <w:color w:val="auto"/>
              </w:rPr>
            </w:pPr>
          </w:p>
        </w:tc>
        <w:tc>
          <w:tcPr>
            <w:tcW w:w="68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81"/>
              </w:rPr>
              <w:t>Class A</w:t>
            </w:r>
          </w:p>
        </w:tc>
        <w:tc>
          <w:tcPr>
            <w:tcW w:w="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8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88"/>
              </w:rPr>
              <w:t>Accumulated</w:t>
            </w:r>
          </w:p>
        </w:tc>
        <w:tc>
          <w:tcPr>
            <w:tcW w:w="9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2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83"/>
              </w:rPr>
              <w:t>Total</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380" w:type="dxa"/>
            <w:vAlign w:val="bottom"/>
          </w:tcPr>
          <w:p>
            <w:pPr>
              <w:spacing w:after="0"/>
              <w:rPr>
                <w:sz w:val="12"/>
                <w:szCs w:val="12"/>
                <w:color w:val="auto"/>
              </w:rPr>
            </w:pPr>
          </w:p>
        </w:tc>
        <w:tc>
          <w:tcPr>
            <w:tcW w:w="8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8"/>
              </w:rPr>
              <w:t>Common</w:t>
            </w:r>
          </w:p>
        </w:tc>
        <w:tc>
          <w:tcPr>
            <w:tcW w:w="120" w:type="dxa"/>
            <w:vAlign w:val="bottom"/>
          </w:tcPr>
          <w:p>
            <w:pPr>
              <w:spacing w:after="0"/>
              <w:rPr>
                <w:sz w:val="12"/>
                <w:szCs w:val="12"/>
                <w:color w:val="auto"/>
              </w:rPr>
            </w:pPr>
          </w:p>
        </w:tc>
        <w:tc>
          <w:tcPr>
            <w:tcW w:w="70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88"/>
              </w:rPr>
              <w:t>Common</w:t>
            </w:r>
          </w:p>
        </w:tc>
        <w:tc>
          <w:tcPr>
            <w:tcW w:w="140" w:type="dxa"/>
            <w:vAlign w:val="bottom"/>
          </w:tcPr>
          <w:p>
            <w:pPr>
              <w:spacing w:after="0"/>
              <w:rPr>
                <w:sz w:val="12"/>
                <w:szCs w:val="12"/>
                <w:color w:val="auto"/>
              </w:rPr>
            </w:pPr>
          </w:p>
        </w:tc>
        <w:tc>
          <w:tcPr>
            <w:tcW w:w="980" w:type="dxa"/>
            <w:vAlign w:val="bottom"/>
            <w:gridSpan w:val="2"/>
          </w:tcPr>
          <w:p>
            <w:pPr>
              <w:jc w:val="center"/>
              <w:ind w:right="180"/>
              <w:spacing w:after="0" w:line="149" w:lineRule="exact"/>
              <w:rPr>
                <w:sz w:val="20"/>
                <w:szCs w:val="20"/>
                <w:color w:val="auto"/>
              </w:rPr>
            </w:pPr>
            <w:r>
              <w:rPr>
                <w:rFonts w:ascii="Arial" w:cs="Arial" w:eastAsia="Arial" w:hAnsi="Arial"/>
                <w:sz w:val="14"/>
                <w:szCs w:val="14"/>
                <w:b w:val="1"/>
                <w:bCs w:val="1"/>
                <w:color w:val="auto"/>
                <w:w w:val="85"/>
              </w:rPr>
              <w:t>Common</w:t>
            </w:r>
          </w:p>
        </w:tc>
        <w:tc>
          <w:tcPr>
            <w:tcW w:w="780" w:type="dxa"/>
            <w:vAlign w:val="bottom"/>
            <w:gridSpan w:val="3"/>
          </w:tcPr>
          <w:p>
            <w:pPr>
              <w:jc w:val="center"/>
              <w:ind w:right="120"/>
              <w:spacing w:after="0" w:line="149" w:lineRule="exact"/>
              <w:rPr>
                <w:sz w:val="20"/>
                <w:szCs w:val="20"/>
                <w:color w:val="auto"/>
              </w:rPr>
            </w:pPr>
            <w:r>
              <w:rPr>
                <w:rFonts w:ascii="Arial" w:cs="Arial" w:eastAsia="Arial" w:hAnsi="Arial"/>
                <w:sz w:val="14"/>
                <w:szCs w:val="14"/>
                <w:b w:val="1"/>
                <w:bCs w:val="1"/>
                <w:color w:val="auto"/>
                <w:w w:val="88"/>
              </w:rPr>
              <w:t>Common</w:t>
            </w:r>
          </w:p>
        </w:tc>
        <w:tc>
          <w:tcPr>
            <w:tcW w:w="60" w:type="dxa"/>
            <w:vAlign w:val="bottom"/>
          </w:tcPr>
          <w:p>
            <w:pPr>
              <w:spacing w:after="0"/>
              <w:rPr>
                <w:sz w:val="12"/>
                <w:szCs w:val="12"/>
                <w:color w:val="auto"/>
              </w:rPr>
            </w:pPr>
          </w:p>
        </w:tc>
        <w:tc>
          <w:tcPr>
            <w:tcW w:w="740" w:type="dxa"/>
            <w:vAlign w:val="bottom"/>
          </w:tcPr>
          <w:p>
            <w:pPr>
              <w:jc w:val="right"/>
              <w:spacing w:after="0" w:line="149" w:lineRule="exact"/>
              <w:rPr>
                <w:sz w:val="20"/>
                <w:szCs w:val="20"/>
                <w:color w:val="auto"/>
              </w:rPr>
            </w:pPr>
            <w:r>
              <w:rPr>
                <w:rFonts w:ascii="Arial" w:cs="Arial" w:eastAsia="Arial" w:hAnsi="Arial"/>
                <w:sz w:val="14"/>
                <w:szCs w:val="14"/>
                <w:b w:val="1"/>
                <w:bCs w:val="1"/>
                <w:color w:val="auto"/>
                <w:w w:val="96"/>
              </w:rPr>
              <w:t>Additional</w:t>
            </w: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8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90"/>
              </w:rPr>
              <w:t>Other</w:t>
            </w:r>
          </w:p>
        </w:tc>
        <w:tc>
          <w:tcPr>
            <w:tcW w:w="9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80" w:type="dxa"/>
            <w:vAlign w:val="bottom"/>
            <w:gridSpan w:val="3"/>
          </w:tcPr>
          <w:p>
            <w:pPr>
              <w:jc w:val="center"/>
              <w:ind w:right="160"/>
              <w:spacing w:after="0" w:line="149" w:lineRule="exact"/>
              <w:rPr>
                <w:sz w:val="20"/>
                <w:szCs w:val="20"/>
                <w:color w:val="auto"/>
              </w:rPr>
            </w:pPr>
            <w:r>
              <w:rPr>
                <w:rFonts w:ascii="Arial" w:cs="Arial" w:eastAsia="Arial" w:hAnsi="Arial"/>
                <w:sz w:val="14"/>
                <w:szCs w:val="14"/>
                <w:b w:val="1"/>
                <w:bCs w:val="1"/>
                <w:color w:val="auto"/>
                <w:w w:val="86"/>
              </w:rPr>
              <w:t>Stockholders'</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380" w:type="dxa"/>
            <w:vAlign w:val="bottom"/>
          </w:tcPr>
          <w:p>
            <w:pPr>
              <w:spacing w:after="0"/>
              <w:rPr>
                <w:sz w:val="12"/>
                <w:szCs w:val="12"/>
                <w:color w:val="auto"/>
              </w:rPr>
            </w:pPr>
          </w:p>
        </w:tc>
        <w:tc>
          <w:tcPr>
            <w:tcW w:w="8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3"/>
              </w:rPr>
              <w:t>Stock</w:t>
            </w:r>
          </w:p>
        </w:tc>
        <w:tc>
          <w:tcPr>
            <w:tcW w:w="120" w:type="dxa"/>
            <w:vAlign w:val="bottom"/>
          </w:tcPr>
          <w:p>
            <w:pPr>
              <w:spacing w:after="0"/>
              <w:rPr>
                <w:sz w:val="12"/>
                <w:szCs w:val="12"/>
                <w:color w:val="auto"/>
              </w:rPr>
            </w:pPr>
          </w:p>
        </w:tc>
        <w:tc>
          <w:tcPr>
            <w:tcW w:w="70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86"/>
              </w:rPr>
              <w:t>Stock Par</w:t>
            </w:r>
          </w:p>
        </w:tc>
        <w:tc>
          <w:tcPr>
            <w:tcW w:w="140" w:type="dxa"/>
            <w:vAlign w:val="bottom"/>
          </w:tcPr>
          <w:p>
            <w:pPr>
              <w:spacing w:after="0"/>
              <w:rPr>
                <w:sz w:val="12"/>
                <w:szCs w:val="12"/>
                <w:color w:val="auto"/>
              </w:rPr>
            </w:pPr>
          </w:p>
        </w:tc>
        <w:tc>
          <w:tcPr>
            <w:tcW w:w="980" w:type="dxa"/>
            <w:vAlign w:val="bottom"/>
            <w:gridSpan w:val="2"/>
          </w:tcPr>
          <w:p>
            <w:pPr>
              <w:jc w:val="center"/>
              <w:ind w:right="180"/>
              <w:spacing w:after="0" w:line="149" w:lineRule="exact"/>
              <w:rPr>
                <w:sz w:val="20"/>
                <w:szCs w:val="20"/>
                <w:color w:val="auto"/>
              </w:rPr>
            </w:pPr>
            <w:r>
              <w:rPr>
                <w:rFonts w:ascii="Arial" w:cs="Arial" w:eastAsia="Arial" w:hAnsi="Arial"/>
                <w:sz w:val="14"/>
                <w:szCs w:val="14"/>
                <w:b w:val="1"/>
                <w:bCs w:val="1"/>
                <w:color w:val="auto"/>
                <w:w w:val="83"/>
              </w:rPr>
              <w:t>Stock</w:t>
            </w:r>
          </w:p>
        </w:tc>
        <w:tc>
          <w:tcPr>
            <w:tcW w:w="780" w:type="dxa"/>
            <w:vAlign w:val="bottom"/>
            <w:gridSpan w:val="3"/>
          </w:tcPr>
          <w:p>
            <w:pPr>
              <w:jc w:val="center"/>
              <w:ind w:right="100"/>
              <w:spacing w:after="0" w:line="149" w:lineRule="exact"/>
              <w:rPr>
                <w:sz w:val="20"/>
                <w:szCs w:val="20"/>
                <w:color w:val="auto"/>
              </w:rPr>
            </w:pPr>
            <w:r>
              <w:rPr>
                <w:rFonts w:ascii="Arial" w:cs="Arial" w:eastAsia="Arial" w:hAnsi="Arial"/>
                <w:sz w:val="14"/>
                <w:szCs w:val="14"/>
                <w:b w:val="1"/>
                <w:bCs w:val="1"/>
                <w:color w:val="auto"/>
                <w:w w:val="86"/>
              </w:rPr>
              <w:t>Stock Par</w:t>
            </w:r>
          </w:p>
        </w:tc>
        <w:tc>
          <w:tcPr>
            <w:tcW w:w="60" w:type="dxa"/>
            <w:vAlign w:val="bottom"/>
          </w:tcPr>
          <w:p>
            <w:pPr>
              <w:spacing w:after="0"/>
              <w:rPr>
                <w:sz w:val="12"/>
                <w:szCs w:val="12"/>
                <w:color w:val="auto"/>
              </w:rPr>
            </w:pPr>
          </w:p>
        </w:tc>
        <w:tc>
          <w:tcPr>
            <w:tcW w:w="740" w:type="dxa"/>
            <w:vAlign w:val="bottom"/>
          </w:tcPr>
          <w:p>
            <w:pPr>
              <w:jc w:val="right"/>
              <w:ind w:right="79"/>
              <w:spacing w:after="0" w:line="149" w:lineRule="exact"/>
              <w:rPr>
                <w:sz w:val="20"/>
                <w:szCs w:val="20"/>
                <w:color w:val="auto"/>
              </w:rPr>
            </w:pPr>
            <w:r>
              <w:rPr>
                <w:rFonts w:ascii="Arial" w:cs="Arial" w:eastAsia="Arial" w:hAnsi="Arial"/>
                <w:sz w:val="14"/>
                <w:szCs w:val="14"/>
                <w:b w:val="1"/>
                <w:bCs w:val="1"/>
                <w:color w:val="auto"/>
              </w:rPr>
              <w:t>Paid-In</w:t>
            </w:r>
          </w:p>
        </w:tc>
        <w:tc>
          <w:tcPr>
            <w:tcW w:w="160" w:type="dxa"/>
            <w:vAlign w:val="bottom"/>
          </w:tcPr>
          <w:p>
            <w:pPr>
              <w:spacing w:after="0"/>
              <w:rPr>
                <w:sz w:val="12"/>
                <w:szCs w:val="12"/>
                <w:color w:val="auto"/>
              </w:rPr>
            </w:pPr>
          </w:p>
        </w:tc>
        <w:tc>
          <w:tcPr>
            <w:tcW w:w="1180" w:type="dxa"/>
            <w:vAlign w:val="bottom"/>
            <w:gridSpan w:val="3"/>
          </w:tcPr>
          <w:p>
            <w:pPr>
              <w:jc w:val="center"/>
              <w:ind w:right="160"/>
              <w:spacing w:after="0" w:line="149" w:lineRule="exact"/>
              <w:rPr>
                <w:sz w:val="20"/>
                <w:szCs w:val="20"/>
                <w:color w:val="auto"/>
              </w:rPr>
            </w:pPr>
            <w:r>
              <w:rPr>
                <w:rFonts w:ascii="Arial" w:cs="Arial" w:eastAsia="Arial" w:hAnsi="Arial"/>
                <w:sz w:val="14"/>
                <w:szCs w:val="14"/>
                <w:b w:val="1"/>
                <w:bCs w:val="1"/>
                <w:color w:val="auto"/>
                <w:w w:val="85"/>
              </w:rPr>
              <w:t>Comprehensive</w:t>
            </w:r>
          </w:p>
        </w:tc>
        <w:tc>
          <w:tcPr>
            <w:tcW w:w="1000" w:type="dxa"/>
            <w:vAlign w:val="bottom"/>
            <w:gridSpan w:val="2"/>
          </w:tcPr>
          <w:p>
            <w:pPr>
              <w:jc w:val="right"/>
              <w:ind w:right="180"/>
              <w:spacing w:after="0" w:line="149" w:lineRule="exact"/>
              <w:rPr>
                <w:sz w:val="20"/>
                <w:szCs w:val="20"/>
                <w:color w:val="auto"/>
              </w:rPr>
            </w:pPr>
            <w:r>
              <w:rPr>
                <w:rFonts w:ascii="Arial" w:cs="Arial" w:eastAsia="Arial" w:hAnsi="Arial"/>
                <w:sz w:val="14"/>
                <w:szCs w:val="14"/>
                <w:b w:val="1"/>
                <w:bCs w:val="1"/>
                <w:color w:val="auto"/>
                <w:w w:val="90"/>
              </w:rPr>
              <w:t>Accumulated</w:t>
            </w:r>
          </w:p>
        </w:tc>
        <w:tc>
          <w:tcPr>
            <w:tcW w:w="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20" w:type="dxa"/>
            <w:vAlign w:val="bottom"/>
            <w:gridSpan w:val="2"/>
          </w:tcPr>
          <w:p>
            <w:pPr>
              <w:jc w:val="center"/>
              <w:ind w:right="320"/>
              <w:spacing w:after="0" w:line="149" w:lineRule="exact"/>
              <w:rPr>
                <w:sz w:val="20"/>
                <w:szCs w:val="20"/>
                <w:color w:val="auto"/>
              </w:rPr>
            </w:pPr>
            <w:r>
              <w:rPr>
                <w:rFonts w:ascii="Arial" w:cs="Arial" w:eastAsia="Arial" w:hAnsi="Arial"/>
                <w:sz w:val="14"/>
                <w:szCs w:val="14"/>
                <w:b w:val="1"/>
                <w:bCs w:val="1"/>
                <w:color w:val="auto"/>
                <w:w w:val="93"/>
              </w:rPr>
              <w:t>Equity</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880" w:type="dxa"/>
            <w:vAlign w:val="bottom"/>
          </w:tcPr>
          <w:p>
            <w:pPr>
              <w:jc w:val="center"/>
              <w:spacing w:after="0"/>
              <w:rPr>
                <w:sz w:val="20"/>
                <w:szCs w:val="20"/>
                <w:color w:val="auto"/>
              </w:rPr>
            </w:pPr>
            <w:r>
              <w:rPr>
                <w:rFonts w:ascii="Arial" w:cs="Arial" w:eastAsia="Arial" w:hAnsi="Arial"/>
                <w:sz w:val="14"/>
                <w:szCs w:val="14"/>
                <w:b w:val="1"/>
                <w:bCs w:val="1"/>
                <w:color w:val="auto"/>
                <w:w w:val="81"/>
              </w:rPr>
              <w:t>Shares</w:t>
            </w: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60" w:type="dxa"/>
            <w:vAlign w:val="bottom"/>
          </w:tcPr>
          <w:p>
            <w:pPr>
              <w:jc w:val="center"/>
              <w:ind w:right="73"/>
              <w:spacing w:after="0"/>
              <w:rPr>
                <w:sz w:val="20"/>
                <w:szCs w:val="20"/>
                <w:color w:val="auto"/>
              </w:rPr>
            </w:pPr>
            <w:r>
              <w:rPr>
                <w:rFonts w:ascii="Arial" w:cs="Arial" w:eastAsia="Arial" w:hAnsi="Arial"/>
                <w:sz w:val="14"/>
                <w:szCs w:val="14"/>
                <w:b w:val="1"/>
                <w:bCs w:val="1"/>
                <w:color w:val="auto"/>
                <w:w w:val="85"/>
              </w:rPr>
              <w:t>Value</w:t>
            </w:r>
          </w:p>
        </w:tc>
        <w:tc>
          <w:tcPr>
            <w:tcW w:w="140" w:type="dxa"/>
            <w:vAlign w:val="bottom"/>
          </w:tcPr>
          <w:p>
            <w:pPr>
              <w:spacing w:after="0"/>
              <w:rPr>
                <w:sz w:val="14"/>
                <w:szCs w:val="14"/>
                <w:color w:val="auto"/>
              </w:rPr>
            </w:pPr>
          </w:p>
        </w:tc>
        <w:tc>
          <w:tcPr>
            <w:tcW w:w="98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85"/>
              </w:rPr>
              <w:t>Shares</w:t>
            </w:r>
          </w:p>
        </w:tc>
        <w:tc>
          <w:tcPr>
            <w:tcW w:w="100" w:type="dxa"/>
            <w:vAlign w:val="bottom"/>
          </w:tcPr>
          <w:p>
            <w:pPr>
              <w:spacing w:after="0"/>
              <w:rPr>
                <w:sz w:val="14"/>
                <w:szCs w:val="14"/>
                <w:color w:val="auto"/>
              </w:rPr>
            </w:pPr>
          </w:p>
        </w:tc>
        <w:tc>
          <w:tcPr>
            <w:tcW w:w="68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85"/>
              </w:rPr>
              <w:t>Value</w:t>
            </w:r>
          </w:p>
        </w:tc>
        <w:tc>
          <w:tcPr>
            <w:tcW w:w="60" w:type="dxa"/>
            <w:vAlign w:val="bottom"/>
          </w:tcPr>
          <w:p>
            <w:pPr>
              <w:spacing w:after="0"/>
              <w:rPr>
                <w:sz w:val="14"/>
                <w:szCs w:val="14"/>
                <w:color w:val="auto"/>
              </w:rPr>
            </w:pPr>
          </w:p>
        </w:tc>
        <w:tc>
          <w:tcPr>
            <w:tcW w:w="740" w:type="dxa"/>
            <w:vAlign w:val="bottom"/>
          </w:tcPr>
          <w:p>
            <w:pPr>
              <w:jc w:val="right"/>
              <w:ind w:right="79"/>
              <w:spacing w:after="0"/>
              <w:rPr>
                <w:sz w:val="20"/>
                <w:szCs w:val="20"/>
                <w:color w:val="auto"/>
              </w:rPr>
            </w:pPr>
            <w:r>
              <w:rPr>
                <w:rFonts w:ascii="Arial" w:cs="Arial" w:eastAsia="Arial" w:hAnsi="Arial"/>
                <w:sz w:val="14"/>
                <w:szCs w:val="14"/>
                <w:b w:val="1"/>
                <w:bCs w:val="1"/>
                <w:color w:val="auto"/>
              </w:rPr>
              <w:t>Capital</w:t>
            </w: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8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85"/>
              </w:rPr>
              <w:t>Income</w:t>
            </w:r>
          </w:p>
        </w:tc>
        <w:tc>
          <w:tcPr>
            <w:tcW w:w="1000" w:type="dxa"/>
            <w:vAlign w:val="bottom"/>
            <w:gridSpan w:val="2"/>
          </w:tcPr>
          <w:p>
            <w:pPr>
              <w:jc w:val="right"/>
              <w:ind w:right="360"/>
              <w:spacing w:after="0"/>
              <w:rPr>
                <w:sz w:val="20"/>
                <w:szCs w:val="20"/>
                <w:color w:val="auto"/>
              </w:rPr>
            </w:pPr>
            <w:r>
              <w:rPr>
                <w:rFonts w:ascii="Arial" w:cs="Arial" w:eastAsia="Arial" w:hAnsi="Arial"/>
                <w:sz w:val="14"/>
                <w:szCs w:val="14"/>
                <w:b w:val="1"/>
                <w:bCs w:val="1"/>
                <w:color w:val="auto"/>
              </w:rPr>
              <w:t>Deficit</w:t>
            </w:r>
          </w:p>
        </w:tc>
        <w:tc>
          <w:tcPr>
            <w:tcW w:w="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2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2"/>
              </w:rPr>
              <w:t>(Deficit)</w:t>
            </w: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1380" w:type="dxa"/>
            <w:vAlign w:val="bottom"/>
            <w:shd w:val="clear" w:color="auto" w:fill="CCEEFF"/>
          </w:tcPr>
          <w:p>
            <w:pPr>
              <w:spacing w:after="0" w:line="195" w:lineRule="exact"/>
              <w:rPr>
                <w:sz w:val="20"/>
                <w:szCs w:val="20"/>
                <w:color w:val="auto"/>
              </w:rPr>
            </w:pPr>
            <w:r>
              <w:rPr>
                <w:rFonts w:ascii="Arial" w:cs="Arial" w:eastAsia="Arial" w:hAnsi="Arial"/>
                <w:sz w:val="18"/>
                <w:szCs w:val="18"/>
                <w:b w:val="1"/>
                <w:bCs w:val="1"/>
                <w:color w:val="auto"/>
              </w:rPr>
              <w:t>Balance at</w:t>
            </w:r>
          </w:p>
        </w:tc>
        <w:tc>
          <w:tcPr>
            <w:tcW w:w="880" w:type="dxa"/>
            <w:vAlign w:val="bottom"/>
            <w:tcBorders>
              <w:top w:val="single" w:sz="8" w:color="auto"/>
            </w:tcBorders>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40" w:type="dxa"/>
            <w:vAlign w:val="bottom"/>
            <w:tcBorders>
              <w:top w:val="single" w:sz="8" w:color="auto"/>
            </w:tcBorders>
            <w:shd w:val="clear" w:color="auto" w:fill="CCEEFF"/>
          </w:tcPr>
          <w:p>
            <w:pPr>
              <w:spacing w:after="0"/>
              <w:rPr>
                <w:sz w:val="16"/>
                <w:szCs w:val="16"/>
                <w:color w:val="auto"/>
              </w:rPr>
            </w:pPr>
          </w:p>
        </w:tc>
        <w:tc>
          <w:tcPr>
            <w:tcW w:w="560" w:type="dxa"/>
            <w:vAlign w:val="bottom"/>
            <w:tcBorders>
              <w:top w:val="single" w:sz="8" w:color="auto"/>
            </w:tcBorders>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20" w:type="dxa"/>
            <w:vAlign w:val="bottom"/>
            <w:tcBorders>
              <w:top w:val="single" w:sz="8" w:color="auto"/>
            </w:tcBorders>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spacing w:after="0"/>
              <w:rPr>
                <w:sz w:val="16"/>
                <w:szCs w:val="16"/>
                <w:color w:val="auto"/>
              </w:rPr>
            </w:pPr>
          </w:p>
        </w:tc>
        <w:tc>
          <w:tcPr>
            <w:tcW w:w="580" w:type="dxa"/>
            <w:vAlign w:val="bottom"/>
            <w:tcBorders>
              <w:top w:val="single" w:sz="8" w:color="auto"/>
            </w:tcBorders>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740" w:type="dxa"/>
            <w:vAlign w:val="bottom"/>
            <w:tcBorders>
              <w:top w:val="single" w:sz="8" w:color="auto"/>
            </w:tcBorders>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spacing w:after="0"/>
              <w:rPr>
                <w:sz w:val="16"/>
                <w:szCs w:val="16"/>
                <w:color w:val="auto"/>
              </w:rPr>
            </w:pPr>
          </w:p>
        </w:tc>
        <w:tc>
          <w:tcPr>
            <w:tcW w:w="940" w:type="dxa"/>
            <w:vAlign w:val="bottom"/>
            <w:tcBorders>
              <w:top w:val="single" w:sz="8" w:color="auto"/>
            </w:tcBorders>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900" w:type="dxa"/>
            <w:vAlign w:val="bottom"/>
            <w:tcBorders>
              <w:top w:val="single" w:sz="8" w:color="auto"/>
            </w:tcBorders>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160" w:type="dxa"/>
            <w:vAlign w:val="bottom"/>
            <w:tcBorders>
              <w:top w:val="single" w:sz="8" w:color="auto"/>
            </w:tcBorders>
            <w:shd w:val="clear" w:color="auto" w:fill="CCEEFF"/>
          </w:tcPr>
          <w:p>
            <w:pPr>
              <w:spacing w:after="0"/>
              <w:rPr>
                <w:sz w:val="16"/>
                <w:szCs w:val="16"/>
                <w:color w:val="auto"/>
              </w:rPr>
            </w:pPr>
          </w:p>
        </w:tc>
        <w:tc>
          <w:tcPr>
            <w:tcW w:w="760" w:type="dxa"/>
            <w:vAlign w:val="bottom"/>
            <w:tcBorders>
              <w:top w:val="single" w:sz="8" w:color="auto"/>
            </w:tcBorders>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380" w:type="dxa"/>
            <w:vAlign w:val="bottom"/>
            <w:shd w:val="clear" w:color="auto" w:fill="CCEEFF"/>
          </w:tcPr>
          <w:p>
            <w:pPr>
              <w:ind w:left="160"/>
              <w:spacing w:after="0"/>
              <w:rPr>
                <w:sz w:val="20"/>
                <w:szCs w:val="20"/>
                <w:color w:val="auto"/>
              </w:rPr>
            </w:pPr>
            <w:r>
              <w:rPr>
                <w:rFonts w:ascii="Arial" w:cs="Arial" w:eastAsia="Arial" w:hAnsi="Arial"/>
                <w:sz w:val="18"/>
                <w:szCs w:val="18"/>
                <w:b w:val="1"/>
                <w:bCs w:val="1"/>
                <w:color w:val="auto"/>
              </w:rPr>
              <w:t>December 31,</w:t>
            </w:r>
          </w:p>
        </w:tc>
        <w:tc>
          <w:tcPr>
            <w:tcW w:w="8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1380" w:type="dxa"/>
            <w:vAlign w:val="bottom"/>
            <w:shd w:val="clear" w:color="auto" w:fill="CCEEFF"/>
          </w:tcPr>
          <w:p>
            <w:pPr>
              <w:ind w:left="160"/>
              <w:spacing w:after="0"/>
              <w:rPr>
                <w:sz w:val="20"/>
                <w:szCs w:val="20"/>
                <w:color w:val="auto"/>
              </w:rPr>
            </w:pPr>
            <w:r>
              <w:rPr>
                <w:rFonts w:ascii="Arial" w:cs="Arial" w:eastAsia="Arial" w:hAnsi="Arial"/>
                <w:sz w:val="18"/>
                <w:szCs w:val="18"/>
                <w:b w:val="1"/>
                <w:bCs w:val="1"/>
                <w:color w:val="auto"/>
              </w:rPr>
              <w:t>2007</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5,498,273</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5</w:t>
            </w:r>
          </w:p>
        </w:tc>
        <w:tc>
          <w:tcPr>
            <w:tcW w:w="96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2,811,147</w:t>
            </w:r>
          </w:p>
        </w:tc>
        <w:tc>
          <w:tcPr>
            <w:tcW w:w="160" w:type="dxa"/>
            <w:vAlign w:val="bottom"/>
            <w:shd w:val="clear" w:color="auto" w:fill="CCEEFF"/>
          </w:tcPr>
          <w:p>
            <w:pPr>
              <w:spacing w:after="0"/>
              <w:rPr>
                <w:sz w:val="20"/>
                <w:szCs w:val="20"/>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b w:val="1"/>
                <w:bCs w:val="1"/>
                <w:color w:val="auto"/>
                <w:w w:val="71"/>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3</w:t>
            </w:r>
          </w:p>
        </w:tc>
        <w:tc>
          <w:tcPr>
            <w:tcW w:w="100" w:type="dxa"/>
            <w:vAlign w:val="bottom"/>
            <w:shd w:val="clear" w:color="auto" w:fill="CCEEFF"/>
          </w:tcPr>
          <w:p>
            <w:pPr>
              <w:spacing w:after="0"/>
              <w:rPr>
                <w:sz w:val="20"/>
                <w:szCs w:val="20"/>
                <w:color w:val="auto"/>
              </w:rPr>
            </w:pP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  69,889</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2,619</w:t>
            </w:r>
          </w:p>
        </w:tc>
        <w:tc>
          <w:tcPr>
            <w:tcW w:w="140" w:type="dxa"/>
            <w:vAlign w:val="bottom"/>
            <w:shd w:val="clear" w:color="auto" w:fill="CCEEFF"/>
          </w:tcPr>
          <w:p>
            <w:pPr>
              <w:spacing w:after="0"/>
              <w:rPr>
                <w:sz w:val="20"/>
                <w:szCs w:val="20"/>
                <w:color w:val="auto"/>
              </w:rPr>
            </w:pPr>
          </w:p>
        </w:tc>
        <w:tc>
          <w:tcPr>
            <w:tcW w:w="10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b w:val="1"/>
                <w:bCs w:val="1"/>
                <w:color w:val="auto"/>
                <w:w w:val="99"/>
              </w:rPr>
              <w:t>$   (73,648)</w:t>
            </w: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(1,132)</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1380" w:type="dxa"/>
            <w:vAlign w:val="bottom"/>
          </w:tcPr>
          <w:p>
            <w:pPr>
              <w:spacing w:after="0"/>
              <w:rPr>
                <w:sz w:val="20"/>
                <w:szCs w:val="20"/>
                <w:color w:val="auto"/>
              </w:rPr>
            </w:pPr>
            <w:r>
              <w:rPr>
                <w:rFonts w:ascii="Arial" w:cs="Arial" w:eastAsia="Arial" w:hAnsi="Arial"/>
                <w:sz w:val="18"/>
                <w:szCs w:val="18"/>
                <w:color w:val="auto"/>
              </w:rPr>
              <w:t>Exchange of</w:t>
            </w:r>
          </w:p>
        </w:tc>
        <w:tc>
          <w:tcPr>
            <w:tcW w:w="8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380" w:type="dxa"/>
            <w:vAlign w:val="bottom"/>
          </w:tcPr>
          <w:p>
            <w:pPr>
              <w:ind w:left="160"/>
              <w:spacing w:after="0"/>
              <w:rPr>
                <w:sz w:val="20"/>
                <w:szCs w:val="20"/>
                <w:color w:val="auto"/>
              </w:rPr>
            </w:pPr>
            <w:r>
              <w:rPr>
                <w:rFonts w:ascii="Arial" w:cs="Arial" w:eastAsia="Arial" w:hAnsi="Arial"/>
                <w:sz w:val="18"/>
                <w:szCs w:val="18"/>
                <w:color w:val="auto"/>
              </w:rPr>
              <w:t>Class A for</w:t>
            </w:r>
          </w:p>
        </w:tc>
        <w:tc>
          <w:tcPr>
            <w:tcW w:w="8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1380" w:type="dxa"/>
            <w:vAlign w:val="bottom"/>
          </w:tcPr>
          <w:p>
            <w:pPr>
              <w:ind w:left="160"/>
              <w:spacing w:after="0"/>
              <w:rPr>
                <w:sz w:val="20"/>
                <w:szCs w:val="20"/>
                <w:color w:val="auto"/>
              </w:rPr>
            </w:pPr>
            <w:r>
              <w:rPr>
                <w:rFonts w:ascii="Arial" w:cs="Arial" w:eastAsia="Arial" w:hAnsi="Arial"/>
                <w:sz w:val="18"/>
                <w:szCs w:val="18"/>
                <w:color w:val="auto"/>
                <w:w w:val="97"/>
              </w:rPr>
              <w:t>Common Stock</w:t>
            </w:r>
          </w:p>
        </w:tc>
        <w:tc>
          <w:tcPr>
            <w:tcW w:w="880" w:type="dxa"/>
            <w:vAlign w:val="bottom"/>
          </w:tcPr>
          <w:p>
            <w:pPr>
              <w:jc w:val="right"/>
              <w:spacing w:after="0"/>
              <w:rPr>
                <w:sz w:val="20"/>
                <w:szCs w:val="20"/>
                <w:color w:val="auto"/>
              </w:rPr>
            </w:pPr>
            <w:r>
              <w:rPr>
                <w:rFonts w:ascii="Arial" w:cs="Arial" w:eastAsia="Arial" w:hAnsi="Arial"/>
                <w:sz w:val="18"/>
                <w:szCs w:val="18"/>
                <w:color w:val="auto"/>
              </w:rPr>
              <w:t>2,811,147</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3</w:t>
            </w:r>
          </w:p>
        </w:tc>
        <w:tc>
          <w:tcPr>
            <w:tcW w:w="1120" w:type="dxa"/>
            <w:vAlign w:val="bottom"/>
            <w:gridSpan w:val="3"/>
          </w:tcPr>
          <w:p>
            <w:pPr>
              <w:jc w:val="right"/>
              <w:ind w:right="100"/>
              <w:spacing w:after="0"/>
              <w:rPr>
                <w:sz w:val="20"/>
                <w:szCs w:val="20"/>
                <w:color w:val="auto"/>
              </w:rPr>
            </w:pPr>
            <w:r>
              <w:rPr>
                <w:rFonts w:ascii="Arial" w:cs="Arial" w:eastAsia="Arial" w:hAnsi="Arial"/>
                <w:sz w:val="18"/>
                <w:szCs w:val="18"/>
                <w:color w:val="auto"/>
              </w:rPr>
              <w:t>(2,811,147)</w:t>
            </w:r>
          </w:p>
        </w:tc>
        <w:tc>
          <w:tcPr>
            <w:tcW w:w="100" w:type="dxa"/>
            <w:vAlign w:val="bottom"/>
          </w:tcPr>
          <w:p>
            <w:pPr>
              <w:spacing w:after="0"/>
              <w:rPr>
                <w:sz w:val="19"/>
                <w:szCs w:val="19"/>
                <w:color w:val="auto"/>
              </w:rPr>
            </w:pPr>
          </w:p>
        </w:tc>
        <w:tc>
          <w:tcPr>
            <w:tcW w:w="680" w:type="dxa"/>
            <w:vAlign w:val="bottom"/>
            <w:gridSpan w:val="2"/>
          </w:tcPr>
          <w:p>
            <w:pPr>
              <w:jc w:val="right"/>
              <w:ind w:right="40"/>
              <w:spacing w:after="0"/>
              <w:rPr>
                <w:sz w:val="20"/>
                <w:szCs w:val="20"/>
                <w:color w:val="auto"/>
              </w:rPr>
            </w:pPr>
            <w:r>
              <w:rPr>
                <w:rFonts w:ascii="Arial" w:cs="Arial" w:eastAsia="Arial" w:hAnsi="Arial"/>
                <w:sz w:val="18"/>
                <w:szCs w:val="18"/>
                <w:color w:val="auto"/>
              </w:rPr>
              <w:t>(3)</w:t>
            </w:r>
          </w:p>
        </w:tc>
        <w:tc>
          <w:tcPr>
            <w:tcW w:w="6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8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1380" w:type="dxa"/>
            <w:vAlign w:val="bottom"/>
            <w:shd w:val="clear" w:color="auto" w:fill="CCEEFF"/>
          </w:tcPr>
          <w:p>
            <w:pPr>
              <w:spacing w:after="0"/>
              <w:rPr>
                <w:sz w:val="20"/>
                <w:szCs w:val="20"/>
                <w:color w:val="auto"/>
              </w:rPr>
            </w:pPr>
            <w:r>
              <w:rPr>
                <w:rFonts w:ascii="Arial" w:cs="Arial" w:eastAsia="Arial" w:hAnsi="Arial"/>
                <w:sz w:val="18"/>
                <w:szCs w:val="18"/>
                <w:color w:val="auto"/>
              </w:rPr>
              <w:t>Shares Issued to</w:t>
            </w:r>
          </w:p>
        </w:tc>
        <w:tc>
          <w:tcPr>
            <w:tcW w:w="8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3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Medarex in</w:t>
            </w:r>
          </w:p>
        </w:tc>
        <w:tc>
          <w:tcPr>
            <w:tcW w:w="8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380" w:type="dxa"/>
            <w:vAlign w:val="bottom"/>
            <w:shd w:val="clear" w:color="auto" w:fill="CCEEFF"/>
          </w:tcPr>
          <w:p>
            <w:pPr>
              <w:ind w:left="160"/>
              <w:spacing w:after="0"/>
              <w:rPr>
                <w:sz w:val="20"/>
                <w:szCs w:val="20"/>
                <w:color w:val="auto"/>
              </w:rPr>
            </w:pPr>
            <w:r>
              <w:rPr>
                <w:rFonts w:ascii="Arial" w:cs="Arial" w:eastAsia="Arial" w:hAnsi="Arial"/>
                <w:sz w:val="18"/>
                <w:szCs w:val="18"/>
                <w:color w:val="auto"/>
                <w:w w:val="99"/>
              </w:rPr>
              <w:t>Settlement of a</w:t>
            </w:r>
          </w:p>
        </w:tc>
        <w:tc>
          <w:tcPr>
            <w:tcW w:w="8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13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Payable</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351,692</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40" w:type="dxa"/>
            <w:vAlign w:val="bottom"/>
            <w:shd w:val="clear" w:color="auto" w:fill="CCEEFF"/>
          </w:tcPr>
          <w:p>
            <w:pPr>
              <w:spacing w:after="0"/>
              <w:rPr>
                <w:sz w:val="19"/>
                <w:szCs w:val="19"/>
                <w:color w:val="auto"/>
              </w:rPr>
            </w:pPr>
          </w:p>
        </w:tc>
        <w:tc>
          <w:tcPr>
            <w:tcW w:w="9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9"/>
                <w:szCs w:val="19"/>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3,038</w:t>
            </w:r>
          </w:p>
        </w:tc>
        <w:tc>
          <w:tcPr>
            <w:tcW w:w="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3,039</w:t>
            </w:r>
          </w:p>
        </w:tc>
        <w:tc>
          <w:tcPr>
            <w:tcW w:w="1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1380" w:type="dxa"/>
            <w:vAlign w:val="bottom"/>
          </w:tcPr>
          <w:p>
            <w:pPr>
              <w:spacing w:after="0"/>
              <w:rPr>
                <w:sz w:val="20"/>
                <w:szCs w:val="20"/>
                <w:color w:val="auto"/>
              </w:rPr>
            </w:pPr>
            <w:r>
              <w:rPr>
                <w:rFonts w:ascii="Arial" w:cs="Arial" w:eastAsia="Arial" w:hAnsi="Arial"/>
                <w:sz w:val="18"/>
                <w:szCs w:val="18"/>
                <w:color w:val="auto"/>
                <w:w w:val="99"/>
              </w:rPr>
              <w:t>Shares Received</w:t>
            </w:r>
          </w:p>
        </w:tc>
        <w:tc>
          <w:tcPr>
            <w:tcW w:w="8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380" w:type="dxa"/>
            <w:vAlign w:val="bottom"/>
          </w:tcPr>
          <w:p>
            <w:pPr>
              <w:ind w:left="160"/>
              <w:spacing w:after="0"/>
              <w:rPr>
                <w:sz w:val="20"/>
                <w:szCs w:val="20"/>
                <w:color w:val="auto"/>
              </w:rPr>
            </w:pPr>
            <w:r>
              <w:rPr>
                <w:rFonts w:ascii="Arial" w:cs="Arial" w:eastAsia="Arial" w:hAnsi="Arial"/>
                <w:sz w:val="18"/>
                <w:szCs w:val="18"/>
                <w:color w:val="auto"/>
              </w:rPr>
              <w:t>in Connection</w:t>
            </w:r>
          </w:p>
        </w:tc>
        <w:tc>
          <w:tcPr>
            <w:tcW w:w="8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380" w:type="dxa"/>
            <w:vAlign w:val="bottom"/>
          </w:tcPr>
          <w:p>
            <w:pPr>
              <w:ind w:left="160"/>
              <w:spacing w:after="0"/>
              <w:rPr>
                <w:sz w:val="20"/>
                <w:szCs w:val="20"/>
                <w:color w:val="auto"/>
              </w:rPr>
            </w:pPr>
            <w:r>
              <w:rPr>
                <w:rFonts w:ascii="Arial" w:cs="Arial" w:eastAsia="Arial" w:hAnsi="Arial"/>
                <w:sz w:val="18"/>
                <w:szCs w:val="18"/>
                <w:color w:val="auto"/>
              </w:rPr>
              <w:t>with the</w:t>
            </w:r>
          </w:p>
        </w:tc>
        <w:tc>
          <w:tcPr>
            <w:tcW w:w="8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380" w:type="dxa"/>
            <w:vAlign w:val="bottom"/>
          </w:tcPr>
          <w:p>
            <w:pPr>
              <w:ind w:left="160"/>
              <w:spacing w:after="0"/>
              <w:rPr>
                <w:sz w:val="20"/>
                <w:szCs w:val="20"/>
                <w:color w:val="auto"/>
              </w:rPr>
            </w:pPr>
            <w:r>
              <w:rPr>
                <w:rFonts w:ascii="Arial" w:cs="Arial" w:eastAsia="Arial" w:hAnsi="Arial"/>
                <w:sz w:val="18"/>
                <w:szCs w:val="18"/>
                <w:color w:val="auto"/>
              </w:rPr>
              <w:t>AVANT</w:t>
            </w:r>
          </w:p>
        </w:tc>
        <w:tc>
          <w:tcPr>
            <w:tcW w:w="8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1380" w:type="dxa"/>
            <w:vAlign w:val="bottom"/>
          </w:tcPr>
          <w:p>
            <w:pPr>
              <w:ind w:left="160"/>
              <w:spacing w:after="0"/>
              <w:rPr>
                <w:sz w:val="20"/>
                <w:szCs w:val="20"/>
                <w:color w:val="auto"/>
              </w:rPr>
            </w:pPr>
            <w:r>
              <w:rPr>
                <w:rFonts w:ascii="Arial" w:cs="Arial" w:eastAsia="Arial" w:hAnsi="Arial"/>
                <w:sz w:val="18"/>
                <w:szCs w:val="18"/>
                <w:color w:val="auto"/>
              </w:rPr>
              <w:t>Merger</w:t>
            </w:r>
          </w:p>
        </w:tc>
        <w:tc>
          <w:tcPr>
            <w:tcW w:w="880" w:type="dxa"/>
            <w:vAlign w:val="bottom"/>
          </w:tcPr>
          <w:p>
            <w:pPr>
              <w:jc w:val="right"/>
              <w:spacing w:after="0"/>
              <w:rPr>
                <w:sz w:val="20"/>
                <w:szCs w:val="20"/>
                <w:color w:val="auto"/>
              </w:rPr>
            </w:pPr>
            <w:r>
              <w:rPr>
                <w:rFonts w:ascii="Arial" w:cs="Arial" w:eastAsia="Arial" w:hAnsi="Arial"/>
                <w:sz w:val="18"/>
                <w:szCs w:val="18"/>
                <w:color w:val="auto"/>
              </w:rPr>
              <w:t>6,265,882</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6</w:t>
            </w:r>
          </w:p>
        </w:tc>
        <w:tc>
          <w:tcPr>
            <w:tcW w:w="140" w:type="dxa"/>
            <w:vAlign w:val="bottom"/>
          </w:tcPr>
          <w:p>
            <w:pPr>
              <w:spacing w:after="0"/>
              <w:rPr>
                <w:sz w:val="19"/>
                <w:szCs w:val="19"/>
                <w:color w:val="auto"/>
              </w:rPr>
            </w:pPr>
          </w:p>
        </w:tc>
        <w:tc>
          <w:tcPr>
            <w:tcW w:w="9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800" w:type="dxa"/>
            <w:vAlign w:val="bottom"/>
            <w:gridSpan w:val="2"/>
          </w:tcPr>
          <w:p>
            <w:pPr>
              <w:jc w:val="right"/>
              <w:spacing w:after="0"/>
              <w:rPr>
                <w:sz w:val="20"/>
                <w:szCs w:val="20"/>
                <w:color w:val="auto"/>
              </w:rPr>
            </w:pPr>
            <w:r>
              <w:rPr>
                <w:rFonts w:ascii="Arial" w:cs="Arial" w:eastAsia="Arial" w:hAnsi="Arial"/>
                <w:sz w:val="18"/>
                <w:szCs w:val="18"/>
                <w:color w:val="auto"/>
              </w:rPr>
              <w:t>46,869</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8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46,875</w:t>
            </w:r>
          </w:p>
        </w:tc>
        <w:tc>
          <w:tcPr>
            <w:tcW w:w="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1380" w:type="dxa"/>
            <w:vAlign w:val="bottom"/>
            <w:shd w:val="clear" w:color="auto" w:fill="CCEEFF"/>
          </w:tcPr>
          <w:p>
            <w:pPr>
              <w:spacing w:after="0"/>
              <w:rPr>
                <w:sz w:val="20"/>
                <w:szCs w:val="20"/>
                <w:color w:val="auto"/>
              </w:rPr>
            </w:pPr>
            <w:r>
              <w:rPr>
                <w:rFonts w:ascii="Arial" w:cs="Arial" w:eastAsia="Arial" w:hAnsi="Arial"/>
                <w:sz w:val="18"/>
                <w:szCs w:val="18"/>
                <w:color w:val="auto"/>
              </w:rPr>
              <w:t>Shares Issued to</w:t>
            </w:r>
          </w:p>
        </w:tc>
        <w:tc>
          <w:tcPr>
            <w:tcW w:w="8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3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Pfizer in</w:t>
            </w:r>
          </w:p>
        </w:tc>
        <w:tc>
          <w:tcPr>
            <w:tcW w:w="8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3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connection</w:t>
            </w:r>
          </w:p>
        </w:tc>
        <w:tc>
          <w:tcPr>
            <w:tcW w:w="8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3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with the CDX-</w:t>
            </w:r>
          </w:p>
        </w:tc>
        <w:tc>
          <w:tcPr>
            <w:tcW w:w="8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3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110 Licensing</w:t>
            </w:r>
          </w:p>
        </w:tc>
        <w:tc>
          <w:tcPr>
            <w:tcW w:w="8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13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Agreement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781,250</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40" w:type="dxa"/>
            <w:vAlign w:val="bottom"/>
            <w:shd w:val="clear" w:color="auto" w:fill="CCEEFF"/>
          </w:tcPr>
          <w:p>
            <w:pPr>
              <w:spacing w:after="0"/>
              <w:rPr>
                <w:sz w:val="19"/>
                <w:szCs w:val="19"/>
                <w:color w:val="auto"/>
              </w:rPr>
            </w:pPr>
          </w:p>
        </w:tc>
        <w:tc>
          <w:tcPr>
            <w:tcW w:w="9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9"/>
                <w:szCs w:val="19"/>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10,866</w:t>
            </w:r>
          </w:p>
        </w:tc>
        <w:tc>
          <w:tcPr>
            <w:tcW w:w="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10,867</w:t>
            </w:r>
          </w:p>
        </w:tc>
        <w:tc>
          <w:tcPr>
            <w:tcW w:w="1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1380" w:type="dxa"/>
            <w:vAlign w:val="bottom"/>
          </w:tcPr>
          <w:p>
            <w:pPr>
              <w:spacing w:after="0"/>
              <w:rPr>
                <w:sz w:val="20"/>
                <w:szCs w:val="20"/>
                <w:color w:val="auto"/>
              </w:rPr>
            </w:pPr>
            <w:r>
              <w:rPr>
                <w:rFonts w:ascii="Arial" w:cs="Arial" w:eastAsia="Arial" w:hAnsi="Arial"/>
                <w:sz w:val="18"/>
                <w:szCs w:val="18"/>
                <w:color w:val="auto"/>
              </w:rPr>
              <w:t>Shares Issued to</w:t>
            </w:r>
          </w:p>
        </w:tc>
        <w:tc>
          <w:tcPr>
            <w:tcW w:w="8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380" w:type="dxa"/>
            <w:vAlign w:val="bottom"/>
          </w:tcPr>
          <w:p>
            <w:pPr>
              <w:ind w:left="160"/>
              <w:spacing w:after="0"/>
              <w:rPr>
                <w:sz w:val="20"/>
                <w:szCs w:val="20"/>
                <w:color w:val="auto"/>
              </w:rPr>
            </w:pPr>
            <w:r>
              <w:rPr>
                <w:rFonts w:ascii="Arial" w:cs="Arial" w:eastAsia="Arial" w:hAnsi="Arial"/>
                <w:sz w:val="18"/>
                <w:szCs w:val="18"/>
                <w:color w:val="auto"/>
              </w:rPr>
              <w:t>Duke</w:t>
            </w:r>
          </w:p>
        </w:tc>
        <w:tc>
          <w:tcPr>
            <w:tcW w:w="8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380" w:type="dxa"/>
            <w:vAlign w:val="bottom"/>
          </w:tcPr>
          <w:p>
            <w:pPr>
              <w:ind w:left="160"/>
              <w:spacing w:after="0"/>
              <w:rPr>
                <w:sz w:val="20"/>
                <w:szCs w:val="20"/>
                <w:color w:val="auto"/>
              </w:rPr>
            </w:pPr>
            <w:r>
              <w:rPr>
                <w:rFonts w:ascii="Arial" w:cs="Arial" w:eastAsia="Arial" w:hAnsi="Arial"/>
                <w:sz w:val="18"/>
                <w:szCs w:val="18"/>
                <w:color w:val="auto"/>
              </w:rPr>
              <w:t>University in</w:t>
            </w:r>
          </w:p>
        </w:tc>
        <w:tc>
          <w:tcPr>
            <w:tcW w:w="8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380" w:type="dxa"/>
            <w:vAlign w:val="bottom"/>
          </w:tcPr>
          <w:p>
            <w:pPr>
              <w:ind w:left="160"/>
              <w:spacing w:after="0"/>
              <w:rPr>
                <w:sz w:val="20"/>
                <w:szCs w:val="20"/>
                <w:color w:val="auto"/>
              </w:rPr>
            </w:pPr>
            <w:r>
              <w:rPr>
                <w:rFonts w:ascii="Arial" w:cs="Arial" w:eastAsia="Arial" w:hAnsi="Arial"/>
                <w:sz w:val="18"/>
                <w:szCs w:val="18"/>
                <w:color w:val="auto"/>
                <w:w w:val="99"/>
              </w:rPr>
              <w:t>Settlement of a</w:t>
            </w:r>
          </w:p>
        </w:tc>
        <w:tc>
          <w:tcPr>
            <w:tcW w:w="8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1380" w:type="dxa"/>
            <w:vAlign w:val="bottom"/>
          </w:tcPr>
          <w:p>
            <w:pPr>
              <w:ind w:left="160"/>
              <w:spacing w:after="0"/>
              <w:rPr>
                <w:sz w:val="20"/>
                <w:szCs w:val="20"/>
                <w:color w:val="auto"/>
              </w:rPr>
            </w:pPr>
            <w:r>
              <w:rPr>
                <w:rFonts w:ascii="Arial" w:cs="Arial" w:eastAsia="Arial" w:hAnsi="Arial"/>
                <w:sz w:val="18"/>
                <w:szCs w:val="18"/>
                <w:color w:val="auto"/>
              </w:rPr>
              <w:t>Payable</w:t>
            </w:r>
          </w:p>
        </w:tc>
        <w:tc>
          <w:tcPr>
            <w:tcW w:w="880" w:type="dxa"/>
            <w:vAlign w:val="bottom"/>
          </w:tcPr>
          <w:p>
            <w:pPr>
              <w:jc w:val="right"/>
              <w:spacing w:after="0"/>
              <w:rPr>
                <w:sz w:val="20"/>
                <w:szCs w:val="20"/>
                <w:color w:val="auto"/>
              </w:rPr>
            </w:pPr>
            <w:r>
              <w:rPr>
                <w:rFonts w:ascii="Arial" w:cs="Arial" w:eastAsia="Arial" w:hAnsi="Arial"/>
                <w:sz w:val="18"/>
                <w:szCs w:val="18"/>
                <w:color w:val="auto"/>
              </w:rPr>
              <w:t>81,512</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9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800" w:type="dxa"/>
            <w:vAlign w:val="bottom"/>
            <w:gridSpan w:val="2"/>
          </w:tcPr>
          <w:p>
            <w:pPr>
              <w:jc w:val="right"/>
              <w:spacing w:after="0"/>
              <w:rPr>
                <w:sz w:val="20"/>
                <w:szCs w:val="20"/>
                <w:color w:val="auto"/>
              </w:rPr>
            </w:pPr>
            <w:r>
              <w:rPr>
                <w:rFonts w:ascii="Arial" w:cs="Arial" w:eastAsia="Arial" w:hAnsi="Arial"/>
                <w:sz w:val="18"/>
                <w:szCs w:val="18"/>
                <w:color w:val="auto"/>
              </w:rPr>
              <w:t>1,183</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8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1,183</w:t>
            </w:r>
          </w:p>
        </w:tc>
        <w:tc>
          <w:tcPr>
            <w:tcW w:w="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1380" w:type="dxa"/>
            <w:vAlign w:val="bottom"/>
            <w:shd w:val="clear" w:color="auto" w:fill="CCEEFF"/>
          </w:tcPr>
          <w:p>
            <w:pPr>
              <w:spacing w:after="0"/>
              <w:rPr>
                <w:sz w:val="20"/>
                <w:szCs w:val="20"/>
                <w:color w:val="auto"/>
              </w:rPr>
            </w:pPr>
            <w:r>
              <w:rPr>
                <w:rFonts w:ascii="Arial" w:cs="Arial" w:eastAsia="Arial" w:hAnsi="Arial"/>
                <w:sz w:val="18"/>
                <w:szCs w:val="18"/>
                <w:color w:val="auto"/>
              </w:rPr>
              <w:t>Share-Based</w:t>
            </w:r>
          </w:p>
        </w:tc>
        <w:tc>
          <w:tcPr>
            <w:tcW w:w="8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13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Compensation</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9"/>
                <w:szCs w:val="19"/>
                <w:color w:val="auto"/>
              </w:rPr>
            </w:pPr>
          </w:p>
        </w:tc>
        <w:tc>
          <w:tcPr>
            <w:tcW w:w="9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9"/>
                <w:szCs w:val="19"/>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4,816</w:t>
            </w:r>
          </w:p>
        </w:tc>
        <w:tc>
          <w:tcPr>
            <w:tcW w:w="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4,816</w:t>
            </w:r>
          </w:p>
        </w:tc>
        <w:tc>
          <w:tcPr>
            <w:tcW w:w="1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1380" w:type="dxa"/>
            <w:vAlign w:val="bottom"/>
          </w:tcPr>
          <w:p>
            <w:pPr>
              <w:spacing w:after="0"/>
              <w:rPr>
                <w:sz w:val="20"/>
                <w:szCs w:val="20"/>
                <w:color w:val="auto"/>
              </w:rPr>
            </w:pPr>
            <w:r>
              <w:rPr>
                <w:rFonts w:ascii="Arial" w:cs="Arial" w:eastAsia="Arial" w:hAnsi="Arial"/>
                <w:sz w:val="18"/>
                <w:szCs w:val="18"/>
                <w:color w:val="auto"/>
              </w:rPr>
              <w:t>Comprehensive</w:t>
            </w:r>
          </w:p>
        </w:tc>
        <w:tc>
          <w:tcPr>
            <w:tcW w:w="8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1380" w:type="dxa"/>
            <w:vAlign w:val="bottom"/>
          </w:tcPr>
          <w:p>
            <w:pPr>
              <w:ind w:left="160"/>
              <w:spacing w:after="0"/>
              <w:rPr>
                <w:sz w:val="20"/>
                <w:szCs w:val="20"/>
                <w:color w:val="auto"/>
              </w:rPr>
            </w:pPr>
            <w:r>
              <w:rPr>
                <w:rFonts w:ascii="Arial" w:cs="Arial" w:eastAsia="Arial" w:hAnsi="Arial"/>
                <w:sz w:val="18"/>
                <w:szCs w:val="18"/>
                <w:color w:val="auto"/>
              </w:rPr>
              <w:t>Loss:</w:t>
            </w:r>
          </w:p>
        </w:tc>
        <w:tc>
          <w:tcPr>
            <w:tcW w:w="8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1380" w:type="dxa"/>
            <w:vAlign w:val="bottom"/>
            <w:shd w:val="clear" w:color="auto" w:fill="CCEEFF"/>
          </w:tcPr>
          <w:p>
            <w:pPr>
              <w:ind w:left="120"/>
              <w:spacing w:after="0"/>
              <w:rPr>
                <w:sz w:val="20"/>
                <w:szCs w:val="20"/>
                <w:color w:val="auto"/>
              </w:rPr>
            </w:pPr>
            <w:r>
              <w:rPr>
                <w:rFonts w:ascii="Arial" w:cs="Arial" w:eastAsia="Arial" w:hAnsi="Arial"/>
                <w:sz w:val="18"/>
                <w:szCs w:val="18"/>
                <w:color w:val="auto"/>
              </w:rPr>
              <w:t>Net Loss</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(47,501)</w:t>
            </w:r>
          </w:p>
        </w:tc>
        <w:tc>
          <w:tcPr>
            <w:tcW w:w="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(47,501)</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1380" w:type="dxa"/>
            <w:vAlign w:val="bottom"/>
          </w:tcPr>
          <w:p>
            <w:pPr>
              <w:ind w:left="120"/>
              <w:spacing w:after="0"/>
              <w:rPr>
                <w:sz w:val="20"/>
                <w:szCs w:val="20"/>
                <w:color w:val="auto"/>
              </w:rPr>
            </w:pPr>
            <w:r>
              <w:rPr>
                <w:rFonts w:ascii="Arial" w:cs="Arial" w:eastAsia="Arial" w:hAnsi="Arial"/>
                <w:sz w:val="18"/>
                <w:szCs w:val="18"/>
                <w:color w:val="auto"/>
              </w:rPr>
              <w:t>Translation</w:t>
            </w:r>
          </w:p>
        </w:tc>
        <w:tc>
          <w:tcPr>
            <w:tcW w:w="8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1380" w:type="dxa"/>
            <w:vAlign w:val="bottom"/>
          </w:tcPr>
          <w:p>
            <w:pPr>
              <w:ind w:left="280"/>
              <w:spacing w:after="0"/>
              <w:rPr>
                <w:sz w:val="20"/>
                <w:szCs w:val="20"/>
                <w:color w:val="auto"/>
              </w:rPr>
            </w:pPr>
            <w:r>
              <w:rPr>
                <w:rFonts w:ascii="Arial" w:cs="Arial" w:eastAsia="Arial" w:hAnsi="Arial"/>
                <w:sz w:val="18"/>
                <w:szCs w:val="18"/>
                <w:color w:val="auto"/>
              </w:rPr>
              <w:t>Adjustments</w:t>
            </w:r>
          </w:p>
        </w:tc>
        <w:tc>
          <w:tcPr>
            <w:tcW w:w="88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9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(13)</w:t>
            </w: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(13)</w:t>
            </w:r>
          </w:p>
        </w:tc>
        <w:tc>
          <w:tcPr>
            <w:tcW w:w="0" w:type="dxa"/>
            <w:vAlign w:val="bottom"/>
          </w:tcPr>
          <w:p>
            <w:pPr>
              <w:spacing w:after="0"/>
              <w:rPr>
                <w:sz w:val="1"/>
                <w:szCs w:val="1"/>
                <w:color w:val="auto"/>
              </w:rPr>
            </w:pPr>
          </w:p>
        </w:tc>
      </w:tr>
      <w:tr>
        <w:trPr>
          <w:trHeight w:val="29"/>
        </w:trPr>
        <w:tc>
          <w:tcPr>
            <w:tcW w:w="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560" w:type="dxa"/>
            <w:vAlign w:val="bottom"/>
          </w:tcPr>
          <w:p>
            <w:pPr>
              <w:spacing w:after="0"/>
              <w:rPr>
                <w:sz w:val="2"/>
                <w:szCs w:val="2"/>
                <w:color w:val="auto"/>
              </w:rPr>
            </w:pPr>
          </w:p>
        </w:tc>
        <w:tc>
          <w:tcPr>
            <w:tcW w:w="140" w:type="dxa"/>
            <w:vAlign w:val="bottom"/>
          </w:tcPr>
          <w:p>
            <w:pPr>
              <w:spacing w:after="0"/>
              <w:rPr>
                <w:sz w:val="2"/>
                <w:szCs w:val="2"/>
                <w:color w:val="auto"/>
              </w:rPr>
            </w:pPr>
          </w:p>
        </w:tc>
        <w:tc>
          <w:tcPr>
            <w:tcW w:w="8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 w:type="dxa"/>
            <w:vAlign w:val="bottom"/>
          </w:tcPr>
          <w:p>
            <w:pPr>
              <w:spacing w:after="0"/>
              <w:rPr>
                <w:sz w:val="2"/>
                <w:szCs w:val="2"/>
                <w:color w:val="auto"/>
              </w:rPr>
            </w:pPr>
          </w:p>
        </w:tc>
        <w:tc>
          <w:tcPr>
            <w:tcW w:w="7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1"/>
        </w:trPr>
        <w:tc>
          <w:tcPr>
            <w:tcW w:w="20" w:type="dxa"/>
            <w:vAlign w:val="bottom"/>
          </w:tcPr>
          <w:p>
            <w:pPr>
              <w:spacing w:after="0"/>
              <w:rPr>
                <w:sz w:val="17"/>
                <w:szCs w:val="17"/>
                <w:color w:val="auto"/>
              </w:rPr>
            </w:pPr>
          </w:p>
        </w:tc>
        <w:tc>
          <w:tcPr>
            <w:tcW w:w="138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Total</w:t>
            </w:r>
          </w:p>
        </w:tc>
        <w:tc>
          <w:tcPr>
            <w:tcW w:w="8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380" w:type="dxa"/>
            <w:vAlign w:val="bottom"/>
            <w:shd w:val="clear" w:color="auto" w:fill="CCEEFF"/>
          </w:tcPr>
          <w:p>
            <w:pPr>
              <w:ind w:left="160"/>
              <w:spacing w:after="0"/>
              <w:rPr>
                <w:sz w:val="20"/>
                <w:szCs w:val="20"/>
                <w:color w:val="auto"/>
              </w:rPr>
            </w:pPr>
            <w:r>
              <w:rPr>
                <w:rFonts w:ascii="Arial" w:cs="Arial" w:eastAsia="Arial" w:hAnsi="Arial"/>
                <w:sz w:val="18"/>
                <w:szCs w:val="18"/>
                <w:color w:val="auto"/>
                <w:w w:val="95"/>
              </w:rPr>
              <w:t>Comprehensive</w:t>
            </w:r>
          </w:p>
        </w:tc>
        <w:tc>
          <w:tcPr>
            <w:tcW w:w="8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13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Loss</w:t>
            </w:r>
          </w:p>
        </w:tc>
        <w:tc>
          <w:tcPr>
            <w:tcW w:w="8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(47,514)</w:t>
            </w:r>
          </w:p>
        </w:tc>
        <w:tc>
          <w:tcPr>
            <w:tcW w:w="0" w:type="dxa"/>
            <w:vAlign w:val="bottom"/>
          </w:tcPr>
          <w:p>
            <w:pPr>
              <w:spacing w:after="0"/>
              <w:rPr>
                <w:sz w:val="1"/>
                <w:szCs w:val="1"/>
                <w:color w:val="auto"/>
              </w:rPr>
            </w:pPr>
          </w:p>
        </w:tc>
      </w:tr>
      <w:tr>
        <w:trPr>
          <w:trHeight w:val="27"/>
        </w:trPr>
        <w:tc>
          <w:tcPr>
            <w:tcW w:w="140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Balance at</w:t>
            </w:r>
          </w:p>
        </w:tc>
        <w:tc>
          <w:tcPr>
            <w:tcW w:w="8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60" w:type="dxa"/>
            <w:vAlign w:val="bottom"/>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95"/>
        </w:trPr>
        <w:tc>
          <w:tcPr>
            <w:tcW w:w="1400" w:type="dxa"/>
            <w:vAlign w:val="bottom"/>
            <w:gridSpan w:val="2"/>
            <w:vMerge w:val="continue"/>
          </w:tcPr>
          <w:p>
            <w:pPr>
              <w:spacing w:after="0"/>
              <w:rPr>
                <w:sz w:val="16"/>
                <w:szCs w:val="16"/>
                <w:color w:val="auto"/>
              </w:rPr>
            </w:pPr>
          </w:p>
        </w:tc>
        <w:tc>
          <w:tcPr>
            <w:tcW w:w="8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380" w:type="dxa"/>
            <w:vAlign w:val="bottom"/>
          </w:tcPr>
          <w:p>
            <w:pPr>
              <w:ind w:left="160"/>
              <w:spacing w:after="0"/>
              <w:rPr>
                <w:sz w:val="20"/>
                <w:szCs w:val="20"/>
                <w:color w:val="auto"/>
              </w:rPr>
            </w:pPr>
            <w:r>
              <w:rPr>
                <w:rFonts w:ascii="Arial" w:cs="Arial" w:eastAsia="Arial" w:hAnsi="Arial"/>
                <w:sz w:val="18"/>
                <w:szCs w:val="18"/>
                <w:b w:val="1"/>
                <w:bCs w:val="1"/>
                <w:color w:val="auto"/>
              </w:rPr>
              <w:t>December 31,</w:t>
            </w:r>
          </w:p>
        </w:tc>
        <w:tc>
          <w:tcPr>
            <w:tcW w:w="8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1400" w:type="dxa"/>
            <w:vAlign w:val="bottom"/>
            <w:gridSpan w:val="2"/>
          </w:tcPr>
          <w:p>
            <w:pPr>
              <w:ind w:left="180"/>
              <w:spacing w:after="0"/>
              <w:rPr>
                <w:sz w:val="20"/>
                <w:szCs w:val="20"/>
                <w:color w:val="auto"/>
              </w:rPr>
            </w:pPr>
            <w:r>
              <w:rPr>
                <w:rFonts w:ascii="Arial" w:cs="Arial" w:eastAsia="Arial" w:hAnsi="Arial"/>
                <w:sz w:val="18"/>
                <w:szCs w:val="18"/>
                <w:b w:val="1"/>
                <w:bCs w:val="1"/>
                <w:color w:val="auto"/>
              </w:rPr>
              <w:t>2008</w:t>
            </w:r>
          </w:p>
        </w:tc>
        <w:tc>
          <w:tcPr>
            <w:tcW w:w="880" w:type="dxa"/>
            <w:vAlign w:val="bottom"/>
          </w:tcPr>
          <w:p>
            <w:pPr>
              <w:jc w:val="right"/>
              <w:spacing w:after="0"/>
              <w:rPr>
                <w:sz w:val="20"/>
                <w:szCs w:val="20"/>
                <w:color w:val="auto"/>
              </w:rPr>
            </w:pPr>
            <w:r>
              <w:rPr>
                <w:rFonts w:ascii="Arial" w:cs="Arial" w:eastAsia="Arial" w:hAnsi="Arial"/>
                <w:sz w:val="18"/>
                <w:szCs w:val="18"/>
                <w:b w:val="1"/>
                <w:bCs w:val="1"/>
                <w:color w:val="auto"/>
                <w:w w:val="93"/>
              </w:rPr>
              <w:t>15,789,756</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8"/>
                <w:szCs w:val="18"/>
                <w:b w:val="1"/>
                <w:bCs w:val="1"/>
                <w:color w:val="auto"/>
              </w:rPr>
              <w:t>16</w:t>
            </w:r>
          </w:p>
        </w:tc>
        <w:tc>
          <w:tcPr>
            <w:tcW w:w="140" w:type="dxa"/>
            <w:vAlign w:val="bottom"/>
          </w:tcPr>
          <w:p>
            <w:pPr>
              <w:spacing w:after="0"/>
              <w:rPr>
                <w:sz w:val="19"/>
                <w:szCs w:val="19"/>
                <w:color w:val="auto"/>
              </w:rPr>
            </w:pPr>
          </w:p>
        </w:tc>
        <w:tc>
          <w:tcPr>
            <w:tcW w:w="980" w:type="dxa"/>
            <w:vAlign w:val="bottom"/>
            <w:gridSpan w:val="2"/>
          </w:tcPr>
          <w:p>
            <w:pPr>
              <w:jc w:val="right"/>
              <w:ind w:right="160"/>
              <w:spacing w:after="0"/>
              <w:rPr>
                <w:sz w:val="20"/>
                <w:szCs w:val="20"/>
                <w:color w:val="auto"/>
              </w:rPr>
            </w:pPr>
            <w:r>
              <w:rPr>
                <w:rFonts w:ascii="Arial" w:cs="Arial" w:eastAsia="Arial" w:hAnsi="Arial"/>
                <w:sz w:val="18"/>
                <w:szCs w:val="18"/>
                <w:b w:val="1"/>
                <w:bCs w:val="1"/>
                <w:color w:val="auto"/>
              </w:rPr>
              <w:t>—</w:t>
            </w:r>
          </w:p>
        </w:tc>
        <w:tc>
          <w:tcPr>
            <w:tcW w:w="100" w:type="dxa"/>
            <w:vAlign w:val="bottom"/>
          </w:tcPr>
          <w:p>
            <w:pPr>
              <w:spacing w:after="0"/>
              <w:rPr>
                <w:sz w:val="19"/>
                <w:szCs w:val="19"/>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w:t>
            </w:r>
          </w:p>
        </w:tc>
        <w:tc>
          <w:tcPr>
            <w:tcW w:w="800" w:type="dxa"/>
            <w:vAlign w:val="bottom"/>
            <w:gridSpan w:val="2"/>
          </w:tcPr>
          <w:p>
            <w:pPr>
              <w:jc w:val="right"/>
              <w:spacing w:after="0"/>
              <w:rPr>
                <w:sz w:val="20"/>
                <w:szCs w:val="20"/>
                <w:color w:val="auto"/>
              </w:rPr>
            </w:pPr>
            <w:r>
              <w:rPr>
                <w:rFonts w:ascii="Arial" w:cs="Arial" w:eastAsia="Arial" w:hAnsi="Arial"/>
                <w:sz w:val="18"/>
                <w:szCs w:val="18"/>
                <w:b w:val="1"/>
                <w:bCs w:val="1"/>
                <w:color w:val="auto"/>
              </w:rPr>
              <w:t>136,661</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b w:val="1"/>
                <w:bCs w:val="1"/>
                <w:color w:val="auto"/>
              </w:rPr>
              <w:t>2,606</w:t>
            </w:r>
          </w:p>
        </w:tc>
        <w:tc>
          <w:tcPr>
            <w:tcW w:w="140" w:type="dxa"/>
            <w:vAlign w:val="bottom"/>
          </w:tcPr>
          <w:p>
            <w:pPr>
              <w:spacing w:after="0"/>
              <w:rPr>
                <w:sz w:val="19"/>
                <w:szCs w:val="19"/>
                <w:color w:val="auto"/>
              </w:rPr>
            </w:pPr>
          </w:p>
        </w:tc>
        <w:tc>
          <w:tcPr>
            <w:tcW w:w="1000" w:type="dxa"/>
            <w:vAlign w:val="bottom"/>
            <w:gridSpan w:val="2"/>
          </w:tcPr>
          <w:p>
            <w:pPr>
              <w:jc w:val="right"/>
              <w:ind w:right="60"/>
              <w:spacing w:after="0"/>
              <w:rPr>
                <w:sz w:val="20"/>
                <w:szCs w:val="20"/>
                <w:color w:val="auto"/>
              </w:rPr>
            </w:pPr>
            <w:r>
              <w:rPr>
                <w:rFonts w:ascii="Arial" w:cs="Arial" w:eastAsia="Arial" w:hAnsi="Arial"/>
                <w:sz w:val="18"/>
                <w:szCs w:val="18"/>
                <w:b w:val="1"/>
                <w:bCs w:val="1"/>
                <w:color w:val="auto"/>
              </w:rPr>
              <w:t>(121,149)</w:t>
            </w:r>
          </w:p>
        </w:tc>
        <w:tc>
          <w:tcPr>
            <w:tcW w:w="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b w:val="1"/>
                <w:bCs w:val="1"/>
                <w:color w:val="auto"/>
              </w:rPr>
              <w:t>18,134</w:t>
            </w:r>
          </w:p>
        </w:tc>
        <w:tc>
          <w:tcPr>
            <w:tcW w:w="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1380" w:type="dxa"/>
            <w:vAlign w:val="bottom"/>
            <w:shd w:val="clear" w:color="auto" w:fill="CCEEFF"/>
          </w:tcPr>
          <w:p>
            <w:pPr>
              <w:spacing w:after="0"/>
              <w:rPr>
                <w:sz w:val="20"/>
                <w:szCs w:val="20"/>
                <w:color w:val="auto"/>
              </w:rPr>
            </w:pPr>
            <w:r>
              <w:rPr>
                <w:rFonts w:ascii="Arial" w:cs="Arial" w:eastAsia="Arial" w:hAnsi="Arial"/>
                <w:sz w:val="18"/>
                <w:szCs w:val="18"/>
                <w:color w:val="auto"/>
              </w:rPr>
              <w:t>Shares Issued in</w:t>
            </w:r>
          </w:p>
        </w:tc>
        <w:tc>
          <w:tcPr>
            <w:tcW w:w="8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3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Connection</w:t>
            </w:r>
          </w:p>
        </w:tc>
        <w:tc>
          <w:tcPr>
            <w:tcW w:w="8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3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with the</w:t>
            </w:r>
          </w:p>
        </w:tc>
        <w:tc>
          <w:tcPr>
            <w:tcW w:w="8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3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CuraGen</w:t>
            </w:r>
          </w:p>
        </w:tc>
        <w:tc>
          <w:tcPr>
            <w:tcW w:w="8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13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Merger</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3"/>
              </w:rPr>
              <w:t>15,722,713</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w:t>
            </w:r>
          </w:p>
        </w:tc>
        <w:tc>
          <w:tcPr>
            <w:tcW w:w="140" w:type="dxa"/>
            <w:vAlign w:val="bottom"/>
            <w:shd w:val="clear" w:color="auto" w:fill="CCEEFF"/>
          </w:tcPr>
          <w:p>
            <w:pPr>
              <w:spacing w:after="0"/>
              <w:rPr>
                <w:sz w:val="19"/>
                <w:szCs w:val="19"/>
                <w:color w:val="auto"/>
              </w:rPr>
            </w:pPr>
          </w:p>
        </w:tc>
        <w:tc>
          <w:tcPr>
            <w:tcW w:w="9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9"/>
                <w:szCs w:val="19"/>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88,227</w:t>
            </w:r>
          </w:p>
        </w:tc>
        <w:tc>
          <w:tcPr>
            <w:tcW w:w="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88,243</w:t>
            </w:r>
          </w:p>
        </w:tc>
        <w:tc>
          <w:tcPr>
            <w:tcW w:w="1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1380" w:type="dxa"/>
            <w:vAlign w:val="bottom"/>
          </w:tcPr>
          <w:p>
            <w:pPr>
              <w:spacing w:after="0"/>
              <w:rPr>
                <w:sz w:val="20"/>
                <w:szCs w:val="20"/>
                <w:color w:val="auto"/>
              </w:rPr>
            </w:pPr>
            <w:r>
              <w:rPr>
                <w:rFonts w:ascii="Arial" w:cs="Arial" w:eastAsia="Arial" w:hAnsi="Arial"/>
                <w:sz w:val="18"/>
                <w:szCs w:val="18"/>
                <w:color w:val="auto"/>
              </w:rPr>
              <w:t>Shares Issued</w:t>
            </w:r>
          </w:p>
        </w:tc>
        <w:tc>
          <w:tcPr>
            <w:tcW w:w="8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380" w:type="dxa"/>
            <w:vAlign w:val="bottom"/>
          </w:tcPr>
          <w:p>
            <w:pPr>
              <w:ind w:left="160"/>
              <w:spacing w:after="0"/>
              <w:rPr>
                <w:sz w:val="20"/>
                <w:szCs w:val="20"/>
                <w:color w:val="auto"/>
              </w:rPr>
            </w:pPr>
            <w:r>
              <w:rPr>
                <w:rFonts w:ascii="Arial" w:cs="Arial" w:eastAsia="Arial" w:hAnsi="Arial"/>
                <w:sz w:val="18"/>
                <w:szCs w:val="18"/>
                <w:color w:val="auto"/>
              </w:rPr>
              <w:t>under Stock</w:t>
            </w:r>
          </w:p>
        </w:tc>
        <w:tc>
          <w:tcPr>
            <w:tcW w:w="8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380" w:type="dxa"/>
            <w:vAlign w:val="bottom"/>
          </w:tcPr>
          <w:p>
            <w:pPr>
              <w:ind w:left="160"/>
              <w:spacing w:after="0"/>
              <w:rPr>
                <w:sz w:val="20"/>
                <w:szCs w:val="20"/>
                <w:color w:val="auto"/>
              </w:rPr>
            </w:pPr>
            <w:r>
              <w:rPr>
                <w:rFonts w:ascii="Arial" w:cs="Arial" w:eastAsia="Arial" w:hAnsi="Arial"/>
                <w:sz w:val="18"/>
                <w:szCs w:val="18"/>
                <w:color w:val="auto"/>
              </w:rPr>
              <w:t>Option and</w:t>
            </w:r>
          </w:p>
        </w:tc>
        <w:tc>
          <w:tcPr>
            <w:tcW w:w="8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380" w:type="dxa"/>
            <w:vAlign w:val="bottom"/>
          </w:tcPr>
          <w:p>
            <w:pPr>
              <w:ind w:left="160"/>
              <w:spacing w:after="0"/>
              <w:rPr>
                <w:sz w:val="20"/>
                <w:szCs w:val="20"/>
                <w:color w:val="auto"/>
              </w:rPr>
            </w:pPr>
            <w:r>
              <w:rPr>
                <w:rFonts w:ascii="Arial" w:cs="Arial" w:eastAsia="Arial" w:hAnsi="Arial"/>
                <w:sz w:val="18"/>
                <w:szCs w:val="18"/>
                <w:color w:val="auto"/>
              </w:rPr>
              <w:t>Employee</w:t>
            </w:r>
          </w:p>
        </w:tc>
        <w:tc>
          <w:tcPr>
            <w:tcW w:w="8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380" w:type="dxa"/>
            <w:vAlign w:val="bottom"/>
          </w:tcPr>
          <w:p>
            <w:pPr>
              <w:ind w:left="160"/>
              <w:spacing w:after="0"/>
              <w:rPr>
                <w:sz w:val="20"/>
                <w:szCs w:val="20"/>
                <w:color w:val="auto"/>
              </w:rPr>
            </w:pPr>
            <w:r>
              <w:rPr>
                <w:rFonts w:ascii="Arial" w:cs="Arial" w:eastAsia="Arial" w:hAnsi="Arial"/>
                <w:sz w:val="18"/>
                <w:szCs w:val="18"/>
                <w:color w:val="auto"/>
                <w:w w:val="95"/>
              </w:rPr>
              <w:t>Stock Purchase</w:t>
            </w:r>
          </w:p>
        </w:tc>
        <w:tc>
          <w:tcPr>
            <w:tcW w:w="8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1380" w:type="dxa"/>
            <w:vAlign w:val="bottom"/>
          </w:tcPr>
          <w:p>
            <w:pPr>
              <w:ind w:left="160"/>
              <w:spacing w:after="0"/>
              <w:rPr>
                <w:sz w:val="20"/>
                <w:szCs w:val="20"/>
                <w:color w:val="auto"/>
              </w:rPr>
            </w:pPr>
            <w:r>
              <w:rPr>
                <w:rFonts w:ascii="Arial" w:cs="Arial" w:eastAsia="Arial" w:hAnsi="Arial"/>
                <w:sz w:val="18"/>
                <w:szCs w:val="18"/>
                <w:color w:val="auto"/>
              </w:rPr>
              <w:t>Plans</w:t>
            </w:r>
          </w:p>
        </w:tc>
        <w:tc>
          <w:tcPr>
            <w:tcW w:w="880" w:type="dxa"/>
            <w:vAlign w:val="bottom"/>
          </w:tcPr>
          <w:p>
            <w:pPr>
              <w:jc w:val="right"/>
              <w:spacing w:after="0"/>
              <w:rPr>
                <w:sz w:val="20"/>
                <w:szCs w:val="20"/>
                <w:color w:val="auto"/>
              </w:rPr>
            </w:pPr>
            <w:r>
              <w:rPr>
                <w:rFonts w:ascii="Arial" w:cs="Arial" w:eastAsia="Arial" w:hAnsi="Arial"/>
                <w:sz w:val="18"/>
                <w:szCs w:val="18"/>
                <w:color w:val="auto"/>
              </w:rPr>
              <w:t>172,592</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9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800" w:type="dxa"/>
            <w:vAlign w:val="bottom"/>
            <w:gridSpan w:val="2"/>
          </w:tcPr>
          <w:p>
            <w:pPr>
              <w:jc w:val="right"/>
              <w:spacing w:after="0"/>
              <w:rPr>
                <w:sz w:val="20"/>
                <w:szCs w:val="20"/>
                <w:color w:val="auto"/>
              </w:rPr>
            </w:pPr>
            <w:r>
              <w:rPr>
                <w:rFonts w:ascii="Arial" w:cs="Arial" w:eastAsia="Arial" w:hAnsi="Arial"/>
                <w:sz w:val="18"/>
                <w:szCs w:val="18"/>
                <w:color w:val="auto"/>
              </w:rPr>
              <w:t>917</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8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917</w:t>
            </w:r>
          </w:p>
        </w:tc>
        <w:tc>
          <w:tcPr>
            <w:tcW w:w="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1380" w:type="dxa"/>
            <w:vAlign w:val="bottom"/>
            <w:shd w:val="clear" w:color="auto" w:fill="CCEEFF"/>
          </w:tcPr>
          <w:p>
            <w:pPr>
              <w:spacing w:after="0"/>
              <w:rPr>
                <w:sz w:val="20"/>
                <w:szCs w:val="20"/>
                <w:color w:val="auto"/>
              </w:rPr>
            </w:pPr>
            <w:r>
              <w:rPr>
                <w:rFonts w:ascii="Arial" w:cs="Arial" w:eastAsia="Arial" w:hAnsi="Arial"/>
                <w:sz w:val="18"/>
                <w:szCs w:val="18"/>
                <w:color w:val="auto"/>
              </w:rPr>
              <w:t>Share-Based</w:t>
            </w:r>
          </w:p>
        </w:tc>
        <w:tc>
          <w:tcPr>
            <w:tcW w:w="8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13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Compensation</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9"/>
                <w:szCs w:val="19"/>
                <w:color w:val="auto"/>
              </w:rPr>
            </w:pPr>
          </w:p>
        </w:tc>
        <w:tc>
          <w:tcPr>
            <w:tcW w:w="9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9"/>
                <w:szCs w:val="19"/>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3,058</w:t>
            </w:r>
          </w:p>
        </w:tc>
        <w:tc>
          <w:tcPr>
            <w:tcW w:w="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3,058</w:t>
            </w:r>
          </w:p>
        </w:tc>
        <w:tc>
          <w:tcPr>
            <w:tcW w:w="1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1380" w:type="dxa"/>
            <w:vAlign w:val="bottom"/>
          </w:tcPr>
          <w:p>
            <w:pPr>
              <w:spacing w:after="0"/>
              <w:rPr>
                <w:sz w:val="20"/>
                <w:szCs w:val="20"/>
                <w:color w:val="auto"/>
              </w:rPr>
            </w:pPr>
            <w:r>
              <w:rPr>
                <w:rFonts w:ascii="Arial" w:cs="Arial" w:eastAsia="Arial" w:hAnsi="Arial"/>
                <w:sz w:val="18"/>
                <w:szCs w:val="18"/>
                <w:color w:val="auto"/>
              </w:rPr>
              <w:t>Comprehensive</w:t>
            </w:r>
          </w:p>
        </w:tc>
        <w:tc>
          <w:tcPr>
            <w:tcW w:w="8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1380" w:type="dxa"/>
            <w:vAlign w:val="bottom"/>
          </w:tcPr>
          <w:p>
            <w:pPr>
              <w:ind w:left="160"/>
              <w:spacing w:after="0"/>
              <w:rPr>
                <w:sz w:val="20"/>
                <w:szCs w:val="20"/>
                <w:color w:val="auto"/>
              </w:rPr>
            </w:pPr>
            <w:r>
              <w:rPr>
                <w:rFonts w:ascii="Arial" w:cs="Arial" w:eastAsia="Arial" w:hAnsi="Arial"/>
                <w:sz w:val="18"/>
                <w:szCs w:val="18"/>
                <w:color w:val="auto"/>
              </w:rPr>
              <w:t>Loss:</w:t>
            </w:r>
          </w:p>
        </w:tc>
        <w:tc>
          <w:tcPr>
            <w:tcW w:w="8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1380" w:type="dxa"/>
            <w:vAlign w:val="bottom"/>
            <w:shd w:val="clear" w:color="auto" w:fill="CCEEFF"/>
          </w:tcPr>
          <w:p>
            <w:pPr>
              <w:ind w:left="120"/>
              <w:spacing w:after="0"/>
              <w:rPr>
                <w:sz w:val="20"/>
                <w:szCs w:val="20"/>
                <w:color w:val="auto"/>
              </w:rPr>
            </w:pPr>
            <w:r>
              <w:rPr>
                <w:rFonts w:ascii="Arial" w:cs="Arial" w:eastAsia="Arial" w:hAnsi="Arial"/>
                <w:sz w:val="18"/>
                <w:szCs w:val="18"/>
                <w:color w:val="auto"/>
              </w:rPr>
              <w:t>Net Loss</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(36,525)</w:t>
            </w:r>
          </w:p>
        </w:tc>
        <w:tc>
          <w:tcPr>
            <w:tcW w:w="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(36,525)</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1380" w:type="dxa"/>
            <w:vAlign w:val="bottom"/>
          </w:tcPr>
          <w:p>
            <w:pPr>
              <w:ind w:left="120"/>
              <w:spacing w:after="0"/>
              <w:rPr>
                <w:sz w:val="20"/>
                <w:szCs w:val="20"/>
                <w:color w:val="auto"/>
              </w:rPr>
            </w:pPr>
            <w:r>
              <w:rPr>
                <w:rFonts w:ascii="Arial" w:cs="Arial" w:eastAsia="Arial" w:hAnsi="Arial"/>
                <w:sz w:val="18"/>
                <w:szCs w:val="18"/>
                <w:color w:val="auto"/>
              </w:rPr>
              <w:t>Translation</w:t>
            </w:r>
          </w:p>
        </w:tc>
        <w:tc>
          <w:tcPr>
            <w:tcW w:w="8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1380" w:type="dxa"/>
            <w:vAlign w:val="bottom"/>
          </w:tcPr>
          <w:p>
            <w:pPr>
              <w:ind w:left="280"/>
              <w:spacing w:after="0"/>
              <w:rPr>
                <w:sz w:val="20"/>
                <w:szCs w:val="20"/>
                <w:color w:val="auto"/>
              </w:rPr>
            </w:pPr>
            <w:r>
              <w:rPr>
                <w:rFonts w:ascii="Arial" w:cs="Arial" w:eastAsia="Arial" w:hAnsi="Arial"/>
                <w:sz w:val="18"/>
                <w:szCs w:val="18"/>
                <w:color w:val="auto"/>
              </w:rPr>
              <w:t>Adjustments</w:t>
            </w:r>
          </w:p>
        </w:tc>
        <w:tc>
          <w:tcPr>
            <w:tcW w:w="88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9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(12)</w:t>
            </w: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(12)</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1380" w:type="dxa"/>
            <w:vAlign w:val="bottom"/>
            <w:shd w:val="clear" w:color="auto" w:fill="CCEEFF"/>
          </w:tcPr>
          <w:p>
            <w:pPr>
              <w:ind w:left="120"/>
              <w:spacing w:after="0"/>
              <w:rPr>
                <w:sz w:val="20"/>
                <w:szCs w:val="20"/>
                <w:color w:val="auto"/>
              </w:rPr>
            </w:pPr>
            <w:r>
              <w:rPr>
                <w:rFonts w:ascii="Arial" w:cs="Arial" w:eastAsia="Arial" w:hAnsi="Arial"/>
                <w:sz w:val="18"/>
                <w:szCs w:val="18"/>
                <w:color w:val="auto"/>
              </w:rPr>
              <w:t>Unrealized</w:t>
            </w:r>
          </w:p>
        </w:tc>
        <w:tc>
          <w:tcPr>
            <w:tcW w:w="8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380" w:type="dxa"/>
            <w:vAlign w:val="bottom"/>
            <w:shd w:val="clear" w:color="auto" w:fill="CCEEFF"/>
          </w:tcPr>
          <w:p>
            <w:pPr>
              <w:ind w:left="280"/>
              <w:spacing w:after="0"/>
              <w:rPr>
                <w:sz w:val="20"/>
                <w:szCs w:val="20"/>
                <w:color w:val="auto"/>
              </w:rPr>
            </w:pPr>
            <w:r>
              <w:rPr>
                <w:rFonts w:ascii="Arial" w:cs="Arial" w:eastAsia="Arial" w:hAnsi="Arial"/>
                <w:sz w:val="18"/>
                <w:szCs w:val="18"/>
                <w:color w:val="auto"/>
              </w:rPr>
              <w:t>Losses on</w:t>
            </w:r>
          </w:p>
        </w:tc>
        <w:tc>
          <w:tcPr>
            <w:tcW w:w="8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380" w:type="dxa"/>
            <w:vAlign w:val="bottom"/>
            <w:shd w:val="clear" w:color="auto" w:fill="CCEEFF"/>
          </w:tcPr>
          <w:p>
            <w:pPr>
              <w:ind w:left="280"/>
              <w:spacing w:after="0"/>
              <w:rPr>
                <w:sz w:val="20"/>
                <w:szCs w:val="20"/>
                <w:color w:val="auto"/>
              </w:rPr>
            </w:pPr>
            <w:r>
              <w:rPr>
                <w:rFonts w:ascii="Arial" w:cs="Arial" w:eastAsia="Arial" w:hAnsi="Arial"/>
                <w:sz w:val="18"/>
                <w:szCs w:val="18"/>
                <w:color w:val="auto"/>
              </w:rPr>
              <w:t>Marketable</w:t>
            </w:r>
          </w:p>
        </w:tc>
        <w:tc>
          <w:tcPr>
            <w:tcW w:w="8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1380" w:type="dxa"/>
            <w:vAlign w:val="bottom"/>
            <w:shd w:val="clear" w:color="auto" w:fill="CCEEFF"/>
          </w:tcPr>
          <w:p>
            <w:pPr>
              <w:ind w:left="280"/>
              <w:spacing w:after="0"/>
              <w:rPr>
                <w:sz w:val="20"/>
                <w:szCs w:val="20"/>
                <w:color w:val="auto"/>
              </w:rPr>
            </w:pPr>
            <w:r>
              <w:rPr>
                <w:rFonts w:ascii="Arial" w:cs="Arial" w:eastAsia="Arial" w:hAnsi="Arial"/>
                <w:sz w:val="18"/>
                <w:szCs w:val="18"/>
                <w:color w:val="auto"/>
              </w:rPr>
              <w:t>Securities</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9"/>
                <w:szCs w:val="19"/>
                <w:color w:val="auto"/>
              </w:rPr>
            </w:pPr>
          </w:p>
        </w:tc>
        <w:tc>
          <w:tcPr>
            <w:tcW w:w="9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9"/>
                <w:szCs w:val="19"/>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(48)</w:t>
            </w: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(48)</w:t>
            </w:r>
          </w:p>
        </w:tc>
        <w:tc>
          <w:tcPr>
            <w:tcW w:w="0" w:type="dxa"/>
            <w:vAlign w:val="bottom"/>
          </w:tcPr>
          <w:p>
            <w:pPr>
              <w:spacing w:after="0"/>
              <w:rPr>
                <w:sz w:val="1"/>
                <w:szCs w:val="1"/>
                <w:color w:val="auto"/>
              </w:rPr>
            </w:pPr>
          </w:p>
        </w:tc>
      </w:tr>
      <w:tr>
        <w:trPr>
          <w:trHeight w:val="27"/>
        </w:trPr>
        <w:tc>
          <w:tcPr>
            <w:tcW w:w="1400" w:type="dxa"/>
            <w:vAlign w:val="bottom"/>
            <w:gridSpan w:val="2"/>
            <w:vMerge w:val="restart"/>
          </w:tcPr>
          <w:p>
            <w:pPr>
              <w:spacing w:after="0"/>
              <w:rPr>
                <w:sz w:val="20"/>
                <w:szCs w:val="20"/>
                <w:color w:val="auto"/>
              </w:rPr>
            </w:pPr>
            <w:r>
              <w:rPr>
                <w:rFonts w:ascii="Arial" w:cs="Arial" w:eastAsia="Arial" w:hAnsi="Arial"/>
                <w:sz w:val="18"/>
                <w:szCs w:val="18"/>
                <w:color w:val="auto"/>
              </w:rPr>
              <w:t>Total</w:t>
            </w: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560" w:type="dxa"/>
            <w:vAlign w:val="bottom"/>
          </w:tcPr>
          <w:p>
            <w:pPr>
              <w:spacing w:after="0"/>
              <w:rPr>
                <w:sz w:val="2"/>
                <w:szCs w:val="2"/>
                <w:color w:val="auto"/>
              </w:rPr>
            </w:pPr>
          </w:p>
        </w:tc>
        <w:tc>
          <w:tcPr>
            <w:tcW w:w="140" w:type="dxa"/>
            <w:vAlign w:val="bottom"/>
          </w:tcPr>
          <w:p>
            <w:pPr>
              <w:spacing w:after="0"/>
              <w:rPr>
                <w:sz w:val="2"/>
                <w:szCs w:val="2"/>
                <w:color w:val="auto"/>
              </w:rPr>
            </w:pPr>
          </w:p>
        </w:tc>
        <w:tc>
          <w:tcPr>
            <w:tcW w:w="8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 w:type="dxa"/>
            <w:vAlign w:val="bottom"/>
          </w:tcPr>
          <w:p>
            <w:pPr>
              <w:spacing w:after="0"/>
              <w:rPr>
                <w:sz w:val="2"/>
                <w:szCs w:val="2"/>
                <w:color w:val="auto"/>
              </w:rPr>
            </w:pPr>
          </w:p>
        </w:tc>
        <w:tc>
          <w:tcPr>
            <w:tcW w:w="7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1"/>
        </w:trPr>
        <w:tc>
          <w:tcPr>
            <w:tcW w:w="1400" w:type="dxa"/>
            <w:vAlign w:val="bottom"/>
            <w:gridSpan w:val="2"/>
            <w:vMerge w:val="continue"/>
          </w:tcPr>
          <w:p>
            <w:pPr>
              <w:spacing w:after="0"/>
              <w:rPr>
                <w:sz w:val="17"/>
                <w:szCs w:val="17"/>
                <w:color w:val="auto"/>
              </w:rPr>
            </w:pPr>
          </w:p>
        </w:tc>
        <w:tc>
          <w:tcPr>
            <w:tcW w:w="8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380" w:type="dxa"/>
            <w:vAlign w:val="bottom"/>
          </w:tcPr>
          <w:p>
            <w:pPr>
              <w:ind w:left="160"/>
              <w:spacing w:after="0"/>
              <w:rPr>
                <w:sz w:val="20"/>
                <w:szCs w:val="20"/>
                <w:color w:val="auto"/>
              </w:rPr>
            </w:pPr>
            <w:r>
              <w:rPr>
                <w:rFonts w:ascii="Arial" w:cs="Arial" w:eastAsia="Arial" w:hAnsi="Arial"/>
                <w:sz w:val="18"/>
                <w:szCs w:val="18"/>
                <w:color w:val="auto"/>
                <w:w w:val="95"/>
              </w:rPr>
              <w:t>Comprehensive</w:t>
            </w:r>
          </w:p>
        </w:tc>
        <w:tc>
          <w:tcPr>
            <w:tcW w:w="8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1380" w:type="dxa"/>
            <w:vAlign w:val="bottom"/>
          </w:tcPr>
          <w:p>
            <w:pPr>
              <w:ind w:left="160"/>
              <w:spacing w:after="0"/>
              <w:rPr>
                <w:sz w:val="20"/>
                <w:szCs w:val="20"/>
                <w:color w:val="auto"/>
              </w:rPr>
            </w:pPr>
            <w:r>
              <w:rPr>
                <w:rFonts w:ascii="Arial" w:cs="Arial" w:eastAsia="Arial" w:hAnsi="Arial"/>
                <w:sz w:val="18"/>
                <w:szCs w:val="18"/>
                <w:color w:val="auto"/>
              </w:rPr>
              <w:t>Loss</w:t>
            </w:r>
          </w:p>
        </w:tc>
        <w:tc>
          <w:tcPr>
            <w:tcW w:w="8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(36,585)</w:t>
            </w:r>
          </w:p>
        </w:tc>
        <w:tc>
          <w:tcPr>
            <w:tcW w:w="0" w:type="dxa"/>
            <w:vAlign w:val="bottom"/>
          </w:tcPr>
          <w:p>
            <w:pPr>
              <w:spacing w:after="0"/>
              <w:rPr>
                <w:sz w:val="1"/>
                <w:szCs w:val="1"/>
                <w:color w:val="auto"/>
              </w:rPr>
            </w:pPr>
          </w:p>
        </w:tc>
      </w:tr>
      <w:tr>
        <w:trPr>
          <w:trHeight w:val="29"/>
        </w:trPr>
        <w:tc>
          <w:tcPr>
            <w:tcW w:w="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60" w:type="dxa"/>
            <w:vAlign w:val="bottom"/>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26"/>
        </w:trPr>
        <w:tc>
          <w:tcPr>
            <w:tcW w:w="20" w:type="dxa"/>
            <w:vAlign w:val="bottom"/>
          </w:tcPr>
          <w:p>
            <w:pPr>
              <w:spacing w:after="0"/>
              <w:rPr>
                <w:sz w:val="19"/>
                <w:szCs w:val="19"/>
                <w:color w:val="auto"/>
              </w:rPr>
            </w:pPr>
          </w:p>
        </w:tc>
        <w:tc>
          <w:tcPr>
            <w:tcW w:w="13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Balance at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93"/>
              </w:rPr>
              <w:t>31,685,061</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32</w:t>
            </w:r>
          </w:p>
        </w:tc>
        <w:tc>
          <w:tcPr>
            <w:tcW w:w="140" w:type="dxa"/>
            <w:vAlign w:val="bottom"/>
            <w:shd w:val="clear" w:color="auto" w:fill="CCEEFF"/>
          </w:tcPr>
          <w:p>
            <w:pPr>
              <w:spacing w:after="0"/>
              <w:rPr>
                <w:sz w:val="19"/>
                <w:szCs w:val="19"/>
                <w:color w:val="auto"/>
              </w:rPr>
            </w:pPr>
          </w:p>
        </w:tc>
        <w:tc>
          <w:tcPr>
            <w:tcW w:w="9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b w:val="1"/>
                <w:bCs w:val="1"/>
                <w:color w:val="auto"/>
              </w:rPr>
              <w:t>—</w:t>
            </w:r>
          </w:p>
        </w:tc>
        <w:tc>
          <w:tcPr>
            <w:tcW w:w="100" w:type="dxa"/>
            <w:vAlign w:val="bottom"/>
            <w:shd w:val="clear" w:color="auto" w:fill="CCEEFF"/>
          </w:tcPr>
          <w:p>
            <w:pPr>
              <w:spacing w:after="0"/>
              <w:rPr>
                <w:sz w:val="19"/>
                <w:szCs w:val="19"/>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w:t>
            </w: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228,863</w:t>
            </w:r>
          </w:p>
        </w:tc>
        <w:tc>
          <w:tcPr>
            <w:tcW w:w="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2,546</w:t>
            </w:r>
          </w:p>
        </w:tc>
        <w:tc>
          <w:tcPr>
            <w:tcW w:w="14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b w:val="1"/>
                <w:bCs w:val="1"/>
                <w:color w:val="auto"/>
              </w:rPr>
              <w:t>(157,674)</w:t>
            </w:r>
          </w:p>
        </w:tc>
        <w:tc>
          <w:tcPr>
            <w:tcW w:w="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73,767</w:t>
            </w:r>
          </w:p>
        </w:tc>
        <w:tc>
          <w:tcPr>
            <w:tcW w:w="1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bl>
    <w:p>
      <w:pPr>
        <w:sectPr>
          <w:pgSz w:w="11900" w:h="16900" w:orient="portrait"/>
          <w:cols w:equalWidth="0" w:num="1">
            <w:col w:w="10400"/>
          </w:cols>
          <w:pgMar w:left="240" w:top="131" w:right="1259" w:bottom="0" w:gutter="0" w:footer="0" w:header="0"/>
        </w:sectPr>
      </w:pPr>
    </w:p>
    <w:bookmarkStart w:id="71" w:name="page72"/>
    <w:bookmarkEnd w:id="71"/>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0" w:type="dxa"/>
            <w:vAlign w:val="bottom"/>
          </w:tcPr>
          <w:p>
            <w:pPr>
              <w:spacing w:after="0"/>
              <w:rPr>
                <w:sz w:val="17"/>
                <w:szCs w:val="17"/>
                <w:color w:val="auto"/>
              </w:rPr>
            </w:pPr>
          </w:p>
        </w:tc>
        <w:tc>
          <w:tcPr>
            <w:tcW w:w="1380" w:type="dxa"/>
            <w:vAlign w:val="bottom"/>
            <w:shd w:val="clear" w:color="auto" w:fill="CCEEFF"/>
          </w:tcPr>
          <w:p>
            <w:pPr>
              <w:ind w:left="160"/>
              <w:spacing w:after="0"/>
              <w:rPr>
                <w:sz w:val="20"/>
                <w:szCs w:val="20"/>
                <w:color w:val="auto"/>
              </w:rPr>
            </w:pPr>
            <w:r>
              <w:rPr>
                <w:rFonts w:ascii="Arial" w:cs="Arial" w:eastAsia="Arial" w:hAnsi="Arial"/>
                <w:sz w:val="18"/>
                <w:szCs w:val="18"/>
                <w:b w:val="1"/>
                <w:bCs w:val="1"/>
                <w:color w:val="auto"/>
              </w:rPr>
              <w:t>December 31,</w:t>
            </w:r>
          </w:p>
        </w:tc>
        <w:tc>
          <w:tcPr>
            <w:tcW w:w="8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1380" w:type="dxa"/>
            <w:vAlign w:val="bottom"/>
            <w:shd w:val="clear" w:color="auto" w:fill="CCEEFF"/>
          </w:tcPr>
          <w:p>
            <w:pPr>
              <w:ind w:left="160"/>
              <w:spacing w:after="0"/>
              <w:rPr>
                <w:sz w:val="20"/>
                <w:szCs w:val="20"/>
                <w:color w:val="auto"/>
              </w:rPr>
            </w:pPr>
            <w:r>
              <w:rPr>
                <w:rFonts w:ascii="Arial" w:cs="Arial" w:eastAsia="Arial" w:hAnsi="Arial"/>
                <w:sz w:val="18"/>
                <w:szCs w:val="18"/>
                <w:b w:val="1"/>
                <w:bCs w:val="1"/>
                <w:color w:val="auto"/>
              </w:rPr>
              <w:t>2009</w:t>
            </w:r>
          </w:p>
        </w:tc>
        <w:tc>
          <w:tcPr>
            <w:tcW w:w="8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4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82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38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74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68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7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66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1380" w:type="dxa"/>
            <w:vAlign w:val="bottom"/>
          </w:tcPr>
          <w:p>
            <w:pPr>
              <w:spacing w:after="0"/>
              <w:rPr>
                <w:sz w:val="20"/>
                <w:szCs w:val="20"/>
                <w:color w:val="auto"/>
              </w:rPr>
            </w:pPr>
            <w:r>
              <w:rPr>
                <w:rFonts w:ascii="Arial" w:cs="Arial" w:eastAsia="Arial" w:hAnsi="Arial"/>
                <w:sz w:val="18"/>
                <w:szCs w:val="18"/>
                <w:color w:val="auto"/>
              </w:rPr>
              <w:t>Shares Issued</w:t>
            </w:r>
          </w:p>
        </w:tc>
        <w:tc>
          <w:tcPr>
            <w:tcW w:w="8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380" w:type="dxa"/>
            <w:vAlign w:val="bottom"/>
          </w:tcPr>
          <w:p>
            <w:pPr>
              <w:ind w:left="160"/>
              <w:spacing w:after="0"/>
              <w:rPr>
                <w:sz w:val="20"/>
                <w:szCs w:val="20"/>
                <w:color w:val="auto"/>
              </w:rPr>
            </w:pPr>
            <w:r>
              <w:rPr>
                <w:rFonts w:ascii="Arial" w:cs="Arial" w:eastAsia="Arial" w:hAnsi="Arial"/>
                <w:sz w:val="18"/>
                <w:szCs w:val="18"/>
                <w:color w:val="auto"/>
              </w:rPr>
              <w:t>under Stock</w:t>
            </w:r>
          </w:p>
        </w:tc>
        <w:tc>
          <w:tcPr>
            <w:tcW w:w="8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380" w:type="dxa"/>
            <w:vAlign w:val="bottom"/>
          </w:tcPr>
          <w:p>
            <w:pPr>
              <w:ind w:left="160"/>
              <w:spacing w:after="0"/>
              <w:rPr>
                <w:sz w:val="20"/>
                <w:szCs w:val="20"/>
                <w:color w:val="auto"/>
              </w:rPr>
            </w:pPr>
            <w:r>
              <w:rPr>
                <w:rFonts w:ascii="Arial" w:cs="Arial" w:eastAsia="Arial" w:hAnsi="Arial"/>
                <w:sz w:val="18"/>
                <w:szCs w:val="18"/>
                <w:color w:val="auto"/>
              </w:rPr>
              <w:t>Option and</w:t>
            </w:r>
          </w:p>
        </w:tc>
        <w:tc>
          <w:tcPr>
            <w:tcW w:w="8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380" w:type="dxa"/>
            <w:vAlign w:val="bottom"/>
          </w:tcPr>
          <w:p>
            <w:pPr>
              <w:ind w:left="160"/>
              <w:spacing w:after="0"/>
              <w:rPr>
                <w:sz w:val="20"/>
                <w:szCs w:val="20"/>
                <w:color w:val="auto"/>
              </w:rPr>
            </w:pPr>
            <w:r>
              <w:rPr>
                <w:rFonts w:ascii="Arial" w:cs="Arial" w:eastAsia="Arial" w:hAnsi="Arial"/>
                <w:sz w:val="18"/>
                <w:szCs w:val="18"/>
                <w:color w:val="auto"/>
              </w:rPr>
              <w:t>Employee</w:t>
            </w:r>
          </w:p>
        </w:tc>
        <w:tc>
          <w:tcPr>
            <w:tcW w:w="8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380" w:type="dxa"/>
            <w:vAlign w:val="bottom"/>
          </w:tcPr>
          <w:p>
            <w:pPr>
              <w:ind w:left="160"/>
              <w:spacing w:after="0"/>
              <w:rPr>
                <w:sz w:val="20"/>
                <w:szCs w:val="20"/>
                <w:color w:val="auto"/>
              </w:rPr>
            </w:pPr>
            <w:r>
              <w:rPr>
                <w:rFonts w:ascii="Arial" w:cs="Arial" w:eastAsia="Arial" w:hAnsi="Arial"/>
                <w:sz w:val="18"/>
                <w:szCs w:val="18"/>
                <w:color w:val="auto"/>
                <w:w w:val="95"/>
              </w:rPr>
              <w:t>Stock Purchase</w:t>
            </w:r>
          </w:p>
        </w:tc>
        <w:tc>
          <w:tcPr>
            <w:tcW w:w="8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1380" w:type="dxa"/>
            <w:vAlign w:val="bottom"/>
          </w:tcPr>
          <w:p>
            <w:pPr>
              <w:ind w:left="160"/>
              <w:spacing w:after="0"/>
              <w:rPr>
                <w:sz w:val="20"/>
                <w:szCs w:val="20"/>
                <w:color w:val="auto"/>
              </w:rPr>
            </w:pPr>
            <w:r>
              <w:rPr>
                <w:rFonts w:ascii="Arial" w:cs="Arial" w:eastAsia="Arial" w:hAnsi="Arial"/>
                <w:sz w:val="18"/>
                <w:szCs w:val="18"/>
                <w:color w:val="auto"/>
              </w:rPr>
              <w:t>Plans</w:t>
            </w:r>
          </w:p>
        </w:tc>
        <w:tc>
          <w:tcPr>
            <w:tcW w:w="880" w:type="dxa"/>
            <w:vAlign w:val="bottom"/>
          </w:tcPr>
          <w:p>
            <w:pPr>
              <w:jc w:val="right"/>
              <w:spacing w:after="0"/>
              <w:rPr>
                <w:sz w:val="20"/>
                <w:szCs w:val="20"/>
                <w:color w:val="auto"/>
              </w:rPr>
            </w:pPr>
            <w:r>
              <w:rPr>
                <w:rFonts w:ascii="Arial" w:cs="Arial" w:eastAsia="Arial" w:hAnsi="Arial"/>
                <w:sz w:val="18"/>
                <w:szCs w:val="18"/>
                <w:color w:val="auto"/>
              </w:rPr>
              <w:t>370,321</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400" w:type="dxa"/>
            <w:vAlign w:val="bottom"/>
          </w:tcPr>
          <w:p>
            <w:pPr>
              <w:ind w:left="220"/>
              <w:spacing w:after="0"/>
              <w:rPr>
                <w:sz w:val="20"/>
                <w:szCs w:val="20"/>
                <w:color w:val="auto"/>
              </w:rPr>
            </w:pPr>
            <w:r>
              <w:rPr>
                <w:rFonts w:ascii="Arial" w:cs="Arial" w:eastAsia="Arial" w:hAnsi="Arial"/>
                <w:sz w:val="18"/>
                <w:szCs w:val="18"/>
                <w:color w:val="auto"/>
                <w:w w:val="88"/>
              </w:rPr>
              <w:t>—</w:t>
            </w:r>
          </w:p>
        </w:tc>
        <w:tc>
          <w:tcPr>
            <w:tcW w:w="140" w:type="dxa"/>
            <w:vAlign w:val="bottom"/>
          </w:tcPr>
          <w:p>
            <w:pPr>
              <w:spacing w:after="0"/>
              <w:rPr>
                <w:sz w:val="19"/>
                <w:szCs w:val="19"/>
                <w:color w:val="auto"/>
              </w:rPr>
            </w:pPr>
          </w:p>
        </w:tc>
        <w:tc>
          <w:tcPr>
            <w:tcW w:w="1280" w:type="dxa"/>
            <w:vAlign w:val="bottom"/>
            <w:gridSpan w:val="3"/>
          </w:tcPr>
          <w:p>
            <w:pPr>
              <w:ind w:left="640"/>
              <w:spacing w:after="0"/>
              <w:rPr>
                <w:sz w:val="20"/>
                <w:szCs w:val="20"/>
                <w:color w:val="auto"/>
              </w:rPr>
            </w:pPr>
            <w:r>
              <w:rPr>
                <w:rFonts w:ascii="Arial" w:cs="Arial" w:eastAsia="Arial" w:hAnsi="Arial"/>
                <w:sz w:val="18"/>
                <w:szCs w:val="18"/>
                <w:color w:val="auto"/>
              </w:rPr>
              <w:t>—</w:t>
            </w:r>
          </w:p>
        </w:tc>
        <w:tc>
          <w:tcPr>
            <w:tcW w:w="380" w:type="dxa"/>
            <w:vAlign w:val="bottom"/>
          </w:tcPr>
          <w:p>
            <w:pPr>
              <w:ind w:left="200"/>
              <w:spacing w:after="0"/>
              <w:rPr>
                <w:sz w:val="20"/>
                <w:szCs w:val="20"/>
                <w:color w:val="auto"/>
              </w:rPr>
            </w:pPr>
            <w:r>
              <w:rPr>
                <w:rFonts w:ascii="Arial" w:cs="Arial" w:eastAsia="Arial" w:hAnsi="Arial"/>
                <w:sz w:val="18"/>
                <w:szCs w:val="18"/>
                <w:color w:val="auto"/>
                <w:w w:val="88"/>
              </w:rPr>
              <w:t>—</w:t>
            </w:r>
          </w:p>
        </w:tc>
        <w:tc>
          <w:tcPr>
            <w:tcW w:w="900" w:type="dxa"/>
            <w:vAlign w:val="bottom"/>
            <w:gridSpan w:val="2"/>
          </w:tcPr>
          <w:p>
            <w:pPr>
              <w:jc w:val="right"/>
              <w:spacing w:after="0"/>
              <w:rPr>
                <w:sz w:val="20"/>
                <w:szCs w:val="20"/>
                <w:color w:val="auto"/>
              </w:rPr>
            </w:pPr>
            <w:r>
              <w:rPr>
                <w:rFonts w:ascii="Arial" w:cs="Arial" w:eastAsia="Arial" w:hAnsi="Arial"/>
                <w:sz w:val="18"/>
                <w:szCs w:val="18"/>
                <w:color w:val="auto"/>
              </w:rPr>
              <w:t>1,014</w:t>
            </w:r>
          </w:p>
        </w:tc>
        <w:tc>
          <w:tcPr>
            <w:tcW w:w="1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1,014</w:t>
            </w:r>
          </w:p>
        </w:tc>
        <w:tc>
          <w:tcPr>
            <w:tcW w:w="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1380" w:type="dxa"/>
            <w:vAlign w:val="bottom"/>
            <w:shd w:val="clear" w:color="auto" w:fill="CCEEFF"/>
          </w:tcPr>
          <w:p>
            <w:pPr>
              <w:spacing w:after="0"/>
              <w:rPr>
                <w:sz w:val="20"/>
                <w:szCs w:val="20"/>
                <w:color w:val="auto"/>
              </w:rPr>
            </w:pPr>
            <w:r>
              <w:rPr>
                <w:rFonts w:ascii="Arial" w:cs="Arial" w:eastAsia="Arial" w:hAnsi="Arial"/>
                <w:sz w:val="18"/>
                <w:szCs w:val="18"/>
                <w:color w:val="auto"/>
              </w:rPr>
              <w:t>Share-Based</w:t>
            </w:r>
          </w:p>
        </w:tc>
        <w:tc>
          <w:tcPr>
            <w:tcW w:w="8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13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Compensation</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400" w:type="dxa"/>
            <w:vAlign w:val="bottom"/>
            <w:shd w:val="clear" w:color="auto" w:fill="CCEEFF"/>
          </w:tcPr>
          <w:p>
            <w:pPr>
              <w:ind w:left="220"/>
              <w:spacing w:after="0"/>
              <w:rPr>
                <w:sz w:val="20"/>
                <w:szCs w:val="20"/>
                <w:color w:val="auto"/>
              </w:rPr>
            </w:pPr>
            <w:r>
              <w:rPr>
                <w:rFonts w:ascii="Arial" w:cs="Arial" w:eastAsia="Arial" w:hAnsi="Arial"/>
                <w:sz w:val="18"/>
                <w:szCs w:val="18"/>
                <w:color w:val="auto"/>
                <w:w w:val="88"/>
              </w:rPr>
              <w:t>—</w:t>
            </w:r>
          </w:p>
        </w:tc>
        <w:tc>
          <w:tcPr>
            <w:tcW w:w="140" w:type="dxa"/>
            <w:vAlign w:val="bottom"/>
            <w:shd w:val="clear" w:color="auto" w:fill="CCEEFF"/>
          </w:tcPr>
          <w:p>
            <w:pPr>
              <w:spacing w:after="0"/>
              <w:rPr>
                <w:sz w:val="19"/>
                <w:szCs w:val="19"/>
                <w:color w:val="auto"/>
              </w:rPr>
            </w:pPr>
          </w:p>
        </w:tc>
        <w:tc>
          <w:tcPr>
            <w:tcW w:w="1280" w:type="dxa"/>
            <w:vAlign w:val="bottom"/>
            <w:gridSpan w:val="3"/>
            <w:shd w:val="clear" w:color="auto" w:fill="CCEEFF"/>
          </w:tcPr>
          <w:p>
            <w:pPr>
              <w:ind w:left="640"/>
              <w:spacing w:after="0"/>
              <w:rPr>
                <w:sz w:val="20"/>
                <w:szCs w:val="20"/>
                <w:color w:val="auto"/>
              </w:rPr>
            </w:pPr>
            <w:r>
              <w:rPr>
                <w:rFonts w:ascii="Arial" w:cs="Arial" w:eastAsia="Arial" w:hAnsi="Arial"/>
                <w:sz w:val="18"/>
                <w:szCs w:val="18"/>
                <w:color w:val="auto"/>
              </w:rPr>
              <w:t>—</w:t>
            </w:r>
          </w:p>
        </w:tc>
        <w:tc>
          <w:tcPr>
            <w:tcW w:w="380" w:type="dxa"/>
            <w:vAlign w:val="bottom"/>
            <w:shd w:val="clear" w:color="auto" w:fill="CCEEFF"/>
          </w:tcPr>
          <w:p>
            <w:pPr>
              <w:ind w:left="200"/>
              <w:spacing w:after="0"/>
              <w:rPr>
                <w:sz w:val="20"/>
                <w:szCs w:val="20"/>
                <w:color w:val="auto"/>
              </w:rPr>
            </w:pPr>
            <w:r>
              <w:rPr>
                <w:rFonts w:ascii="Arial" w:cs="Arial" w:eastAsia="Arial" w:hAnsi="Arial"/>
                <w:sz w:val="18"/>
                <w:szCs w:val="18"/>
                <w:color w:val="auto"/>
                <w:w w:val="88"/>
              </w:rPr>
              <w:t>—</w:t>
            </w: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2,802</w:t>
            </w:r>
          </w:p>
        </w:tc>
        <w:tc>
          <w:tcPr>
            <w:tcW w:w="16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4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2,802</w:t>
            </w:r>
          </w:p>
        </w:tc>
        <w:tc>
          <w:tcPr>
            <w:tcW w:w="1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1380" w:type="dxa"/>
            <w:vAlign w:val="bottom"/>
          </w:tcPr>
          <w:p>
            <w:pPr>
              <w:spacing w:after="0"/>
              <w:rPr>
                <w:sz w:val="20"/>
                <w:szCs w:val="20"/>
                <w:color w:val="auto"/>
              </w:rPr>
            </w:pPr>
            <w:r>
              <w:rPr>
                <w:rFonts w:ascii="Arial" w:cs="Arial" w:eastAsia="Arial" w:hAnsi="Arial"/>
                <w:sz w:val="18"/>
                <w:szCs w:val="18"/>
                <w:color w:val="auto"/>
              </w:rPr>
              <w:t>Comprehensive</w:t>
            </w:r>
          </w:p>
        </w:tc>
        <w:tc>
          <w:tcPr>
            <w:tcW w:w="8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1380" w:type="dxa"/>
            <w:vAlign w:val="bottom"/>
          </w:tcPr>
          <w:p>
            <w:pPr>
              <w:ind w:left="160"/>
              <w:spacing w:after="0"/>
              <w:rPr>
                <w:sz w:val="20"/>
                <w:szCs w:val="20"/>
                <w:color w:val="auto"/>
              </w:rPr>
            </w:pPr>
            <w:r>
              <w:rPr>
                <w:rFonts w:ascii="Arial" w:cs="Arial" w:eastAsia="Arial" w:hAnsi="Arial"/>
                <w:sz w:val="18"/>
                <w:szCs w:val="18"/>
                <w:color w:val="auto"/>
              </w:rPr>
              <w:t>Loss:</w:t>
            </w:r>
          </w:p>
        </w:tc>
        <w:tc>
          <w:tcPr>
            <w:tcW w:w="8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1380" w:type="dxa"/>
            <w:vAlign w:val="bottom"/>
            <w:shd w:val="clear" w:color="auto" w:fill="CCEEFF"/>
          </w:tcPr>
          <w:p>
            <w:pPr>
              <w:ind w:left="120"/>
              <w:spacing w:after="0"/>
              <w:rPr>
                <w:sz w:val="20"/>
                <w:szCs w:val="20"/>
                <w:color w:val="auto"/>
              </w:rPr>
            </w:pPr>
            <w:r>
              <w:rPr>
                <w:rFonts w:ascii="Arial" w:cs="Arial" w:eastAsia="Arial" w:hAnsi="Arial"/>
                <w:sz w:val="18"/>
                <w:szCs w:val="18"/>
                <w:color w:val="auto"/>
              </w:rPr>
              <w:t>Net Loss</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400" w:type="dxa"/>
            <w:vAlign w:val="bottom"/>
            <w:shd w:val="clear" w:color="auto" w:fill="CCEEFF"/>
          </w:tcPr>
          <w:p>
            <w:pPr>
              <w:ind w:left="220"/>
              <w:spacing w:after="0"/>
              <w:rPr>
                <w:sz w:val="20"/>
                <w:szCs w:val="20"/>
                <w:color w:val="auto"/>
              </w:rPr>
            </w:pPr>
            <w:r>
              <w:rPr>
                <w:rFonts w:ascii="Arial" w:cs="Arial" w:eastAsia="Arial" w:hAnsi="Arial"/>
                <w:sz w:val="18"/>
                <w:szCs w:val="18"/>
                <w:color w:val="auto"/>
                <w:w w:val="88"/>
              </w:rPr>
              <w:t>—</w:t>
            </w:r>
          </w:p>
        </w:tc>
        <w:tc>
          <w:tcPr>
            <w:tcW w:w="140" w:type="dxa"/>
            <w:vAlign w:val="bottom"/>
            <w:shd w:val="clear" w:color="auto" w:fill="CCEEFF"/>
          </w:tcPr>
          <w:p>
            <w:pPr>
              <w:spacing w:after="0"/>
              <w:rPr>
                <w:sz w:val="18"/>
                <w:szCs w:val="18"/>
                <w:color w:val="auto"/>
              </w:rPr>
            </w:pPr>
          </w:p>
        </w:tc>
        <w:tc>
          <w:tcPr>
            <w:tcW w:w="1280" w:type="dxa"/>
            <w:vAlign w:val="bottom"/>
            <w:gridSpan w:val="3"/>
            <w:shd w:val="clear" w:color="auto" w:fill="CCEEFF"/>
          </w:tcPr>
          <w:p>
            <w:pPr>
              <w:ind w:left="640"/>
              <w:spacing w:after="0"/>
              <w:rPr>
                <w:sz w:val="20"/>
                <w:szCs w:val="20"/>
                <w:color w:val="auto"/>
              </w:rPr>
            </w:pPr>
            <w:r>
              <w:rPr>
                <w:rFonts w:ascii="Arial" w:cs="Arial" w:eastAsia="Arial" w:hAnsi="Arial"/>
                <w:sz w:val="18"/>
                <w:szCs w:val="18"/>
                <w:color w:val="auto"/>
              </w:rPr>
              <w:t>—</w:t>
            </w:r>
          </w:p>
        </w:tc>
        <w:tc>
          <w:tcPr>
            <w:tcW w:w="380" w:type="dxa"/>
            <w:vAlign w:val="bottom"/>
            <w:shd w:val="clear" w:color="auto" w:fill="CCEEFF"/>
          </w:tcPr>
          <w:p>
            <w:pPr>
              <w:ind w:left="200"/>
              <w:spacing w:after="0"/>
              <w:rPr>
                <w:sz w:val="20"/>
                <w:szCs w:val="20"/>
                <w:color w:val="auto"/>
              </w:rPr>
            </w:pPr>
            <w:r>
              <w:rPr>
                <w:rFonts w:ascii="Arial" w:cs="Arial" w:eastAsia="Arial" w:hAnsi="Arial"/>
                <w:sz w:val="18"/>
                <w:szCs w:val="18"/>
                <w:color w:val="auto"/>
                <w:w w:val="88"/>
              </w:rPr>
              <w:t>—</w:t>
            </w:r>
          </w:p>
        </w:tc>
        <w:tc>
          <w:tcPr>
            <w:tcW w:w="16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(2,533)</w:t>
            </w:r>
          </w:p>
        </w:tc>
        <w:tc>
          <w:tcPr>
            <w:tcW w:w="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(2,533)</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1380" w:type="dxa"/>
            <w:vAlign w:val="bottom"/>
          </w:tcPr>
          <w:p>
            <w:pPr>
              <w:ind w:left="120"/>
              <w:spacing w:after="0"/>
              <w:rPr>
                <w:sz w:val="20"/>
                <w:szCs w:val="20"/>
                <w:color w:val="auto"/>
              </w:rPr>
            </w:pPr>
            <w:r>
              <w:rPr>
                <w:rFonts w:ascii="Arial" w:cs="Arial" w:eastAsia="Arial" w:hAnsi="Arial"/>
                <w:sz w:val="18"/>
                <w:szCs w:val="18"/>
                <w:color w:val="auto"/>
              </w:rPr>
              <w:t>Translation</w:t>
            </w:r>
          </w:p>
        </w:tc>
        <w:tc>
          <w:tcPr>
            <w:tcW w:w="8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1380" w:type="dxa"/>
            <w:vAlign w:val="bottom"/>
          </w:tcPr>
          <w:p>
            <w:pPr>
              <w:ind w:left="280"/>
              <w:spacing w:after="0"/>
              <w:rPr>
                <w:sz w:val="20"/>
                <w:szCs w:val="20"/>
                <w:color w:val="auto"/>
              </w:rPr>
            </w:pPr>
            <w:r>
              <w:rPr>
                <w:rFonts w:ascii="Arial" w:cs="Arial" w:eastAsia="Arial" w:hAnsi="Arial"/>
                <w:sz w:val="18"/>
                <w:szCs w:val="18"/>
                <w:color w:val="auto"/>
              </w:rPr>
              <w:t>Adjustments</w:t>
            </w:r>
          </w:p>
        </w:tc>
        <w:tc>
          <w:tcPr>
            <w:tcW w:w="88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400" w:type="dxa"/>
            <w:vAlign w:val="bottom"/>
          </w:tcPr>
          <w:p>
            <w:pPr>
              <w:ind w:left="220"/>
              <w:spacing w:after="0"/>
              <w:rPr>
                <w:sz w:val="20"/>
                <w:szCs w:val="20"/>
                <w:color w:val="auto"/>
              </w:rPr>
            </w:pPr>
            <w:r>
              <w:rPr>
                <w:rFonts w:ascii="Arial" w:cs="Arial" w:eastAsia="Arial" w:hAnsi="Arial"/>
                <w:sz w:val="18"/>
                <w:szCs w:val="18"/>
                <w:color w:val="auto"/>
                <w:w w:val="88"/>
              </w:rPr>
              <w:t>—</w:t>
            </w:r>
          </w:p>
        </w:tc>
        <w:tc>
          <w:tcPr>
            <w:tcW w:w="140" w:type="dxa"/>
            <w:vAlign w:val="bottom"/>
          </w:tcPr>
          <w:p>
            <w:pPr>
              <w:spacing w:after="0"/>
              <w:rPr>
                <w:sz w:val="19"/>
                <w:szCs w:val="19"/>
                <w:color w:val="auto"/>
              </w:rPr>
            </w:pPr>
          </w:p>
        </w:tc>
        <w:tc>
          <w:tcPr>
            <w:tcW w:w="1280" w:type="dxa"/>
            <w:vAlign w:val="bottom"/>
            <w:gridSpan w:val="3"/>
          </w:tcPr>
          <w:p>
            <w:pPr>
              <w:ind w:left="640"/>
              <w:spacing w:after="0"/>
              <w:rPr>
                <w:sz w:val="20"/>
                <w:szCs w:val="20"/>
                <w:color w:val="auto"/>
              </w:rPr>
            </w:pPr>
            <w:r>
              <w:rPr>
                <w:rFonts w:ascii="Arial" w:cs="Arial" w:eastAsia="Arial" w:hAnsi="Arial"/>
                <w:sz w:val="18"/>
                <w:szCs w:val="18"/>
                <w:color w:val="auto"/>
              </w:rPr>
              <w:t>—</w:t>
            </w:r>
          </w:p>
        </w:tc>
        <w:tc>
          <w:tcPr>
            <w:tcW w:w="380" w:type="dxa"/>
            <w:vAlign w:val="bottom"/>
          </w:tcPr>
          <w:p>
            <w:pPr>
              <w:ind w:left="200"/>
              <w:spacing w:after="0"/>
              <w:rPr>
                <w:sz w:val="20"/>
                <w:szCs w:val="20"/>
                <w:color w:val="auto"/>
              </w:rPr>
            </w:pPr>
            <w:r>
              <w:rPr>
                <w:rFonts w:ascii="Arial" w:cs="Arial" w:eastAsia="Arial" w:hAnsi="Arial"/>
                <w:sz w:val="18"/>
                <w:szCs w:val="18"/>
                <w:color w:val="auto"/>
                <w:w w:val="88"/>
              </w:rPr>
              <w:t>—</w:t>
            </w:r>
          </w:p>
        </w:tc>
        <w:tc>
          <w:tcPr>
            <w:tcW w:w="16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2</w:t>
            </w:r>
          </w:p>
        </w:tc>
        <w:tc>
          <w:tcPr>
            <w:tcW w:w="1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2</w:t>
            </w:r>
          </w:p>
        </w:tc>
        <w:tc>
          <w:tcPr>
            <w:tcW w:w="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1380" w:type="dxa"/>
            <w:vAlign w:val="bottom"/>
            <w:shd w:val="clear" w:color="auto" w:fill="CCEEFF"/>
          </w:tcPr>
          <w:p>
            <w:pPr>
              <w:ind w:left="120"/>
              <w:spacing w:after="0"/>
              <w:rPr>
                <w:sz w:val="20"/>
                <w:szCs w:val="20"/>
                <w:color w:val="auto"/>
              </w:rPr>
            </w:pPr>
            <w:r>
              <w:rPr>
                <w:rFonts w:ascii="Arial" w:cs="Arial" w:eastAsia="Arial" w:hAnsi="Arial"/>
                <w:sz w:val="18"/>
                <w:szCs w:val="18"/>
                <w:color w:val="auto"/>
              </w:rPr>
              <w:t>Unrealized</w:t>
            </w:r>
          </w:p>
        </w:tc>
        <w:tc>
          <w:tcPr>
            <w:tcW w:w="8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380" w:type="dxa"/>
            <w:vAlign w:val="bottom"/>
            <w:shd w:val="clear" w:color="auto" w:fill="CCEEFF"/>
          </w:tcPr>
          <w:p>
            <w:pPr>
              <w:ind w:left="280"/>
              <w:spacing w:after="0"/>
              <w:rPr>
                <w:sz w:val="20"/>
                <w:szCs w:val="20"/>
                <w:color w:val="auto"/>
              </w:rPr>
            </w:pPr>
            <w:r>
              <w:rPr>
                <w:rFonts w:ascii="Arial" w:cs="Arial" w:eastAsia="Arial" w:hAnsi="Arial"/>
                <w:sz w:val="18"/>
                <w:szCs w:val="18"/>
                <w:color w:val="auto"/>
              </w:rPr>
              <w:t>Gains on</w:t>
            </w:r>
          </w:p>
        </w:tc>
        <w:tc>
          <w:tcPr>
            <w:tcW w:w="8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380" w:type="dxa"/>
            <w:vAlign w:val="bottom"/>
            <w:shd w:val="clear" w:color="auto" w:fill="CCEEFF"/>
          </w:tcPr>
          <w:p>
            <w:pPr>
              <w:ind w:left="280"/>
              <w:spacing w:after="0"/>
              <w:rPr>
                <w:sz w:val="20"/>
                <w:szCs w:val="20"/>
                <w:color w:val="auto"/>
              </w:rPr>
            </w:pPr>
            <w:r>
              <w:rPr>
                <w:rFonts w:ascii="Arial" w:cs="Arial" w:eastAsia="Arial" w:hAnsi="Arial"/>
                <w:sz w:val="18"/>
                <w:szCs w:val="18"/>
                <w:color w:val="auto"/>
              </w:rPr>
              <w:t>Marketable</w:t>
            </w:r>
          </w:p>
        </w:tc>
        <w:tc>
          <w:tcPr>
            <w:tcW w:w="8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1380" w:type="dxa"/>
            <w:vAlign w:val="bottom"/>
            <w:shd w:val="clear" w:color="auto" w:fill="CCEEFF"/>
          </w:tcPr>
          <w:p>
            <w:pPr>
              <w:ind w:left="280"/>
              <w:spacing w:after="0"/>
              <w:rPr>
                <w:sz w:val="20"/>
                <w:szCs w:val="20"/>
                <w:color w:val="auto"/>
              </w:rPr>
            </w:pPr>
            <w:r>
              <w:rPr>
                <w:rFonts w:ascii="Arial" w:cs="Arial" w:eastAsia="Arial" w:hAnsi="Arial"/>
                <w:sz w:val="18"/>
                <w:szCs w:val="18"/>
                <w:color w:val="auto"/>
              </w:rPr>
              <w:t>Securities</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400" w:type="dxa"/>
            <w:vAlign w:val="bottom"/>
            <w:shd w:val="clear" w:color="auto" w:fill="CCEEFF"/>
          </w:tcPr>
          <w:p>
            <w:pPr>
              <w:ind w:left="220"/>
              <w:spacing w:after="0"/>
              <w:rPr>
                <w:sz w:val="20"/>
                <w:szCs w:val="20"/>
                <w:color w:val="auto"/>
              </w:rPr>
            </w:pPr>
            <w:r>
              <w:rPr>
                <w:rFonts w:ascii="Arial" w:cs="Arial" w:eastAsia="Arial" w:hAnsi="Arial"/>
                <w:sz w:val="18"/>
                <w:szCs w:val="18"/>
                <w:color w:val="auto"/>
                <w:w w:val="88"/>
              </w:rPr>
              <w:t>—</w:t>
            </w:r>
          </w:p>
        </w:tc>
        <w:tc>
          <w:tcPr>
            <w:tcW w:w="140" w:type="dxa"/>
            <w:vAlign w:val="bottom"/>
            <w:shd w:val="clear" w:color="auto" w:fill="CCEEFF"/>
          </w:tcPr>
          <w:p>
            <w:pPr>
              <w:spacing w:after="0"/>
              <w:rPr>
                <w:sz w:val="19"/>
                <w:szCs w:val="19"/>
                <w:color w:val="auto"/>
              </w:rPr>
            </w:pPr>
          </w:p>
        </w:tc>
        <w:tc>
          <w:tcPr>
            <w:tcW w:w="1280" w:type="dxa"/>
            <w:vAlign w:val="bottom"/>
            <w:gridSpan w:val="3"/>
            <w:shd w:val="clear" w:color="auto" w:fill="CCEEFF"/>
          </w:tcPr>
          <w:p>
            <w:pPr>
              <w:ind w:left="640"/>
              <w:spacing w:after="0"/>
              <w:rPr>
                <w:sz w:val="20"/>
                <w:szCs w:val="20"/>
                <w:color w:val="auto"/>
              </w:rPr>
            </w:pPr>
            <w:r>
              <w:rPr>
                <w:rFonts w:ascii="Arial" w:cs="Arial" w:eastAsia="Arial" w:hAnsi="Arial"/>
                <w:sz w:val="18"/>
                <w:szCs w:val="18"/>
                <w:color w:val="auto"/>
              </w:rPr>
              <w:t>—</w:t>
            </w:r>
          </w:p>
        </w:tc>
        <w:tc>
          <w:tcPr>
            <w:tcW w:w="380" w:type="dxa"/>
            <w:vAlign w:val="bottom"/>
            <w:shd w:val="clear" w:color="auto" w:fill="CCEEFF"/>
          </w:tcPr>
          <w:p>
            <w:pPr>
              <w:ind w:left="200"/>
              <w:spacing w:after="0"/>
              <w:rPr>
                <w:sz w:val="20"/>
                <w:szCs w:val="20"/>
                <w:color w:val="auto"/>
              </w:rPr>
            </w:pPr>
            <w:r>
              <w:rPr>
                <w:rFonts w:ascii="Arial" w:cs="Arial" w:eastAsia="Arial" w:hAnsi="Arial"/>
                <w:sz w:val="18"/>
                <w:szCs w:val="18"/>
                <w:color w:val="auto"/>
                <w:w w:val="88"/>
              </w:rPr>
              <w:t>—</w:t>
            </w:r>
          </w:p>
        </w:tc>
        <w:tc>
          <w:tcPr>
            <w:tcW w:w="16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203</w:t>
            </w:r>
          </w:p>
        </w:tc>
        <w:tc>
          <w:tcPr>
            <w:tcW w:w="14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4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203</w:t>
            </w:r>
          </w:p>
        </w:tc>
        <w:tc>
          <w:tcPr>
            <w:tcW w:w="1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7"/>
        </w:trPr>
        <w:tc>
          <w:tcPr>
            <w:tcW w:w="1400" w:type="dxa"/>
            <w:vAlign w:val="bottom"/>
            <w:gridSpan w:val="2"/>
            <w:vMerge w:val="restart"/>
          </w:tcPr>
          <w:p>
            <w:pPr>
              <w:spacing w:after="0"/>
              <w:rPr>
                <w:sz w:val="20"/>
                <w:szCs w:val="20"/>
                <w:color w:val="auto"/>
              </w:rPr>
            </w:pPr>
            <w:r>
              <w:rPr>
                <w:rFonts w:ascii="Arial" w:cs="Arial" w:eastAsia="Arial" w:hAnsi="Arial"/>
                <w:sz w:val="18"/>
                <w:szCs w:val="18"/>
                <w:color w:val="auto"/>
              </w:rPr>
              <w:t>Total</w:t>
            </w: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20" w:type="dxa"/>
            <w:vAlign w:val="bottom"/>
          </w:tcPr>
          <w:p>
            <w:pPr>
              <w:spacing w:after="0"/>
              <w:rPr>
                <w:sz w:val="2"/>
                <w:szCs w:val="2"/>
                <w:color w:val="auto"/>
              </w:rPr>
            </w:pPr>
          </w:p>
        </w:tc>
        <w:tc>
          <w:tcPr>
            <w:tcW w:w="160" w:type="dxa"/>
            <w:vAlign w:val="bottom"/>
          </w:tcPr>
          <w:p>
            <w:pPr>
              <w:spacing w:after="0"/>
              <w:rPr>
                <w:sz w:val="2"/>
                <w:szCs w:val="2"/>
                <w:color w:val="auto"/>
              </w:rPr>
            </w:pPr>
          </w:p>
        </w:tc>
        <w:tc>
          <w:tcPr>
            <w:tcW w:w="3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60" w:type="dxa"/>
            <w:vAlign w:val="bottom"/>
          </w:tcPr>
          <w:p>
            <w:pPr>
              <w:spacing w:after="0"/>
              <w:rPr>
                <w:sz w:val="2"/>
                <w:szCs w:val="2"/>
                <w:color w:val="auto"/>
              </w:rPr>
            </w:pPr>
          </w:p>
        </w:tc>
        <w:tc>
          <w:tcPr>
            <w:tcW w:w="740" w:type="dxa"/>
            <w:vAlign w:val="bottom"/>
          </w:tcPr>
          <w:p>
            <w:pPr>
              <w:spacing w:after="0"/>
              <w:rPr>
                <w:sz w:val="2"/>
                <w:szCs w:val="2"/>
                <w:color w:val="auto"/>
              </w:rPr>
            </w:pPr>
          </w:p>
        </w:tc>
        <w:tc>
          <w:tcPr>
            <w:tcW w:w="160" w:type="dxa"/>
            <w:vAlign w:val="bottom"/>
          </w:tcPr>
          <w:p>
            <w:pPr>
              <w:spacing w:after="0"/>
              <w:rPr>
                <w:sz w:val="2"/>
                <w:szCs w:val="2"/>
                <w:color w:val="auto"/>
              </w:rPr>
            </w:pPr>
          </w:p>
        </w:tc>
        <w:tc>
          <w:tcPr>
            <w:tcW w:w="360" w:type="dxa"/>
            <w:vAlign w:val="bottom"/>
          </w:tcPr>
          <w:p>
            <w:pPr>
              <w:spacing w:after="0"/>
              <w:rPr>
                <w:sz w:val="2"/>
                <w:szCs w:val="2"/>
                <w:color w:val="auto"/>
              </w:rPr>
            </w:pPr>
          </w:p>
        </w:tc>
        <w:tc>
          <w:tcPr>
            <w:tcW w:w="6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8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1"/>
        </w:trPr>
        <w:tc>
          <w:tcPr>
            <w:tcW w:w="1400" w:type="dxa"/>
            <w:vAlign w:val="bottom"/>
            <w:gridSpan w:val="2"/>
            <w:vMerge w:val="continue"/>
          </w:tcPr>
          <w:p>
            <w:pPr>
              <w:spacing w:after="0"/>
              <w:rPr>
                <w:sz w:val="17"/>
                <w:szCs w:val="17"/>
                <w:color w:val="auto"/>
              </w:rPr>
            </w:pPr>
          </w:p>
        </w:tc>
        <w:tc>
          <w:tcPr>
            <w:tcW w:w="8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380" w:type="dxa"/>
            <w:vAlign w:val="bottom"/>
          </w:tcPr>
          <w:p>
            <w:pPr>
              <w:ind w:left="160"/>
              <w:spacing w:after="0"/>
              <w:rPr>
                <w:sz w:val="20"/>
                <w:szCs w:val="20"/>
                <w:color w:val="auto"/>
              </w:rPr>
            </w:pPr>
            <w:r>
              <w:rPr>
                <w:rFonts w:ascii="Arial" w:cs="Arial" w:eastAsia="Arial" w:hAnsi="Arial"/>
                <w:sz w:val="18"/>
                <w:szCs w:val="18"/>
                <w:color w:val="auto"/>
                <w:w w:val="95"/>
              </w:rPr>
              <w:t>Comprehensive</w:t>
            </w:r>
          </w:p>
        </w:tc>
        <w:tc>
          <w:tcPr>
            <w:tcW w:w="8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1380" w:type="dxa"/>
            <w:vAlign w:val="bottom"/>
          </w:tcPr>
          <w:p>
            <w:pPr>
              <w:ind w:left="160"/>
              <w:spacing w:after="0"/>
              <w:rPr>
                <w:sz w:val="20"/>
                <w:szCs w:val="20"/>
                <w:color w:val="auto"/>
              </w:rPr>
            </w:pPr>
            <w:r>
              <w:rPr>
                <w:rFonts w:ascii="Arial" w:cs="Arial" w:eastAsia="Arial" w:hAnsi="Arial"/>
                <w:sz w:val="18"/>
                <w:szCs w:val="18"/>
                <w:color w:val="auto"/>
              </w:rPr>
              <w:t>Loss</w:t>
            </w:r>
          </w:p>
        </w:tc>
        <w:tc>
          <w:tcPr>
            <w:tcW w:w="8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(2,328)</w:t>
            </w:r>
          </w:p>
        </w:tc>
        <w:tc>
          <w:tcPr>
            <w:tcW w:w="0" w:type="dxa"/>
            <w:vAlign w:val="bottom"/>
          </w:tcPr>
          <w:p>
            <w:pPr>
              <w:spacing w:after="0"/>
              <w:rPr>
                <w:sz w:val="1"/>
                <w:szCs w:val="1"/>
                <w:color w:val="auto"/>
              </w:rPr>
            </w:pPr>
          </w:p>
        </w:tc>
      </w:tr>
      <w:tr>
        <w:trPr>
          <w:trHeight w:val="29"/>
        </w:trPr>
        <w:tc>
          <w:tcPr>
            <w:tcW w:w="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1380" w:type="dxa"/>
            <w:vAlign w:val="bottom"/>
            <w:shd w:val="clear" w:color="auto" w:fill="CCEEFF"/>
          </w:tcPr>
          <w:p>
            <w:pPr>
              <w:spacing w:after="0" w:line="195" w:lineRule="exact"/>
              <w:rPr>
                <w:sz w:val="20"/>
                <w:szCs w:val="20"/>
                <w:color w:val="auto"/>
              </w:rPr>
            </w:pPr>
            <w:r>
              <w:rPr>
                <w:rFonts w:ascii="Arial" w:cs="Arial" w:eastAsia="Arial" w:hAnsi="Arial"/>
                <w:sz w:val="18"/>
                <w:szCs w:val="18"/>
                <w:b w:val="1"/>
                <w:bCs w:val="1"/>
                <w:color w:val="auto"/>
              </w:rPr>
              <w:t>Balance at</w:t>
            </w:r>
          </w:p>
        </w:tc>
        <w:tc>
          <w:tcPr>
            <w:tcW w:w="8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4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6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380" w:type="dxa"/>
            <w:vAlign w:val="bottom"/>
            <w:shd w:val="clear" w:color="auto" w:fill="CCEEFF"/>
          </w:tcPr>
          <w:p>
            <w:pPr>
              <w:ind w:left="160"/>
              <w:spacing w:after="0"/>
              <w:rPr>
                <w:sz w:val="20"/>
                <w:szCs w:val="20"/>
                <w:color w:val="auto"/>
              </w:rPr>
            </w:pPr>
            <w:r>
              <w:rPr>
                <w:rFonts w:ascii="Arial" w:cs="Arial" w:eastAsia="Arial" w:hAnsi="Arial"/>
                <w:sz w:val="18"/>
                <w:szCs w:val="18"/>
                <w:b w:val="1"/>
                <w:bCs w:val="1"/>
                <w:color w:val="auto"/>
              </w:rPr>
              <w:t>December 31,</w:t>
            </w:r>
          </w:p>
        </w:tc>
        <w:tc>
          <w:tcPr>
            <w:tcW w:w="8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1380" w:type="dxa"/>
            <w:vAlign w:val="bottom"/>
            <w:shd w:val="clear" w:color="auto" w:fill="CCEEFF"/>
          </w:tcPr>
          <w:p>
            <w:pPr>
              <w:ind w:left="160"/>
              <w:spacing w:after="0"/>
              <w:rPr>
                <w:sz w:val="20"/>
                <w:szCs w:val="20"/>
                <w:color w:val="auto"/>
              </w:rPr>
            </w:pPr>
            <w:r>
              <w:rPr>
                <w:rFonts w:ascii="Arial" w:cs="Arial" w:eastAsia="Arial" w:hAnsi="Arial"/>
                <w:sz w:val="18"/>
                <w:szCs w:val="18"/>
                <w:b w:val="1"/>
                <w:bCs w:val="1"/>
                <w:color w:val="auto"/>
              </w:rPr>
              <w:t>2010</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93"/>
              </w:rPr>
              <w:t>32,055,382</w:t>
            </w:r>
          </w:p>
        </w:tc>
        <w:tc>
          <w:tcPr>
            <w:tcW w:w="4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b w:val="1"/>
                <w:bCs w:val="1"/>
                <w:color w:val="auto"/>
              </w:rPr>
              <w:t>$</w:t>
            </w:r>
          </w:p>
        </w:tc>
        <w:tc>
          <w:tcPr>
            <w:tcW w:w="400" w:type="dxa"/>
            <w:vAlign w:val="bottom"/>
            <w:shd w:val="clear" w:color="auto" w:fill="CCEEFF"/>
          </w:tcPr>
          <w:p>
            <w:pPr>
              <w:ind w:left="220"/>
              <w:spacing w:after="0"/>
              <w:rPr>
                <w:sz w:val="20"/>
                <w:szCs w:val="20"/>
                <w:color w:val="auto"/>
              </w:rPr>
            </w:pPr>
            <w:r>
              <w:rPr>
                <w:rFonts w:ascii="Arial" w:cs="Arial" w:eastAsia="Arial" w:hAnsi="Arial"/>
                <w:sz w:val="18"/>
                <w:szCs w:val="18"/>
                <w:b w:val="1"/>
                <w:bCs w:val="1"/>
                <w:color w:val="auto"/>
                <w:w w:val="79"/>
              </w:rPr>
              <w:t>32</w:t>
            </w:r>
          </w:p>
        </w:tc>
        <w:tc>
          <w:tcPr>
            <w:tcW w:w="140" w:type="dxa"/>
            <w:vAlign w:val="bottom"/>
            <w:shd w:val="clear" w:color="auto" w:fill="CCEEFF"/>
          </w:tcPr>
          <w:p>
            <w:pPr>
              <w:spacing w:after="0"/>
              <w:rPr>
                <w:sz w:val="20"/>
                <w:szCs w:val="20"/>
                <w:color w:val="auto"/>
              </w:rPr>
            </w:pPr>
          </w:p>
        </w:tc>
        <w:tc>
          <w:tcPr>
            <w:tcW w:w="1280" w:type="dxa"/>
            <w:vAlign w:val="bottom"/>
            <w:gridSpan w:val="3"/>
            <w:shd w:val="clear" w:color="auto" w:fill="CCEEFF"/>
          </w:tcPr>
          <w:p>
            <w:pPr>
              <w:ind w:left="640"/>
              <w:spacing w:after="0"/>
              <w:rPr>
                <w:sz w:val="20"/>
                <w:szCs w:val="20"/>
                <w:color w:val="auto"/>
              </w:rPr>
            </w:pPr>
            <w:r>
              <w:rPr>
                <w:rFonts w:ascii="Arial" w:cs="Arial" w:eastAsia="Arial" w:hAnsi="Arial"/>
                <w:sz w:val="18"/>
                <w:szCs w:val="18"/>
                <w:b w:val="1"/>
                <w:bCs w:val="1"/>
                <w:color w:val="auto"/>
              </w:rPr>
              <w:t>—  $</w:t>
            </w:r>
          </w:p>
        </w:tc>
        <w:tc>
          <w:tcPr>
            <w:tcW w:w="380" w:type="dxa"/>
            <w:vAlign w:val="bottom"/>
            <w:shd w:val="clear" w:color="auto" w:fill="CCEEFF"/>
          </w:tcPr>
          <w:p>
            <w:pPr>
              <w:ind w:left="200"/>
              <w:spacing w:after="0"/>
              <w:rPr>
                <w:sz w:val="20"/>
                <w:szCs w:val="20"/>
                <w:color w:val="auto"/>
              </w:rPr>
            </w:pPr>
            <w:r>
              <w:rPr>
                <w:rFonts w:ascii="Arial" w:cs="Arial" w:eastAsia="Arial" w:hAnsi="Arial"/>
                <w:sz w:val="18"/>
                <w:szCs w:val="18"/>
                <w:b w:val="1"/>
                <w:bCs w:val="1"/>
                <w:color w:val="auto"/>
                <w:w w:val="88"/>
              </w:rPr>
              <w:t>—</w:t>
            </w: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$ 232,679</w:t>
            </w:r>
          </w:p>
        </w:tc>
        <w:tc>
          <w:tcPr>
            <w:tcW w:w="5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b w:val="1"/>
                <w:bCs w:val="1"/>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2,751</w:t>
            </w:r>
          </w:p>
        </w:tc>
        <w:tc>
          <w:tcPr>
            <w:tcW w:w="3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b w:val="1"/>
                <w:bCs w:val="1"/>
                <w:color w:val="auto"/>
              </w:rPr>
              <w:t>$</w:t>
            </w:r>
          </w:p>
        </w:tc>
        <w:tc>
          <w:tcPr>
            <w:tcW w:w="8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b w:val="1"/>
                <w:bCs w:val="1"/>
                <w:color w:val="auto"/>
                <w:w w:val="95"/>
              </w:rPr>
              <w:t>(160,207)</w:t>
            </w:r>
          </w:p>
        </w:tc>
        <w:tc>
          <w:tcPr>
            <w:tcW w:w="3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b w:val="1"/>
                <w:bCs w:val="1"/>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75,255</w:t>
            </w:r>
          </w:p>
        </w:tc>
        <w:tc>
          <w:tcPr>
            <w:tcW w:w="16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8" w:lineRule="exact"/>
        <w:rPr>
          <w:sz w:val="20"/>
          <w:szCs w:val="20"/>
          <w:color w:val="auto"/>
        </w:rPr>
      </w:pPr>
    </w:p>
    <w:p>
      <w:pPr>
        <w:jc w:val="center"/>
        <w:ind w:right="120"/>
        <w:spacing w:after="0"/>
        <w:rPr>
          <w:sz w:val="20"/>
          <w:szCs w:val="20"/>
          <w:color w:val="auto"/>
        </w:rPr>
      </w:pPr>
      <w:r>
        <w:rPr>
          <w:rFonts w:ascii="Arial" w:cs="Arial" w:eastAsia="Arial" w:hAnsi="Arial"/>
          <w:sz w:val="18"/>
          <w:szCs w:val="18"/>
          <w:color w:val="auto"/>
        </w:rPr>
        <w:t>The accompanying notes are an integral part of the consolidated financial statements.</w:t>
      </w:r>
    </w:p>
    <w:p>
      <w:pPr>
        <w:spacing w:after="0" w:line="225" w:lineRule="exact"/>
        <w:rPr>
          <w:sz w:val="20"/>
          <w:szCs w:val="20"/>
          <w:color w:val="auto"/>
        </w:rPr>
      </w:pPr>
    </w:p>
    <w:p>
      <w:pPr>
        <w:jc w:val="center"/>
        <w:ind w:right="120"/>
        <w:spacing w:after="0"/>
        <w:rPr>
          <w:sz w:val="20"/>
          <w:szCs w:val="20"/>
          <w:color w:val="auto"/>
        </w:rPr>
      </w:pPr>
      <w:r>
        <w:rPr>
          <w:rFonts w:ascii="Arial" w:cs="Arial" w:eastAsia="Arial" w:hAnsi="Arial"/>
          <w:sz w:val="18"/>
          <w:szCs w:val="18"/>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-720090</wp:posOffset>
            </wp:positionH>
            <wp:positionV relativeFrom="paragraph">
              <wp:posOffset>146050</wp:posOffset>
            </wp:positionV>
            <wp:extent cx="7250430" cy="2159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9260"/>
          </w:cols>
          <w:pgMar w:left="1380" w:top="134" w:right="1259" w:bottom="1440" w:gutter="0" w:footer="0" w:header="0"/>
        </w:sectPr>
      </w:pPr>
    </w:p>
    <w:bookmarkStart w:id="72" w:name="page73"/>
    <w:bookmarkEnd w:id="72"/>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ind w:right="-1099"/>
        <w:spacing w:after="0"/>
        <w:rPr>
          <w:sz w:val="20"/>
          <w:szCs w:val="20"/>
          <w:color w:val="auto"/>
        </w:rPr>
      </w:pPr>
      <w:r>
        <w:rPr>
          <w:rFonts w:ascii="Arial" w:cs="Arial" w:eastAsia="Arial" w:hAnsi="Arial"/>
          <w:sz w:val="18"/>
          <w:szCs w:val="18"/>
          <w:b w:val="1"/>
          <w:bCs w:val="1"/>
          <w:color w:val="auto"/>
        </w:rPr>
        <w:t>CELLDEX THERAPEUTICS, INC.</w:t>
      </w:r>
    </w:p>
    <w:p>
      <w:pPr>
        <w:spacing w:after="0" w:line="225" w:lineRule="exact"/>
        <w:rPr>
          <w:sz w:val="20"/>
          <w:szCs w:val="20"/>
          <w:color w:val="auto"/>
        </w:rPr>
      </w:pPr>
    </w:p>
    <w:p>
      <w:pPr>
        <w:jc w:val="center"/>
        <w:ind w:right="-1099"/>
        <w:spacing w:after="0"/>
        <w:rPr>
          <w:sz w:val="20"/>
          <w:szCs w:val="20"/>
          <w:color w:val="auto"/>
        </w:rPr>
      </w:pPr>
      <w:r>
        <w:rPr>
          <w:rFonts w:ascii="Arial" w:cs="Arial" w:eastAsia="Arial" w:hAnsi="Arial"/>
          <w:sz w:val="18"/>
          <w:szCs w:val="18"/>
          <w:b w:val="1"/>
          <w:bCs w:val="1"/>
          <w:color w:val="auto"/>
        </w:rPr>
        <w:t>CONSOLIDATED STATEMENTS OF CASH FLOWS</w:t>
      </w:r>
    </w:p>
    <w:p>
      <w:pPr>
        <w:spacing w:after="0" w:line="225" w:lineRule="exact"/>
        <w:rPr>
          <w:sz w:val="20"/>
          <w:szCs w:val="20"/>
          <w:color w:val="auto"/>
        </w:rPr>
      </w:pPr>
    </w:p>
    <w:p>
      <w:pPr>
        <w:ind w:left="5140"/>
        <w:spacing w:after="0"/>
        <w:rPr>
          <w:sz w:val="20"/>
          <w:szCs w:val="20"/>
          <w:color w:val="auto"/>
        </w:rPr>
      </w:pPr>
      <w:r>
        <w:rPr>
          <w:rFonts w:ascii="Arial" w:cs="Arial" w:eastAsia="Arial" w:hAnsi="Arial"/>
          <w:sz w:val="18"/>
          <w:szCs w:val="18"/>
          <w:b w:val="1"/>
          <w:bCs w:val="1"/>
          <w:color w:val="auto"/>
        </w:rPr>
        <w:t>(In thousands)</w:t>
      </w:r>
    </w:p>
    <w:p>
      <w:pPr>
        <w:spacing w:after="0" w:line="214" w:lineRule="exact"/>
        <w:rPr>
          <w:sz w:val="20"/>
          <w:szCs w:val="20"/>
          <w:color w:val="auto"/>
        </w:rPr>
      </w:pPr>
    </w:p>
    <w:tbl>
      <w:tblPr>
        <w:tblLayout w:type="fixed"/>
        <w:tblInd w:w="114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8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360" w:type="dxa"/>
            <w:vAlign w:val="bottom"/>
            <w:gridSpan w:val="2"/>
          </w:tcPr>
          <w:p>
            <w:pPr>
              <w:jc w:val="right"/>
              <w:ind w:right="480"/>
              <w:spacing w:after="0"/>
              <w:rPr>
                <w:sz w:val="20"/>
                <w:szCs w:val="20"/>
                <w:color w:val="auto"/>
              </w:rPr>
            </w:pPr>
            <w:r>
              <w:rPr>
                <w:rFonts w:ascii="Arial" w:cs="Arial" w:eastAsia="Arial" w:hAnsi="Arial"/>
                <w:sz w:val="14"/>
                <w:szCs w:val="14"/>
                <w:b w:val="1"/>
                <w:bCs w:val="1"/>
                <w:color w:val="auto"/>
              </w:rPr>
              <w:t>Year Ended</w:t>
            </w:r>
          </w:p>
        </w:tc>
        <w:tc>
          <w:tcPr>
            <w:tcW w:w="80" w:type="dxa"/>
            <w:vAlign w:val="bottom"/>
          </w:tcPr>
          <w:p>
            <w:pPr>
              <w:spacing w:after="0"/>
              <w:rPr>
                <w:sz w:val="14"/>
                <w:szCs w:val="14"/>
                <w:color w:val="auto"/>
              </w:rPr>
            </w:pPr>
          </w:p>
        </w:tc>
        <w:tc>
          <w:tcPr>
            <w:tcW w:w="1300" w:type="dxa"/>
            <w:vAlign w:val="bottom"/>
            <w:gridSpan w:val="2"/>
          </w:tcPr>
          <w:p>
            <w:pPr>
              <w:jc w:val="right"/>
              <w:ind w:right="420"/>
              <w:spacing w:after="0"/>
              <w:rPr>
                <w:sz w:val="20"/>
                <w:szCs w:val="20"/>
                <w:color w:val="auto"/>
              </w:rPr>
            </w:pPr>
            <w:r>
              <w:rPr>
                <w:rFonts w:ascii="Arial" w:cs="Arial" w:eastAsia="Arial" w:hAnsi="Arial"/>
                <w:sz w:val="14"/>
                <w:szCs w:val="14"/>
                <w:b w:val="1"/>
                <w:bCs w:val="1"/>
                <w:color w:val="auto"/>
              </w:rPr>
              <w:t>Year Ended</w:t>
            </w: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360" w:type="dxa"/>
            <w:vAlign w:val="bottom"/>
            <w:gridSpan w:val="2"/>
          </w:tcPr>
          <w:p>
            <w:pPr>
              <w:jc w:val="right"/>
              <w:ind w:right="460"/>
              <w:spacing w:after="0"/>
              <w:rPr>
                <w:sz w:val="20"/>
                <w:szCs w:val="20"/>
                <w:color w:val="auto"/>
              </w:rPr>
            </w:pPr>
            <w:r>
              <w:rPr>
                <w:rFonts w:ascii="Arial" w:cs="Arial" w:eastAsia="Arial" w:hAnsi="Arial"/>
                <w:sz w:val="14"/>
                <w:szCs w:val="14"/>
                <w:b w:val="1"/>
                <w:bCs w:val="1"/>
                <w:color w:val="auto"/>
              </w:rPr>
              <w:t>Year Ended</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48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360" w:type="dxa"/>
            <w:vAlign w:val="bottom"/>
            <w:gridSpan w:val="2"/>
          </w:tcPr>
          <w:p>
            <w:pPr>
              <w:jc w:val="right"/>
              <w:ind w:right="280"/>
              <w:spacing w:after="0"/>
              <w:rPr>
                <w:sz w:val="20"/>
                <w:szCs w:val="20"/>
                <w:color w:val="auto"/>
              </w:rPr>
            </w:pPr>
            <w:r>
              <w:rPr>
                <w:rFonts w:ascii="Arial" w:cs="Arial" w:eastAsia="Arial" w:hAnsi="Arial"/>
                <w:sz w:val="14"/>
                <w:szCs w:val="14"/>
                <w:b w:val="1"/>
                <w:bCs w:val="1"/>
                <w:color w:val="auto"/>
                <w:w w:val="84"/>
              </w:rPr>
              <w:t>December 31, 2010</w:t>
            </w:r>
          </w:p>
        </w:tc>
        <w:tc>
          <w:tcPr>
            <w:tcW w:w="80" w:type="dxa"/>
            <w:vAlign w:val="bottom"/>
          </w:tcPr>
          <w:p>
            <w:pPr>
              <w:spacing w:after="0"/>
              <w:rPr>
                <w:sz w:val="14"/>
                <w:szCs w:val="14"/>
                <w:color w:val="auto"/>
              </w:rPr>
            </w:pPr>
          </w:p>
        </w:tc>
        <w:tc>
          <w:tcPr>
            <w:tcW w:w="1300" w:type="dxa"/>
            <w:vAlign w:val="bottom"/>
            <w:gridSpan w:val="2"/>
          </w:tcPr>
          <w:p>
            <w:pPr>
              <w:jc w:val="right"/>
              <w:ind w:right="200"/>
              <w:spacing w:after="0"/>
              <w:rPr>
                <w:sz w:val="20"/>
                <w:szCs w:val="20"/>
                <w:color w:val="auto"/>
              </w:rPr>
            </w:pPr>
            <w:r>
              <w:rPr>
                <w:rFonts w:ascii="Arial" w:cs="Arial" w:eastAsia="Arial" w:hAnsi="Arial"/>
                <w:sz w:val="14"/>
                <w:szCs w:val="14"/>
                <w:b w:val="1"/>
                <w:bCs w:val="1"/>
                <w:color w:val="auto"/>
                <w:w w:val="85"/>
              </w:rPr>
              <w:t>December 31, 2009</w:t>
            </w: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360" w:type="dxa"/>
            <w:vAlign w:val="bottom"/>
            <w:gridSpan w:val="2"/>
          </w:tcPr>
          <w:p>
            <w:pPr>
              <w:jc w:val="right"/>
              <w:ind w:right="260"/>
              <w:spacing w:after="0"/>
              <w:rPr>
                <w:sz w:val="20"/>
                <w:szCs w:val="20"/>
                <w:color w:val="auto"/>
              </w:rPr>
            </w:pPr>
            <w:r>
              <w:rPr>
                <w:rFonts w:ascii="Arial" w:cs="Arial" w:eastAsia="Arial" w:hAnsi="Arial"/>
                <w:sz w:val="14"/>
                <w:szCs w:val="14"/>
                <w:b w:val="1"/>
                <w:bCs w:val="1"/>
                <w:color w:val="auto"/>
                <w:w w:val="85"/>
              </w:rPr>
              <w:t>December 31, 2008</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8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Cash Flows From Operating Activities:</w:t>
            </w:r>
          </w:p>
        </w:tc>
        <w:tc>
          <w:tcPr>
            <w:tcW w:w="80" w:type="dxa"/>
            <w:vAlign w:val="bottom"/>
            <w:tcBorders>
              <w:top w:val="single" w:sz="8" w:color="auto"/>
            </w:tcBorders>
            <w:shd w:val="clear" w:color="auto" w:fill="CCEEFF"/>
          </w:tcPr>
          <w:p>
            <w:pPr>
              <w:spacing w:after="0"/>
              <w:rPr>
                <w:sz w:val="18"/>
                <w:szCs w:val="18"/>
                <w:color w:val="auto"/>
              </w:rPr>
            </w:pPr>
          </w:p>
        </w:tc>
        <w:tc>
          <w:tcPr>
            <w:tcW w:w="1200" w:type="dxa"/>
            <w:vAlign w:val="bottom"/>
            <w:tcBorders>
              <w:top w:val="single" w:sz="8" w:color="auto"/>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120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1200" w:type="dxa"/>
            <w:vAlign w:val="bottom"/>
            <w:tcBorders>
              <w:top w:val="single" w:sz="8" w:color="auto"/>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00" w:type="dxa"/>
            <w:vAlign w:val="bottom"/>
          </w:tcPr>
          <w:p>
            <w:pPr>
              <w:ind w:left="120"/>
              <w:spacing w:after="0"/>
              <w:rPr>
                <w:sz w:val="20"/>
                <w:szCs w:val="20"/>
                <w:color w:val="auto"/>
              </w:rPr>
            </w:pPr>
            <w:r>
              <w:rPr>
                <w:rFonts w:ascii="Arial" w:cs="Arial" w:eastAsia="Arial" w:hAnsi="Arial"/>
                <w:sz w:val="18"/>
                <w:szCs w:val="18"/>
                <w:color w:val="auto"/>
              </w:rPr>
              <w:t>Net Loss</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360" w:type="dxa"/>
            <w:vAlign w:val="bottom"/>
            <w:gridSpan w:val="2"/>
          </w:tcPr>
          <w:p>
            <w:pPr>
              <w:jc w:val="right"/>
              <w:ind w:right="120"/>
              <w:spacing w:after="0"/>
              <w:rPr>
                <w:sz w:val="20"/>
                <w:szCs w:val="20"/>
                <w:color w:val="auto"/>
              </w:rPr>
            </w:pPr>
            <w:r>
              <w:rPr>
                <w:rFonts w:ascii="Arial" w:cs="Arial" w:eastAsia="Arial" w:hAnsi="Arial"/>
                <w:sz w:val="18"/>
                <w:szCs w:val="18"/>
                <w:color w:val="auto"/>
              </w:rPr>
              <w:t>(2,533)</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300" w:type="dxa"/>
            <w:vAlign w:val="bottom"/>
            <w:gridSpan w:val="2"/>
          </w:tcPr>
          <w:p>
            <w:pPr>
              <w:jc w:val="right"/>
              <w:ind w:right="40"/>
              <w:spacing w:after="0"/>
              <w:rPr>
                <w:sz w:val="20"/>
                <w:szCs w:val="20"/>
                <w:color w:val="auto"/>
              </w:rPr>
            </w:pPr>
            <w:r>
              <w:rPr>
                <w:rFonts w:ascii="Arial" w:cs="Arial" w:eastAsia="Arial" w:hAnsi="Arial"/>
                <w:sz w:val="18"/>
                <w:szCs w:val="18"/>
                <w:color w:val="auto"/>
              </w:rPr>
              <w:t>(36,525)</w:t>
            </w:r>
          </w:p>
        </w:tc>
        <w:tc>
          <w:tcPr>
            <w:tcW w:w="1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360" w:type="dxa"/>
            <w:vAlign w:val="bottom"/>
            <w:gridSpan w:val="2"/>
          </w:tcPr>
          <w:p>
            <w:pPr>
              <w:jc w:val="right"/>
              <w:ind w:right="100"/>
              <w:spacing w:after="0"/>
              <w:rPr>
                <w:sz w:val="20"/>
                <w:szCs w:val="20"/>
                <w:color w:val="auto"/>
              </w:rPr>
            </w:pPr>
            <w:r>
              <w:rPr>
                <w:rFonts w:ascii="Arial" w:cs="Arial" w:eastAsia="Arial" w:hAnsi="Arial"/>
                <w:sz w:val="18"/>
                <w:szCs w:val="18"/>
                <w:color w:val="auto"/>
              </w:rPr>
              <w:t>(47,501)</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4800" w:type="dxa"/>
            <w:vAlign w:val="bottom"/>
            <w:shd w:val="clear" w:color="auto" w:fill="CCEEFF"/>
          </w:tcPr>
          <w:p>
            <w:pPr>
              <w:ind w:left="120"/>
              <w:spacing w:after="0"/>
              <w:rPr>
                <w:sz w:val="20"/>
                <w:szCs w:val="20"/>
                <w:color w:val="auto"/>
              </w:rPr>
            </w:pPr>
            <w:r>
              <w:rPr>
                <w:rFonts w:ascii="Arial" w:cs="Arial" w:eastAsia="Arial" w:hAnsi="Arial"/>
                <w:sz w:val="18"/>
                <w:szCs w:val="18"/>
                <w:color w:val="auto"/>
                <w:w w:val="93"/>
              </w:rPr>
              <w:t>Adjustments to Reconcile Net Loss to Cash (Used in) Provided</w:t>
            </w:r>
          </w:p>
        </w:tc>
        <w:tc>
          <w:tcPr>
            <w:tcW w:w="8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4800" w:type="dxa"/>
            <w:vAlign w:val="bottom"/>
            <w:shd w:val="clear" w:color="auto" w:fill="CCEEFF"/>
          </w:tcPr>
          <w:p>
            <w:pPr>
              <w:ind w:left="280"/>
              <w:spacing w:after="0"/>
              <w:rPr>
                <w:sz w:val="20"/>
                <w:szCs w:val="20"/>
                <w:color w:val="auto"/>
              </w:rPr>
            </w:pPr>
            <w:r>
              <w:rPr>
                <w:rFonts w:ascii="Arial" w:cs="Arial" w:eastAsia="Arial" w:hAnsi="Arial"/>
                <w:sz w:val="18"/>
                <w:szCs w:val="18"/>
                <w:color w:val="auto"/>
              </w:rPr>
              <w:t>by Operating Activities:</w:t>
            </w:r>
          </w:p>
        </w:tc>
        <w:tc>
          <w:tcPr>
            <w:tcW w:w="8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00" w:type="dxa"/>
            <w:vAlign w:val="bottom"/>
          </w:tcPr>
          <w:p>
            <w:pPr>
              <w:ind w:left="240"/>
              <w:spacing w:after="0"/>
              <w:rPr>
                <w:sz w:val="20"/>
                <w:szCs w:val="20"/>
                <w:color w:val="auto"/>
              </w:rPr>
            </w:pPr>
            <w:r>
              <w:rPr>
                <w:rFonts w:ascii="Arial" w:cs="Arial" w:eastAsia="Arial" w:hAnsi="Arial"/>
                <w:sz w:val="18"/>
                <w:szCs w:val="18"/>
                <w:color w:val="auto"/>
              </w:rPr>
              <w:t>Depreciation and Amortization</w:t>
            </w:r>
          </w:p>
        </w:tc>
        <w:tc>
          <w:tcPr>
            <w:tcW w:w="8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2,718</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2,583</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2,176</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00" w:type="dxa"/>
            <w:vAlign w:val="bottom"/>
            <w:shd w:val="clear" w:color="auto" w:fill="CCEEFF"/>
          </w:tcPr>
          <w:p>
            <w:pPr>
              <w:ind w:left="240"/>
              <w:spacing w:after="0"/>
              <w:rPr>
                <w:sz w:val="20"/>
                <w:szCs w:val="20"/>
                <w:color w:val="auto"/>
              </w:rPr>
            </w:pPr>
            <w:r>
              <w:rPr>
                <w:rFonts w:ascii="Arial" w:cs="Arial" w:eastAsia="Arial" w:hAnsi="Arial"/>
                <w:sz w:val="18"/>
                <w:szCs w:val="18"/>
                <w:color w:val="auto"/>
              </w:rPr>
              <w:t>Amortization of Intangible Assets</w:t>
            </w:r>
          </w:p>
        </w:tc>
        <w:tc>
          <w:tcPr>
            <w:tcW w:w="8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3,143</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949</w:t>
            </w: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361</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00" w:type="dxa"/>
            <w:vAlign w:val="bottom"/>
          </w:tcPr>
          <w:p>
            <w:pPr>
              <w:ind w:left="240"/>
              <w:spacing w:after="0"/>
              <w:rPr>
                <w:sz w:val="20"/>
                <w:szCs w:val="20"/>
                <w:color w:val="auto"/>
              </w:rPr>
            </w:pPr>
            <w:r>
              <w:rPr>
                <w:rFonts w:ascii="Arial" w:cs="Arial" w:eastAsia="Arial" w:hAnsi="Arial"/>
                <w:sz w:val="18"/>
                <w:szCs w:val="18"/>
                <w:color w:val="auto"/>
              </w:rPr>
              <w:t>Amortization of Accretion of Marketable Securities</w:t>
            </w:r>
          </w:p>
        </w:tc>
        <w:tc>
          <w:tcPr>
            <w:tcW w:w="80" w:type="dxa"/>
            <w:vAlign w:val="bottom"/>
          </w:tcPr>
          <w:p>
            <w:pPr>
              <w:spacing w:after="0"/>
              <w:rPr>
                <w:sz w:val="18"/>
                <w:szCs w:val="18"/>
                <w:color w:val="auto"/>
              </w:rPr>
            </w:pPr>
          </w:p>
        </w:tc>
        <w:tc>
          <w:tcPr>
            <w:tcW w:w="1360" w:type="dxa"/>
            <w:vAlign w:val="bottom"/>
            <w:gridSpan w:val="2"/>
          </w:tcPr>
          <w:p>
            <w:pPr>
              <w:jc w:val="right"/>
              <w:ind w:right="120"/>
              <w:spacing w:after="0"/>
              <w:rPr>
                <w:sz w:val="20"/>
                <w:szCs w:val="20"/>
                <w:color w:val="auto"/>
              </w:rPr>
            </w:pPr>
            <w:r>
              <w:rPr>
                <w:rFonts w:ascii="Arial" w:cs="Arial" w:eastAsia="Arial" w:hAnsi="Arial"/>
                <w:sz w:val="18"/>
                <w:szCs w:val="18"/>
                <w:color w:val="auto"/>
              </w:rPr>
              <w:t>(14)</w:t>
            </w:r>
          </w:p>
        </w:tc>
        <w:tc>
          <w:tcPr>
            <w:tcW w:w="80" w:type="dxa"/>
            <w:vAlign w:val="bottom"/>
          </w:tcPr>
          <w:p>
            <w:pPr>
              <w:spacing w:after="0"/>
              <w:rPr>
                <w:sz w:val="18"/>
                <w:szCs w:val="18"/>
                <w:color w:val="auto"/>
              </w:rPr>
            </w:pPr>
          </w:p>
        </w:tc>
        <w:tc>
          <w:tcPr>
            <w:tcW w:w="13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3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4800" w:type="dxa"/>
            <w:vAlign w:val="bottom"/>
            <w:shd w:val="clear" w:color="auto" w:fill="CCEEFF"/>
          </w:tcPr>
          <w:p>
            <w:pPr>
              <w:ind w:left="240"/>
              <w:spacing w:after="0"/>
              <w:rPr>
                <w:sz w:val="20"/>
                <w:szCs w:val="20"/>
                <w:color w:val="auto"/>
              </w:rPr>
            </w:pPr>
            <w:r>
              <w:rPr>
                <w:rFonts w:ascii="Arial" w:cs="Arial" w:eastAsia="Arial" w:hAnsi="Arial"/>
                <w:sz w:val="18"/>
                <w:szCs w:val="18"/>
                <w:color w:val="auto"/>
                <w:w w:val="95"/>
              </w:rPr>
              <w:t>Realized (Gain) Loss on Sales and Maturities of Marketable</w:t>
            </w:r>
          </w:p>
        </w:tc>
        <w:tc>
          <w:tcPr>
            <w:tcW w:w="8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4800" w:type="dxa"/>
            <w:vAlign w:val="bottom"/>
            <w:shd w:val="clear" w:color="auto" w:fill="CCEEFF"/>
          </w:tcPr>
          <w:p>
            <w:pPr>
              <w:ind w:left="400"/>
              <w:spacing w:after="0"/>
              <w:rPr>
                <w:sz w:val="20"/>
                <w:szCs w:val="20"/>
                <w:color w:val="auto"/>
              </w:rPr>
            </w:pPr>
            <w:r>
              <w:rPr>
                <w:rFonts w:ascii="Arial" w:cs="Arial" w:eastAsia="Arial" w:hAnsi="Arial"/>
                <w:sz w:val="18"/>
                <w:szCs w:val="18"/>
                <w:color w:val="auto"/>
              </w:rPr>
              <w:t>Securities</w:t>
            </w:r>
          </w:p>
        </w:tc>
        <w:tc>
          <w:tcPr>
            <w:tcW w:w="80" w:type="dxa"/>
            <w:vAlign w:val="bottom"/>
            <w:shd w:val="clear" w:color="auto" w:fill="CCEEFF"/>
          </w:tcPr>
          <w:p>
            <w:pPr>
              <w:spacing w:after="0"/>
              <w:rPr>
                <w:sz w:val="19"/>
                <w:szCs w:val="19"/>
                <w:color w:val="auto"/>
              </w:rPr>
            </w:pPr>
          </w:p>
        </w:tc>
        <w:tc>
          <w:tcPr>
            <w:tcW w:w="13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(4)</w:t>
            </w:r>
          </w:p>
        </w:tc>
        <w:tc>
          <w:tcPr>
            <w:tcW w:w="8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w:t>
            </w:r>
          </w:p>
        </w:tc>
        <w:tc>
          <w:tcPr>
            <w:tcW w:w="10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3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00" w:type="dxa"/>
            <w:vAlign w:val="bottom"/>
          </w:tcPr>
          <w:p>
            <w:pPr>
              <w:ind w:left="240"/>
              <w:spacing w:after="0"/>
              <w:rPr>
                <w:sz w:val="20"/>
                <w:szCs w:val="20"/>
                <w:color w:val="auto"/>
              </w:rPr>
            </w:pPr>
            <w:r>
              <w:rPr>
                <w:rFonts w:ascii="Arial" w:cs="Arial" w:eastAsia="Arial" w:hAnsi="Arial"/>
                <w:sz w:val="18"/>
                <w:szCs w:val="18"/>
                <w:color w:val="auto"/>
              </w:rPr>
              <w:t>(Gain) Loss on Sale or Disposal of Assets</w:t>
            </w:r>
          </w:p>
        </w:tc>
        <w:tc>
          <w:tcPr>
            <w:tcW w:w="80" w:type="dxa"/>
            <w:vAlign w:val="bottom"/>
          </w:tcPr>
          <w:p>
            <w:pPr>
              <w:spacing w:after="0"/>
              <w:rPr>
                <w:sz w:val="18"/>
                <w:szCs w:val="18"/>
                <w:color w:val="auto"/>
              </w:rPr>
            </w:pPr>
          </w:p>
        </w:tc>
        <w:tc>
          <w:tcPr>
            <w:tcW w:w="1360" w:type="dxa"/>
            <w:vAlign w:val="bottom"/>
            <w:gridSpan w:val="2"/>
          </w:tcPr>
          <w:p>
            <w:pPr>
              <w:jc w:val="right"/>
              <w:ind w:right="120"/>
              <w:spacing w:after="0"/>
              <w:rPr>
                <w:sz w:val="20"/>
                <w:szCs w:val="20"/>
                <w:color w:val="auto"/>
              </w:rPr>
            </w:pPr>
            <w:r>
              <w:rPr>
                <w:rFonts w:ascii="Arial" w:cs="Arial" w:eastAsia="Arial" w:hAnsi="Arial"/>
                <w:sz w:val="18"/>
                <w:szCs w:val="18"/>
                <w:color w:val="auto"/>
              </w:rPr>
              <w:t>(38)</w:t>
            </w:r>
          </w:p>
        </w:tc>
        <w:tc>
          <w:tcPr>
            <w:tcW w:w="80" w:type="dxa"/>
            <w:vAlign w:val="bottom"/>
          </w:tcPr>
          <w:p>
            <w:pPr>
              <w:spacing w:after="0"/>
              <w:rPr>
                <w:sz w:val="18"/>
                <w:szCs w:val="18"/>
                <w:color w:val="auto"/>
              </w:rPr>
            </w:pPr>
          </w:p>
        </w:tc>
        <w:tc>
          <w:tcPr>
            <w:tcW w:w="1300" w:type="dxa"/>
            <w:vAlign w:val="bottom"/>
            <w:gridSpan w:val="2"/>
          </w:tcPr>
          <w:p>
            <w:pPr>
              <w:jc w:val="right"/>
              <w:ind w:right="40"/>
              <w:spacing w:after="0"/>
              <w:rPr>
                <w:sz w:val="20"/>
                <w:szCs w:val="20"/>
                <w:color w:val="auto"/>
              </w:rPr>
            </w:pPr>
            <w:r>
              <w:rPr>
                <w:rFonts w:ascii="Arial" w:cs="Arial" w:eastAsia="Arial" w:hAnsi="Arial"/>
                <w:sz w:val="18"/>
                <w:szCs w:val="18"/>
                <w:color w:val="auto"/>
              </w:rPr>
              <w:t>(556)</w:t>
            </w: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331</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00" w:type="dxa"/>
            <w:vAlign w:val="bottom"/>
            <w:shd w:val="clear" w:color="auto" w:fill="CCEEFF"/>
          </w:tcPr>
          <w:p>
            <w:pPr>
              <w:ind w:left="240"/>
              <w:spacing w:after="0"/>
              <w:rPr>
                <w:sz w:val="20"/>
                <w:szCs w:val="20"/>
                <w:color w:val="auto"/>
              </w:rPr>
            </w:pPr>
            <w:r>
              <w:rPr>
                <w:rFonts w:ascii="Arial" w:cs="Arial" w:eastAsia="Arial" w:hAnsi="Arial"/>
                <w:sz w:val="18"/>
                <w:szCs w:val="18"/>
                <w:color w:val="auto"/>
              </w:rPr>
              <w:t>Stock-Based Compensation Expense</w:t>
            </w:r>
          </w:p>
        </w:tc>
        <w:tc>
          <w:tcPr>
            <w:tcW w:w="8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2,802</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3,058</w:t>
            </w: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4,816</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00" w:type="dxa"/>
            <w:vAlign w:val="bottom"/>
          </w:tcPr>
          <w:p>
            <w:pPr>
              <w:ind w:left="240"/>
              <w:spacing w:after="0"/>
              <w:rPr>
                <w:sz w:val="20"/>
                <w:szCs w:val="20"/>
                <w:color w:val="auto"/>
              </w:rPr>
            </w:pPr>
            <w:r>
              <w:rPr>
                <w:rFonts w:ascii="Arial" w:cs="Arial" w:eastAsia="Arial" w:hAnsi="Arial"/>
                <w:sz w:val="18"/>
                <w:szCs w:val="18"/>
                <w:color w:val="auto"/>
              </w:rPr>
              <w:t>Non-Cash Interest Expense</w:t>
            </w:r>
          </w:p>
        </w:tc>
        <w:tc>
          <w:tcPr>
            <w:tcW w:w="8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728</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181</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3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00" w:type="dxa"/>
            <w:vAlign w:val="bottom"/>
            <w:shd w:val="clear" w:color="auto" w:fill="CCEEFF"/>
          </w:tcPr>
          <w:p>
            <w:pPr>
              <w:ind w:left="240"/>
              <w:spacing w:after="0"/>
              <w:rPr>
                <w:sz w:val="20"/>
                <w:szCs w:val="20"/>
                <w:color w:val="auto"/>
              </w:rPr>
            </w:pPr>
            <w:r>
              <w:rPr>
                <w:rFonts w:ascii="Arial" w:cs="Arial" w:eastAsia="Arial" w:hAnsi="Arial"/>
                <w:sz w:val="18"/>
                <w:szCs w:val="18"/>
                <w:color w:val="auto"/>
              </w:rPr>
              <w:t>Non-Cash Tax Benefit</w:t>
            </w:r>
          </w:p>
        </w:tc>
        <w:tc>
          <w:tcPr>
            <w:tcW w:w="8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(529)</w:t>
            </w: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00" w:type="dxa"/>
            <w:vAlign w:val="bottom"/>
          </w:tcPr>
          <w:p>
            <w:pPr>
              <w:ind w:left="240"/>
              <w:spacing w:after="0"/>
              <w:rPr>
                <w:sz w:val="20"/>
                <w:szCs w:val="20"/>
                <w:color w:val="auto"/>
              </w:rPr>
            </w:pPr>
            <w:r>
              <w:rPr>
                <w:rFonts w:ascii="Arial" w:cs="Arial" w:eastAsia="Arial" w:hAnsi="Arial"/>
                <w:sz w:val="18"/>
                <w:szCs w:val="18"/>
                <w:color w:val="auto"/>
              </w:rPr>
              <w:t>In-Process Research and Development</w:t>
            </w:r>
          </w:p>
        </w:tc>
        <w:tc>
          <w:tcPr>
            <w:tcW w:w="80" w:type="dxa"/>
            <w:vAlign w:val="bottom"/>
          </w:tcPr>
          <w:p>
            <w:pPr>
              <w:spacing w:after="0"/>
              <w:rPr>
                <w:sz w:val="18"/>
                <w:szCs w:val="18"/>
                <w:color w:val="auto"/>
              </w:rPr>
            </w:pPr>
          </w:p>
        </w:tc>
        <w:tc>
          <w:tcPr>
            <w:tcW w:w="13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3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14,756</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4800" w:type="dxa"/>
            <w:vAlign w:val="bottom"/>
            <w:shd w:val="clear" w:color="auto" w:fill="CCEEFF"/>
          </w:tcPr>
          <w:p>
            <w:pPr>
              <w:ind w:left="120"/>
              <w:spacing w:after="0"/>
              <w:rPr>
                <w:sz w:val="20"/>
                <w:szCs w:val="20"/>
                <w:color w:val="auto"/>
              </w:rPr>
            </w:pPr>
            <w:r>
              <w:rPr>
                <w:rFonts w:ascii="Arial" w:cs="Arial" w:eastAsia="Arial" w:hAnsi="Arial"/>
                <w:sz w:val="18"/>
                <w:szCs w:val="18"/>
                <w:color w:val="auto"/>
              </w:rPr>
              <w:t>Changes in Operating Assets and Liabilities, Net of</w:t>
            </w:r>
          </w:p>
        </w:tc>
        <w:tc>
          <w:tcPr>
            <w:tcW w:w="8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4800" w:type="dxa"/>
            <w:vAlign w:val="bottom"/>
            <w:shd w:val="clear" w:color="auto" w:fill="CCEEFF"/>
          </w:tcPr>
          <w:p>
            <w:pPr>
              <w:ind w:left="280"/>
              <w:spacing w:after="0"/>
              <w:rPr>
                <w:sz w:val="20"/>
                <w:szCs w:val="20"/>
                <w:color w:val="auto"/>
              </w:rPr>
            </w:pPr>
            <w:r>
              <w:rPr>
                <w:rFonts w:ascii="Arial" w:cs="Arial" w:eastAsia="Arial" w:hAnsi="Arial"/>
                <w:sz w:val="18"/>
                <w:szCs w:val="18"/>
                <w:color w:val="auto"/>
              </w:rPr>
              <w:t>Acquisitions</w:t>
            </w:r>
          </w:p>
        </w:tc>
        <w:tc>
          <w:tcPr>
            <w:tcW w:w="8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00" w:type="dxa"/>
            <w:vAlign w:val="bottom"/>
          </w:tcPr>
          <w:p>
            <w:pPr>
              <w:ind w:left="240"/>
              <w:spacing w:after="0"/>
              <w:rPr>
                <w:sz w:val="20"/>
                <w:szCs w:val="20"/>
                <w:color w:val="auto"/>
              </w:rPr>
            </w:pPr>
            <w:r>
              <w:rPr>
                <w:rFonts w:ascii="Arial" w:cs="Arial" w:eastAsia="Arial" w:hAnsi="Arial"/>
                <w:sz w:val="18"/>
                <w:szCs w:val="18"/>
                <w:color w:val="auto"/>
              </w:rPr>
              <w:t>Accounts and Other Receivables</w:t>
            </w:r>
          </w:p>
        </w:tc>
        <w:tc>
          <w:tcPr>
            <w:tcW w:w="8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220</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1,283</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360" w:type="dxa"/>
            <w:vAlign w:val="bottom"/>
            <w:gridSpan w:val="2"/>
          </w:tcPr>
          <w:p>
            <w:pPr>
              <w:jc w:val="right"/>
              <w:ind w:right="100"/>
              <w:spacing w:after="0"/>
              <w:rPr>
                <w:sz w:val="20"/>
                <w:szCs w:val="20"/>
                <w:color w:val="auto"/>
              </w:rPr>
            </w:pPr>
            <w:r>
              <w:rPr>
                <w:rFonts w:ascii="Arial" w:cs="Arial" w:eastAsia="Arial" w:hAnsi="Arial"/>
                <w:sz w:val="18"/>
                <w:szCs w:val="18"/>
                <w:color w:val="auto"/>
              </w:rPr>
              <w:t>(1,656)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00" w:type="dxa"/>
            <w:vAlign w:val="bottom"/>
            <w:shd w:val="clear" w:color="auto" w:fill="CCEEFF"/>
          </w:tcPr>
          <w:p>
            <w:pPr>
              <w:ind w:left="240"/>
              <w:spacing w:after="0"/>
              <w:rPr>
                <w:sz w:val="20"/>
                <w:szCs w:val="20"/>
                <w:color w:val="auto"/>
              </w:rPr>
            </w:pPr>
            <w:r>
              <w:rPr>
                <w:rFonts w:ascii="Arial" w:cs="Arial" w:eastAsia="Arial" w:hAnsi="Arial"/>
                <w:sz w:val="18"/>
                <w:szCs w:val="18"/>
                <w:color w:val="auto"/>
              </w:rPr>
              <w:t>Prepaid and Other Current Assets</w:t>
            </w:r>
          </w:p>
        </w:tc>
        <w:tc>
          <w:tcPr>
            <w:tcW w:w="8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(546)</w:t>
            </w:r>
          </w:p>
        </w:tc>
        <w:tc>
          <w:tcPr>
            <w:tcW w:w="8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743</w:t>
            </w: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9,980</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00" w:type="dxa"/>
            <w:vAlign w:val="bottom"/>
          </w:tcPr>
          <w:p>
            <w:pPr>
              <w:ind w:left="240"/>
              <w:spacing w:after="0"/>
              <w:rPr>
                <w:sz w:val="20"/>
                <w:szCs w:val="20"/>
                <w:color w:val="auto"/>
              </w:rPr>
            </w:pPr>
            <w:r>
              <w:rPr>
                <w:rFonts w:ascii="Arial" w:cs="Arial" w:eastAsia="Arial" w:hAnsi="Arial"/>
                <w:sz w:val="18"/>
                <w:szCs w:val="18"/>
                <w:color w:val="auto"/>
              </w:rPr>
              <w:t>Other Assets</w:t>
            </w:r>
          </w:p>
        </w:tc>
        <w:tc>
          <w:tcPr>
            <w:tcW w:w="8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5,592</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722</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360" w:type="dxa"/>
            <w:vAlign w:val="bottom"/>
            <w:gridSpan w:val="2"/>
          </w:tcPr>
          <w:p>
            <w:pPr>
              <w:jc w:val="right"/>
              <w:ind w:right="100"/>
              <w:spacing w:after="0"/>
              <w:rPr>
                <w:sz w:val="20"/>
                <w:szCs w:val="20"/>
                <w:color w:val="auto"/>
              </w:rPr>
            </w:pPr>
            <w:r>
              <w:rPr>
                <w:rFonts w:ascii="Arial" w:cs="Arial" w:eastAsia="Arial" w:hAnsi="Arial"/>
                <w:sz w:val="18"/>
                <w:szCs w:val="18"/>
                <w:color w:val="auto"/>
              </w:rPr>
              <w:t>(6,414)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00" w:type="dxa"/>
            <w:vAlign w:val="bottom"/>
            <w:shd w:val="clear" w:color="auto" w:fill="CCEEFF"/>
          </w:tcPr>
          <w:p>
            <w:pPr>
              <w:ind w:left="240"/>
              <w:spacing w:after="0"/>
              <w:rPr>
                <w:sz w:val="20"/>
                <w:szCs w:val="20"/>
                <w:color w:val="auto"/>
              </w:rPr>
            </w:pPr>
            <w:r>
              <w:rPr>
                <w:rFonts w:ascii="Arial" w:cs="Arial" w:eastAsia="Arial" w:hAnsi="Arial"/>
                <w:sz w:val="18"/>
                <w:szCs w:val="18"/>
                <w:color w:val="auto"/>
              </w:rPr>
              <w:t>Accounts Payable and Accrued Expenses</w:t>
            </w:r>
          </w:p>
        </w:tc>
        <w:tc>
          <w:tcPr>
            <w:tcW w:w="8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(1,193)</w:t>
            </w:r>
          </w:p>
        </w:tc>
        <w:tc>
          <w:tcPr>
            <w:tcW w:w="8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(2,463)</w:t>
            </w: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1,221</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00" w:type="dxa"/>
            <w:vAlign w:val="bottom"/>
          </w:tcPr>
          <w:p>
            <w:pPr>
              <w:ind w:left="240"/>
              <w:spacing w:after="0"/>
              <w:rPr>
                <w:sz w:val="20"/>
                <w:szCs w:val="20"/>
                <w:color w:val="auto"/>
              </w:rPr>
            </w:pPr>
            <w:r>
              <w:rPr>
                <w:rFonts w:ascii="Arial" w:cs="Arial" w:eastAsia="Arial" w:hAnsi="Arial"/>
                <w:sz w:val="18"/>
                <w:szCs w:val="18"/>
                <w:color w:val="auto"/>
              </w:rPr>
              <w:t>Deferred Revenue</w:t>
            </w:r>
          </w:p>
        </w:tc>
        <w:tc>
          <w:tcPr>
            <w:tcW w:w="80" w:type="dxa"/>
            <w:vAlign w:val="bottom"/>
          </w:tcPr>
          <w:p>
            <w:pPr>
              <w:spacing w:after="0"/>
              <w:rPr>
                <w:sz w:val="18"/>
                <w:szCs w:val="18"/>
                <w:color w:val="auto"/>
              </w:rPr>
            </w:pPr>
          </w:p>
        </w:tc>
        <w:tc>
          <w:tcPr>
            <w:tcW w:w="1360" w:type="dxa"/>
            <w:vAlign w:val="bottom"/>
            <w:gridSpan w:val="2"/>
          </w:tcPr>
          <w:p>
            <w:pPr>
              <w:jc w:val="right"/>
              <w:ind w:right="120"/>
              <w:spacing w:after="0"/>
              <w:rPr>
                <w:sz w:val="20"/>
                <w:szCs w:val="20"/>
                <w:color w:val="auto"/>
              </w:rPr>
            </w:pPr>
            <w:r>
              <w:rPr>
                <w:rFonts w:ascii="Arial" w:cs="Arial" w:eastAsia="Arial" w:hAnsi="Arial"/>
                <w:sz w:val="18"/>
                <w:szCs w:val="18"/>
                <w:color w:val="auto"/>
              </w:rPr>
              <w:t>(39,382)</w:t>
            </w:r>
          </w:p>
        </w:tc>
        <w:tc>
          <w:tcPr>
            <w:tcW w:w="80" w:type="dxa"/>
            <w:vAlign w:val="bottom"/>
          </w:tcPr>
          <w:p>
            <w:pPr>
              <w:spacing w:after="0"/>
              <w:rPr>
                <w:sz w:val="18"/>
                <w:szCs w:val="18"/>
                <w:color w:val="auto"/>
              </w:rPr>
            </w:pPr>
          </w:p>
        </w:tc>
        <w:tc>
          <w:tcPr>
            <w:tcW w:w="1300" w:type="dxa"/>
            <w:vAlign w:val="bottom"/>
            <w:gridSpan w:val="2"/>
          </w:tcPr>
          <w:p>
            <w:pPr>
              <w:jc w:val="right"/>
              <w:ind w:right="40"/>
              <w:spacing w:after="0"/>
              <w:rPr>
                <w:sz w:val="20"/>
                <w:szCs w:val="20"/>
                <w:color w:val="auto"/>
              </w:rPr>
            </w:pPr>
            <w:r>
              <w:rPr>
                <w:rFonts w:ascii="Arial" w:cs="Arial" w:eastAsia="Arial" w:hAnsi="Arial"/>
                <w:sz w:val="18"/>
                <w:szCs w:val="18"/>
                <w:color w:val="auto"/>
              </w:rPr>
              <w:t>(2,038)</w:t>
            </w: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40,116</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00" w:type="dxa"/>
            <w:vAlign w:val="bottom"/>
            <w:shd w:val="clear" w:color="auto" w:fill="CCEEFF"/>
          </w:tcPr>
          <w:p>
            <w:pPr>
              <w:ind w:left="240"/>
              <w:spacing w:after="0"/>
              <w:rPr>
                <w:sz w:val="20"/>
                <w:szCs w:val="20"/>
                <w:color w:val="auto"/>
              </w:rPr>
            </w:pPr>
            <w:r>
              <w:rPr>
                <w:rFonts w:ascii="Arial" w:cs="Arial" w:eastAsia="Arial" w:hAnsi="Arial"/>
                <w:sz w:val="18"/>
                <w:szCs w:val="18"/>
                <w:color w:val="auto"/>
              </w:rPr>
              <w:t>Other Long-Term Liabilities</w:t>
            </w:r>
          </w:p>
        </w:tc>
        <w:tc>
          <w:tcPr>
            <w:tcW w:w="8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(1,865)</w:t>
            </w:r>
          </w:p>
        </w:tc>
        <w:tc>
          <w:tcPr>
            <w:tcW w:w="8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2,699</w:t>
            </w: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94</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4820" w:type="dxa"/>
            <w:vAlign w:val="bottom"/>
            <w:gridSpan w:val="2"/>
            <w:vMerge w:val="restart"/>
          </w:tcPr>
          <w:p>
            <w:pPr>
              <w:spacing w:after="0"/>
              <w:rPr>
                <w:sz w:val="20"/>
                <w:szCs w:val="20"/>
                <w:color w:val="auto"/>
              </w:rPr>
            </w:pPr>
            <w:r>
              <w:rPr>
                <w:rFonts w:ascii="Arial" w:cs="Arial" w:eastAsia="Arial" w:hAnsi="Arial"/>
                <w:sz w:val="18"/>
                <w:szCs w:val="18"/>
                <w:color w:val="auto"/>
              </w:rPr>
              <w:t>Net Cash (Used in) Provided by Operating Activities</w:t>
            </w:r>
          </w:p>
        </w:tc>
        <w:tc>
          <w:tcPr>
            <w:tcW w:w="80" w:type="dxa"/>
            <w:vAlign w:val="bottom"/>
          </w:tcPr>
          <w:p>
            <w:pPr>
              <w:spacing w:after="0"/>
              <w:rPr>
                <w:sz w:val="2"/>
                <w:szCs w:val="2"/>
                <w:color w:val="auto"/>
              </w:rPr>
            </w:pPr>
          </w:p>
        </w:tc>
        <w:tc>
          <w:tcPr>
            <w:tcW w:w="1360" w:type="dxa"/>
            <w:vAlign w:val="bottom"/>
            <w:gridSpan w:val="2"/>
          </w:tcPr>
          <w:p>
            <w:pPr>
              <w:spacing w:after="0"/>
              <w:rPr>
                <w:sz w:val="2"/>
                <w:szCs w:val="2"/>
                <w:color w:val="auto"/>
              </w:rPr>
            </w:pPr>
          </w:p>
        </w:tc>
        <w:tc>
          <w:tcPr>
            <w:tcW w:w="80" w:type="dxa"/>
            <w:vAlign w:val="bottom"/>
          </w:tcPr>
          <w:p>
            <w:pPr>
              <w:spacing w:after="0"/>
              <w:rPr>
                <w:sz w:val="2"/>
                <w:szCs w:val="2"/>
                <w:color w:val="auto"/>
              </w:rPr>
            </w:pPr>
          </w:p>
        </w:tc>
        <w:tc>
          <w:tcPr>
            <w:tcW w:w="1300" w:type="dxa"/>
            <w:vAlign w:val="bottom"/>
            <w:gridSpan w:val="2"/>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16"/>
        </w:trPr>
        <w:tc>
          <w:tcPr>
            <w:tcW w:w="4820" w:type="dxa"/>
            <w:vAlign w:val="bottom"/>
            <w:gridSpan w:val="2"/>
            <w:vMerge w:val="continue"/>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12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(30,372)</w:t>
            </w:r>
          </w:p>
        </w:tc>
        <w:tc>
          <w:tcPr>
            <w:tcW w:w="160" w:type="dxa"/>
            <w:vAlign w:val="bottom"/>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12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(29,869)</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12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18,280</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48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8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Cash Flows From Investing Activities:</w:t>
            </w:r>
          </w:p>
        </w:tc>
        <w:tc>
          <w:tcPr>
            <w:tcW w:w="8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00" w:type="dxa"/>
            <w:vAlign w:val="bottom"/>
          </w:tcPr>
          <w:p>
            <w:pPr>
              <w:ind w:left="120"/>
              <w:spacing w:after="0"/>
              <w:rPr>
                <w:sz w:val="20"/>
                <w:szCs w:val="20"/>
                <w:color w:val="auto"/>
              </w:rPr>
            </w:pPr>
            <w:r>
              <w:rPr>
                <w:rFonts w:ascii="Arial" w:cs="Arial" w:eastAsia="Arial" w:hAnsi="Arial"/>
                <w:sz w:val="18"/>
                <w:szCs w:val="18"/>
                <w:color w:val="auto"/>
                <w:w w:val="98"/>
              </w:rPr>
              <w:t>Cash Acquired in AVANT Merger, Net of Transaction Costs</w:t>
            </w:r>
          </w:p>
        </w:tc>
        <w:tc>
          <w:tcPr>
            <w:tcW w:w="80" w:type="dxa"/>
            <w:vAlign w:val="bottom"/>
          </w:tcPr>
          <w:p>
            <w:pPr>
              <w:spacing w:after="0"/>
              <w:rPr>
                <w:sz w:val="18"/>
                <w:szCs w:val="18"/>
                <w:color w:val="auto"/>
              </w:rPr>
            </w:pPr>
          </w:p>
        </w:tc>
        <w:tc>
          <w:tcPr>
            <w:tcW w:w="13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3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10,750</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00" w:type="dxa"/>
            <w:vAlign w:val="bottom"/>
            <w:shd w:val="clear" w:color="auto" w:fill="CCEEFF"/>
          </w:tcPr>
          <w:p>
            <w:pPr>
              <w:ind w:left="120"/>
              <w:spacing w:after="0"/>
              <w:rPr>
                <w:sz w:val="20"/>
                <w:szCs w:val="20"/>
                <w:color w:val="auto"/>
              </w:rPr>
            </w:pPr>
            <w:r>
              <w:rPr>
                <w:rFonts w:ascii="Arial" w:cs="Arial" w:eastAsia="Arial" w:hAnsi="Arial"/>
                <w:sz w:val="18"/>
                <w:szCs w:val="18"/>
                <w:color w:val="auto"/>
              </w:rPr>
              <w:t>Cash Acquired in CuraGen Merger</w:t>
            </w:r>
          </w:p>
        </w:tc>
        <w:tc>
          <w:tcPr>
            <w:tcW w:w="8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51,654</w:t>
            </w: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00" w:type="dxa"/>
            <w:vAlign w:val="bottom"/>
          </w:tcPr>
          <w:p>
            <w:pPr>
              <w:ind w:left="120"/>
              <w:spacing w:after="0"/>
              <w:rPr>
                <w:sz w:val="20"/>
                <w:szCs w:val="20"/>
                <w:color w:val="auto"/>
              </w:rPr>
            </w:pPr>
            <w:r>
              <w:rPr>
                <w:rFonts w:ascii="Arial" w:cs="Arial" w:eastAsia="Arial" w:hAnsi="Arial"/>
                <w:sz w:val="18"/>
                <w:szCs w:val="18"/>
                <w:color w:val="auto"/>
              </w:rPr>
              <w:t>Sales and Maturities of Marketable Securities</w:t>
            </w:r>
          </w:p>
        </w:tc>
        <w:tc>
          <w:tcPr>
            <w:tcW w:w="8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42,383</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2,674</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3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00" w:type="dxa"/>
            <w:vAlign w:val="bottom"/>
            <w:shd w:val="clear" w:color="auto" w:fill="CCEEFF"/>
          </w:tcPr>
          <w:p>
            <w:pPr>
              <w:ind w:left="120"/>
              <w:spacing w:after="0"/>
              <w:rPr>
                <w:sz w:val="20"/>
                <w:szCs w:val="20"/>
                <w:color w:val="auto"/>
              </w:rPr>
            </w:pPr>
            <w:r>
              <w:rPr>
                <w:rFonts w:ascii="Arial" w:cs="Arial" w:eastAsia="Arial" w:hAnsi="Arial"/>
                <w:sz w:val="18"/>
                <w:szCs w:val="18"/>
                <w:color w:val="auto"/>
              </w:rPr>
              <w:t>Purchases of Marketable Securities</w:t>
            </w:r>
          </w:p>
        </w:tc>
        <w:tc>
          <w:tcPr>
            <w:tcW w:w="8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(56,522)</w:t>
            </w:r>
          </w:p>
        </w:tc>
        <w:tc>
          <w:tcPr>
            <w:tcW w:w="8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(9,559)</w:t>
            </w: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00" w:type="dxa"/>
            <w:vAlign w:val="bottom"/>
          </w:tcPr>
          <w:p>
            <w:pPr>
              <w:ind w:left="120"/>
              <w:spacing w:after="0"/>
              <w:rPr>
                <w:sz w:val="20"/>
                <w:szCs w:val="20"/>
                <w:color w:val="auto"/>
              </w:rPr>
            </w:pPr>
            <w:r>
              <w:rPr>
                <w:rFonts w:ascii="Arial" w:cs="Arial" w:eastAsia="Arial" w:hAnsi="Arial"/>
                <w:sz w:val="18"/>
                <w:szCs w:val="18"/>
                <w:color w:val="auto"/>
              </w:rPr>
              <w:t>Restricted Cash Deposits</w:t>
            </w:r>
          </w:p>
        </w:tc>
        <w:tc>
          <w:tcPr>
            <w:tcW w:w="80" w:type="dxa"/>
            <w:vAlign w:val="bottom"/>
          </w:tcPr>
          <w:p>
            <w:pPr>
              <w:spacing w:after="0"/>
              <w:rPr>
                <w:sz w:val="18"/>
                <w:szCs w:val="18"/>
                <w:color w:val="auto"/>
              </w:rPr>
            </w:pPr>
          </w:p>
        </w:tc>
        <w:tc>
          <w:tcPr>
            <w:tcW w:w="13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3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360" w:type="dxa"/>
            <w:vAlign w:val="bottom"/>
            <w:gridSpan w:val="2"/>
          </w:tcPr>
          <w:p>
            <w:pPr>
              <w:jc w:val="right"/>
              <w:ind w:right="100"/>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00" w:type="dxa"/>
            <w:vAlign w:val="bottom"/>
            <w:shd w:val="clear" w:color="auto" w:fill="CCEEFF"/>
          </w:tcPr>
          <w:p>
            <w:pPr>
              <w:ind w:left="120"/>
              <w:spacing w:after="0"/>
              <w:rPr>
                <w:sz w:val="20"/>
                <w:szCs w:val="20"/>
                <w:color w:val="auto"/>
              </w:rPr>
            </w:pPr>
            <w:r>
              <w:rPr>
                <w:rFonts w:ascii="Arial" w:cs="Arial" w:eastAsia="Arial" w:hAnsi="Arial"/>
                <w:sz w:val="18"/>
                <w:szCs w:val="18"/>
                <w:color w:val="auto"/>
              </w:rPr>
              <w:t>Acquisition of Property and Equipment</w:t>
            </w:r>
          </w:p>
        </w:tc>
        <w:tc>
          <w:tcPr>
            <w:tcW w:w="8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(2,100)</w:t>
            </w:r>
          </w:p>
        </w:tc>
        <w:tc>
          <w:tcPr>
            <w:tcW w:w="8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(528)</w:t>
            </w: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(1,305)</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4800" w:type="dxa"/>
            <w:vAlign w:val="bottom"/>
          </w:tcPr>
          <w:p>
            <w:pPr>
              <w:ind w:left="120"/>
              <w:spacing w:after="0"/>
              <w:rPr>
                <w:sz w:val="20"/>
                <w:szCs w:val="20"/>
                <w:color w:val="auto"/>
              </w:rPr>
            </w:pPr>
            <w:r>
              <w:rPr>
                <w:rFonts w:ascii="Arial" w:cs="Arial" w:eastAsia="Arial" w:hAnsi="Arial"/>
                <w:sz w:val="18"/>
                <w:szCs w:val="18"/>
                <w:color w:val="auto"/>
              </w:rPr>
              <w:t>Proceeds from Sale or Disposal of Assets</w:t>
            </w:r>
          </w:p>
        </w:tc>
        <w:tc>
          <w:tcPr>
            <w:tcW w:w="8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77</w:t>
            </w: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850</w:t>
            </w:r>
          </w:p>
        </w:tc>
        <w:tc>
          <w:tcPr>
            <w:tcW w:w="1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712</w:t>
            </w:r>
          </w:p>
        </w:tc>
        <w:tc>
          <w:tcPr>
            <w:tcW w:w="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48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800" w:type="dxa"/>
            <w:vAlign w:val="bottom"/>
            <w:shd w:val="clear" w:color="auto" w:fill="CCEEFF"/>
          </w:tcPr>
          <w:p>
            <w:pPr>
              <w:spacing w:after="0"/>
              <w:rPr>
                <w:sz w:val="20"/>
                <w:szCs w:val="20"/>
                <w:color w:val="auto"/>
              </w:rPr>
            </w:pPr>
            <w:r>
              <w:rPr>
                <w:rFonts w:ascii="Arial" w:cs="Arial" w:eastAsia="Arial" w:hAnsi="Arial"/>
                <w:sz w:val="18"/>
                <w:szCs w:val="18"/>
                <w:color w:val="auto"/>
              </w:rPr>
              <w:t>Net Cash (Used in) Provided by Investing Activities</w:t>
            </w:r>
          </w:p>
        </w:tc>
        <w:tc>
          <w:tcPr>
            <w:tcW w:w="8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(16,162)</w:t>
            </w:r>
          </w:p>
        </w:tc>
        <w:tc>
          <w:tcPr>
            <w:tcW w:w="8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45,091</w:t>
            </w: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10,155</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482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Cash Flows From Financing Activities:</w:t>
            </w:r>
          </w:p>
        </w:tc>
        <w:tc>
          <w:tcPr>
            <w:tcW w:w="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9"/>
        </w:trPr>
        <w:tc>
          <w:tcPr>
            <w:tcW w:w="4820" w:type="dxa"/>
            <w:vAlign w:val="bottom"/>
            <w:gridSpan w:val="2"/>
            <w:vMerge w:val="continue"/>
          </w:tcPr>
          <w:p>
            <w:pPr>
              <w:spacing w:after="0"/>
              <w:rPr>
                <w:sz w:val="18"/>
                <w:szCs w:val="18"/>
                <w:color w:val="auto"/>
              </w:rPr>
            </w:pPr>
          </w:p>
        </w:tc>
        <w:tc>
          <w:tcPr>
            <w:tcW w:w="8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4800" w:type="dxa"/>
            <w:vAlign w:val="bottom"/>
            <w:shd w:val="clear" w:color="auto" w:fill="CCEEFF"/>
          </w:tcPr>
          <w:p>
            <w:pPr>
              <w:ind w:left="120"/>
              <w:spacing w:after="0"/>
              <w:rPr>
                <w:sz w:val="20"/>
                <w:szCs w:val="20"/>
                <w:color w:val="auto"/>
              </w:rPr>
            </w:pPr>
            <w:r>
              <w:rPr>
                <w:rFonts w:ascii="Arial" w:cs="Arial" w:eastAsia="Arial" w:hAnsi="Arial"/>
                <w:sz w:val="18"/>
                <w:szCs w:val="18"/>
                <w:color w:val="auto"/>
              </w:rPr>
              <w:t>Net Proceeds from Stock Issuances</w:t>
            </w:r>
          </w:p>
        </w:tc>
        <w:tc>
          <w:tcPr>
            <w:tcW w:w="8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1,014</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668</w:t>
            </w: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10,867</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00" w:type="dxa"/>
            <w:vAlign w:val="bottom"/>
          </w:tcPr>
          <w:p>
            <w:pPr>
              <w:ind w:left="120"/>
              <w:spacing w:after="0"/>
              <w:rPr>
                <w:sz w:val="20"/>
                <w:szCs w:val="20"/>
                <w:color w:val="auto"/>
              </w:rPr>
            </w:pPr>
            <w:r>
              <w:rPr>
                <w:rFonts w:ascii="Arial" w:cs="Arial" w:eastAsia="Arial" w:hAnsi="Arial"/>
                <w:sz w:val="18"/>
                <w:szCs w:val="18"/>
                <w:color w:val="auto"/>
              </w:rPr>
              <w:t>Related Party Loan Due to Medarex</w:t>
            </w:r>
          </w:p>
        </w:tc>
        <w:tc>
          <w:tcPr>
            <w:tcW w:w="80" w:type="dxa"/>
            <w:vAlign w:val="bottom"/>
          </w:tcPr>
          <w:p>
            <w:pPr>
              <w:spacing w:after="0"/>
              <w:rPr>
                <w:sz w:val="18"/>
                <w:szCs w:val="18"/>
                <w:color w:val="auto"/>
              </w:rPr>
            </w:pPr>
          </w:p>
        </w:tc>
        <w:tc>
          <w:tcPr>
            <w:tcW w:w="13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300" w:type="dxa"/>
            <w:vAlign w:val="bottom"/>
            <w:gridSpan w:val="2"/>
          </w:tcPr>
          <w:p>
            <w:pPr>
              <w:jc w:val="right"/>
              <w:ind w:right="40"/>
              <w:spacing w:after="0"/>
              <w:rPr>
                <w:sz w:val="20"/>
                <w:szCs w:val="20"/>
                <w:color w:val="auto"/>
              </w:rPr>
            </w:pPr>
            <w:r>
              <w:rPr>
                <w:rFonts w:ascii="Arial" w:cs="Arial" w:eastAsia="Arial" w:hAnsi="Arial"/>
                <w:sz w:val="18"/>
                <w:szCs w:val="18"/>
                <w:color w:val="auto"/>
              </w:rPr>
              <w:t>(2,957)</w:t>
            </w: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160</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00" w:type="dxa"/>
            <w:vAlign w:val="bottom"/>
            <w:shd w:val="clear" w:color="auto" w:fill="CCEEFF"/>
          </w:tcPr>
          <w:p>
            <w:pPr>
              <w:ind w:left="120"/>
              <w:spacing w:after="0"/>
              <w:rPr>
                <w:sz w:val="20"/>
                <w:szCs w:val="20"/>
                <w:color w:val="auto"/>
              </w:rPr>
            </w:pPr>
            <w:r>
              <w:rPr>
                <w:rFonts w:ascii="Arial" w:cs="Arial" w:eastAsia="Arial" w:hAnsi="Arial"/>
                <w:sz w:val="18"/>
                <w:szCs w:val="18"/>
                <w:color w:val="auto"/>
              </w:rPr>
              <w:t>Issuance of Term Loan</w:t>
            </w:r>
          </w:p>
        </w:tc>
        <w:tc>
          <w:tcPr>
            <w:tcW w:w="8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10,000</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4800" w:type="dxa"/>
            <w:vAlign w:val="bottom"/>
          </w:tcPr>
          <w:p>
            <w:pPr>
              <w:ind w:left="120"/>
              <w:spacing w:after="0"/>
              <w:rPr>
                <w:sz w:val="20"/>
                <w:szCs w:val="20"/>
                <w:color w:val="auto"/>
              </w:rPr>
            </w:pPr>
            <w:r>
              <w:rPr>
                <w:rFonts w:ascii="Arial" w:cs="Arial" w:eastAsia="Arial" w:hAnsi="Arial"/>
                <w:sz w:val="18"/>
                <w:szCs w:val="18"/>
                <w:color w:val="auto"/>
              </w:rPr>
              <w:t>Payment of Other Long-Term Liabilities</w:t>
            </w:r>
          </w:p>
        </w:tc>
        <w:tc>
          <w:tcPr>
            <w:tcW w:w="80" w:type="dxa"/>
            <w:vAlign w:val="bottom"/>
          </w:tcPr>
          <w:p>
            <w:pPr>
              <w:spacing w:after="0"/>
              <w:rPr>
                <w:sz w:val="19"/>
                <w:szCs w:val="19"/>
                <w:color w:val="auto"/>
              </w:rPr>
            </w:pPr>
          </w:p>
        </w:tc>
        <w:tc>
          <w:tcPr>
            <w:tcW w:w="1360" w:type="dxa"/>
            <w:vAlign w:val="bottom"/>
            <w:gridSpan w:val="2"/>
          </w:tcPr>
          <w:p>
            <w:pPr>
              <w:jc w:val="right"/>
              <w:ind w:right="120"/>
              <w:spacing w:after="0"/>
              <w:rPr>
                <w:sz w:val="20"/>
                <w:szCs w:val="20"/>
                <w:color w:val="auto"/>
              </w:rPr>
            </w:pPr>
            <w:r>
              <w:rPr>
                <w:rFonts w:ascii="Arial" w:cs="Arial" w:eastAsia="Arial" w:hAnsi="Arial"/>
                <w:sz w:val="18"/>
                <w:szCs w:val="18"/>
                <w:color w:val="auto"/>
              </w:rPr>
              <w:t>(197)</w:t>
            </w:r>
          </w:p>
        </w:tc>
        <w:tc>
          <w:tcPr>
            <w:tcW w:w="80" w:type="dxa"/>
            <w:vAlign w:val="bottom"/>
          </w:tcPr>
          <w:p>
            <w:pPr>
              <w:spacing w:after="0"/>
              <w:rPr>
                <w:sz w:val="19"/>
                <w:szCs w:val="19"/>
                <w:color w:val="auto"/>
              </w:rPr>
            </w:pPr>
          </w:p>
        </w:tc>
        <w:tc>
          <w:tcPr>
            <w:tcW w:w="1300" w:type="dxa"/>
            <w:vAlign w:val="bottom"/>
            <w:gridSpan w:val="2"/>
          </w:tcPr>
          <w:p>
            <w:pPr>
              <w:jc w:val="right"/>
              <w:ind w:right="40"/>
              <w:spacing w:after="0"/>
              <w:rPr>
                <w:sz w:val="20"/>
                <w:szCs w:val="20"/>
                <w:color w:val="auto"/>
              </w:rPr>
            </w:pPr>
            <w:r>
              <w:rPr>
                <w:rFonts w:ascii="Arial" w:cs="Arial" w:eastAsia="Arial" w:hAnsi="Arial"/>
                <w:sz w:val="18"/>
                <w:szCs w:val="18"/>
                <w:color w:val="auto"/>
              </w:rPr>
              <w:t>(176)</w:t>
            </w:r>
          </w:p>
        </w:tc>
        <w:tc>
          <w:tcPr>
            <w:tcW w:w="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360" w:type="dxa"/>
            <w:vAlign w:val="bottom"/>
            <w:gridSpan w:val="2"/>
          </w:tcPr>
          <w:p>
            <w:pPr>
              <w:jc w:val="right"/>
              <w:ind w:right="100"/>
              <w:spacing w:after="0"/>
              <w:rPr>
                <w:sz w:val="20"/>
                <w:szCs w:val="20"/>
                <w:color w:val="auto"/>
              </w:rPr>
            </w:pPr>
            <w:r>
              <w:rPr>
                <w:rFonts w:ascii="Arial" w:cs="Arial" w:eastAsia="Arial" w:hAnsi="Arial"/>
                <w:sz w:val="18"/>
                <w:szCs w:val="18"/>
                <w:color w:val="auto"/>
              </w:rPr>
              <w:t>(102)</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48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800" w:type="dxa"/>
            <w:vAlign w:val="bottom"/>
            <w:shd w:val="clear" w:color="auto" w:fill="CCEEFF"/>
          </w:tcPr>
          <w:p>
            <w:pPr>
              <w:spacing w:after="0"/>
              <w:rPr>
                <w:sz w:val="20"/>
                <w:szCs w:val="20"/>
                <w:color w:val="auto"/>
              </w:rPr>
            </w:pPr>
            <w:r>
              <w:rPr>
                <w:rFonts w:ascii="Arial" w:cs="Arial" w:eastAsia="Arial" w:hAnsi="Arial"/>
                <w:sz w:val="18"/>
                <w:szCs w:val="18"/>
                <w:color w:val="auto"/>
              </w:rPr>
              <w:t>Net Cash Provided by (Used in) Financing Activities</w:t>
            </w:r>
          </w:p>
        </w:tc>
        <w:tc>
          <w:tcPr>
            <w:tcW w:w="8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10,817</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(2,465)</w:t>
            </w: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10,925</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4820" w:type="dxa"/>
            <w:vAlign w:val="bottom"/>
            <w:gridSpan w:val="2"/>
            <w:vMerge w:val="restart"/>
          </w:tcPr>
          <w:p>
            <w:pPr>
              <w:spacing w:after="0"/>
              <w:rPr>
                <w:sz w:val="20"/>
                <w:szCs w:val="20"/>
                <w:color w:val="auto"/>
              </w:rPr>
            </w:pPr>
            <w:r>
              <w:rPr>
                <w:rFonts w:ascii="Arial" w:cs="Arial" w:eastAsia="Arial" w:hAnsi="Arial"/>
                <w:sz w:val="18"/>
                <w:szCs w:val="18"/>
                <w:color w:val="auto"/>
                <w:w w:val="91"/>
              </w:rPr>
              <w:t>Effect of Exchange Rate Changes on Cash and Cash Equivalents</w:t>
            </w:r>
          </w:p>
        </w:tc>
        <w:tc>
          <w:tcPr>
            <w:tcW w:w="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0" w:type="dxa"/>
            <w:vAlign w:val="bottom"/>
          </w:tcPr>
          <w:p>
            <w:pPr>
              <w:spacing w:after="0"/>
              <w:rPr>
                <w:sz w:val="2"/>
                <w:szCs w:val="2"/>
                <w:color w:val="auto"/>
              </w:rPr>
            </w:pPr>
          </w:p>
        </w:tc>
        <w:tc>
          <w:tcPr>
            <w:tcW w:w="1300" w:type="dxa"/>
            <w:vAlign w:val="bottom"/>
            <w:gridSpan w:val="2"/>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Pr>
          <w:p>
            <w:pPr>
              <w:spacing w:after="0"/>
              <w:rPr>
                <w:sz w:val="2"/>
                <w:szCs w:val="2"/>
                <w:color w:val="auto"/>
              </w:rPr>
            </w:pPr>
          </w:p>
        </w:tc>
        <w:tc>
          <w:tcPr>
            <w:tcW w:w="1360" w:type="dxa"/>
            <w:vAlign w:val="bottom"/>
            <w:gridSpan w:val="2"/>
          </w:tcPr>
          <w:p>
            <w:pPr>
              <w:spacing w:after="0"/>
              <w:rPr>
                <w:sz w:val="2"/>
                <w:szCs w:val="2"/>
                <w:color w:val="auto"/>
              </w:rPr>
            </w:pPr>
          </w:p>
        </w:tc>
        <w:tc>
          <w:tcPr>
            <w:tcW w:w="0" w:type="dxa"/>
            <w:vAlign w:val="bottom"/>
          </w:tcPr>
          <w:p>
            <w:pPr>
              <w:spacing w:after="0"/>
              <w:rPr>
                <w:sz w:val="1"/>
                <w:szCs w:val="1"/>
                <w:color w:val="auto"/>
              </w:rPr>
            </w:pPr>
          </w:p>
        </w:tc>
      </w:tr>
      <w:tr>
        <w:trPr>
          <w:trHeight w:val="216"/>
        </w:trPr>
        <w:tc>
          <w:tcPr>
            <w:tcW w:w="4820" w:type="dxa"/>
            <w:vAlign w:val="bottom"/>
            <w:gridSpan w:val="2"/>
            <w:vMerge w:val="continue"/>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12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w:t>
            </w:r>
          </w:p>
        </w:tc>
        <w:tc>
          <w:tcPr>
            <w:tcW w:w="160" w:type="dxa"/>
            <w:vAlign w:val="bottom"/>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12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(12)</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12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(13)</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48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800" w:type="dxa"/>
            <w:vAlign w:val="bottom"/>
            <w:shd w:val="clear" w:color="auto" w:fill="CCEEFF"/>
          </w:tcPr>
          <w:p>
            <w:pPr>
              <w:spacing w:after="0"/>
              <w:rPr>
                <w:sz w:val="20"/>
                <w:szCs w:val="20"/>
                <w:color w:val="auto"/>
              </w:rPr>
            </w:pPr>
            <w:r>
              <w:rPr>
                <w:rFonts w:ascii="Arial" w:cs="Arial" w:eastAsia="Arial" w:hAnsi="Arial"/>
                <w:sz w:val="18"/>
                <w:szCs w:val="18"/>
                <w:color w:val="auto"/>
              </w:rPr>
              <w:t>Net (Decrease) Increase in Cash and Cash Equivalents</w:t>
            </w:r>
          </w:p>
        </w:tc>
        <w:tc>
          <w:tcPr>
            <w:tcW w:w="8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(35,715)</w:t>
            </w:r>
          </w:p>
        </w:tc>
        <w:tc>
          <w:tcPr>
            <w:tcW w:w="8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12,745</w:t>
            </w: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39,347</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4800" w:type="dxa"/>
            <w:vAlign w:val="bottom"/>
          </w:tcPr>
          <w:p>
            <w:pPr>
              <w:spacing w:after="0"/>
              <w:rPr>
                <w:sz w:val="20"/>
                <w:szCs w:val="20"/>
                <w:color w:val="auto"/>
              </w:rPr>
            </w:pPr>
            <w:r>
              <w:rPr>
                <w:rFonts w:ascii="Arial" w:cs="Arial" w:eastAsia="Arial" w:hAnsi="Arial"/>
                <w:sz w:val="18"/>
                <w:szCs w:val="18"/>
                <w:color w:val="auto"/>
              </w:rPr>
              <w:t>Cash and Cash Equivalents at Beginning of Period</w:t>
            </w:r>
          </w:p>
        </w:tc>
        <w:tc>
          <w:tcPr>
            <w:tcW w:w="8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57,002</w:t>
            </w: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44,257</w:t>
            </w:r>
          </w:p>
        </w:tc>
        <w:tc>
          <w:tcPr>
            <w:tcW w:w="1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4,910</w:t>
            </w:r>
          </w:p>
        </w:tc>
        <w:tc>
          <w:tcPr>
            <w:tcW w:w="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48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800" w:type="dxa"/>
            <w:vAlign w:val="bottom"/>
            <w:shd w:val="clear" w:color="auto" w:fill="CCEEFF"/>
          </w:tcPr>
          <w:p>
            <w:pPr>
              <w:spacing w:after="0"/>
              <w:rPr>
                <w:sz w:val="20"/>
                <w:szCs w:val="20"/>
                <w:color w:val="auto"/>
              </w:rPr>
            </w:pPr>
            <w:r>
              <w:rPr>
                <w:rFonts w:ascii="Arial" w:cs="Arial" w:eastAsia="Arial" w:hAnsi="Arial"/>
                <w:sz w:val="18"/>
                <w:szCs w:val="18"/>
                <w:color w:val="auto"/>
              </w:rPr>
              <w:t>Cash and Cash Equivalents at End of Period</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21,287</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57,002</w:t>
            </w:r>
          </w:p>
        </w:tc>
        <w:tc>
          <w:tcPr>
            <w:tcW w:w="100" w:type="dxa"/>
            <w:vAlign w:val="bottom"/>
            <w:shd w:val="clear" w:color="auto" w:fill="CCEEFF"/>
          </w:tcPr>
          <w:p>
            <w:pPr>
              <w:spacing w:after="0"/>
              <w:rPr>
                <w:sz w:val="18"/>
                <w:szCs w:val="18"/>
                <w:color w:val="auto"/>
              </w:rPr>
            </w:pPr>
          </w:p>
        </w:tc>
        <w:tc>
          <w:tcPr>
            <w:tcW w:w="1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44,257</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4820" w:type="dxa"/>
            <w:vAlign w:val="bottom"/>
            <w:gridSpan w:val="2"/>
            <w:vMerge w:val="restart"/>
          </w:tcPr>
          <w:p>
            <w:pPr>
              <w:spacing w:after="0"/>
              <w:rPr>
                <w:sz w:val="20"/>
                <w:szCs w:val="20"/>
                <w:color w:val="auto"/>
              </w:rPr>
            </w:pPr>
            <w:r>
              <w:rPr>
                <w:rFonts w:ascii="Arial" w:cs="Arial" w:eastAsia="Arial" w:hAnsi="Arial"/>
                <w:sz w:val="18"/>
                <w:szCs w:val="18"/>
                <w:i w:val="1"/>
                <w:iCs w:val="1"/>
                <w:color w:val="auto"/>
              </w:rPr>
              <w:t>Supplemental Disclosure of Non-Cash Flow Information</w:t>
            </w:r>
          </w:p>
        </w:tc>
        <w:tc>
          <w:tcPr>
            <w:tcW w:w="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4820" w:type="dxa"/>
            <w:vAlign w:val="bottom"/>
            <w:gridSpan w:val="2"/>
            <w:vMerge w:val="continue"/>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4820" w:type="dxa"/>
            <w:vAlign w:val="bottom"/>
            <w:gridSpan w:val="2"/>
            <w:vMerge w:val="continue"/>
          </w:tcPr>
          <w:p>
            <w:pPr>
              <w:spacing w:after="0"/>
              <w:rPr>
                <w:sz w:val="17"/>
                <w:szCs w:val="17"/>
                <w:color w:val="auto"/>
              </w:rPr>
            </w:pPr>
          </w:p>
        </w:tc>
        <w:tc>
          <w:tcPr>
            <w:tcW w:w="8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4800" w:type="dxa"/>
            <w:vAlign w:val="bottom"/>
            <w:shd w:val="clear" w:color="auto" w:fill="CCEEFF"/>
          </w:tcPr>
          <w:p>
            <w:pPr>
              <w:ind w:left="120"/>
              <w:spacing w:after="0"/>
              <w:rPr>
                <w:sz w:val="20"/>
                <w:szCs w:val="20"/>
                <w:color w:val="auto"/>
              </w:rPr>
            </w:pPr>
            <w:r>
              <w:rPr>
                <w:rFonts w:ascii="Arial" w:cs="Arial" w:eastAsia="Arial" w:hAnsi="Arial"/>
                <w:sz w:val="18"/>
                <w:szCs w:val="18"/>
                <w:color w:val="auto"/>
              </w:rPr>
              <w:t>Shares Received in Exchange in the Merger</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3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3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46,252</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00" w:type="dxa"/>
            <w:vAlign w:val="bottom"/>
          </w:tcPr>
          <w:p>
            <w:pPr>
              <w:ind w:left="120"/>
              <w:spacing w:after="0"/>
              <w:rPr>
                <w:sz w:val="20"/>
                <w:szCs w:val="20"/>
                <w:color w:val="auto"/>
              </w:rPr>
            </w:pPr>
            <w:r>
              <w:rPr>
                <w:rFonts w:ascii="Arial" w:cs="Arial" w:eastAsia="Arial" w:hAnsi="Arial"/>
                <w:sz w:val="18"/>
                <w:szCs w:val="18"/>
                <w:color w:val="auto"/>
              </w:rPr>
              <w:t>Shares Issued to Medarex in Settlement of a Payable</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3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3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3,039</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00" w:type="dxa"/>
            <w:vAlign w:val="bottom"/>
            <w:shd w:val="clear" w:color="auto" w:fill="CCEEFF"/>
          </w:tcPr>
          <w:p>
            <w:pPr>
              <w:ind w:left="120"/>
              <w:spacing w:after="0"/>
              <w:rPr>
                <w:sz w:val="20"/>
                <w:szCs w:val="20"/>
                <w:color w:val="auto"/>
              </w:rPr>
            </w:pPr>
            <w:r>
              <w:rPr>
                <w:rFonts w:ascii="Arial" w:cs="Arial" w:eastAsia="Arial" w:hAnsi="Arial"/>
                <w:sz w:val="18"/>
                <w:szCs w:val="18"/>
                <w:color w:val="auto"/>
                <w:w w:val="96"/>
              </w:rPr>
              <w:t>Shares Issued to Duke University in Settlement of a Payable</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3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3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1,183</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00" w:type="dxa"/>
            <w:vAlign w:val="bottom"/>
          </w:tcPr>
          <w:p>
            <w:pPr>
              <w:ind w:left="120"/>
              <w:spacing w:after="0"/>
              <w:rPr>
                <w:sz w:val="20"/>
                <w:szCs w:val="20"/>
                <w:color w:val="auto"/>
              </w:rPr>
            </w:pPr>
            <w:r>
              <w:rPr>
                <w:rFonts w:ascii="Arial" w:cs="Arial" w:eastAsia="Arial" w:hAnsi="Arial"/>
                <w:sz w:val="18"/>
                <w:szCs w:val="18"/>
                <w:color w:val="auto"/>
              </w:rPr>
              <w:t>Shares Issued to Executive Officers</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3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250</w:t>
            </w:r>
          </w:p>
        </w:tc>
        <w:tc>
          <w:tcPr>
            <w:tcW w:w="100" w:type="dxa"/>
            <w:vAlign w:val="bottom"/>
          </w:tcPr>
          <w:p>
            <w:pPr>
              <w:spacing w:after="0"/>
              <w:rPr>
                <w:sz w:val="18"/>
                <w:szCs w:val="18"/>
                <w:color w:val="auto"/>
              </w:rPr>
            </w:pPr>
          </w:p>
        </w:tc>
        <w:tc>
          <w:tcPr>
            <w:tcW w:w="1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3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00" w:type="dxa"/>
            <w:vAlign w:val="bottom"/>
            <w:shd w:val="clear" w:color="auto" w:fill="CCEEFF"/>
          </w:tcPr>
          <w:p>
            <w:pPr>
              <w:spacing w:after="0"/>
              <w:rPr>
                <w:sz w:val="20"/>
                <w:szCs w:val="20"/>
                <w:color w:val="auto"/>
              </w:rPr>
            </w:pPr>
            <w:r>
              <w:rPr>
                <w:rFonts w:ascii="Arial" w:cs="Arial" w:eastAsia="Arial" w:hAnsi="Arial"/>
                <w:sz w:val="18"/>
                <w:szCs w:val="18"/>
                <w:i w:val="1"/>
                <w:iCs w:val="1"/>
                <w:color w:val="auto"/>
              </w:rPr>
              <w:t>Supplemental Disclosure of Cash Flow Information</w:t>
            </w:r>
          </w:p>
        </w:tc>
        <w:tc>
          <w:tcPr>
            <w:tcW w:w="8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4800" w:type="dxa"/>
            <w:vAlign w:val="bottom"/>
          </w:tcPr>
          <w:p>
            <w:pPr>
              <w:ind w:left="120"/>
              <w:spacing w:after="0"/>
              <w:rPr>
                <w:sz w:val="20"/>
                <w:szCs w:val="20"/>
                <w:color w:val="auto"/>
              </w:rPr>
            </w:pPr>
            <w:r>
              <w:rPr>
                <w:rFonts w:ascii="Arial" w:cs="Arial" w:eastAsia="Arial" w:hAnsi="Arial"/>
                <w:sz w:val="18"/>
                <w:szCs w:val="18"/>
                <w:color w:val="auto"/>
              </w:rPr>
              <w:t>Cash Paid for Interest</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604</w:t>
            </w:r>
          </w:p>
        </w:tc>
        <w:tc>
          <w:tcPr>
            <w:tcW w:w="160" w:type="dxa"/>
            <w:vAlign w:val="bottom"/>
          </w:tcPr>
          <w:p>
            <w:pPr>
              <w:spacing w:after="0"/>
              <w:rPr>
                <w:sz w:val="19"/>
                <w:szCs w:val="19"/>
                <w:color w:val="auto"/>
              </w:rPr>
            </w:pP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157</w:t>
            </w:r>
          </w:p>
        </w:tc>
        <w:tc>
          <w:tcPr>
            <w:tcW w:w="100" w:type="dxa"/>
            <w:vAlign w:val="bottom"/>
          </w:tcPr>
          <w:p>
            <w:pPr>
              <w:spacing w:after="0"/>
              <w:rPr>
                <w:sz w:val="19"/>
                <w:szCs w:val="19"/>
                <w:color w:val="auto"/>
              </w:rPr>
            </w:pPr>
          </w:p>
        </w:tc>
        <w:tc>
          <w:tcPr>
            <w:tcW w:w="1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142</w:t>
            </w:r>
          </w:p>
        </w:tc>
        <w:tc>
          <w:tcPr>
            <w:tcW w:w="16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01" w:lineRule="exact"/>
        <w:rPr>
          <w:sz w:val="20"/>
          <w:szCs w:val="20"/>
          <w:color w:val="auto"/>
        </w:rPr>
      </w:pPr>
    </w:p>
    <w:p>
      <w:pPr>
        <w:ind w:left="2720"/>
        <w:spacing w:after="0"/>
        <w:rPr>
          <w:sz w:val="20"/>
          <w:szCs w:val="20"/>
          <w:color w:val="auto"/>
        </w:rPr>
      </w:pPr>
      <w:r>
        <w:rPr>
          <w:rFonts w:ascii="Arial" w:cs="Arial" w:eastAsia="Arial" w:hAnsi="Arial"/>
          <w:sz w:val="18"/>
          <w:szCs w:val="18"/>
          <w:color w:val="auto"/>
        </w:rPr>
        <w:t>The accompanying notes are an integral part of the consolidated financial statements.</w:t>
      </w:r>
    </w:p>
    <w:p>
      <w:pPr>
        <w:sectPr>
          <w:pgSz w:w="11900" w:h="16838" w:orient="portrait"/>
          <w:cols w:equalWidth="0" w:num="1">
            <w:col w:w="10280"/>
          </w:cols>
          <w:pgMar w:left="240" w:top="131" w:right="1379" w:bottom="1440" w:gutter="0" w:footer="0" w:header="0"/>
        </w:sectPr>
      </w:pPr>
    </w:p>
    <w:p>
      <w:pPr>
        <w:spacing w:after="0" w:line="225" w:lineRule="exact"/>
        <w:rPr>
          <w:sz w:val="20"/>
          <w:szCs w:val="20"/>
          <w:color w:val="auto"/>
        </w:rPr>
      </w:pPr>
    </w:p>
    <w:p>
      <w:pPr>
        <w:ind w:left="5620"/>
        <w:spacing w:after="0"/>
        <w:rPr>
          <w:sz w:val="20"/>
          <w:szCs w:val="20"/>
          <w:color w:val="auto"/>
        </w:rPr>
      </w:pPr>
      <w:r>
        <w:rPr>
          <w:rFonts w:ascii="Arial" w:cs="Arial" w:eastAsia="Arial" w:hAnsi="Arial"/>
          <w:sz w:val="16"/>
          <w:szCs w:val="16"/>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160655</wp:posOffset>
            </wp:positionV>
            <wp:extent cx="7250430" cy="2159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80"/>
          </w:cols>
          <w:pgMar w:left="240" w:top="131" w:right="1379" w:bottom="1440" w:gutter="0" w:footer="0" w:header="0"/>
          <w:type w:val="continuous"/>
        </w:sectPr>
      </w:pPr>
    </w:p>
    <w:bookmarkStart w:id="73" w:name="page74"/>
    <w:bookmarkEnd w:id="73"/>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CELLDEX THERAPEUTICS, INC.</w:t>
      </w:r>
    </w:p>
    <w:p>
      <w:pPr>
        <w:spacing w:after="0" w:line="225" w:lineRule="exact"/>
        <w:rPr>
          <w:sz w:val="20"/>
          <w:szCs w:val="20"/>
          <w:color w:val="auto"/>
        </w:rPr>
      </w:pPr>
    </w:p>
    <w:p>
      <w:pPr>
        <w:ind w:left="3400"/>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 NATURE OF BUSINESS AND OVERVIEW</w:t>
      </w:r>
    </w:p>
    <w:p>
      <w:pPr>
        <w:spacing w:after="0" w:line="231" w:lineRule="exact"/>
        <w:rPr>
          <w:sz w:val="20"/>
          <w:szCs w:val="20"/>
          <w:color w:val="auto"/>
        </w:rPr>
      </w:pPr>
    </w:p>
    <w:p>
      <w:pPr>
        <w:ind w:right="60" w:firstLine="351"/>
        <w:spacing w:after="0" w:line="290" w:lineRule="auto"/>
        <w:rPr>
          <w:sz w:val="20"/>
          <w:szCs w:val="20"/>
          <w:color w:val="auto"/>
        </w:rPr>
      </w:pPr>
      <w:r>
        <w:rPr>
          <w:rFonts w:ascii="Arial" w:cs="Arial" w:eastAsia="Arial" w:hAnsi="Arial"/>
          <w:sz w:val="16"/>
          <w:szCs w:val="16"/>
          <w:color w:val="auto"/>
        </w:rPr>
        <w:t>Celldex Therapeutics, Inc. (the "Company" or "Celldex") is a biopharmaceutical company currently focusing on the development of several immunotherapy technologies. The Company's lead programs include rindopepimut (CDX-110), a vaccine that is expected to enter into Phase 3 development for glioblastoma multiforme in the second half of 2011, and CDX-011, an antibody-drug conjugate currently in a randomized Phase 2b trial for treatment of advanced breast cancer. The Company has additional programs at various stages of clinical and preclinical development, including CDX-1127 a therapeutic human antibody candidate for cancer indications, APC Targeting Technology™ programs, CDX-1307 and CDX-1401, and an immune cell mobilizing agent CDX-301. The Company is currently resourcing its priority programs and supplements the development of additional programs through external collaborations and funding. The Company's collaboration with GlaxoSmithKline ("Glaxo") resulted in the commercialization of Rotarix®, an oral human rotavirus vaccine.</w:t>
      </w:r>
    </w:p>
    <w:p>
      <w:pPr>
        <w:spacing w:after="0" w:line="172" w:lineRule="exact"/>
        <w:rPr>
          <w:sz w:val="20"/>
          <w:szCs w:val="20"/>
          <w:color w:val="auto"/>
        </w:rPr>
      </w:pPr>
    </w:p>
    <w:p>
      <w:pPr>
        <w:ind w:firstLine="341"/>
        <w:spacing w:after="0" w:line="286" w:lineRule="auto"/>
        <w:rPr>
          <w:sz w:val="20"/>
          <w:szCs w:val="20"/>
          <w:color w:val="auto"/>
        </w:rPr>
      </w:pPr>
      <w:r>
        <w:rPr>
          <w:rFonts w:ascii="Arial" w:cs="Arial" w:eastAsia="Arial" w:hAnsi="Arial"/>
          <w:sz w:val="16"/>
          <w:szCs w:val="16"/>
          <w:color w:val="auto"/>
        </w:rPr>
        <w:t>At December 31, 2010, the Company had cash, cash equivalents and marketable securities of $61.1 million; working capital of $42.7 million; 4% convertible subordinated debt ("CuraGen Debt") of $12.5 million which matured and was paid to the debt holders in February 2011; and a Term Loan balance of</w:t>
      </w:r>
    </w:p>
    <w:p>
      <w:pPr>
        <w:ind w:right="120"/>
        <w:spacing w:after="0" w:line="287" w:lineRule="auto"/>
        <w:rPr>
          <w:sz w:val="20"/>
          <w:szCs w:val="20"/>
          <w:color w:val="auto"/>
        </w:rPr>
      </w:pPr>
      <w:r>
        <w:rPr>
          <w:rFonts w:ascii="Arial" w:cs="Arial" w:eastAsia="Arial" w:hAnsi="Arial"/>
          <w:sz w:val="16"/>
          <w:szCs w:val="16"/>
          <w:color w:val="auto"/>
        </w:rPr>
        <w:t>$10.0 million. In March 2011, the Company borrowed an additional $5 million to increase the amount owed under the Term Loan to $15 million. All amounts borrowed under the Term Loan mature in December 2013. The Company incurred a loss of $2.5 million for the year ended December 31, 2010. Net cash used in operations for the year ended December 31, 2010 was $30.4 million. The Company believes that the cash, cash equivalents and marketable securities at December 31, 2010 in addition to the cash inflows from interest income on invested funds and the Company's ability to control certain costs, including those related to clinical trials, manufacturing and preclinical activities, will be sufficient to meet estimated working capital requirements and fund planned operations for at least the next twelve months. The working capital requirements of the Company are dependent on several factors including, but not limited to, the costs associated with research and development programs, preclinical and clinical studies, manufacture of clinical materials, and the scope of collaborative arrangements.</w:t>
      </w:r>
    </w:p>
    <w:p>
      <w:pPr>
        <w:spacing w:after="0" w:line="178" w:lineRule="exact"/>
        <w:rPr>
          <w:sz w:val="20"/>
          <w:szCs w:val="20"/>
          <w:color w:val="auto"/>
        </w:rPr>
      </w:pPr>
    </w:p>
    <w:p>
      <w:pPr>
        <w:ind w:right="20" w:firstLine="351"/>
        <w:spacing w:after="0" w:line="287" w:lineRule="auto"/>
        <w:rPr>
          <w:sz w:val="20"/>
          <w:szCs w:val="20"/>
          <w:color w:val="auto"/>
        </w:rPr>
      </w:pPr>
      <w:r>
        <w:rPr>
          <w:rFonts w:ascii="Arial" w:cs="Arial" w:eastAsia="Arial" w:hAnsi="Arial"/>
          <w:sz w:val="16"/>
          <w:szCs w:val="16"/>
          <w:color w:val="auto"/>
        </w:rPr>
        <w:t>During the next twelve months, the Company will take steps to raise additional capital to meet its long-term liquidity needs including, but not limited to, the licensing of technology programs with existing or new collaborative partners, possible business combinations, issuance of debt, or the issuance of common stock or other securities via private placements or public offerings. While the Company continues to seek capital through a number of means, there can be no assurance that additional financing will be available on acceptable terms, if at all, and our negotiating position in capital-raising efforts may worsen as existing resources are used. There is also no assurance that the Company will be able to enter into further collaborative relationships. Additional equity financing may be dilutive to the Company's stockholders; debt financing, if available, may involve significant cash payment obligations and covenants that restrict the Company's ability to operate as a business; and licensing or strategic collaborations may result in royalties or other terms that reduce the Company's economic potential from products under development. If the Company is unable to raise the funds necessary to meet its long-term liquidity needs, it may have to delay or discontinue the development of one or more programs, license out programs earlier than expected, raise funds at significant discount or on other unfavorable terms, or sell all or a part of the Company.</w:t>
      </w:r>
    </w:p>
    <w:p>
      <w:pPr>
        <w:spacing w:after="0" w:line="17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74" w:name="page75"/>
    <w:bookmarkEnd w:id="74"/>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CELLDEX THERAPEUTICS, INC.</w:t>
      </w:r>
    </w:p>
    <w:p>
      <w:pPr>
        <w:spacing w:after="0" w:line="225" w:lineRule="exact"/>
        <w:rPr>
          <w:sz w:val="20"/>
          <w:szCs w:val="20"/>
          <w:color w:val="auto"/>
        </w:rPr>
      </w:pPr>
    </w:p>
    <w:p>
      <w:pPr>
        <w:ind w:left="2940"/>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 SUMMARY OF SIGNIFICANT ACCOUNTING POLICIES</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Basis of Presentation</w:t>
      </w:r>
    </w:p>
    <w:p>
      <w:pPr>
        <w:spacing w:after="0" w:line="225" w:lineRule="exact"/>
        <w:rPr>
          <w:sz w:val="20"/>
          <w:szCs w:val="20"/>
          <w:color w:val="auto"/>
        </w:rPr>
      </w:pPr>
    </w:p>
    <w:p>
      <w:pPr>
        <w:ind w:right="240" w:firstLine="348"/>
        <w:spacing w:after="0" w:line="259" w:lineRule="auto"/>
        <w:rPr>
          <w:sz w:val="20"/>
          <w:szCs w:val="20"/>
          <w:color w:val="auto"/>
        </w:rPr>
      </w:pPr>
      <w:r>
        <w:rPr>
          <w:rFonts w:ascii="Arial" w:cs="Arial" w:eastAsia="Arial" w:hAnsi="Arial"/>
          <w:sz w:val="18"/>
          <w:szCs w:val="18"/>
          <w:color w:val="auto"/>
        </w:rPr>
        <w:t>The accompanying consolidated financial statements reflect the operations of the Company and its wholly-owned subsidiaries. All intercompany balances and transactions have been eliminated in consolidation. The Company operates in one segment, which is the business of development, manufacturing and commercialization of novel therapeutics for human health care.</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Use of Estimates</w:t>
      </w:r>
    </w:p>
    <w:p>
      <w:pPr>
        <w:spacing w:after="0" w:line="225" w:lineRule="exact"/>
        <w:rPr>
          <w:sz w:val="20"/>
          <w:szCs w:val="20"/>
          <w:color w:val="auto"/>
        </w:rPr>
      </w:pPr>
    </w:p>
    <w:p>
      <w:pPr>
        <w:ind w:right="460" w:firstLine="348"/>
        <w:spacing w:after="0" w:line="256" w:lineRule="auto"/>
        <w:rPr>
          <w:sz w:val="20"/>
          <w:szCs w:val="20"/>
          <w:color w:val="auto"/>
        </w:rPr>
      </w:pPr>
      <w:r>
        <w:rPr>
          <w:rFonts w:ascii="Arial" w:cs="Arial" w:eastAsia="Arial" w:hAnsi="Arial"/>
          <w:sz w:val="18"/>
          <w:szCs w:val="18"/>
          <w:color w:val="auto"/>
        </w:rPr>
        <w:t>The preparation of the consolidated financial statements in conformity with accounting principles generally accepted in the United States of America ("U.S. GAAP") requires management to make estimates and use assumptions that affect the reported amounts of assets and liabilities and the disclosure of contingent assets and liabilities at the dates of the consolidated financial statements and the reported amounts of revenues and expenses during the reporting period. Actual results could differ from those estimates.</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Cash and Cash Equivalents</w:t>
      </w:r>
    </w:p>
    <w:p>
      <w:pPr>
        <w:spacing w:after="0" w:line="225" w:lineRule="exact"/>
        <w:rPr>
          <w:sz w:val="20"/>
          <w:szCs w:val="20"/>
          <w:color w:val="auto"/>
        </w:rPr>
      </w:pPr>
    </w:p>
    <w:p>
      <w:pPr>
        <w:ind w:right="180" w:firstLine="348"/>
        <w:spacing w:after="0" w:line="268" w:lineRule="auto"/>
        <w:rPr>
          <w:sz w:val="20"/>
          <w:szCs w:val="20"/>
          <w:color w:val="auto"/>
        </w:rPr>
      </w:pPr>
      <w:r>
        <w:rPr>
          <w:rFonts w:ascii="Arial" w:cs="Arial" w:eastAsia="Arial" w:hAnsi="Arial"/>
          <w:sz w:val="18"/>
          <w:szCs w:val="18"/>
          <w:color w:val="auto"/>
        </w:rPr>
        <w:t>The Company considers all highly liquid investments purchased with a maturity date of 90 days or less at the date of purchase to be cash equivalents. Cash equivalents consist principally of money market funds and debt securities.</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Marketable Securities</w:t>
      </w:r>
    </w:p>
    <w:p>
      <w:pPr>
        <w:spacing w:after="0" w:line="225" w:lineRule="exact"/>
        <w:rPr>
          <w:sz w:val="20"/>
          <w:szCs w:val="20"/>
          <w:color w:val="auto"/>
        </w:rPr>
      </w:pPr>
    </w:p>
    <w:p>
      <w:pPr>
        <w:ind w:right="80" w:firstLine="348"/>
        <w:spacing w:after="0" w:line="290" w:lineRule="auto"/>
        <w:rPr>
          <w:sz w:val="20"/>
          <w:szCs w:val="20"/>
          <w:color w:val="auto"/>
        </w:rPr>
      </w:pPr>
      <w:r>
        <w:rPr>
          <w:rFonts w:ascii="Arial" w:cs="Arial" w:eastAsia="Arial" w:hAnsi="Arial"/>
          <w:sz w:val="16"/>
          <w:szCs w:val="16"/>
          <w:color w:val="auto"/>
        </w:rPr>
        <w:t>The Company invests its excess cash balances in marketable securities including municipal bond securities, U.S. government agency securities, and high-grade corporate bonds. The Company classifies all of its marketable securities as current assets on the consolidated balance sheets because they are available-for-sale and available to fund current operations. Marketable securities are stated at fair value with their unrealized gains and losses included as a component of accumulated other comprehensive income (loss), which is a separate component of stockholders' equity, until such gains and losses are realized. The fair value of these securities is based on quoted prices for identical or similar assets. If a decline in the fair value is considered other-than-temporary, based on available evidence, the unrealized loss is transferred from other comprehensive income (loss) to the consolidated statements of operations. Realized gains and losses are determined on the specific identification method and are included in investment and other income, net.</w:t>
      </w:r>
    </w:p>
    <w:p>
      <w:pPr>
        <w:spacing w:after="0" w:line="17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Concentration of Credit Risk</w:t>
      </w:r>
    </w:p>
    <w:p>
      <w:pPr>
        <w:spacing w:after="0" w:line="225" w:lineRule="exact"/>
        <w:rPr>
          <w:sz w:val="20"/>
          <w:szCs w:val="20"/>
          <w:color w:val="auto"/>
        </w:rPr>
      </w:pPr>
    </w:p>
    <w:p>
      <w:pPr>
        <w:ind w:firstLine="351"/>
        <w:spacing w:after="0" w:line="255" w:lineRule="auto"/>
        <w:rPr>
          <w:sz w:val="20"/>
          <w:szCs w:val="20"/>
          <w:color w:val="auto"/>
        </w:rPr>
      </w:pPr>
      <w:r>
        <w:rPr>
          <w:rFonts w:ascii="Arial" w:cs="Arial" w:eastAsia="Arial" w:hAnsi="Arial"/>
          <w:sz w:val="18"/>
          <w:szCs w:val="18"/>
          <w:color w:val="auto"/>
        </w:rPr>
        <w:t>Financial instruments that potentially subject the Company to concentrations of credit risk primarily consist of cash, cash equivalents, marketable securities and accounts receivable. The Company invests its cash, cash equivalents and marketable securities in debt instruments and interest bearing accounts at major financial institutions in excess of insured limits. The Company mitigates credit risk by limiting the investment type and maturity to securities that preserve capital, maintain liquidity and have a high credit quality. The Company has not historically experienced credit losses from its accounts receivable and therefore has not established an allowance for doubtful accounts.</w:t>
      </w:r>
    </w:p>
    <w:p>
      <w:pPr>
        <w:spacing w:after="0" w:line="1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75" w:name="page76"/>
    <w:bookmarkEnd w:id="75"/>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CELLDEX THERAPEUTICS, INC.</w:t>
      </w:r>
    </w:p>
    <w:p>
      <w:pPr>
        <w:spacing w:after="0" w:line="225" w:lineRule="exact"/>
        <w:rPr>
          <w:sz w:val="20"/>
          <w:szCs w:val="20"/>
          <w:color w:val="auto"/>
        </w:rPr>
      </w:pPr>
    </w:p>
    <w:p>
      <w:pPr>
        <w:ind w:left="2940"/>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 SUMMARY OF SIGNIFICANT ACCOUNTING POLICIES (Continued)</w:t>
      </w:r>
    </w:p>
    <w:p>
      <w:pPr>
        <w:spacing w:after="0" w:line="231" w:lineRule="exact"/>
        <w:rPr>
          <w:sz w:val="20"/>
          <w:szCs w:val="20"/>
          <w:color w:val="auto"/>
        </w:rPr>
      </w:pPr>
    </w:p>
    <w:p>
      <w:pPr>
        <w:ind w:right="40" w:firstLine="351"/>
        <w:spacing w:after="0" w:line="268" w:lineRule="auto"/>
        <w:rPr>
          <w:sz w:val="20"/>
          <w:szCs w:val="20"/>
          <w:color w:val="auto"/>
        </w:rPr>
      </w:pPr>
      <w:r>
        <w:rPr>
          <w:rFonts w:ascii="Arial" w:cs="Arial" w:eastAsia="Arial" w:hAnsi="Arial"/>
          <w:sz w:val="18"/>
          <w:szCs w:val="18"/>
          <w:color w:val="auto"/>
        </w:rPr>
        <w:t>Revenue from Glaxo and Pfizer represented 14% and 85% for the year ended December 31, 2010, 52% and 34% for the year ended December 31, 2009 and 50% and 38% for the year ended December 31, 2008, of total Company revenue, respectively.</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Fair Value Measurements</w:t>
      </w:r>
    </w:p>
    <w:p>
      <w:pPr>
        <w:spacing w:after="0" w:line="225" w:lineRule="exact"/>
        <w:rPr>
          <w:sz w:val="20"/>
          <w:szCs w:val="20"/>
          <w:color w:val="auto"/>
        </w:rPr>
      </w:pPr>
    </w:p>
    <w:p>
      <w:pPr>
        <w:ind w:right="320" w:firstLine="348"/>
        <w:spacing w:after="0" w:line="332" w:lineRule="auto"/>
        <w:rPr>
          <w:sz w:val="20"/>
          <w:szCs w:val="20"/>
          <w:color w:val="auto"/>
        </w:rPr>
      </w:pPr>
      <w:r>
        <w:rPr>
          <w:rFonts w:ascii="Arial" w:cs="Arial" w:eastAsia="Arial" w:hAnsi="Arial"/>
          <w:sz w:val="16"/>
          <w:szCs w:val="16"/>
          <w:color w:val="auto"/>
        </w:rPr>
        <w:t>The Company enters into various types of financial instruments in the normal course of business. The carrying amounts of the Company's cash and cash equivalents, accounts receivable, accounts payable and accrued expenses approximate their fair values due to the short-term nature of these items.</w:t>
      </w:r>
    </w:p>
    <w:p>
      <w:pPr>
        <w:spacing w:after="0" w:line="139" w:lineRule="exact"/>
        <w:rPr>
          <w:sz w:val="20"/>
          <w:szCs w:val="20"/>
          <w:color w:val="auto"/>
        </w:rPr>
      </w:pPr>
    </w:p>
    <w:p>
      <w:pPr>
        <w:ind w:right="20" w:firstLine="348"/>
        <w:spacing w:after="0" w:line="294" w:lineRule="auto"/>
        <w:rPr>
          <w:sz w:val="20"/>
          <w:szCs w:val="20"/>
          <w:color w:val="auto"/>
        </w:rPr>
      </w:pPr>
      <w:r>
        <w:rPr>
          <w:rFonts w:ascii="Arial" w:cs="Arial" w:eastAsia="Arial" w:hAnsi="Arial"/>
          <w:sz w:val="16"/>
          <w:szCs w:val="16"/>
          <w:color w:val="auto"/>
        </w:rPr>
        <w:t>The fair value of the Company's assets and liabilities reflects the Company's estimate of the exchange price that would be received for an asset or paid to transfer a liability in an orderly transaction between market participants on the measurement date. In connection with measuring the fair value of its assets and liabilities, the Company seeks to maximize the use of observable inputs (market data obtained from sources independent from the Company) and to minimize the use of unobservable inputs (the Company's assumptions about how market participants would price assets and liabilities). The following fair value hierarchy is used to classify assets and liabilities based on the observable inputs and unobservable inputs used in order to value the assets and liabilities:</w:t>
      </w:r>
    </w:p>
    <w:p>
      <w:pPr>
        <w:spacing w:after="0" w:line="170" w:lineRule="exact"/>
        <w:rPr>
          <w:sz w:val="20"/>
          <w:szCs w:val="20"/>
          <w:color w:val="auto"/>
        </w:rPr>
      </w:pPr>
    </w:p>
    <w:p>
      <w:pPr>
        <w:ind w:left="2520" w:right="1780" w:hanging="796"/>
        <w:spacing w:after="0" w:line="306" w:lineRule="auto"/>
        <w:tabs>
          <w:tab w:leader="none" w:pos="2500" w:val="left"/>
        </w:tabs>
        <w:rPr>
          <w:sz w:val="20"/>
          <w:szCs w:val="20"/>
          <w:color w:val="auto"/>
        </w:rPr>
      </w:pPr>
      <w:r>
        <w:rPr>
          <w:rFonts w:ascii="Arial" w:cs="Arial" w:eastAsia="Arial" w:hAnsi="Arial"/>
          <w:sz w:val="18"/>
          <w:szCs w:val="18"/>
          <w:color w:val="auto"/>
        </w:rPr>
        <w:t>Level 1:</w:t>
      </w:r>
      <w:r>
        <w:rPr>
          <w:sz w:val="20"/>
          <w:szCs w:val="20"/>
          <w:color w:val="auto"/>
        </w:rPr>
        <w:tab/>
      </w:r>
      <w:r>
        <w:rPr>
          <w:rFonts w:ascii="Arial" w:cs="Arial" w:eastAsia="Arial" w:hAnsi="Arial"/>
          <w:sz w:val="16"/>
          <w:szCs w:val="16"/>
          <w:color w:val="auto"/>
        </w:rPr>
        <w:t>Observable inputs such as quoted prices in active markets for identical assets or liabilities. An active market for an asset or liability is a market in which transactions for the asset or liability occur with sufficient frequency and volume to provide pricing information on an ongoing basis.</w:t>
      </w:r>
    </w:p>
    <w:p>
      <w:pPr>
        <w:spacing w:after="0" w:line="188" w:lineRule="exact"/>
        <w:rPr>
          <w:sz w:val="20"/>
          <w:szCs w:val="20"/>
          <w:color w:val="auto"/>
        </w:rPr>
      </w:pPr>
    </w:p>
    <w:p>
      <w:pPr>
        <w:ind w:left="2520" w:right="1720" w:hanging="796"/>
        <w:spacing w:after="0" w:line="332" w:lineRule="auto"/>
        <w:tabs>
          <w:tab w:leader="none" w:pos="2500" w:val="left"/>
        </w:tabs>
        <w:rPr>
          <w:sz w:val="20"/>
          <w:szCs w:val="20"/>
          <w:color w:val="auto"/>
        </w:rPr>
      </w:pPr>
      <w:r>
        <w:rPr>
          <w:rFonts w:ascii="Arial" w:cs="Arial" w:eastAsia="Arial" w:hAnsi="Arial"/>
          <w:sz w:val="18"/>
          <w:szCs w:val="18"/>
          <w:color w:val="auto"/>
        </w:rPr>
        <w:t>Level 2:</w:t>
      </w:r>
      <w:r>
        <w:rPr>
          <w:sz w:val="20"/>
          <w:szCs w:val="20"/>
          <w:color w:val="auto"/>
        </w:rPr>
        <w:tab/>
      </w:r>
      <w:r>
        <w:rPr>
          <w:rFonts w:ascii="Arial" w:cs="Arial" w:eastAsia="Arial" w:hAnsi="Arial"/>
          <w:sz w:val="16"/>
          <w:szCs w:val="16"/>
          <w:color w:val="auto"/>
        </w:rPr>
        <w:t>Observable inputs other than Level 1 prices, such as quoted prices in active markets for similar assets or liabilities and quoted prices for identical assets or liabilities in markets that are not active.</w:t>
      </w:r>
    </w:p>
    <w:p>
      <w:pPr>
        <w:spacing w:after="0" w:line="166" w:lineRule="exact"/>
        <w:rPr>
          <w:sz w:val="20"/>
          <w:szCs w:val="20"/>
          <w:color w:val="auto"/>
        </w:rPr>
      </w:pPr>
    </w:p>
    <w:p>
      <w:pPr>
        <w:ind w:left="2520" w:right="1760" w:hanging="796"/>
        <w:spacing w:after="0" w:line="268" w:lineRule="auto"/>
        <w:tabs>
          <w:tab w:leader="none" w:pos="2500" w:val="left"/>
        </w:tabs>
        <w:rPr>
          <w:sz w:val="20"/>
          <w:szCs w:val="20"/>
          <w:color w:val="auto"/>
        </w:rPr>
      </w:pPr>
      <w:r>
        <w:rPr>
          <w:rFonts w:ascii="Arial" w:cs="Arial" w:eastAsia="Arial" w:hAnsi="Arial"/>
          <w:sz w:val="18"/>
          <w:szCs w:val="18"/>
          <w:color w:val="auto"/>
        </w:rPr>
        <w:t>Level 3:</w:t>
        <w:tab/>
        <w:t>Unobservable inputs based on the Company's assessment of the assumptions that market participants would use in pricing the asset or liability.</w:t>
      </w:r>
    </w:p>
    <w:p>
      <w:pPr>
        <w:spacing w:after="0" w:line="186" w:lineRule="exact"/>
        <w:rPr>
          <w:sz w:val="20"/>
          <w:szCs w:val="20"/>
          <w:color w:val="auto"/>
        </w:rPr>
      </w:pPr>
    </w:p>
    <w:p>
      <w:pPr>
        <w:ind w:firstLine="351"/>
        <w:spacing w:after="0" w:line="290" w:lineRule="auto"/>
        <w:rPr>
          <w:sz w:val="20"/>
          <w:szCs w:val="20"/>
          <w:color w:val="auto"/>
        </w:rPr>
      </w:pPr>
      <w:r>
        <w:rPr>
          <w:rFonts w:ascii="Arial" w:cs="Arial" w:eastAsia="Arial" w:hAnsi="Arial"/>
          <w:sz w:val="16"/>
          <w:szCs w:val="16"/>
          <w:color w:val="auto"/>
        </w:rPr>
        <w:t>In January 2010, the Company adopted a new U.S. GAAP accounting standard which requires additional disclosure about the amounts of and reasons for significant transfers in and out of Level 1 and Level 2 fair value measurements. This standard also clarifies existing disclosure requirements related to the level of disaggregation of fair value measurements for each class of assets and liabilities and disclosures about inputs and valuation techniques used to measure fair value for both recurring and nonrecurring Level 2 and Level 3 measurements. In addition, effective for interim and annual periods beginning January 1, 2011, this standard will require additional disclosure and require an entity to present disaggregated information about activity in Level 3 fair value measurements on a gross basis, rather than as one net amount. As this newly issued accounting standard only requires enhanced disclosure, the adoption of this standard did not impact the Company's financial position or results of operations.</w:t>
      </w:r>
    </w:p>
    <w:p>
      <w:pPr>
        <w:spacing w:after="0" w:line="17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Property and Equipment</w:t>
      </w:r>
    </w:p>
    <w:p>
      <w:pPr>
        <w:spacing w:after="0" w:line="225" w:lineRule="exact"/>
        <w:rPr>
          <w:sz w:val="20"/>
          <w:szCs w:val="20"/>
          <w:color w:val="auto"/>
        </w:rPr>
      </w:pPr>
    </w:p>
    <w:p>
      <w:pPr>
        <w:ind w:right="40" w:firstLine="348"/>
        <w:spacing w:after="0" w:line="259" w:lineRule="auto"/>
        <w:rPr>
          <w:sz w:val="20"/>
          <w:szCs w:val="20"/>
          <w:color w:val="auto"/>
        </w:rPr>
      </w:pPr>
      <w:r>
        <w:rPr>
          <w:rFonts w:ascii="Arial" w:cs="Arial" w:eastAsia="Arial" w:hAnsi="Arial"/>
          <w:sz w:val="18"/>
          <w:szCs w:val="18"/>
          <w:color w:val="auto"/>
        </w:rPr>
        <w:t>The treatment of costs to construct property and equipment depends on the nature of the costs and the stage of construction. Costs incurred in the project planning, design, construction and installation phases are capitalized as part of the cost of the asset. The Company stops capitalizing these costs when the asset is substantially complete and ready for its intended use. For manufacturing</w:t>
      </w:r>
    </w:p>
    <w:p>
      <w:pPr>
        <w:spacing w:after="0" w:line="194"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60"/>
          </w:cols>
          <w:pgMar w:left="240" w:top="131" w:right="299" w:bottom="1440" w:gutter="0" w:footer="0" w:header="0"/>
        </w:sectPr>
      </w:pPr>
    </w:p>
    <w:bookmarkStart w:id="76" w:name="page77"/>
    <w:bookmarkEnd w:id="76"/>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CELLDEX THERAPEUTICS, INC.</w:t>
      </w:r>
    </w:p>
    <w:p>
      <w:pPr>
        <w:spacing w:after="0" w:line="225" w:lineRule="exact"/>
        <w:rPr>
          <w:sz w:val="20"/>
          <w:szCs w:val="20"/>
          <w:color w:val="auto"/>
        </w:rPr>
      </w:pPr>
    </w:p>
    <w:p>
      <w:pPr>
        <w:ind w:left="2940"/>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 SUMMARY OF SIGNIFICANT ACCOUNTING POLICIES (Continued)</w:t>
      </w: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ind w:right="160"/>
        <w:spacing w:after="0" w:line="256" w:lineRule="auto"/>
        <w:rPr>
          <w:sz w:val="20"/>
          <w:szCs w:val="20"/>
          <w:color w:val="auto"/>
        </w:rPr>
      </w:pPr>
      <w:r>
        <w:rPr>
          <w:rFonts w:ascii="Arial" w:cs="Arial" w:eastAsia="Arial" w:hAnsi="Arial"/>
          <w:sz w:val="18"/>
          <w:szCs w:val="18"/>
          <w:color w:val="auto"/>
        </w:rPr>
        <w:t>property and equipment, the Company also capitalizes the cost of validating these assets for the underlying manufacturing process. The Company completes the capitalization of validation costs when the asset is substantially complete and ready for its intended use. Costs capitalized include incremental labor and fringe benefits, and direct consultancy services. The Company capitalizes interest cost as part of the historical cost of acquiring certain assets during the period of time required to get the asset ready for its intended use.</w:t>
      </w:r>
    </w:p>
    <w:p>
      <w:pPr>
        <w:spacing w:after="0" w:line="197" w:lineRule="exact"/>
        <w:rPr>
          <w:sz w:val="20"/>
          <w:szCs w:val="20"/>
          <w:color w:val="auto"/>
        </w:rPr>
      </w:pPr>
    </w:p>
    <w:p>
      <w:pPr>
        <w:ind w:right="20" w:firstLine="351"/>
        <w:spacing w:after="0" w:line="290" w:lineRule="auto"/>
        <w:rPr>
          <w:sz w:val="20"/>
          <w:szCs w:val="20"/>
          <w:color w:val="auto"/>
        </w:rPr>
      </w:pPr>
      <w:r>
        <w:rPr>
          <w:rFonts w:ascii="Arial" w:cs="Arial" w:eastAsia="Arial" w:hAnsi="Arial"/>
          <w:sz w:val="16"/>
          <w:szCs w:val="16"/>
          <w:color w:val="auto"/>
        </w:rPr>
        <w:t>Property and equipment is stated at cost and depreciated over the estimated useful lives of the related assets using the straight-line method. Laboratory equipment and office furniture and equipment are depreciated over five years and computer equipment is depreciated over three years. Manufacturing equipment is amortized over seven to ten years. Leasehold improvements are amortized over the shorter of the estimated useful life or the non-cancelable term of the related lease, including any renewals that are reasonably assured of occurring. Property and equipment under construction is classified as construction in progress and is depreciated or amortized only after the asset is placed in service. Expenditures for maintenance and repairs are charged to expense whereas the costs of significant improvements which extend the life of the underlying asset are capitalized. Upon retirement or sale, the cost of assets disposed of and the related accumulated depreciation are eliminated and any resulting gain or loss is reflected in the Company's consolidated statements of operations.</w:t>
      </w:r>
    </w:p>
    <w:p>
      <w:pPr>
        <w:spacing w:after="0" w:line="17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Business Combinations</w:t>
      </w:r>
    </w:p>
    <w:p>
      <w:pPr>
        <w:spacing w:after="0" w:line="225" w:lineRule="exact"/>
        <w:rPr>
          <w:sz w:val="20"/>
          <w:szCs w:val="20"/>
          <w:color w:val="auto"/>
        </w:rPr>
      </w:pPr>
    </w:p>
    <w:p>
      <w:pPr>
        <w:ind w:firstLine="351"/>
        <w:spacing w:after="0" w:line="288" w:lineRule="auto"/>
        <w:rPr>
          <w:sz w:val="20"/>
          <w:szCs w:val="20"/>
          <w:color w:val="auto"/>
        </w:rPr>
      </w:pPr>
      <w:r>
        <w:rPr>
          <w:rFonts w:ascii="Arial" w:cs="Arial" w:eastAsia="Arial" w:hAnsi="Arial"/>
          <w:sz w:val="16"/>
          <w:szCs w:val="16"/>
          <w:color w:val="auto"/>
        </w:rPr>
        <w:t>For business combinations that are completed after January 1, 2009, including the CuraGen Merger, the Company assigns the value of the consideration transferred to acquire a business to the tangible assets and identifiable intangible assets acquired and liabilities assumed on the basis of their fair values at the date of acquisition. The Company assesses the fair value of assets, including intangible assets such as in-process research and development ("IPR&amp;D"), using a variety of methods including present-value models. Each asset is measured at fair value from the perspective of a market participant. The method used to estimate the fair values of IPR&amp;D assets incorporates significant assumptions regarding the estimates a market participant would make in order to evaluate an asset, including a market participant's assumptions regarding the probability of completing IPR&amp;D projects, which would require obtaining regulatory approval for marketing of the associated drug candidate; a market participant's estimates regarding the timing of and the expected costs to complete IPR&amp;D projects; a market participant's estimates of future cash flows from potential product sales; and the appropriate discount rates for a market participant. Transaction costs and restructuring costs associated with the transaction are expensed as incurred.</w:t>
      </w:r>
    </w:p>
    <w:p>
      <w:pPr>
        <w:spacing w:after="0" w:line="174" w:lineRule="exact"/>
        <w:rPr>
          <w:sz w:val="20"/>
          <w:szCs w:val="20"/>
          <w:color w:val="auto"/>
        </w:rPr>
      </w:pPr>
    </w:p>
    <w:p>
      <w:pPr>
        <w:jc w:val="both"/>
        <w:ind w:right="640" w:firstLine="351"/>
        <w:spacing w:after="0" w:line="259" w:lineRule="auto"/>
        <w:rPr>
          <w:sz w:val="20"/>
          <w:szCs w:val="20"/>
          <w:color w:val="auto"/>
        </w:rPr>
      </w:pPr>
      <w:r>
        <w:rPr>
          <w:rFonts w:ascii="Arial" w:cs="Arial" w:eastAsia="Arial" w:hAnsi="Arial"/>
          <w:sz w:val="18"/>
          <w:szCs w:val="18"/>
          <w:color w:val="auto"/>
        </w:rPr>
        <w:t>For acquisitions completed prior to January 1, 2009, including the AVANT Merger, the Company expensed the fair value of IPR&amp;D to research and development expense as of the acquisition date and included transaction costs associated with the business combination as part of the cost of the acquired company. See Note 3 for discussion of the AVANT Merger and CuraGen Merger.</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Intangible Assets</w:t>
      </w:r>
    </w:p>
    <w:p>
      <w:pPr>
        <w:spacing w:after="0" w:line="225" w:lineRule="exact"/>
        <w:rPr>
          <w:sz w:val="20"/>
          <w:szCs w:val="20"/>
          <w:color w:val="auto"/>
        </w:rPr>
      </w:pPr>
    </w:p>
    <w:p>
      <w:pPr>
        <w:ind w:right="140" w:firstLine="351"/>
        <w:spacing w:after="0" w:line="259" w:lineRule="auto"/>
        <w:rPr>
          <w:sz w:val="20"/>
          <w:szCs w:val="20"/>
          <w:color w:val="auto"/>
        </w:rPr>
      </w:pPr>
      <w:r>
        <w:rPr>
          <w:rFonts w:ascii="Arial" w:cs="Arial" w:eastAsia="Arial" w:hAnsi="Arial"/>
          <w:sz w:val="18"/>
          <w:szCs w:val="18"/>
          <w:color w:val="auto"/>
        </w:rPr>
        <w:t>IPR&amp;D assets acquired in a business combination initially are recorded at fair value and accounted for as indefinite-lived intangible assets. These assets are maintained on the Company's consolidated balance sheets until either the project underlying them is completed or the assets become impaired. If a project is completed, the carrying value of the related intangible asset is amortized over the remaining</w:t>
      </w:r>
    </w:p>
    <w:p>
      <w:pPr>
        <w:spacing w:after="0" w:line="1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77" w:name="page78"/>
    <w:bookmarkEnd w:id="77"/>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CELLDEX THERAPEUTICS, INC.</w:t>
      </w:r>
    </w:p>
    <w:p>
      <w:pPr>
        <w:spacing w:after="0" w:line="225" w:lineRule="exact"/>
        <w:rPr>
          <w:sz w:val="20"/>
          <w:szCs w:val="20"/>
          <w:color w:val="auto"/>
        </w:rPr>
      </w:pPr>
    </w:p>
    <w:p>
      <w:pPr>
        <w:ind w:left="2940"/>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 SUMMARY OF SIGNIFICANT ACCOUNTING POLICIES (Continued)</w:t>
      </w: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ind w:right="280"/>
        <w:spacing w:after="0" w:line="306" w:lineRule="auto"/>
        <w:rPr>
          <w:sz w:val="20"/>
          <w:szCs w:val="20"/>
          <w:color w:val="auto"/>
        </w:rPr>
      </w:pPr>
      <w:r>
        <w:rPr>
          <w:rFonts w:ascii="Arial" w:cs="Arial" w:eastAsia="Arial" w:hAnsi="Arial"/>
          <w:sz w:val="16"/>
          <w:szCs w:val="16"/>
          <w:color w:val="auto"/>
        </w:rPr>
        <w:t>estimated life of the asset beginning in the period in which the project is completed. If a project becomes impaired or is abandoned, the carrying value of the related intangible asset is written down to its fair value and an impairment charge is taken in the period in which the impairment occurs. IPR&amp;D assets will be tested for impairment on an annual basis during the third quarter, or earlier if impairment indicators are present.</w:t>
      </w:r>
    </w:p>
    <w:p>
      <w:pPr>
        <w:spacing w:after="0" w:line="161" w:lineRule="exact"/>
        <w:rPr>
          <w:sz w:val="20"/>
          <w:szCs w:val="20"/>
          <w:color w:val="auto"/>
        </w:rPr>
      </w:pPr>
    </w:p>
    <w:p>
      <w:pPr>
        <w:ind w:right="140" w:firstLine="351"/>
        <w:spacing w:after="0" w:line="268" w:lineRule="auto"/>
        <w:rPr>
          <w:sz w:val="20"/>
          <w:szCs w:val="20"/>
          <w:color w:val="auto"/>
        </w:rPr>
      </w:pPr>
      <w:r>
        <w:rPr>
          <w:rFonts w:ascii="Arial" w:cs="Arial" w:eastAsia="Arial" w:hAnsi="Arial"/>
          <w:sz w:val="18"/>
          <w:szCs w:val="18"/>
          <w:color w:val="auto"/>
        </w:rPr>
        <w:t>Intangible assets acquired in a business combination with a finite life are recorded at fair value and amortized over the greater of economic consumption or on a straight-line basis over their estimated useful life.</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Goodwill</w:t>
      </w:r>
    </w:p>
    <w:p>
      <w:pPr>
        <w:spacing w:after="0" w:line="225" w:lineRule="exact"/>
        <w:rPr>
          <w:sz w:val="20"/>
          <w:szCs w:val="20"/>
          <w:color w:val="auto"/>
        </w:rPr>
      </w:pPr>
    </w:p>
    <w:p>
      <w:pPr>
        <w:ind w:left="360"/>
        <w:spacing w:after="0"/>
        <w:rPr>
          <w:sz w:val="20"/>
          <w:szCs w:val="20"/>
          <w:color w:val="auto"/>
        </w:rPr>
      </w:pPr>
      <w:r>
        <w:rPr>
          <w:rFonts w:ascii="Arial" w:cs="Arial" w:eastAsia="Arial" w:hAnsi="Arial"/>
          <w:sz w:val="16"/>
          <w:szCs w:val="16"/>
          <w:color w:val="auto"/>
        </w:rPr>
        <w:t>The difference between the purchase price and the fair value of assets acquired and liabilities assumed in a business combination is allocated to goodwill.</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Goodwill is evaluated for impairment on an annual basis during the third quarter, or earlier if impairment indicators are present.</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Impairment of Long-Lived Assets</w:t>
      </w:r>
    </w:p>
    <w:p>
      <w:pPr>
        <w:spacing w:after="0" w:line="225" w:lineRule="exact"/>
        <w:rPr>
          <w:sz w:val="20"/>
          <w:szCs w:val="20"/>
          <w:color w:val="auto"/>
        </w:rPr>
      </w:pPr>
    </w:p>
    <w:p>
      <w:pPr>
        <w:ind w:right="40" w:firstLine="348"/>
        <w:spacing w:after="0" w:line="256" w:lineRule="auto"/>
        <w:rPr>
          <w:sz w:val="20"/>
          <w:szCs w:val="20"/>
          <w:color w:val="auto"/>
        </w:rPr>
      </w:pPr>
      <w:r>
        <w:rPr>
          <w:rFonts w:ascii="Arial" w:cs="Arial" w:eastAsia="Arial" w:hAnsi="Arial"/>
          <w:sz w:val="18"/>
          <w:szCs w:val="18"/>
          <w:color w:val="auto"/>
        </w:rPr>
        <w:t>The Company evaluates the recoverability of its long-lived assets, including property and equipment, and intangible assets when circumstances indicate that an event of impairment may have occurred. Determination of recoverability is based on an estimate of undiscounted future cash flows resulting from the use of the asset and its eventual disposition. In the event that such cash flows are not expected to be sufficient to recover the carrying amount of the assets, the assets are written-down to their estimated fair values.</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Revenue Recognition</w:t>
      </w:r>
    </w:p>
    <w:p>
      <w:pPr>
        <w:spacing w:after="0" w:line="225" w:lineRule="exact"/>
        <w:rPr>
          <w:sz w:val="20"/>
          <w:szCs w:val="20"/>
          <w:color w:val="auto"/>
        </w:rPr>
      </w:pPr>
    </w:p>
    <w:p>
      <w:pPr>
        <w:ind w:right="60" w:firstLine="348"/>
        <w:spacing w:after="0" w:line="268" w:lineRule="auto"/>
        <w:rPr>
          <w:sz w:val="20"/>
          <w:szCs w:val="20"/>
          <w:color w:val="auto"/>
        </w:rPr>
      </w:pPr>
      <w:r>
        <w:rPr>
          <w:rFonts w:ascii="Arial" w:cs="Arial" w:eastAsia="Arial" w:hAnsi="Arial"/>
          <w:sz w:val="18"/>
          <w:szCs w:val="18"/>
          <w:color w:val="auto"/>
        </w:rPr>
        <w:t>The Company recognizes revenue when all of the following criteria are met: persuasive evidence of an arrangement exists; delivery has occurred or services have been rendered; the seller's price to the buyer is fixed or determinable; and collectability is reasonably assured.</w:t>
      </w:r>
    </w:p>
    <w:p>
      <w:pPr>
        <w:spacing w:after="0" w:line="186" w:lineRule="exact"/>
        <w:rPr>
          <w:sz w:val="20"/>
          <w:szCs w:val="20"/>
          <w:color w:val="auto"/>
        </w:rPr>
      </w:pPr>
    </w:p>
    <w:p>
      <w:pPr>
        <w:ind w:firstLine="351"/>
        <w:spacing w:after="0" w:line="288" w:lineRule="auto"/>
        <w:rPr>
          <w:sz w:val="20"/>
          <w:szCs w:val="20"/>
          <w:color w:val="auto"/>
        </w:rPr>
      </w:pPr>
      <w:r>
        <w:rPr>
          <w:rFonts w:ascii="Arial" w:cs="Arial" w:eastAsia="Arial" w:hAnsi="Arial"/>
          <w:sz w:val="16"/>
          <w:szCs w:val="16"/>
          <w:color w:val="auto"/>
        </w:rPr>
        <w:t>In January 2010, the Company adopted a new U.S. GAAP accounting standard which amends existing revenue recognition accounting guidance to provide accounting principles and application guidance on whether multiple deliverables exist, how the arrangement should be separated, and the consideration allocated. This new guidance eliminates the requirement to establish objective evidence of fair value of undelivered products and services and instead provides for separate revenue recognition based upon management's estimate of the selling price for an undelivered item when there is no other means to determine the fair value of that undelivered item. The old guidance previously required that the fair value of the undelivered item be the price of the item either sold in a separate transaction between unrelated third parties or the price charged for each item when the item is sold separately by the vendor. This was difficult to determine when the product was not individually sold because of its unique features. Under the old guidance, if the fair value of all of the undelivered elements in the arrangement was not determinable, then revenue was deferred until all of the items were delivered or fair value was determined. The adoption of the new standard was done on a prospective basis and did not impact the Company's financial position or results of operations.</w:t>
      </w:r>
    </w:p>
    <w:p>
      <w:pPr>
        <w:spacing w:after="0" w:line="174" w:lineRule="exact"/>
        <w:rPr>
          <w:sz w:val="20"/>
          <w:szCs w:val="20"/>
          <w:color w:val="auto"/>
        </w:rPr>
      </w:pPr>
    </w:p>
    <w:p>
      <w:pPr>
        <w:ind w:right="980" w:firstLine="351"/>
        <w:spacing w:after="0" w:line="268" w:lineRule="auto"/>
        <w:rPr>
          <w:sz w:val="20"/>
          <w:szCs w:val="20"/>
          <w:color w:val="auto"/>
        </w:rPr>
      </w:pPr>
      <w:r>
        <w:rPr>
          <w:rFonts w:ascii="Arial" w:cs="Arial" w:eastAsia="Arial" w:hAnsi="Arial"/>
          <w:sz w:val="18"/>
          <w:szCs w:val="18"/>
          <w:color w:val="auto"/>
        </w:rPr>
        <w:t>Prior to the adoption of the new revenue recognition standard, the Company had entered into various license and development agreements with pharmaceutical and biotechnology companies. The</w:t>
      </w:r>
    </w:p>
    <w:p>
      <w:pPr>
        <w:spacing w:after="0" w:line="18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78" w:name="page79"/>
    <w:bookmarkEnd w:id="78"/>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CELLDEX THERAPEUTICS, INC.</w:t>
      </w:r>
    </w:p>
    <w:p>
      <w:pPr>
        <w:spacing w:after="0" w:line="225" w:lineRule="exact"/>
        <w:rPr>
          <w:sz w:val="20"/>
          <w:szCs w:val="20"/>
          <w:color w:val="auto"/>
        </w:rPr>
      </w:pPr>
    </w:p>
    <w:p>
      <w:pPr>
        <w:ind w:left="2940"/>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 SUMMARY OF SIGNIFICANT ACCOUNTING POLICIES (Continued)</w:t>
      </w: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spacing w:after="0" w:line="286" w:lineRule="auto"/>
        <w:rPr>
          <w:sz w:val="20"/>
          <w:szCs w:val="20"/>
          <w:color w:val="auto"/>
        </w:rPr>
      </w:pPr>
      <w:r>
        <w:rPr>
          <w:rFonts w:ascii="Arial" w:cs="Arial" w:eastAsia="Arial" w:hAnsi="Arial"/>
          <w:sz w:val="16"/>
          <w:szCs w:val="16"/>
          <w:color w:val="auto"/>
        </w:rPr>
        <w:t>terms of the agreements typically include non-refundable license fees, funding of research and development, payments based upon achievement of certain milestones and royalties on net product sales. Non-refundable license fees were recognized as revenue when the Company had a contractual right to receive such payments, provided that (i) a contractual arrangement exists, (ii) the contract price is fixed or determinable, (iii) the collection of the resulting receivable is reasonably assured and (iv) the Company had no further performance obligations under the license agreement. Upfront non-refundable fees associated with license and development agreements where the Company had continuing performance obligations under the terms of the agreement were recorded as deferred revenue and recognized as revenue over the estimated service period as the Company completed its obligations. Where the Company's level of effort was relatively constant over the performance period or no other pattern was estimable, the revenue was recognized on a straight-line basis. Revenue was limited to the lesser of the cumulative amount of payments due or the cumulative amount of revenue earned, as determined using the straight-line basis, as of the period ending date. If the estimated service period was subsequently modified, the period over which the upfront fee was recognized was modified accordingly on a prospective basis. The determination of the performance period involved judgment on management's part. Funding of research and development was recognized as revenue over the term of the applicable contract as costs are incurred related to that contract.</w:t>
      </w:r>
    </w:p>
    <w:p>
      <w:pPr>
        <w:spacing w:after="0" w:line="181" w:lineRule="exact"/>
        <w:rPr>
          <w:sz w:val="20"/>
          <w:szCs w:val="20"/>
          <w:color w:val="auto"/>
        </w:rPr>
      </w:pPr>
    </w:p>
    <w:p>
      <w:pPr>
        <w:jc w:val="both"/>
        <w:ind w:right="200" w:firstLine="351"/>
        <w:spacing w:after="0" w:line="294" w:lineRule="auto"/>
        <w:rPr>
          <w:sz w:val="20"/>
          <w:szCs w:val="20"/>
          <w:color w:val="auto"/>
        </w:rPr>
      </w:pPr>
      <w:r>
        <w:rPr>
          <w:rFonts w:ascii="Arial" w:cs="Arial" w:eastAsia="Arial" w:hAnsi="Arial"/>
          <w:sz w:val="16"/>
          <w:szCs w:val="16"/>
          <w:color w:val="auto"/>
        </w:rPr>
        <w:t>Payments received to fund certain research activities are recognized as revenue in the period in which the research activities are performed. Revenue from contracts and grants is recognized as the services are performed and recorded as effort is expended on the contracted work and billed to the government or the Company's contractual partner. Payments received in advance that are related to future performance are deferred and recognized as revenue when the research projects are performed. During the year ended December 31, 2010, the Company recorded $1.7 million to other income related to IRS Qualifying Therapeutic Discovery Grants because the grant arrangement was not part of the Company's on-going operations.</w:t>
      </w:r>
    </w:p>
    <w:p>
      <w:pPr>
        <w:spacing w:after="0" w:line="170" w:lineRule="exact"/>
        <w:rPr>
          <w:sz w:val="20"/>
          <w:szCs w:val="20"/>
          <w:color w:val="auto"/>
        </w:rPr>
      </w:pPr>
    </w:p>
    <w:p>
      <w:pPr>
        <w:ind w:right="200" w:firstLine="351"/>
        <w:spacing w:after="0" w:line="259" w:lineRule="auto"/>
        <w:rPr>
          <w:sz w:val="20"/>
          <w:szCs w:val="20"/>
          <w:color w:val="auto"/>
        </w:rPr>
      </w:pPr>
      <w:r>
        <w:rPr>
          <w:rFonts w:ascii="Arial" w:cs="Arial" w:eastAsia="Arial" w:hAnsi="Arial"/>
          <w:sz w:val="18"/>
          <w:szCs w:val="18"/>
          <w:color w:val="auto"/>
        </w:rPr>
        <w:t>Product royalty revenue consists of payments received from licensees for a portion of sales proceeds from products that utilize the Company's licensed technologies and are recognized when the amount of and basis for such royalty payments are reported to us in accurate and appropriate form and in accordance with the related license agreement.</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Research and Development Expenses</w:t>
      </w:r>
    </w:p>
    <w:p>
      <w:pPr>
        <w:spacing w:after="0" w:line="225" w:lineRule="exact"/>
        <w:rPr>
          <w:sz w:val="20"/>
          <w:szCs w:val="20"/>
          <w:color w:val="auto"/>
        </w:rPr>
      </w:pPr>
    </w:p>
    <w:p>
      <w:pPr>
        <w:ind w:right="200" w:firstLine="351"/>
        <w:spacing w:after="0" w:line="259" w:lineRule="auto"/>
        <w:rPr>
          <w:sz w:val="20"/>
          <w:szCs w:val="20"/>
          <w:color w:val="auto"/>
        </w:rPr>
      </w:pPr>
      <w:r>
        <w:rPr>
          <w:rFonts w:ascii="Arial" w:cs="Arial" w:eastAsia="Arial" w:hAnsi="Arial"/>
          <w:sz w:val="18"/>
          <w:szCs w:val="18"/>
          <w:color w:val="auto"/>
        </w:rPr>
        <w:t>Research and development costs, including internal and contract research costs, are expensed as incurred. Research and development expenses consist mainly of clinical trial costs, manufacturing of clinical material, toxicology and other studies, personnel costs, depreciation, license fees and funding of outside research.</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Patent Costs</w:t>
      </w:r>
    </w:p>
    <w:p>
      <w:pPr>
        <w:spacing w:after="0" w:line="225" w:lineRule="exact"/>
        <w:rPr>
          <w:sz w:val="20"/>
          <w:szCs w:val="20"/>
          <w:color w:val="auto"/>
        </w:rPr>
      </w:pPr>
    </w:p>
    <w:p>
      <w:pPr>
        <w:ind w:right="220" w:firstLine="351"/>
        <w:spacing w:after="0" w:line="332" w:lineRule="auto"/>
        <w:rPr>
          <w:sz w:val="20"/>
          <w:szCs w:val="20"/>
          <w:color w:val="auto"/>
        </w:rPr>
      </w:pPr>
      <w:r>
        <w:rPr>
          <w:rFonts w:ascii="Arial" w:cs="Arial" w:eastAsia="Arial" w:hAnsi="Arial"/>
          <w:sz w:val="16"/>
          <w:szCs w:val="16"/>
          <w:color w:val="auto"/>
        </w:rPr>
        <w:t>Patent costs are expensed as incurred. Certain patent costs are reimbursed by the Company's product development and licensing partners. Any reimbursed patent costs are recorded as product development and licensing agreement revenues in the Company's financial statements.</w:t>
      </w:r>
    </w:p>
    <w:p>
      <w:pPr>
        <w:spacing w:after="0" w:line="13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131" w:right="279" w:bottom="1440" w:gutter="0" w:footer="0" w:header="0"/>
        </w:sectPr>
      </w:pPr>
    </w:p>
    <w:bookmarkStart w:id="79" w:name="page80"/>
    <w:bookmarkEnd w:id="79"/>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CELLDEX THERAPEUTICS, INC.</w:t>
      </w:r>
    </w:p>
    <w:p>
      <w:pPr>
        <w:spacing w:after="0" w:line="225" w:lineRule="exact"/>
        <w:rPr>
          <w:sz w:val="20"/>
          <w:szCs w:val="20"/>
          <w:color w:val="auto"/>
        </w:rPr>
      </w:pPr>
    </w:p>
    <w:p>
      <w:pPr>
        <w:ind w:left="2940"/>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 SUMMARY OF SIGNIFICANT ACCOUNTING POLICIES (Continued)</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Stock-Based Compensation</w:t>
      </w:r>
    </w:p>
    <w:p>
      <w:pPr>
        <w:spacing w:after="0" w:line="225" w:lineRule="exact"/>
        <w:rPr>
          <w:sz w:val="20"/>
          <w:szCs w:val="20"/>
          <w:color w:val="auto"/>
        </w:rPr>
      </w:pPr>
    </w:p>
    <w:p>
      <w:pPr>
        <w:ind w:right="160" w:firstLine="348"/>
        <w:spacing w:after="0" w:line="306" w:lineRule="auto"/>
        <w:rPr>
          <w:sz w:val="20"/>
          <w:szCs w:val="20"/>
          <w:color w:val="auto"/>
        </w:rPr>
      </w:pPr>
      <w:r>
        <w:rPr>
          <w:rFonts w:ascii="Arial" w:cs="Arial" w:eastAsia="Arial" w:hAnsi="Arial"/>
          <w:sz w:val="16"/>
          <w:szCs w:val="16"/>
          <w:color w:val="auto"/>
        </w:rPr>
        <w:t>The Company records stock-based compensation expense for all stock-based awards made to employees and directors based on the estimated fair values of the stock-based awards expected to vest at the grant date and is adjusted, if necessary, to reflect actual forfeitures. Compensation expense for all stock-based awards to employees and directors is recognized using the straight-line method over the term of vesting or performance.</w:t>
      </w:r>
    </w:p>
    <w:p>
      <w:pPr>
        <w:spacing w:after="0" w:line="161" w:lineRule="exact"/>
        <w:rPr>
          <w:sz w:val="20"/>
          <w:szCs w:val="20"/>
          <w:color w:val="auto"/>
        </w:rPr>
      </w:pPr>
    </w:p>
    <w:p>
      <w:pPr>
        <w:ind w:right="220" w:firstLine="348"/>
        <w:spacing w:after="0" w:line="268" w:lineRule="auto"/>
        <w:rPr>
          <w:sz w:val="20"/>
          <w:szCs w:val="20"/>
          <w:color w:val="auto"/>
        </w:rPr>
      </w:pPr>
      <w:r>
        <w:rPr>
          <w:rFonts w:ascii="Arial" w:cs="Arial" w:eastAsia="Arial" w:hAnsi="Arial"/>
          <w:sz w:val="18"/>
          <w:szCs w:val="18"/>
          <w:color w:val="auto"/>
        </w:rPr>
        <w:t>The Company records stock-based compensation expense for stock options granted to non-employees based on the fair value of the stock options which is re-measured over the vesting term resulting in periodic adjustments to stock-based compensation expense.</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Foreign Currency Translation</w:t>
      </w:r>
    </w:p>
    <w:p>
      <w:pPr>
        <w:spacing w:after="0" w:line="225" w:lineRule="exact"/>
        <w:rPr>
          <w:sz w:val="20"/>
          <w:szCs w:val="20"/>
          <w:color w:val="auto"/>
        </w:rPr>
      </w:pPr>
    </w:p>
    <w:p>
      <w:pPr>
        <w:ind w:right="60" w:firstLine="348"/>
        <w:spacing w:after="0" w:line="254" w:lineRule="auto"/>
        <w:rPr>
          <w:sz w:val="20"/>
          <w:szCs w:val="20"/>
          <w:color w:val="auto"/>
        </w:rPr>
      </w:pPr>
      <w:r>
        <w:rPr>
          <w:rFonts w:ascii="Arial" w:cs="Arial" w:eastAsia="Arial" w:hAnsi="Arial"/>
          <w:sz w:val="18"/>
          <w:szCs w:val="18"/>
          <w:color w:val="auto"/>
        </w:rPr>
        <w:t>The functional currency of the Company's foreign subsidiary is the local currency. All assets and liabilities of the foreign subsidiary are re-measured into U.S. dollars at rates of exchange in effect at the end of the year. Revenue and expense amounts are re-measured using the average exchange rates for the period. Net unrealized gains and losses resulting from foreign currency translation are included in other comprehensive income (loss). At December 31, 2010 and December 31, 2009, accumulated other comprehensive income includes a net unrealized gain related to foreign currency translation of $2.6 million. In February 2011, the Company's foreign subsidiary entered into voluntary intercompany liquidation in an effort to consolidate the Company's foreign operations into Celldex Therapeutics, Inc.</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Income Taxes</w:t>
      </w:r>
    </w:p>
    <w:p>
      <w:pPr>
        <w:spacing w:after="0" w:line="225" w:lineRule="exact"/>
        <w:rPr>
          <w:sz w:val="20"/>
          <w:szCs w:val="20"/>
          <w:color w:val="auto"/>
        </w:rPr>
      </w:pPr>
    </w:p>
    <w:p>
      <w:pPr>
        <w:ind w:right="120" w:firstLine="348"/>
        <w:spacing w:after="0" w:line="323" w:lineRule="auto"/>
        <w:rPr>
          <w:sz w:val="20"/>
          <w:szCs w:val="20"/>
          <w:color w:val="auto"/>
        </w:rPr>
      </w:pPr>
      <w:r>
        <w:rPr>
          <w:rFonts w:ascii="Arial" w:cs="Arial" w:eastAsia="Arial" w:hAnsi="Arial"/>
          <w:sz w:val="15"/>
          <w:szCs w:val="15"/>
          <w:color w:val="auto"/>
        </w:rPr>
        <w:t>The Company uses the asset and liability method to account for income taxes, including the recognition of deferred tax assets and deferred tax liabilities for the anticipated future tax consequences attributable to differences between financial statement amounts and their respective tax basis. Quarterly, the Company reviews its deferred tax assets for recovery. A valuation allowance is established when the Company believes that it is more likely than not that its deferred tax assets will not be realized. Changes in valuation allowances from period to period are included in the Company's tax provision in the period of change.</w:t>
      </w:r>
    </w:p>
    <w:p>
      <w:pPr>
        <w:spacing w:after="0" w:line="152" w:lineRule="exact"/>
        <w:rPr>
          <w:sz w:val="20"/>
          <w:szCs w:val="20"/>
          <w:color w:val="auto"/>
        </w:rPr>
      </w:pPr>
    </w:p>
    <w:p>
      <w:pPr>
        <w:ind w:right="360" w:firstLine="348"/>
        <w:spacing w:after="0" w:line="332" w:lineRule="auto"/>
        <w:rPr>
          <w:sz w:val="20"/>
          <w:szCs w:val="20"/>
          <w:color w:val="auto"/>
        </w:rPr>
      </w:pPr>
      <w:r>
        <w:rPr>
          <w:rFonts w:ascii="Arial" w:cs="Arial" w:eastAsia="Arial" w:hAnsi="Arial"/>
          <w:sz w:val="16"/>
          <w:szCs w:val="16"/>
          <w:color w:val="auto"/>
        </w:rPr>
        <w:t>The Company records uncertain tax positions in the financial statements only if it is more likely than not that the uncertain tax position will be sustained upon examination by the taxing authorities. The Company records interest and penalties related to uncertain tax positions in income tax expense.</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Comprehensive Loss</w:t>
      </w:r>
    </w:p>
    <w:p>
      <w:pPr>
        <w:spacing w:after="0" w:line="225" w:lineRule="exact"/>
        <w:rPr>
          <w:sz w:val="20"/>
          <w:szCs w:val="20"/>
          <w:color w:val="auto"/>
        </w:rPr>
      </w:pPr>
    </w:p>
    <w:p>
      <w:pPr>
        <w:ind w:firstLine="351"/>
        <w:spacing w:after="0" w:line="256" w:lineRule="auto"/>
        <w:rPr>
          <w:sz w:val="20"/>
          <w:szCs w:val="20"/>
          <w:color w:val="auto"/>
        </w:rPr>
      </w:pPr>
      <w:r>
        <w:rPr>
          <w:rFonts w:ascii="Arial" w:cs="Arial" w:eastAsia="Arial" w:hAnsi="Arial"/>
          <w:sz w:val="18"/>
          <w:szCs w:val="18"/>
          <w:color w:val="auto"/>
        </w:rPr>
        <w:t>Comprehensive loss is comprised of net loss and certain changes in stockholders' equity that are excluded from net loss. The Company includes foreign currency translation adjustments for subsidiaries in which the functional currency is not the U.S. dollar and unrealized gains and losses on marketable securities in other comprehensive loss. The consolidated statements of stockholders' equity (deficit) and comprehensive loss reflect total comprehensive loss for the years ended December 31, 2010, 2009 and 2008.</w:t>
      </w:r>
    </w:p>
    <w:p>
      <w:pPr>
        <w:spacing w:after="0" w:line="1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80" w:name="page81"/>
    <w:bookmarkEnd w:id="80"/>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CELLDEX THERAPEUTICS, INC.</w:t>
      </w:r>
    </w:p>
    <w:p>
      <w:pPr>
        <w:spacing w:after="0" w:line="225" w:lineRule="exact"/>
        <w:rPr>
          <w:sz w:val="20"/>
          <w:szCs w:val="20"/>
          <w:color w:val="auto"/>
        </w:rPr>
      </w:pPr>
    </w:p>
    <w:p>
      <w:pPr>
        <w:ind w:left="2940"/>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 SUMMARY OF SIGNIFICANT ACCOUNTING POLICIES (Continued)</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Net Loss Per Share</w:t>
      </w:r>
    </w:p>
    <w:p>
      <w:pPr>
        <w:spacing w:after="0" w:line="225" w:lineRule="exact"/>
        <w:rPr>
          <w:sz w:val="20"/>
          <w:szCs w:val="20"/>
          <w:color w:val="auto"/>
        </w:rPr>
      </w:pPr>
    </w:p>
    <w:p>
      <w:pPr>
        <w:ind w:right="60" w:firstLine="351"/>
        <w:spacing w:after="0" w:line="323" w:lineRule="auto"/>
        <w:rPr>
          <w:sz w:val="20"/>
          <w:szCs w:val="20"/>
          <w:color w:val="auto"/>
        </w:rPr>
      </w:pPr>
      <w:r>
        <w:rPr>
          <w:rFonts w:ascii="Arial" w:cs="Arial" w:eastAsia="Arial" w:hAnsi="Arial"/>
          <w:sz w:val="15"/>
          <w:szCs w:val="15"/>
          <w:color w:val="auto"/>
        </w:rPr>
        <w:t>Basic net loss per common share is based upon the weighted-average number of common shares outstanding during the period, excluding restricted stock that has been issued but is not yet vested. Diluted net loss per common share is based upon the weighted-average number of common shares outstanding during the period plus additional weighted-average potentially dilutive common shares outstanding during the period when the effect is dilutive. The potentially dilutive common shares that have not been included in the net loss per common share calculations because the effect would have been anti-dilutive are as follows:</w:t>
      </w:r>
    </w:p>
    <w:p>
      <w:pPr>
        <w:spacing w:after="0" w:line="201" w:lineRule="exact"/>
        <w:rPr>
          <w:sz w:val="20"/>
          <w:szCs w:val="20"/>
          <w:color w:val="auto"/>
        </w:rPr>
      </w:pPr>
    </w:p>
    <w:tbl>
      <w:tblPr>
        <w:tblLayout w:type="fixed"/>
        <w:tblInd w:w="2300" w:type="dxa"/>
        <w:tblCellMar>
          <w:top w:w="0" w:type="dxa"/>
          <w:left w:w="0" w:type="dxa"/>
          <w:bottom w:w="0" w:type="dxa"/>
          <w:right w:w="0" w:type="dxa"/>
        </w:tblCellMar>
      </w:tblPr>
      <w:tr>
        <w:trPr>
          <w:trHeight w:val="161"/>
        </w:trPr>
        <w:tc>
          <w:tcPr>
            <w:tcW w:w="3840" w:type="dxa"/>
            <w:vAlign w:val="bottom"/>
          </w:tcPr>
          <w:p>
            <w:pPr>
              <w:spacing w:after="0"/>
              <w:rPr>
                <w:sz w:val="14"/>
                <w:szCs w:val="14"/>
                <w:color w:val="auto"/>
              </w:rPr>
            </w:pPr>
          </w:p>
        </w:tc>
        <w:tc>
          <w:tcPr>
            <w:tcW w:w="3000" w:type="dxa"/>
            <w:vAlign w:val="bottom"/>
            <w:gridSpan w:val="7"/>
          </w:tcPr>
          <w:p>
            <w:pPr>
              <w:ind w:left="660"/>
              <w:spacing w:after="0"/>
              <w:rPr>
                <w:sz w:val="20"/>
                <w:szCs w:val="20"/>
                <w:color w:val="auto"/>
              </w:rPr>
            </w:pPr>
            <w:r>
              <w:rPr>
                <w:rFonts w:ascii="Arial" w:cs="Arial" w:eastAsia="Arial" w:hAnsi="Arial"/>
                <w:sz w:val="14"/>
                <w:szCs w:val="14"/>
                <w:b w:val="1"/>
                <w:bCs w:val="1"/>
                <w:color w:val="auto"/>
              </w:rPr>
              <w:t>Year Ended December 31,</w:t>
            </w:r>
          </w:p>
        </w:tc>
      </w:tr>
      <w:tr>
        <w:trPr>
          <w:trHeight w:val="142"/>
        </w:trPr>
        <w:tc>
          <w:tcPr>
            <w:tcW w:w="3840" w:type="dxa"/>
            <w:vAlign w:val="bottom"/>
          </w:tcPr>
          <w:p>
            <w:pPr>
              <w:spacing w:after="0"/>
              <w:rPr>
                <w:sz w:val="12"/>
                <w:szCs w:val="12"/>
                <w:color w:val="auto"/>
              </w:rPr>
            </w:pPr>
          </w:p>
        </w:tc>
        <w:tc>
          <w:tcPr>
            <w:tcW w:w="840" w:type="dxa"/>
            <w:vAlign w:val="bottom"/>
            <w:tcBorders>
              <w:top w:val="single" w:sz="8" w:color="auto"/>
              <w:bottom w:val="single" w:sz="8" w:color="auto"/>
            </w:tcBorders>
          </w:tcPr>
          <w:p>
            <w:pPr>
              <w:jc w:val="right"/>
              <w:ind w:right="199"/>
              <w:spacing w:after="0" w:line="142" w:lineRule="exact"/>
              <w:rPr>
                <w:sz w:val="20"/>
                <w:szCs w:val="20"/>
                <w:color w:val="auto"/>
              </w:rPr>
            </w:pPr>
            <w:r>
              <w:rPr>
                <w:rFonts w:ascii="Arial" w:cs="Arial" w:eastAsia="Arial" w:hAnsi="Arial"/>
                <w:sz w:val="14"/>
                <w:szCs w:val="14"/>
                <w:b w:val="1"/>
                <w:bCs w:val="1"/>
                <w:color w:val="auto"/>
              </w:rPr>
              <w:t>2010</w:t>
            </w:r>
          </w:p>
        </w:tc>
        <w:tc>
          <w:tcPr>
            <w:tcW w:w="20" w:type="dxa"/>
            <w:vAlign w:val="bottom"/>
            <w:tcBorders>
              <w:top w:val="single" w:sz="8" w:color="auto"/>
            </w:tcBorders>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840" w:type="dxa"/>
            <w:vAlign w:val="bottom"/>
            <w:tcBorders>
              <w:top w:val="single" w:sz="8" w:color="auto"/>
              <w:bottom w:val="single" w:sz="8" w:color="auto"/>
            </w:tcBorders>
          </w:tcPr>
          <w:p>
            <w:pPr>
              <w:jc w:val="right"/>
              <w:ind w:right="196"/>
              <w:spacing w:after="0" w:line="142" w:lineRule="exact"/>
              <w:rPr>
                <w:sz w:val="20"/>
                <w:szCs w:val="20"/>
                <w:color w:val="auto"/>
              </w:rPr>
            </w:pPr>
            <w:r>
              <w:rPr>
                <w:rFonts w:ascii="Arial" w:cs="Arial" w:eastAsia="Arial" w:hAnsi="Arial"/>
                <w:sz w:val="14"/>
                <w:szCs w:val="14"/>
                <w:b w:val="1"/>
                <w:bCs w:val="1"/>
                <w:color w:val="auto"/>
              </w:rPr>
              <w:t>2009</w:t>
            </w:r>
          </w:p>
        </w:tc>
        <w:tc>
          <w:tcPr>
            <w:tcW w:w="160" w:type="dxa"/>
            <w:vAlign w:val="bottom"/>
            <w:tcBorders>
              <w:top w:val="single" w:sz="8" w:color="auto"/>
            </w:tcBorders>
          </w:tcPr>
          <w:p>
            <w:pPr>
              <w:spacing w:after="0"/>
              <w:rPr>
                <w:sz w:val="12"/>
                <w:szCs w:val="12"/>
                <w:color w:val="auto"/>
              </w:rPr>
            </w:pPr>
          </w:p>
        </w:tc>
        <w:tc>
          <w:tcPr>
            <w:tcW w:w="840" w:type="dxa"/>
            <w:vAlign w:val="bottom"/>
            <w:tcBorders>
              <w:top w:val="single" w:sz="8" w:color="auto"/>
              <w:bottom w:val="single" w:sz="8" w:color="auto"/>
            </w:tcBorders>
          </w:tcPr>
          <w:p>
            <w:pPr>
              <w:jc w:val="right"/>
              <w:ind w:right="196"/>
              <w:spacing w:after="0" w:line="142" w:lineRule="exact"/>
              <w:rPr>
                <w:sz w:val="20"/>
                <w:szCs w:val="20"/>
                <w:color w:val="auto"/>
              </w:rPr>
            </w:pPr>
            <w:r>
              <w:rPr>
                <w:rFonts w:ascii="Arial" w:cs="Arial" w:eastAsia="Arial" w:hAnsi="Arial"/>
                <w:sz w:val="14"/>
                <w:szCs w:val="14"/>
                <w:b w:val="1"/>
                <w:bCs w:val="1"/>
                <w:color w:val="auto"/>
              </w:rPr>
              <w:t>2008</w:t>
            </w:r>
          </w:p>
        </w:tc>
        <w:tc>
          <w:tcPr>
            <w:tcW w:w="160" w:type="dxa"/>
            <w:vAlign w:val="bottom"/>
          </w:tcPr>
          <w:p>
            <w:pPr>
              <w:spacing w:after="0"/>
              <w:rPr>
                <w:sz w:val="12"/>
                <w:szCs w:val="12"/>
                <w:color w:val="auto"/>
              </w:rPr>
            </w:pPr>
          </w:p>
        </w:tc>
      </w:tr>
      <w:tr>
        <w:trPr>
          <w:trHeight w:val="210"/>
        </w:trPr>
        <w:tc>
          <w:tcPr>
            <w:tcW w:w="3840" w:type="dxa"/>
            <w:vAlign w:val="bottom"/>
            <w:shd w:val="clear" w:color="auto" w:fill="CCEEFF"/>
          </w:tcPr>
          <w:p>
            <w:pPr>
              <w:spacing w:after="0"/>
              <w:rPr>
                <w:sz w:val="20"/>
                <w:szCs w:val="20"/>
                <w:color w:val="auto"/>
              </w:rPr>
            </w:pPr>
            <w:r>
              <w:rPr>
                <w:rFonts w:ascii="Arial" w:cs="Arial" w:eastAsia="Arial" w:hAnsi="Arial"/>
                <w:sz w:val="18"/>
                <w:szCs w:val="18"/>
                <w:color w:val="auto"/>
              </w:rPr>
              <w:t>Stock options</w:t>
            </w:r>
          </w:p>
        </w:tc>
        <w:tc>
          <w:tcPr>
            <w:tcW w:w="8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4,019,982</w:t>
            </w:r>
          </w:p>
        </w:tc>
        <w:tc>
          <w:tcPr>
            <w:tcW w:w="1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3,576,159</w:t>
            </w:r>
          </w:p>
        </w:tc>
        <w:tc>
          <w:tcPr>
            <w:tcW w:w="10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2,070,993</w:t>
            </w:r>
          </w:p>
        </w:tc>
      </w:tr>
      <w:tr>
        <w:trPr>
          <w:trHeight w:val="216"/>
        </w:trPr>
        <w:tc>
          <w:tcPr>
            <w:tcW w:w="3840" w:type="dxa"/>
            <w:vAlign w:val="bottom"/>
          </w:tcPr>
          <w:p>
            <w:pPr>
              <w:spacing w:after="0"/>
              <w:rPr>
                <w:sz w:val="20"/>
                <w:szCs w:val="20"/>
                <w:color w:val="auto"/>
              </w:rPr>
            </w:pPr>
            <w:r>
              <w:rPr>
                <w:rFonts w:ascii="Arial" w:cs="Arial" w:eastAsia="Arial" w:hAnsi="Arial"/>
                <w:sz w:val="18"/>
                <w:szCs w:val="18"/>
                <w:color w:val="auto"/>
              </w:rPr>
              <w:t>Convertible debt</w:t>
            </w:r>
          </w:p>
        </w:tc>
        <w:tc>
          <w:tcPr>
            <w:tcW w:w="860" w:type="dxa"/>
            <w:vAlign w:val="bottom"/>
            <w:gridSpan w:val="2"/>
          </w:tcPr>
          <w:p>
            <w:pPr>
              <w:jc w:val="right"/>
              <w:ind w:right="20"/>
              <w:spacing w:after="0"/>
              <w:rPr>
                <w:sz w:val="20"/>
                <w:szCs w:val="20"/>
                <w:color w:val="auto"/>
              </w:rPr>
            </w:pPr>
            <w:r>
              <w:rPr>
                <w:rFonts w:ascii="Arial" w:cs="Arial" w:eastAsia="Arial" w:hAnsi="Arial"/>
                <w:sz w:val="18"/>
                <w:szCs w:val="18"/>
                <w:color w:val="auto"/>
              </w:rPr>
              <w:t>353,563</w:t>
            </w:r>
          </w:p>
        </w:tc>
        <w:tc>
          <w:tcPr>
            <w:tcW w:w="140" w:type="dxa"/>
            <w:vAlign w:val="bottom"/>
          </w:tcPr>
          <w:p>
            <w:pPr>
              <w:spacing w:after="0"/>
              <w:rPr>
                <w:sz w:val="18"/>
                <w:szCs w:val="18"/>
                <w:color w:val="auto"/>
              </w:rPr>
            </w:pPr>
          </w:p>
        </w:tc>
        <w:tc>
          <w:tcPr>
            <w:tcW w:w="1000" w:type="dxa"/>
            <w:vAlign w:val="bottom"/>
            <w:gridSpan w:val="2"/>
          </w:tcPr>
          <w:p>
            <w:pPr>
              <w:jc w:val="right"/>
              <w:ind w:right="160"/>
              <w:spacing w:after="0"/>
              <w:rPr>
                <w:sz w:val="20"/>
                <w:szCs w:val="20"/>
                <w:color w:val="auto"/>
              </w:rPr>
            </w:pPr>
            <w:r>
              <w:rPr>
                <w:rFonts w:ascii="Arial" w:cs="Arial" w:eastAsia="Arial" w:hAnsi="Arial"/>
                <w:sz w:val="18"/>
                <w:szCs w:val="18"/>
                <w:color w:val="auto"/>
              </w:rPr>
              <w:t>353,563</w:t>
            </w:r>
          </w:p>
        </w:tc>
        <w:tc>
          <w:tcPr>
            <w:tcW w:w="10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r>
      <w:tr>
        <w:trPr>
          <w:trHeight w:val="216"/>
        </w:trPr>
        <w:tc>
          <w:tcPr>
            <w:tcW w:w="3840" w:type="dxa"/>
            <w:vAlign w:val="bottom"/>
            <w:shd w:val="clear" w:color="auto" w:fill="CCEEFF"/>
          </w:tcPr>
          <w:p>
            <w:pPr>
              <w:spacing w:after="0"/>
              <w:rPr>
                <w:sz w:val="20"/>
                <w:szCs w:val="20"/>
                <w:color w:val="auto"/>
              </w:rPr>
            </w:pPr>
            <w:r>
              <w:rPr>
                <w:rFonts w:ascii="Arial" w:cs="Arial" w:eastAsia="Arial" w:hAnsi="Arial"/>
                <w:sz w:val="18"/>
                <w:szCs w:val="18"/>
                <w:color w:val="auto"/>
              </w:rPr>
              <w:t>Restricted stock</w:t>
            </w:r>
          </w:p>
        </w:tc>
        <w:tc>
          <w:tcPr>
            <w:tcW w:w="8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9,338</w:t>
            </w:r>
          </w:p>
        </w:tc>
        <w:tc>
          <w:tcPr>
            <w:tcW w:w="1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16,000</w:t>
            </w:r>
          </w:p>
        </w:tc>
        <w:tc>
          <w:tcPr>
            <w:tcW w:w="10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r>
      <w:tr>
        <w:trPr>
          <w:trHeight w:val="27"/>
        </w:trPr>
        <w:tc>
          <w:tcPr>
            <w:tcW w:w="3840" w:type="dxa"/>
            <w:vAlign w:val="bottom"/>
          </w:tcPr>
          <w:p>
            <w:pPr>
              <w:spacing w:after="0"/>
              <w:rPr>
                <w:sz w:val="2"/>
                <w:szCs w:val="2"/>
                <w:color w:val="auto"/>
              </w:rPr>
            </w:pPr>
          </w:p>
        </w:tc>
        <w:tc>
          <w:tcPr>
            <w:tcW w:w="860" w:type="dxa"/>
            <w:vAlign w:val="bottom"/>
            <w:gridSpan w:val="2"/>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gridSpan w:val="2"/>
          </w:tcPr>
          <w:p>
            <w:pPr>
              <w:spacing w:after="0"/>
              <w:rPr>
                <w:sz w:val="2"/>
                <w:szCs w:val="2"/>
                <w:color w:val="auto"/>
              </w:rPr>
            </w:pPr>
          </w:p>
        </w:tc>
        <w:tc>
          <w:tcPr>
            <w:tcW w:w="1000" w:type="dxa"/>
            <w:vAlign w:val="bottom"/>
            <w:gridSpan w:val="2"/>
          </w:tcPr>
          <w:p>
            <w:pPr>
              <w:spacing w:after="0"/>
              <w:rPr>
                <w:sz w:val="2"/>
                <w:szCs w:val="2"/>
                <w:color w:val="auto"/>
              </w:rPr>
            </w:pPr>
          </w:p>
        </w:tc>
      </w:tr>
      <w:tr>
        <w:trPr>
          <w:trHeight w:val="216"/>
        </w:trPr>
        <w:tc>
          <w:tcPr>
            <w:tcW w:w="3840" w:type="dxa"/>
            <w:vAlign w:val="bottom"/>
          </w:tcPr>
          <w:p>
            <w:pPr>
              <w:spacing w:after="0"/>
              <w:rPr>
                <w:sz w:val="18"/>
                <w:szCs w:val="18"/>
                <w:color w:val="auto"/>
              </w:rPr>
            </w:pPr>
          </w:p>
        </w:tc>
        <w:tc>
          <w:tcPr>
            <w:tcW w:w="8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4,382,883</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3,945,722</w:t>
            </w:r>
          </w:p>
        </w:tc>
        <w:tc>
          <w:tcPr>
            <w:tcW w:w="160" w:type="dxa"/>
            <w:vAlign w:val="bottom"/>
          </w:tcPr>
          <w:p>
            <w:pPr>
              <w:spacing w:after="0"/>
              <w:rPr>
                <w:sz w:val="18"/>
                <w:szCs w:val="18"/>
                <w:color w:val="auto"/>
              </w:rPr>
            </w:pPr>
          </w:p>
        </w:tc>
        <w:tc>
          <w:tcPr>
            <w:tcW w:w="8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2,070,993</w:t>
            </w:r>
          </w:p>
        </w:tc>
        <w:tc>
          <w:tcPr>
            <w:tcW w:w="160" w:type="dxa"/>
            <w:vAlign w:val="bottom"/>
          </w:tcPr>
          <w:p>
            <w:pPr>
              <w:spacing w:after="0"/>
              <w:rPr>
                <w:sz w:val="18"/>
                <w:szCs w:val="18"/>
                <w:color w:val="auto"/>
              </w:rPr>
            </w:pPr>
          </w:p>
        </w:tc>
      </w:tr>
      <w:tr>
        <w:trPr>
          <w:trHeight w:val="21"/>
        </w:trPr>
        <w:tc>
          <w:tcPr>
            <w:tcW w:w="384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20"/>
        </w:trPr>
        <w:tc>
          <w:tcPr>
            <w:tcW w:w="384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bl>
    <w:p>
      <w:pPr>
        <w:spacing w:after="0" w:line="20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Recent Accounting Pronouncements</w:t>
      </w:r>
    </w:p>
    <w:p>
      <w:pPr>
        <w:spacing w:after="0" w:line="225" w:lineRule="exact"/>
        <w:rPr>
          <w:sz w:val="20"/>
          <w:szCs w:val="20"/>
          <w:color w:val="auto"/>
        </w:rPr>
      </w:pPr>
    </w:p>
    <w:p>
      <w:pPr>
        <w:jc w:val="both"/>
        <w:ind w:firstLine="351"/>
        <w:spacing w:after="0" w:line="306" w:lineRule="auto"/>
        <w:rPr>
          <w:sz w:val="20"/>
          <w:szCs w:val="20"/>
          <w:color w:val="auto"/>
        </w:rPr>
      </w:pPr>
      <w:r>
        <w:rPr>
          <w:rFonts w:ascii="Arial" w:cs="Arial" w:eastAsia="Arial" w:hAnsi="Arial"/>
          <w:sz w:val="16"/>
          <w:szCs w:val="16"/>
          <w:color w:val="auto"/>
        </w:rPr>
        <w:t>From time to time, new accounting pronouncements are issued by the Financial Accounting Standards Board ("FASB") or other standard setting bodies that are adopted by the Company as of the specified effective date. Unless otherwise discussed, the Company believes that the impact of recently issued standards that are not yet effective will not have a material impact on the Company's financial position or results of operations upon adoption.</w:t>
      </w:r>
    </w:p>
    <w:p>
      <w:pPr>
        <w:spacing w:after="0" w:line="161" w:lineRule="exact"/>
        <w:rPr>
          <w:sz w:val="20"/>
          <w:szCs w:val="20"/>
          <w:color w:val="auto"/>
        </w:rPr>
      </w:pPr>
    </w:p>
    <w:p>
      <w:pPr>
        <w:ind w:right="100" w:firstLine="351"/>
        <w:spacing w:after="0" w:line="294" w:lineRule="auto"/>
        <w:rPr>
          <w:sz w:val="20"/>
          <w:szCs w:val="20"/>
          <w:color w:val="auto"/>
        </w:rPr>
      </w:pPr>
      <w:r>
        <w:rPr>
          <w:rFonts w:ascii="Arial" w:cs="Arial" w:eastAsia="Arial" w:hAnsi="Arial"/>
          <w:sz w:val="16"/>
          <w:szCs w:val="16"/>
          <w:color w:val="auto"/>
        </w:rPr>
        <w:t>In March 2010, the FASB issued revised accounting guidance for milestone revenue recognition. The new guidance allows for revenue recognition contingent upon the achievement of a milestone in its entirety, in the period in which the milestone is achieved, only if the milestone meets all the criteria within the guidance to be considered substantive. It is effective on a prospective basis to milestones achieved in fiscal years, and interim periods within those years, beginning on or after June 15, 2010. The Company will adopt this guidance beginning with agreements entered into on or after January 1, 2011. The Company does not expect the adoption of this standard to have a material impact on its financial position and results of operations.</w:t>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(3) BUSINESS COMBINATIONS</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AVANT Merger</w:t>
      </w:r>
    </w:p>
    <w:p>
      <w:pPr>
        <w:spacing w:after="0" w:line="225" w:lineRule="exact"/>
        <w:rPr>
          <w:sz w:val="20"/>
          <w:szCs w:val="20"/>
          <w:color w:val="auto"/>
        </w:rPr>
      </w:pPr>
    </w:p>
    <w:p>
      <w:pPr>
        <w:ind w:right="40" w:firstLine="351"/>
        <w:spacing w:after="0" w:line="291" w:lineRule="auto"/>
        <w:rPr>
          <w:sz w:val="20"/>
          <w:szCs w:val="20"/>
          <w:color w:val="auto"/>
        </w:rPr>
      </w:pPr>
      <w:r>
        <w:rPr>
          <w:rFonts w:ascii="Arial" w:cs="Arial" w:eastAsia="Arial" w:hAnsi="Arial"/>
          <w:sz w:val="16"/>
          <w:szCs w:val="16"/>
          <w:color w:val="auto"/>
        </w:rPr>
        <w:t>On March 7, 2008, the Company (formerly known as AVANT Immunotherapeutics, Inc.) ("AVANT") merged with Celldex Research Corporation (formerly known as Celldex Therapeutics, Inc.) ("Celldex Research"), a privately-held company, (the "AVANT Merger"). Effective October 1, 2008, the Company changed its name from AVANT Immunotherapeutics, Inc. to Celldex Therapeutics, Inc. In connection with the AVANT Merger, effective March 7, 2008, the Company issued 8,309,420 shares of its common stock in exchange for all of the outstanding capital stock of Celldex Research, such that Celldex Research shareholders owned 58% of the Company's common stock on a fully diluted basis and AVANT shareholders retained 42%. The purchase price of $47.6 million represents the shares attributable to former AVANT shareholders and consisted of (i) the 6,265,882 shares outstanding of</w:t>
      </w:r>
    </w:p>
    <w:p>
      <w:pPr>
        <w:spacing w:after="0" w:line="174"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131" w:right="279" w:bottom="1440" w:gutter="0" w:footer="0" w:header="0"/>
        </w:sectPr>
      </w:pPr>
    </w:p>
    <w:bookmarkStart w:id="81" w:name="page82"/>
    <w:bookmarkEnd w:id="81"/>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CELLDEX THERAPEUTICS, INC.</w:t>
      </w:r>
    </w:p>
    <w:p>
      <w:pPr>
        <w:spacing w:after="0" w:line="225" w:lineRule="exact"/>
        <w:rPr>
          <w:sz w:val="20"/>
          <w:szCs w:val="20"/>
          <w:color w:val="auto"/>
        </w:rPr>
      </w:pPr>
    </w:p>
    <w:p>
      <w:pPr>
        <w:ind w:left="2940"/>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(3) BUSINESS COMBINATIONS (Continued)</w:t>
      </w: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spacing w:after="0"/>
        <w:rPr>
          <w:sz w:val="20"/>
          <w:szCs w:val="20"/>
          <w:color w:val="auto"/>
        </w:rPr>
      </w:pPr>
      <w:r>
        <w:rPr>
          <w:rFonts w:ascii="Arial" w:cs="Arial" w:eastAsia="Arial" w:hAnsi="Arial"/>
          <w:sz w:val="18"/>
          <w:szCs w:val="18"/>
          <w:color w:val="auto"/>
        </w:rPr>
        <w:t>AVANT common stock on the effective date of the Merger valued at $46.9 million and (ii) estimated transaction costs totaling $0.7 million.</w:t>
      </w:r>
    </w:p>
    <w:p>
      <w:pPr>
        <w:spacing w:after="0" w:line="225" w:lineRule="exact"/>
        <w:rPr>
          <w:sz w:val="20"/>
          <w:szCs w:val="20"/>
          <w:color w:val="auto"/>
        </w:rPr>
      </w:pPr>
    </w:p>
    <w:p>
      <w:pPr>
        <w:ind w:firstLine="348"/>
        <w:spacing w:after="0" w:line="290" w:lineRule="auto"/>
        <w:rPr>
          <w:sz w:val="20"/>
          <w:szCs w:val="20"/>
          <w:color w:val="auto"/>
        </w:rPr>
      </w:pPr>
      <w:r>
        <w:rPr>
          <w:rFonts w:ascii="Arial" w:cs="Arial" w:eastAsia="Arial" w:hAnsi="Arial"/>
          <w:sz w:val="16"/>
          <w:szCs w:val="16"/>
          <w:color w:val="auto"/>
        </w:rPr>
        <w:t>The AVANT Merger was accounted for using the former purchase method of accounting and was treated as an acquisition by Celldex Research of AVANT, with Celldex Research being considered the accounting acquirer even though AVANT was the issuer of common stock and the surviving legal entity in the transaction. The purchase price was allocated to acquired tangible assets of $35.0 million, intangible assets of $1.8 million, assumed liabilities of $4.0 million and IPR&amp;D of $14.8 million, based upon their fair value at the date of acquisition. The values assigned to IPR&amp;D primarily related to the development of a typhoid-ETEC-cholera combination travelers vaccine and the CDX-1135 complement inhibitor in the amounts of $7.8 million and $6 million, respectively. None of the IPR&amp;D projects had reached technological feasibility nor did they have any alternative future use. Accordingly, the fair value allocated to IPR&amp;D was charged as an expense in the Company's consolidated financial statements as of the date of acquisition.</w:t>
      </w:r>
    </w:p>
    <w:p>
      <w:pPr>
        <w:spacing w:after="0" w:line="172" w:lineRule="exact"/>
        <w:rPr>
          <w:sz w:val="20"/>
          <w:szCs w:val="20"/>
          <w:color w:val="auto"/>
        </w:rPr>
      </w:pPr>
    </w:p>
    <w:p>
      <w:pPr>
        <w:ind w:right="260" w:firstLine="351"/>
        <w:spacing w:after="0" w:line="298" w:lineRule="auto"/>
        <w:rPr>
          <w:sz w:val="20"/>
          <w:szCs w:val="20"/>
          <w:color w:val="auto"/>
        </w:rPr>
      </w:pPr>
      <w:r>
        <w:rPr>
          <w:rFonts w:ascii="Arial" w:cs="Arial" w:eastAsia="Arial" w:hAnsi="Arial"/>
          <w:sz w:val="16"/>
          <w:szCs w:val="16"/>
          <w:color w:val="auto"/>
        </w:rPr>
        <w:t>In January 2009, the Company entered into a license agreement with Vaccine Technologies, Inc. ("VTI") under which it granted a worldwide exclusive license to VTI to develop and commercialize our CholeraGarde® and ETEC vaccine programs. The Company may receive milestones payments and royalties with respect to development and commercialization of the technology licensed to VTI and no longer expects to incur significant costs on these projects. The Company is reviewing the development and strategic plans for CDX-1135 in an effort to prioritize its clinic and preclinical programs.</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Acquisition of CuraGen Corporation ("CuraGen")</w:t>
      </w:r>
    </w:p>
    <w:p>
      <w:pPr>
        <w:spacing w:after="0" w:line="225" w:lineRule="exact"/>
        <w:rPr>
          <w:sz w:val="20"/>
          <w:szCs w:val="20"/>
          <w:color w:val="auto"/>
        </w:rPr>
      </w:pPr>
    </w:p>
    <w:p>
      <w:pPr>
        <w:ind w:firstLine="351"/>
        <w:spacing w:after="0" w:line="291" w:lineRule="auto"/>
        <w:rPr>
          <w:sz w:val="20"/>
          <w:szCs w:val="20"/>
          <w:color w:val="auto"/>
        </w:rPr>
      </w:pPr>
      <w:r>
        <w:rPr>
          <w:rFonts w:ascii="Arial" w:cs="Arial" w:eastAsia="Arial" w:hAnsi="Arial"/>
          <w:sz w:val="16"/>
          <w:szCs w:val="16"/>
          <w:color w:val="auto"/>
        </w:rPr>
        <w:t>On October 1, 2009, the Company acquired CuraGen, a former publicly-traded company (the "CuraGen Merger"). Following the CuraGen Merger, the financial statements reflect the financial position, results of operation and cash flows of the combined companies. In connection with the CuraGen Merger, effective October 1, 2009, the Company (i) issued 15,722,713 shares of common stock of the Company, or 0.2739 shares, in exchange for each share of outstanding CuraGen common stock, plus cash in lieu of fractional shares (the "CuraGen Exchange Ratio"), (ii) assumed the obligations under CuraGen's 2007 Stock Plan (the "CuraGen 2007 Plan") and each outstanding option to purchase common stock (a "CuraGen Stock Option") granted under the CuraGen 2007 Plan and (iii) assumed the $12.5 million in 4% convertible subordinated debt due February 15, 2011 (the "CuraGen Debt").</w:t>
      </w:r>
    </w:p>
    <w:p>
      <w:pPr>
        <w:spacing w:after="0" w:line="174" w:lineRule="exact"/>
        <w:rPr>
          <w:sz w:val="20"/>
          <w:szCs w:val="20"/>
          <w:color w:val="auto"/>
        </w:rPr>
      </w:pPr>
    </w:p>
    <w:p>
      <w:pPr>
        <w:ind w:right="40" w:firstLine="348"/>
        <w:spacing w:after="0" w:line="256" w:lineRule="auto"/>
        <w:rPr>
          <w:sz w:val="20"/>
          <w:szCs w:val="20"/>
          <w:color w:val="auto"/>
        </w:rPr>
      </w:pPr>
      <w:r>
        <w:rPr>
          <w:rFonts w:ascii="Arial" w:cs="Arial" w:eastAsia="Arial" w:hAnsi="Arial"/>
          <w:sz w:val="18"/>
          <w:szCs w:val="18"/>
          <w:color w:val="auto"/>
        </w:rPr>
        <w:t>The transaction was accounted for under the acquisition method of accounting. The acquisition-date fair value of the consideration transferred consisted of the fair value of the Company's common stock issued of $85.4 million and fair value of CuraGen Stock Options that were attributed to precombination service of $2.9 million. Of the CuraGen Stock Options assumed, all but 1%, were immediately vested upon closing in accordance with the terms of the stock option agreements and employment agreements.</w:t>
      </w:r>
    </w:p>
    <w:p>
      <w:pPr>
        <w:spacing w:after="0" w:line="197" w:lineRule="exact"/>
        <w:rPr>
          <w:sz w:val="20"/>
          <w:szCs w:val="20"/>
          <w:color w:val="auto"/>
        </w:rPr>
      </w:pPr>
    </w:p>
    <w:p>
      <w:pPr>
        <w:ind w:right="140" w:firstLine="348"/>
        <w:spacing w:after="0" w:line="256" w:lineRule="auto"/>
        <w:rPr>
          <w:sz w:val="20"/>
          <w:szCs w:val="20"/>
          <w:color w:val="auto"/>
        </w:rPr>
      </w:pPr>
      <w:r>
        <w:rPr>
          <w:rFonts w:ascii="Arial" w:cs="Arial" w:eastAsia="Arial" w:hAnsi="Arial"/>
          <w:sz w:val="18"/>
          <w:szCs w:val="18"/>
          <w:color w:val="auto"/>
        </w:rPr>
        <w:t>The Company has allocated the consideration transferred for CuraGen to net tangible assets, intangible assets, goodwill and a severance obligation. The difference between the aggregate consideration transferred and the fair value of assets acquired and liabilities assumed was allocated to goodwill. This goodwill relates to synergies from the CuraGen Merger and a deferred tax liability related to acquired IPR&amp;D intangible assets. None of the goodwill is expected to be deductible for</w:t>
      </w:r>
    </w:p>
    <w:p>
      <w:pPr>
        <w:spacing w:after="0" w:line="19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131" w:right="279" w:bottom="1440" w:gutter="0" w:footer="0" w:header="0"/>
        </w:sectPr>
      </w:pPr>
    </w:p>
    <w:bookmarkStart w:id="82" w:name="page83"/>
    <w:bookmarkEnd w:id="82"/>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CELLDEX THERAPEUTICS, INC.</w:t>
      </w:r>
    </w:p>
    <w:p>
      <w:pPr>
        <w:spacing w:after="0" w:line="225" w:lineRule="exact"/>
        <w:rPr>
          <w:sz w:val="20"/>
          <w:szCs w:val="20"/>
          <w:color w:val="auto"/>
        </w:rPr>
      </w:pPr>
    </w:p>
    <w:p>
      <w:pPr>
        <w:ind w:left="2940"/>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(3) BUSINESS COMBINATIONS (Continued)</w:t>
      </w: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spacing w:after="0"/>
        <w:rPr>
          <w:sz w:val="20"/>
          <w:szCs w:val="20"/>
          <w:color w:val="auto"/>
        </w:rPr>
      </w:pPr>
      <w:r>
        <w:rPr>
          <w:rFonts w:ascii="Arial" w:cs="Arial" w:eastAsia="Arial" w:hAnsi="Arial"/>
          <w:sz w:val="16"/>
          <w:szCs w:val="16"/>
          <w:color w:val="auto"/>
        </w:rPr>
        <w:t>income tax purposes. The following table summarizes the fair values of the assets acquired and liabilities assumed at the acquisition date (in thousands):</w:t>
      </w:r>
    </w:p>
    <w:p>
      <w:pPr>
        <w:spacing w:after="0" w:line="257" w:lineRule="exact"/>
        <w:rPr>
          <w:sz w:val="20"/>
          <w:szCs w:val="20"/>
          <w:color w:val="auto"/>
        </w:rPr>
      </w:pPr>
    </w:p>
    <w:tbl>
      <w:tblPr>
        <w:tblLayout w:type="fixed"/>
        <w:tblInd w:w="2300" w:type="dxa"/>
        <w:tblCellMar>
          <w:top w:w="0" w:type="dxa"/>
          <w:left w:w="0" w:type="dxa"/>
          <w:bottom w:w="0" w:type="dxa"/>
          <w:right w:w="0" w:type="dxa"/>
        </w:tblCellMar>
      </w:tblPr>
      <w:tr>
        <w:trPr>
          <w:trHeight w:val="216"/>
        </w:trPr>
        <w:tc>
          <w:tcPr>
            <w:tcW w:w="5900" w:type="dxa"/>
            <w:vAlign w:val="bottom"/>
            <w:shd w:val="clear" w:color="auto" w:fill="CCEEFF"/>
          </w:tcPr>
          <w:p>
            <w:pPr>
              <w:spacing w:after="0"/>
              <w:rPr>
                <w:sz w:val="20"/>
                <w:szCs w:val="20"/>
                <w:color w:val="auto"/>
              </w:rPr>
            </w:pPr>
            <w:r>
              <w:rPr>
                <w:rFonts w:ascii="Arial" w:cs="Arial" w:eastAsia="Arial" w:hAnsi="Arial"/>
                <w:sz w:val="18"/>
                <w:szCs w:val="18"/>
                <w:color w:val="auto"/>
              </w:rPr>
              <w:t>Cash and cash equivalents</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51,654</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00" w:type="dxa"/>
            <w:vAlign w:val="bottom"/>
          </w:tcPr>
          <w:p>
            <w:pPr>
              <w:spacing w:after="0"/>
              <w:rPr>
                <w:sz w:val="20"/>
                <w:szCs w:val="20"/>
                <w:color w:val="auto"/>
              </w:rPr>
            </w:pPr>
            <w:r>
              <w:rPr>
                <w:rFonts w:ascii="Arial" w:cs="Arial" w:eastAsia="Arial" w:hAnsi="Arial"/>
                <w:sz w:val="18"/>
                <w:szCs w:val="18"/>
                <w:color w:val="auto"/>
              </w:rPr>
              <w:t>Marketable securities</w:t>
            </w:r>
          </w:p>
        </w:tc>
        <w:tc>
          <w:tcPr>
            <w:tcW w:w="180" w:type="dxa"/>
            <w:vAlign w:val="bottom"/>
          </w:tcPr>
          <w:p>
            <w:pPr>
              <w:spacing w:after="0"/>
              <w:rPr>
                <w:sz w:val="18"/>
                <w:szCs w:val="18"/>
                <w:color w:val="auto"/>
              </w:rPr>
            </w:pPr>
          </w:p>
        </w:tc>
        <w:tc>
          <w:tcPr>
            <w:tcW w:w="620" w:type="dxa"/>
            <w:vAlign w:val="bottom"/>
            <w:gridSpan w:val="2"/>
          </w:tcPr>
          <w:p>
            <w:pPr>
              <w:jc w:val="right"/>
              <w:ind w:right="20"/>
              <w:spacing w:after="0"/>
              <w:rPr>
                <w:sz w:val="20"/>
                <w:szCs w:val="20"/>
                <w:color w:val="auto"/>
              </w:rPr>
            </w:pPr>
            <w:r>
              <w:rPr>
                <w:rFonts w:ascii="Arial" w:cs="Arial" w:eastAsia="Arial" w:hAnsi="Arial"/>
                <w:sz w:val="18"/>
                <w:szCs w:val="18"/>
                <w:color w:val="auto"/>
              </w:rPr>
              <w:t>18,638</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00" w:type="dxa"/>
            <w:vAlign w:val="bottom"/>
            <w:shd w:val="clear" w:color="auto" w:fill="CCEEFF"/>
          </w:tcPr>
          <w:p>
            <w:pPr>
              <w:spacing w:after="0"/>
              <w:rPr>
                <w:sz w:val="20"/>
                <w:szCs w:val="20"/>
                <w:color w:val="auto"/>
              </w:rPr>
            </w:pPr>
            <w:r>
              <w:rPr>
                <w:rFonts w:ascii="Arial" w:cs="Arial" w:eastAsia="Arial" w:hAnsi="Arial"/>
                <w:sz w:val="18"/>
                <w:szCs w:val="18"/>
                <w:color w:val="auto"/>
              </w:rPr>
              <w:t>Identifiable intangible assets:</w:t>
            </w:r>
          </w:p>
        </w:tc>
        <w:tc>
          <w:tcPr>
            <w:tcW w:w="1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00" w:type="dxa"/>
            <w:vAlign w:val="bottom"/>
          </w:tcPr>
          <w:p>
            <w:pPr>
              <w:ind w:left="120"/>
              <w:spacing w:after="0"/>
              <w:rPr>
                <w:sz w:val="20"/>
                <w:szCs w:val="20"/>
                <w:color w:val="auto"/>
              </w:rPr>
            </w:pPr>
            <w:r>
              <w:rPr>
                <w:rFonts w:ascii="Arial" w:cs="Arial" w:eastAsia="Arial" w:hAnsi="Arial"/>
                <w:sz w:val="18"/>
                <w:szCs w:val="18"/>
                <w:color w:val="auto"/>
              </w:rPr>
              <w:t>IPR&amp;D</w:t>
            </w:r>
          </w:p>
        </w:tc>
        <w:tc>
          <w:tcPr>
            <w:tcW w:w="180" w:type="dxa"/>
            <w:vAlign w:val="bottom"/>
          </w:tcPr>
          <w:p>
            <w:pPr>
              <w:spacing w:after="0"/>
              <w:rPr>
                <w:sz w:val="18"/>
                <w:szCs w:val="18"/>
                <w:color w:val="auto"/>
              </w:rPr>
            </w:pPr>
          </w:p>
        </w:tc>
        <w:tc>
          <w:tcPr>
            <w:tcW w:w="620" w:type="dxa"/>
            <w:vAlign w:val="bottom"/>
            <w:gridSpan w:val="2"/>
          </w:tcPr>
          <w:p>
            <w:pPr>
              <w:jc w:val="right"/>
              <w:ind w:right="20"/>
              <w:spacing w:after="0"/>
              <w:rPr>
                <w:sz w:val="20"/>
                <w:szCs w:val="20"/>
                <w:color w:val="auto"/>
              </w:rPr>
            </w:pPr>
            <w:r>
              <w:rPr>
                <w:rFonts w:ascii="Arial" w:cs="Arial" w:eastAsia="Arial" w:hAnsi="Arial"/>
                <w:sz w:val="18"/>
                <w:szCs w:val="18"/>
                <w:color w:val="auto"/>
              </w:rPr>
              <w:t>11,800</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00" w:type="dxa"/>
            <w:vAlign w:val="bottom"/>
            <w:shd w:val="clear" w:color="auto" w:fill="CCEEFF"/>
          </w:tcPr>
          <w:p>
            <w:pPr>
              <w:ind w:left="120"/>
              <w:spacing w:after="0"/>
              <w:rPr>
                <w:sz w:val="20"/>
                <w:szCs w:val="20"/>
                <w:color w:val="auto"/>
              </w:rPr>
            </w:pPr>
            <w:r>
              <w:rPr>
                <w:rFonts w:ascii="Arial" w:cs="Arial" w:eastAsia="Arial" w:hAnsi="Arial"/>
                <w:sz w:val="18"/>
                <w:szCs w:val="18"/>
                <w:color w:val="auto"/>
              </w:rPr>
              <w:t>Amgen Amendment</w:t>
            </w:r>
          </w:p>
        </w:tc>
        <w:tc>
          <w:tcPr>
            <w:tcW w:w="18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14,500</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00" w:type="dxa"/>
            <w:vAlign w:val="bottom"/>
          </w:tcPr>
          <w:p>
            <w:pPr>
              <w:ind w:left="120"/>
              <w:spacing w:after="0"/>
              <w:rPr>
                <w:sz w:val="20"/>
                <w:szCs w:val="20"/>
                <w:color w:val="auto"/>
              </w:rPr>
            </w:pPr>
            <w:r>
              <w:rPr>
                <w:rFonts w:ascii="Arial" w:cs="Arial" w:eastAsia="Arial" w:hAnsi="Arial"/>
                <w:sz w:val="18"/>
                <w:szCs w:val="18"/>
                <w:color w:val="auto"/>
              </w:rPr>
              <w:t>TopoTarget Agreement</w:t>
            </w:r>
          </w:p>
        </w:tc>
        <w:tc>
          <w:tcPr>
            <w:tcW w:w="180" w:type="dxa"/>
            <w:vAlign w:val="bottom"/>
          </w:tcPr>
          <w:p>
            <w:pPr>
              <w:spacing w:after="0"/>
              <w:rPr>
                <w:sz w:val="18"/>
                <w:szCs w:val="18"/>
                <w:color w:val="auto"/>
              </w:rPr>
            </w:pPr>
          </w:p>
        </w:tc>
        <w:tc>
          <w:tcPr>
            <w:tcW w:w="620" w:type="dxa"/>
            <w:vAlign w:val="bottom"/>
            <w:gridSpan w:val="2"/>
          </w:tcPr>
          <w:p>
            <w:pPr>
              <w:jc w:val="right"/>
              <w:ind w:right="20"/>
              <w:spacing w:after="0"/>
              <w:rPr>
                <w:sz w:val="20"/>
                <w:szCs w:val="20"/>
                <w:color w:val="auto"/>
              </w:rPr>
            </w:pPr>
            <w:r>
              <w:rPr>
                <w:rFonts w:ascii="Arial" w:cs="Arial" w:eastAsia="Arial" w:hAnsi="Arial"/>
                <w:sz w:val="18"/>
                <w:szCs w:val="18"/>
                <w:color w:val="auto"/>
              </w:rPr>
              <w:t>2,400</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00" w:type="dxa"/>
            <w:vAlign w:val="bottom"/>
            <w:shd w:val="clear" w:color="auto" w:fill="CCEEFF"/>
          </w:tcPr>
          <w:p>
            <w:pPr>
              <w:spacing w:after="0"/>
              <w:rPr>
                <w:sz w:val="20"/>
                <w:szCs w:val="20"/>
                <w:color w:val="auto"/>
              </w:rPr>
            </w:pPr>
            <w:r>
              <w:rPr>
                <w:rFonts w:ascii="Arial" w:cs="Arial" w:eastAsia="Arial" w:hAnsi="Arial"/>
                <w:sz w:val="18"/>
                <w:szCs w:val="18"/>
                <w:color w:val="auto"/>
              </w:rPr>
              <w:t>Other current and long-term assets</w:t>
            </w:r>
          </w:p>
        </w:tc>
        <w:tc>
          <w:tcPr>
            <w:tcW w:w="18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756</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00" w:type="dxa"/>
            <w:vAlign w:val="bottom"/>
          </w:tcPr>
          <w:p>
            <w:pPr>
              <w:spacing w:after="0"/>
              <w:rPr>
                <w:sz w:val="20"/>
                <w:szCs w:val="20"/>
                <w:color w:val="auto"/>
              </w:rPr>
            </w:pPr>
            <w:r>
              <w:rPr>
                <w:rFonts w:ascii="Arial" w:cs="Arial" w:eastAsia="Arial" w:hAnsi="Arial"/>
                <w:sz w:val="18"/>
                <w:szCs w:val="18"/>
                <w:color w:val="auto"/>
              </w:rPr>
              <w:t>Goodwill</w:t>
            </w:r>
          </w:p>
        </w:tc>
        <w:tc>
          <w:tcPr>
            <w:tcW w:w="180" w:type="dxa"/>
            <w:vAlign w:val="bottom"/>
          </w:tcPr>
          <w:p>
            <w:pPr>
              <w:spacing w:after="0"/>
              <w:rPr>
                <w:sz w:val="18"/>
                <w:szCs w:val="18"/>
                <w:color w:val="auto"/>
              </w:rPr>
            </w:pPr>
          </w:p>
        </w:tc>
        <w:tc>
          <w:tcPr>
            <w:tcW w:w="620" w:type="dxa"/>
            <w:vAlign w:val="bottom"/>
            <w:gridSpan w:val="2"/>
          </w:tcPr>
          <w:p>
            <w:pPr>
              <w:jc w:val="right"/>
              <w:ind w:right="20"/>
              <w:spacing w:after="0"/>
              <w:rPr>
                <w:sz w:val="20"/>
                <w:szCs w:val="20"/>
                <w:color w:val="auto"/>
              </w:rPr>
            </w:pPr>
            <w:r>
              <w:rPr>
                <w:rFonts w:ascii="Arial" w:cs="Arial" w:eastAsia="Arial" w:hAnsi="Arial"/>
                <w:sz w:val="18"/>
                <w:szCs w:val="18"/>
                <w:color w:val="auto"/>
              </w:rPr>
              <w:t>8,965</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00" w:type="dxa"/>
            <w:vAlign w:val="bottom"/>
            <w:shd w:val="clear" w:color="auto" w:fill="CCEEFF"/>
          </w:tcPr>
          <w:p>
            <w:pPr>
              <w:spacing w:after="0"/>
              <w:rPr>
                <w:sz w:val="20"/>
                <w:szCs w:val="20"/>
                <w:color w:val="auto"/>
              </w:rPr>
            </w:pPr>
            <w:r>
              <w:rPr>
                <w:rFonts w:ascii="Arial" w:cs="Arial" w:eastAsia="Arial" w:hAnsi="Arial"/>
                <w:sz w:val="18"/>
                <w:szCs w:val="18"/>
                <w:color w:val="auto"/>
              </w:rPr>
              <w:t>CuraGen Debt</w:t>
            </w:r>
          </w:p>
        </w:tc>
        <w:tc>
          <w:tcPr>
            <w:tcW w:w="180" w:type="dxa"/>
            <w:vAlign w:val="bottom"/>
            <w:shd w:val="clear" w:color="auto" w:fill="CCEEFF"/>
          </w:tcPr>
          <w:p>
            <w:pPr>
              <w:spacing w:after="0"/>
              <w:rPr>
                <w:sz w:val="18"/>
                <w:szCs w:val="18"/>
                <w:color w:val="auto"/>
              </w:rPr>
            </w:pPr>
          </w:p>
        </w:tc>
        <w:tc>
          <w:tcPr>
            <w:tcW w:w="76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w w:val="95"/>
              </w:rPr>
              <w:t>(11,503)</w:t>
            </w:r>
          </w:p>
        </w:tc>
        <w:tc>
          <w:tcPr>
            <w:tcW w:w="0" w:type="dxa"/>
            <w:vAlign w:val="bottom"/>
          </w:tcPr>
          <w:p>
            <w:pPr>
              <w:spacing w:after="0"/>
              <w:rPr>
                <w:sz w:val="1"/>
                <w:szCs w:val="1"/>
                <w:color w:val="auto"/>
              </w:rPr>
            </w:pPr>
          </w:p>
        </w:tc>
      </w:tr>
      <w:tr>
        <w:trPr>
          <w:trHeight w:val="216"/>
        </w:trPr>
        <w:tc>
          <w:tcPr>
            <w:tcW w:w="5900" w:type="dxa"/>
            <w:vAlign w:val="bottom"/>
          </w:tcPr>
          <w:p>
            <w:pPr>
              <w:spacing w:after="0"/>
              <w:rPr>
                <w:sz w:val="20"/>
                <w:szCs w:val="20"/>
                <w:color w:val="auto"/>
              </w:rPr>
            </w:pPr>
            <w:r>
              <w:rPr>
                <w:rFonts w:ascii="Arial" w:cs="Arial" w:eastAsia="Arial" w:hAnsi="Arial"/>
                <w:sz w:val="18"/>
                <w:szCs w:val="18"/>
                <w:color w:val="auto"/>
              </w:rPr>
              <w:t>Net deferred tax liability</w:t>
            </w:r>
          </w:p>
        </w:tc>
        <w:tc>
          <w:tcPr>
            <w:tcW w:w="180" w:type="dxa"/>
            <w:vAlign w:val="bottom"/>
          </w:tcPr>
          <w:p>
            <w:pPr>
              <w:spacing w:after="0"/>
              <w:rPr>
                <w:sz w:val="18"/>
                <w:szCs w:val="18"/>
                <w:color w:val="auto"/>
              </w:rPr>
            </w:pPr>
          </w:p>
        </w:tc>
        <w:tc>
          <w:tcPr>
            <w:tcW w:w="760" w:type="dxa"/>
            <w:vAlign w:val="bottom"/>
            <w:gridSpan w:val="3"/>
          </w:tcPr>
          <w:p>
            <w:pPr>
              <w:jc w:val="right"/>
              <w:ind w:right="100"/>
              <w:spacing w:after="0"/>
              <w:rPr>
                <w:sz w:val="20"/>
                <w:szCs w:val="20"/>
                <w:color w:val="auto"/>
              </w:rPr>
            </w:pPr>
            <w:r>
              <w:rPr>
                <w:rFonts w:ascii="Arial" w:cs="Arial" w:eastAsia="Arial" w:hAnsi="Arial"/>
                <w:sz w:val="18"/>
                <w:szCs w:val="18"/>
                <w:color w:val="auto"/>
              </w:rPr>
              <w:t>(5,190)</w:t>
            </w:r>
          </w:p>
        </w:tc>
        <w:tc>
          <w:tcPr>
            <w:tcW w:w="0" w:type="dxa"/>
            <w:vAlign w:val="bottom"/>
          </w:tcPr>
          <w:p>
            <w:pPr>
              <w:spacing w:after="0"/>
              <w:rPr>
                <w:sz w:val="1"/>
                <w:szCs w:val="1"/>
                <w:color w:val="auto"/>
              </w:rPr>
            </w:pPr>
          </w:p>
        </w:tc>
      </w:tr>
      <w:tr>
        <w:trPr>
          <w:trHeight w:val="216"/>
        </w:trPr>
        <w:tc>
          <w:tcPr>
            <w:tcW w:w="5900" w:type="dxa"/>
            <w:vAlign w:val="bottom"/>
            <w:shd w:val="clear" w:color="auto" w:fill="CCEEFF"/>
          </w:tcPr>
          <w:p>
            <w:pPr>
              <w:spacing w:after="0"/>
              <w:rPr>
                <w:sz w:val="20"/>
                <w:szCs w:val="20"/>
                <w:color w:val="auto"/>
              </w:rPr>
            </w:pPr>
            <w:r>
              <w:rPr>
                <w:rFonts w:ascii="Arial" w:cs="Arial" w:eastAsia="Arial" w:hAnsi="Arial"/>
                <w:sz w:val="18"/>
                <w:szCs w:val="18"/>
                <w:color w:val="auto"/>
              </w:rPr>
              <w:t>Other assumed liabilities</w:t>
            </w:r>
          </w:p>
        </w:tc>
        <w:tc>
          <w:tcPr>
            <w:tcW w:w="180" w:type="dxa"/>
            <w:vAlign w:val="bottom"/>
            <w:shd w:val="clear" w:color="auto" w:fill="CCEEFF"/>
          </w:tcPr>
          <w:p>
            <w:pPr>
              <w:spacing w:after="0"/>
              <w:rPr>
                <w:sz w:val="18"/>
                <w:szCs w:val="18"/>
                <w:color w:val="auto"/>
              </w:rPr>
            </w:pPr>
          </w:p>
        </w:tc>
        <w:tc>
          <w:tcPr>
            <w:tcW w:w="76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(3,778)</w:t>
            </w:r>
          </w:p>
        </w:tc>
        <w:tc>
          <w:tcPr>
            <w:tcW w:w="0" w:type="dxa"/>
            <w:vAlign w:val="bottom"/>
          </w:tcPr>
          <w:p>
            <w:pPr>
              <w:spacing w:after="0"/>
              <w:rPr>
                <w:sz w:val="1"/>
                <w:szCs w:val="1"/>
                <w:color w:val="auto"/>
              </w:rPr>
            </w:pPr>
          </w:p>
        </w:tc>
      </w:tr>
      <w:tr>
        <w:trPr>
          <w:trHeight w:val="27"/>
        </w:trPr>
        <w:tc>
          <w:tcPr>
            <w:tcW w:w="5900" w:type="dxa"/>
            <w:vAlign w:val="bottom"/>
            <w:vMerge w:val="restart"/>
          </w:tcPr>
          <w:p>
            <w:pPr>
              <w:spacing w:after="0"/>
              <w:rPr>
                <w:sz w:val="20"/>
                <w:szCs w:val="20"/>
                <w:color w:val="auto"/>
              </w:rPr>
            </w:pPr>
            <w:r>
              <w:rPr>
                <w:rFonts w:ascii="Arial" w:cs="Arial" w:eastAsia="Arial" w:hAnsi="Arial"/>
                <w:sz w:val="18"/>
                <w:szCs w:val="18"/>
                <w:color w:val="auto"/>
              </w:rPr>
              <w:t>Total</w:t>
            </w:r>
          </w:p>
        </w:tc>
        <w:tc>
          <w:tcPr>
            <w:tcW w:w="180" w:type="dxa"/>
            <w:vAlign w:val="bottom"/>
          </w:tcPr>
          <w:p>
            <w:pPr>
              <w:spacing w:after="0"/>
              <w:rPr>
                <w:sz w:val="2"/>
                <w:szCs w:val="2"/>
                <w:color w:val="auto"/>
              </w:rPr>
            </w:pPr>
          </w:p>
        </w:tc>
        <w:tc>
          <w:tcPr>
            <w:tcW w:w="620" w:type="dxa"/>
            <w:vAlign w:val="bottom"/>
            <w:gridSpan w:val="2"/>
          </w:tcPr>
          <w:p>
            <w:pPr>
              <w:spacing w:after="0"/>
              <w:rPr>
                <w:sz w:val="2"/>
                <w:szCs w:val="2"/>
                <w:color w:val="auto"/>
              </w:rPr>
            </w:pPr>
          </w:p>
        </w:tc>
        <w:tc>
          <w:tcPr>
            <w:tcW w:w="1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16"/>
        </w:trPr>
        <w:tc>
          <w:tcPr>
            <w:tcW w:w="5900" w:type="dxa"/>
            <w:vAlign w:val="bottom"/>
            <w:vMerge w:val="continue"/>
          </w:tcPr>
          <w:p>
            <w:pPr>
              <w:spacing w:after="0"/>
              <w:rPr>
                <w:sz w:val="18"/>
                <w:szCs w:val="18"/>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6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88,242</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59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
        </w:trPr>
        <w:tc>
          <w:tcPr>
            <w:tcW w:w="59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8" w:lineRule="exact"/>
        <w:rPr>
          <w:sz w:val="20"/>
          <w:szCs w:val="20"/>
          <w:color w:val="auto"/>
        </w:rPr>
      </w:pPr>
    </w:p>
    <w:p>
      <w:pPr>
        <w:ind w:firstLine="348"/>
        <w:spacing w:after="0" w:line="288" w:lineRule="auto"/>
        <w:rPr>
          <w:sz w:val="20"/>
          <w:szCs w:val="20"/>
          <w:color w:val="auto"/>
        </w:rPr>
      </w:pPr>
      <w:r>
        <w:rPr>
          <w:rFonts w:ascii="Arial" w:cs="Arial" w:eastAsia="Arial" w:hAnsi="Arial"/>
          <w:sz w:val="16"/>
          <w:szCs w:val="16"/>
          <w:color w:val="auto"/>
        </w:rPr>
        <w:t>The values assigned to the intangible assets acquired, including the IPR&amp;D, were determined based on fair market value using a risk adjusted discounted cash flow approach. The values assigned to IPR&amp;D primarily related to the development of CDX-011. The significant assumptions underlying the valuations included potential revenues, costs of completion, the timing of product approvals and the selection of appropriate probability of success and discount rates. At the date of acquisition, CDX-011 had not yet reached technological feasibility nor did it have any alternative future use. In September 2010, the Company initiated a randomized Phase 2b controlled study for CDX-011 in patients with heavily pre-treated, advanced breast cancer. The Company expects to complete enrollment in this Phase 2b study by the fourth quarter of 2011. The Company expects to incur approximately $3.2 million in 2011 on this Phase 2b study. Estimated revenues from CDX-011 are expected to be generated by 2016. The remaining acquired intangible assets arising from the acquisition are being amortized on a straight line basis over their estimated lives. The net deferred tax liability primarily relates to the temporary differences associated with the IPR&amp;D intangible assets, which are not deductible for tax purposes.</w:t>
      </w:r>
    </w:p>
    <w:p>
      <w:pPr>
        <w:spacing w:after="0" w:line="174" w:lineRule="exact"/>
        <w:rPr>
          <w:sz w:val="20"/>
          <w:szCs w:val="20"/>
          <w:color w:val="auto"/>
        </w:rPr>
      </w:pPr>
    </w:p>
    <w:p>
      <w:pPr>
        <w:ind w:right="180" w:firstLine="351"/>
        <w:spacing w:after="0" w:line="291" w:lineRule="auto"/>
        <w:rPr>
          <w:sz w:val="20"/>
          <w:szCs w:val="20"/>
          <w:color w:val="auto"/>
        </w:rPr>
      </w:pPr>
      <w:r>
        <w:rPr>
          <w:rFonts w:ascii="Arial" w:cs="Arial" w:eastAsia="Arial" w:hAnsi="Arial"/>
          <w:sz w:val="16"/>
          <w:szCs w:val="16"/>
          <w:color w:val="auto"/>
        </w:rPr>
        <w:t>In connection with the CuraGen Merger, effective October 1, 2009, Celldex, CuraGen, and The Bank of New York Mellon (the "Trustee") amended the CuraGen Debt to provide that the CuraGen Debt shall be convertible into 353,563 shares of Celldex common stock at the rate of 28.27823 shares of Celldex common stock per $1,000 principal amount of notes, or $35.36 per share. The initial carrying value of the CuraGen Debt was accreted ratably, over the term of the CuraGen Debt, to $12.5 million due at maturity. Interest expense on the CuraGen Debt was $1.2 million and $0.3 million for the year ended December 31, 2010 and 2009 and included $0.7 million and $0.2 million in discount accretion, respectively. In February 2011, the Company paid the Trustee $12.8 million to satisfy all outstanding principal and accrued interest related to the CuraGen Debt.</w:t>
      </w:r>
    </w:p>
    <w:p>
      <w:pPr>
        <w:spacing w:after="0" w:line="174" w:lineRule="exact"/>
        <w:rPr>
          <w:sz w:val="20"/>
          <w:szCs w:val="20"/>
          <w:color w:val="auto"/>
        </w:rPr>
      </w:pPr>
    </w:p>
    <w:p>
      <w:pPr>
        <w:ind w:right="300" w:firstLine="348"/>
        <w:spacing w:after="0" w:line="256" w:lineRule="auto"/>
        <w:rPr>
          <w:sz w:val="20"/>
          <w:szCs w:val="20"/>
          <w:color w:val="auto"/>
        </w:rPr>
      </w:pPr>
      <w:r>
        <w:rPr>
          <w:rFonts w:ascii="Arial" w:cs="Arial" w:eastAsia="Arial" w:hAnsi="Arial"/>
          <w:sz w:val="18"/>
          <w:szCs w:val="18"/>
          <w:color w:val="auto"/>
        </w:rPr>
        <w:t>The Company incurred $2.9 million in acquisition-related expenses including investment banking, legal, accounting, and valuation services in the consolidated statements of operations for the year ended December 31, 2009. In addition, the Company recorded $3.3 million and $0.9 million in CuraGen Severance expenses to general and administrative and research and development, respectively, in the consolidated statements of operations for the year ended December 31, 2009.</w:t>
      </w:r>
    </w:p>
    <w:p>
      <w:pPr>
        <w:spacing w:after="0" w:line="197"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131" w:right="279" w:bottom="1440" w:gutter="0" w:footer="0" w:header="0"/>
        </w:sectPr>
      </w:pPr>
    </w:p>
    <w:bookmarkStart w:id="83" w:name="page84"/>
    <w:bookmarkEnd w:id="83"/>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CELLDEX THERAPEUTICS, INC.</w:t>
      </w:r>
    </w:p>
    <w:p>
      <w:pPr>
        <w:spacing w:after="0" w:line="225" w:lineRule="exact"/>
        <w:rPr>
          <w:sz w:val="20"/>
          <w:szCs w:val="20"/>
          <w:color w:val="auto"/>
        </w:rPr>
      </w:pPr>
    </w:p>
    <w:p>
      <w:pPr>
        <w:ind w:left="2940"/>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(3) BUSINESS COMBINATIONS (Continued)</w:t>
      </w:r>
    </w:p>
    <w:p>
      <w:pPr>
        <w:spacing w:after="0" w:line="231" w:lineRule="exact"/>
        <w:rPr>
          <w:sz w:val="20"/>
          <w:szCs w:val="20"/>
          <w:color w:val="auto"/>
        </w:rPr>
      </w:pPr>
    </w:p>
    <w:p>
      <w:pPr>
        <w:jc w:val="both"/>
        <w:ind w:right="80" w:firstLine="348"/>
        <w:spacing w:after="0" w:line="259" w:lineRule="auto"/>
        <w:rPr>
          <w:sz w:val="20"/>
          <w:szCs w:val="20"/>
          <w:color w:val="auto"/>
        </w:rPr>
      </w:pPr>
      <w:r>
        <w:rPr>
          <w:rFonts w:ascii="Arial" w:cs="Arial" w:eastAsia="Arial" w:hAnsi="Arial"/>
          <w:sz w:val="18"/>
          <w:szCs w:val="18"/>
          <w:color w:val="auto"/>
        </w:rPr>
        <w:t>The following unaudited pro forma financial summary is presented as if the operations of the Company and CuraGen were combined as of January 1, 2008. The unaudited pro forma combined results are not necessarily indicative of the actual results that would have occurred had the acquisition been consummated at that date or of the future operations of the combined entities.</w:t>
      </w:r>
    </w:p>
    <w:p>
      <w:pPr>
        <w:spacing w:after="0" w:line="177" w:lineRule="exact"/>
        <w:rPr>
          <w:sz w:val="20"/>
          <w:szCs w:val="20"/>
          <w:color w:val="auto"/>
        </w:rPr>
      </w:pPr>
    </w:p>
    <w:tbl>
      <w:tblPr>
        <w:tblLayout w:type="fixed"/>
        <w:tblInd w:w="2300" w:type="dxa"/>
        <w:tblCellMar>
          <w:top w:w="0" w:type="dxa"/>
          <w:left w:w="0" w:type="dxa"/>
          <w:bottom w:w="0" w:type="dxa"/>
          <w:right w:w="0" w:type="dxa"/>
        </w:tblCellMar>
      </w:tblPr>
      <w:tr>
        <w:trPr>
          <w:trHeight w:val="161"/>
        </w:trPr>
        <w:tc>
          <w:tcPr>
            <w:tcW w:w="4980" w:type="dxa"/>
            <w:vAlign w:val="bottom"/>
          </w:tcPr>
          <w:p>
            <w:pPr>
              <w:spacing w:after="0"/>
              <w:rPr>
                <w:sz w:val="14"/>
                <w:szCs w:val="14"/>
                <w:color w:val="auto"/>
              </w:rPr>
            </w:pPr>
          </w:p>
        </w:tc>
        <w:tc>
          <w:tcPr>
            <w:tcW w:w="1860" w:type="dxa"/>
            <w:vAlign w:val="bottom"/>
            <w:gridSpan w:val="5"/>
          </w:tcPr>
          <w:p>
            <w:pPr>
              <w:jc w:val="right"/>
              <w:ind w:right="640"/>
              <w:spacing w:after="0"/>
              <w:rPr>
                <w:sz w:val="20"/>
                <w:szCs w:val="20"/>
                <w:color w:val="auto"/>
              </w:rPr>
            </w:pPr>
            <w:r>
              <w:rPr>
                <w:rFonts w:ascii="Arial" w:cs="Arial" w:eastAsia="Arial" w:hAnsi="Arial"/>
                <w:sz w:val="14"/>
                <w:szCs w:val="14"/>
                <w:b w:val="1"/>
                <w:bCs w:val="1"/>
                <w:color w:val="auto"/>
              </w:rPr>
              <w:t>Years Ended</w:t>
            </w:r>
          </w:p>
        </w:tc>
      </w:tr>
      <w:tr>
        <w:trPr>
          <w:trHeight w:val="161"/>
        </w:trPr>
        <w:tc>
          <w:tcPr>
            <w:tcW w:w="4980" w:type="dxa"/>
            <w:vAlign w:val="bottom"/>
          </w:tcPr>
          <w:p>
            <w:pPr>
              <w:spacing w:after="0"/>
              <w:rPr>
                <w:sz w:val="14"/>
                <w:szCs w:val="14"/>
                <w:color w:val="auto"/>
              </w:rPr>
            </w:pPr>
          </w:p>
        </w:tc>
        <w:tc>
          <w:tcPr>
            <w:tcW w:w="1860" w:type="dxa"/>
            <w:vAlign w:val="bottom"/>
            <w:gridSpan w:val="5"/>
          </w:tcPr>
          <w:p>
            <w:pPr>
              <w:jc w:val="right"/>
              <w:ind w:right="620"/>
              <w:spacing w:after="0"/>
              <w:rPr>
                <w:sz w:val="20"/>
                <w:szCs w:val="20"/>
                <w:color w:val="auto"/>
              </w:rPr>
            </w:pPr>
            <w:r>
              <w:rPr>
                <w:rFonts w:ascii="Arial" w:cs="Arial" w:eastAsia="Arial" w:hAnsi="Arial"/>
                <w:sz w:val="14"/>
                <w:szCs w:val="14"/>
                <w:b w:val="1"/>
                <w:bCs w:val="1"/>
                <w:color w:val="auto"/>
              </w:rPr>
              <w:t>December 31,</w:t>
            </w:r>
          </w:p>
        </w:tc>
      </w:tr>
      <w:tr>
        <w:trPr>
          <w:trHeight w:val="142"/>
        </w:trPr>
        <w:tc>
          <w:tcPr>
            <w:tcW w:w="4980" w:type="dxa"/>
            <w:vAlign w:val="bottom"/>
          </w:tcPr>
          <w:p>
            <w:pPr>
              <w:spacing w:after="0"/>
              <w:rPr>
                <w:sz w:val="12"/>
                <w:szCs w:val="12"/>
                <w:color w:val="auto"/>
              </w:rPr>
            </w:pPr>
          </w:p>
        </w:tc>
        <w:tc>
          <w:tcPr>
            <w:tcW w:w="760" w:type="dxa"/>
            <w:vAlign w:val="bottom"/>
            <w:tcBorders>
              <w:top w:val="single" w:sz="8" w:color="auto"/>
              <w:bottom w:val="single" w:sz="8" w:color="auto"/>
            </w:tcBorders>
          </w:tcPr>
          <w:p>
            <w:pPr>
              <w:jc w:val="right"/>
              <w:ind w:right="166"/>
              <w:spacing w:after="0" w:line="142" w:lineRule="exact"/>
              <w:rPr>
                <w:sz w:val="20"/>
                <w:szCs w:val="20"/>
                <w:color w:val="auto"/>
              </w:rPr>
            </w:pPr>
            <w:r>
              <w:rPr>
                <w:rFonts w:ascii="Arial" w:cs="Arial" w:eastAsia="Arial" w:hAnsi="Arial"/>
                <w:sz w:val="14"/>
                <w:szCs w:val="14"/>
                <w:b w:val="1"/>
                <w:bCs w:val="1"/>
                <w:color w:val="auto"/>
              </w:rPr>
              <w:t>2009</w:t>
            </w:r>
          </w:p>
        </w:tc>
        <w:tc>
          <w:tcPr>
            <w:tcW w:w="160" w:type="dxa"/>
            <w:vAlign w:val="bottom"/>
            <w:tcBorders>
              <w:top w:val="single" w:sz="8" w:color="auto"/>
            </w:tcBorders>
          </w:tcPr>
          <w:p>
            <w:pPr>
              <w:spacing w:after="0"/>
              <w:rPr>
                <w:sz w:val="12"/>
                <w:szCs w:val="12"/>
                <w:color w:val="auto"/>
              </w:rPr>
            </w:pPr>
          </w:p>
        </w:tc>
        <w:tc>
          <w:tcPr>
            <w:tcW w:w="160" w:type="dxa"/>
            <w:vAlign w:val="bottom"/>
            <w:tcBorders>
              <w:top w:val="single" w:sz="8" w:color="auto"/>
              <w:bottom w:val="single" w:sz="8" w:color="auto"/>
            </w:tcBorders>
          </w:tcPr>
          <w:p>
            <w:pPr>
              <w:spacing w:after="0"/>
              <w:rPr>
                <w:sz w:val="12"/>
                <w:szCs w:val="12"/>
                <w:color w:val="auto"/>
              </w:rPr>
            </w:pPr>
          </w:p>
        </w:tc>
        <w:tc>
          <w:tcPr>
            <w:tcW w:w="620" w:type="dxa"/>
            <w:vAlign w:val="bottom"/>
            <w:tcBorders>
              <w:top w:val="single" w:sz="8" w:color="auto"/>
              <w:bottom w:val="single" w:sz="8" w:color="auto"/>
            </w:tcBorders>
          </w:tcPr>
          <w:p>
            <w:pPr>
              <w:jc w:val="right"/>
              <w:ind w:right="179"/>
              <w:spacing w:after="0" w:line="142" w:lineRule="exact"/>
              <w:rPr>
                <w:sz w:val="20"/>
                <w:szCs w:val="20"/>
                <w:color w:val="auto"/>
              </w:rPr>
            </w:pPr>
            <w:r>
              <w:rPr>
                <w:rFonts w:ascii="Arial" w:cs="Arial" w:eastAsia="Arial" w:hAnsi="Arial"/>
                <w:sz w:val="14"/>
                <w:szCs w:val="14"/>
                <w:b w:val="1"/>
                <w:bCs w:val="1"/>
                <w:color w:val="auto"/>
              </w:rPr>
              <w:t>2008</w:t>
            </w:r>
          </w:p>
        </w:tc>
        <w:tc>
          <w:tcPr>
            <w:tcW w:w="160" w:type="dxa"/>
            <w:vAlign w:val="bottom"/>
          </w:tcPr>
          <w:p>
            <w:pPr>
              <w:spacing w:after="0"/>
              <w:rPr>
                <w:sz w:val="12"/>
                <w:szCs w:val="12"/>
                <w:color w:val="auto"/>
              </w:rPr>
            </w:pPr>
          </w:p>
        </w:tc>
      </w:tr>
      <w:tr>
        <w:trPr>
          <w:trHeight w:val="142"/>
        </w:trPr>
        <w:tc>
          <w:tcPr>
            <w:tcW w:w="4980" w:type="dxa"/>
            <w:vAlign w:val="bottom"/>
          </w:tcPr>
          <w:p>
            <w:pPr>
              <w:spacing w:after="0"/>
              <w:rPr>
                <w:sz w:val="12"/>
                <w:szCs w:val="12"/>
                <w:color w:val="auto"/>
              </w:rPr>
            </w:pPr>
          </w:p>
        </w:tc>
        <w:tc>
          <w:tcPr>
            <w:tcW w:w="760" w:type="dxa"/>
            <w:vAlign w:val="bottom"/>
          </w:tcPr>
          <w:p>
            <w:pPr>
              <w:jc w:val="right"/>
              <w:ind w:right="86"/>
              <w:spacing w:after="0" w:line="142" w:lineRule="exact"/>
              <w:rPr>
                <w:sz w:val="20"/>
                <w:szCs w:val="20"/>
                <w:color w:val="auto"/>
              </w:rPr>
            </w:pPr>
            <w:r>
              <w:rPr>
                <w:rFonts w:ascii="Arial" w:cs="Arial" w:eastAsia="Arial" w:hAnsi="Arial"/>
                <w:sz w:val="14"/>
                <w:szCs w:val="14"/>
                <w:b w:val="1"/>
                <w:bCs w:val="1"/>
                <w:color w:val="auto"/>
              </w:rPr>
              <w:t>(In</w:t>
            </w:r>
          </w:p>
        </w:tc>
        <w:tc>
          <w:tcPr>
            <w:tcW w:w="940" w:type="dxa"/>
            <w:vAlign w:val="bottom"/>
            <w:gridSpan w:val="3"/>
          </w:tcPr>
          <w:p>
            <w:pPr>
              <w:jc w:val="right"/>
              <w:ind w:right="359"/>
              <w:spacing w:after="0"/>
              <w:rPr>
                <w:sz w:val="20"/>
                <w:szCs w:val="20"/>
                <w:color w:val="auto"/>
              </w:rPr>
            </w:pPr>
            <w:r>
              <w:rPr>
                <w:rFonts w:ascii="Arial" w:cs="Arial" w:eastAsia="Arial" w:hAnsi="Arial"/>
                <w:sz w:val="12"/>
                <w:szCs w:val="12"/>
                <w:b w:val="1"/>
                <w:bCs w:val="1"/>
                <w:color w:val="auto"/>
                <w:w w:val="74"/>
              </w:rPr>
              <w:t>thousands)</w:t>
            </w:r>
          </w:p>
        </w:tc>
        <w:tc>
          <w:tcPr>
            <w:tcW w:w="160" w:type="dxa"/>
            <w:vAlign w:val="bottom"/>
          </w:tcPr>
          <w:p>
            <w:pPr>
              <w:spacing w:after="0"/>
              <w:rPr>
                <w:sz w:val="12"/>
                <w:szCs w:val="12"/>
                <w:color w:val="auto"/>
              </w:rPr>
            </w:pPr>
          </w:p>
        </w:tc>
      </w:tr>
      <w:tr>
        <w:trPr>
          <w:trHeight w:val="216"/>
        </w:trPr>
        <w:tc>
          <w:tcPr>
            <w:tcW w:w="4980" w:type="dxa"/>
            <w:vAlign w:val="bottom"/>
            <w:shd w:val="clear" w:color="auto" w:fill="CCEEFF"/>
          </w:tcPr>
          <w:p>
            <w:pPr>
              <w:spacing w:after="0"/>
              <w:rPr>
                <w:sz w:val="20"/>
                <w:szCs w:val="20"/>
                <w:color w:val="auto"/>
              </w:rPr>
            </w:pPr>
            <w:r>
              <w:rPr>
                <w:rFonts w:ascii="Arial" w:cs="Arial" w:eastAsia="Arial" w:hAnsi="Arial"/>
                <w:sz w:val="18"/>
                <w:szCs w:val="18"/>
                <w:color w:val="auto"/>
              </w:rPr>
              <w:t>Revenue</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  15,180</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8,630</w:t>
            </w:r>
          </w:p>
        </w:tc>
      </w:tr>
      <w:tr>
        <w:trPr>
          <w:trHeight w:val="222"/>
        </w:trPr>
        <w:tc>
          <w:tcPr>
            <w:tcW w:w="4980" w:type="dxa"/>
            <w:vAlign w:val="bottom"/>
          </w:tcPr>
          <w:p>
            <w:pPr>
              <w:spacing w:after="0"/>
              <w:rPr>
                <w:sz w:val="20"/>
                <w:szCs w:val="20"/>
                <w:color w:val="auto"/>
              </w:rPr>
            </w:pPr>
            <w:r>
              <w:rPr>
                <w:rFonts w:ascii="Arial" w:cs="Arial" w:eastAsia="Arial" w:hAnsi="Arial"/>
                <w:sz w:val="18"/>
                <w:szCs w:val="18"/>
                <w:color w:val="auto"/>
              </w:rPr>
              <w:t>Net loss</w:t>
            </w:r>
          </w:p>
        </w:tc>
        <w:tc>
          <w:tcPr>
            <w:tcW w:w="920" w:type="dxa"/>
            <w:vAlign w:val="bottom"/>
            <w:gridSpan w:val="2"/>
          </w:tcPr>
          <w:p>
            <w:pPr>
              <w:jc w:val="right"/>
              <w:ind w:right="38"/>
              <w:spacing w:after="0"/>
              <w:rPr>
                <w:sz w:val="20"/>
                <w:szCs w:val="20"/>
                <w:color w:val="auto"/>
              </w:rPr>
            </w:pPr>
            <w:r>
              <w:rPr>
                <w:rFonts w:ascii="Arial" w:cs="Arial" w:eastAsia="Arial" w:hAnsi="Arial"/>
                <w:sz w:val="18"/>
                <w:szCs w:val="18"/>
                <w:color w:val="auto"/>
              </w:rPr>
              <w:t>(40,262)</w:t>
            </w:r>
          </w:p>
        </w:tc>
        <w:tc>
          <w:tcPr>
            <w:tcW w:w="160" w:type="dxa"/>
            <w:vAlign w:val="bottom"/>
          </w:tcPr>
          <w:p>
            <w:pPr>
              <w:spacing w:after="0"/>
              <w:rPr>
                <w:sz w:val="19"/>
                <w:szCs w:val="19"/>
                <w:color w:val="auto"/>
              </w:rPr>
            </w:pP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w w:val="98"/>
              </w:rPr>
              <w:t>(25,786)</w:t>
            </w:r>
          </w:p>
        </w:tc>
      </w:tr>
    </w:tbl>
    <w:p>
      <w:pPr>
        <w:spacing w:after="0" w:line="19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(4) FAIR VALUE MEASUREMENTS</w:t>
      </w:r>
    </w:p>
    <w:p>
      <w:pPr>
        <w:spacing w:after="0" w:line="231"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The following tables set forth the Company's financial assets subject to fair value measurements:</w:t>
      </w:r>
    </w:p>
    <w:p>
      <w:pPr>
        <w:spacing w:after="0" w:line="208" w:lineRule="exact"/>
        <w:rPr>
          <w:sz w:val="20"/>
          <w:szCs w:val="20"/>
          <w:color w:val="auto"/>
        </w:rPr>
      </w:pPr>
    </w:p>
    <w:tbl>
      <w:tblPr>
        <w:tblLayout w:type="fixed"/>
        <w:tblInd w:w="2300" w:type="dxa"/>
        <w:tblCellMar>
          <w:top w:w="0" w:type="dxa"/>
          <w:left w:w="0" w:type="dxa"/>
          <w:bottom w:w="0" w:type="dxa"/>
          <w:right w:w="0" w:type="dxa"/>
        </w:tblCellMar>
      </w:tblPr>
      <w:tr>
        <w:trPr>
          <w:trHeight w:val="161"/>
        </w:trPr>
        <w:tc>
          <w:tcPr>
            <w:tcW w:w="29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80" w:type="dxa"/>
            <w:vAlign w:val="bottom"/>
          </w:tcPr>
          <w:p>
            <w:pPr>
              <w:jc w:val="center"/>
              <w:spacing w:after="0"/>
              <w:rPr>
                <w:sz w:val="20"/>
                <w:szCs w:val="20"/>
                <w:color w:val="auto"/>
              </w:rPr>
            </w:pPr>
            <w:r>
              <w:rPr>
                <w:rFonts w:ascii="Arial" w:cs="Arial" w:eastAsia="Arial" w:hAnsi="Arial"/>
                <w:sz w:val="14"/>
                <w:szCs w:val="14"/>
                <w:b w:val="1"/>
                <w:bCs w:val="1"/>
                <w:color w:val="auto"/>
                <w:w w:val="85"/>
              </w:rPr>
              <w:t>As of</w:t>
            </w: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60" w:type="dxa"/>
            <w:vAlign w:val="bottom"/>
          </w:tcPr>
          <w:p>
            <w:pPr>
              <w:spacing w:after="0"/>
              <w:rPr>
                <w:sz w:val="14"/>
                <w:szCs w:val="14"/>
                <w:color w:val="auto"/>
              </w:rPr>
            </w:pPr>
          </w:p>
        </w:tc>
      </w:tr>
      <w:tr>
        <w:trPr>
          <w:trHeight w:val="161"/>
        </w:trPr>
        <w:tc>
          <w:tcPr>
            <w:tcW w:w="29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80" w:type="dxa"/>
            <w:vAlign w:val="bottom"/>
          </w:tcPr>
          <w:p>
            <w:pPr>
              <w:jc w:val="center"/>
              <w:ind w:right="20"/>
              <w:spacing w:after="0"/>
              <w:rPr>
                <w:sz w:val="20"/>
                <w:szCs w:val="20"/>
                <w:color w:val="auto"/>
              </w:rPr>
            </w:pPr>
            <w:r>
              <w:rPr>
                <w:rFonts w:ascii="Arial" w:cs="Arial" w:eastAsia="Arial" w:hAnsi="Arial"/>
                <w:sz w:val="14"/>
                <w:szCs w:val="14"/>
                <w:b w:val="1"/>
                <w:bCs w:val="1"/>
                <w:color w:val="auto"/>
                <w:w w:val="85"/>
              </w:rPr>
              <w:t>December 31, 2010</w:t>
            </w: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60" w:type="dxa"/>
            <w:vAlign w:val="bottom"/>
            <w:gridSpan w:val="2"/>
          </w:tcPr>
          <w:p>
            <w:pPr>
              <w:jc w:val="right"/>
              <w:ind w:right="320"/>
              <w:spacing w:after="0"/>
              <w:rPr>
                <w:sz w:val="20"/>
                <w:szCs w:val="20"/>
                <w:color w:val="auto"/>
              </w:rPr>
            </w:pPr>
            <w:r>
              <w:rPr>
                <w:rFonts w:ascii="Arial" w:cs="Arial" w:eastAsia="Arial" w:hAnsi="Arial"/>
                <w:sz w:val="14"/>
                <w:szCs w:val="14"/>
                <w:b w:val="1"/>
                <w:bCs w:val="1"/>
                <w:color w:val="auto"/>
                <w:w w:val="88"/>
              </w:rPr>
              <w:t>Level 1</w:t>
            </w:r>
          </w:p>
        </w:tc>
        <w:tc>
          <w:tcPr>
            <w:tcW w:w="100" w:type="dxa"/>
            <w:vAlign w:val="bottom"/>
          </w:tcPr>
          <w:p>
            <w:pPr>
              <w:spacing w:after="0"/>
              <w:rPr>
                <w:sz w:val="14"/>
                <w:szCs w:val="14"/>
                <w:color w:val="auto"/>
              </w:rPr>
            </w:pPr>
          </w:p>
        </w:tc>
        <w:tc>
          <w:tcPr>
            <w:tcW w:w="760" w:type="dxa"/>
            <w:vAlign w:val="bottom"/>
            <w:gridSpan w:val="2"/>
          </w:tcPr>
          <w:p>
            <w:pPr>
              <w:ind w:left="40"/>
              <w:spacing w:after="0"/>
              <w:rPr>
                <w:sz w:val="20"/>
                <w:szCs w:val="20"/>
                <w:color w:val="auto"/>
              </w:rPr>
            </w:pPr>
            <w:r>
              <w:rPr>
                <w:rFonts w:ascii="Arial" w:cs="Arial" w:eastAsia="Arial" w:hAnsi="Arial"/>
                <w:sz w:val="14"/>
                <w:szCs w:val="14"/>
                <w:b w:val="1"/>
                <w:bCs w:val="1"/>
                <w:color w:val="auto"/>
              </w:rPr>
              <w:t>Level 2</w:t>
            </w:r>
          </w:p>
        </w:tc>
        <w:tc>
          <w:tcPr>
            <w:tcW w:w="740" w:type="dxa"/>
            <w:vAlign w:val="bottom"/>
            <w:gridSpan w:val="2"/>
          </w:tcPr>
          <w:p>
            <w:pPr>
              <w:ind w:left="80"/>
              <w:spacing w:after="0"/>
              <w:rPr>
                <w:sz w:val="20"/>
                <w:szCs w:val="20"/>
                <w:color w:val="auto"/>
              </w:rPr>
            </w:pPr>
            <w:r>
              <w:rPr>
                <w:rFonts w:ascii="Arial" w:cs="Arial" w:eastAsia="Arial" w:hAnsi="Arial"/>
                <w:sz w:val="14"/>
                <w:szCs w:val="14"/>
                <w:b w:val="1"/>
                <w:bCs w:val="1"/>
                <w:color w:val="auto"/>
              </w:rPr>
              <w:t>Level 3</w:t>
            </w:r>
          </w:p>
        </w:tc>
      </w:tr>
      <w:tr>
        <w:trPr>
          <w:trHeight w:val="142"/>
        </w:trPr>
        <w:tc>
          <w:tcPr>
            <w:tcW w:w="292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1180" w:type="dxa"/>
            <w:vAlign w:val="bottom"/>
            <w:tcBorders>
              <w:top w:val="single" w:sz="8" w:color="auto"/>
            </w:tcBorders>
          </w:tcPr>
          <w:p>
            <w:pPr>
              <w:spacing w:after="0"/>
              <w:rPr>
                <w:sz w:val="12"/>
                <w:szCs w:val="12"/>
                <w:color w:val="auto"/>
              </w:rPr>
            </w:pPr>
          </w:p>
        </w:tc>
        <w:tc>
          <w:tcPr>
            <w:tcW w:w="160" w:type="dxa"/>
            <w:vAlign w:val="bottom"/>
          </w:tcPr>
          <w:p>
            <w:pPr>
              <w:spacing w:after="0"/>
              <w:rPr>
                <w:sz w:val="12"/>
                <w:szCs w:val="12"/>
                <w:color w:val="auto"/>
              </w:rPr>
            </w:pPr>
          </w:p>
        </w:tc>
        <w:tc>
          <w:tcPr>
            <w:tcW w:w="700" w:type="dxa"/>
            <w:vAlign w:val="bottom"/>
            <w:tcBorders>
              <w:top w:val="single" w:sz="8" w:color="auto"/>
            </w:tcBorders>
            <w:gridSpan w:val="2"/>
          </w:tcPr>
          <w:p>
            <w:pPr>
              <w:ind w:left="20"/>
              <w:spacing w:after="0"/>
              <w:rPr>
                <w:sz w:val="20"/>
                <w:szCs w:val="20"/>
                <w:color w:val="auto"/>
              </w:rPr>
            </w:pPr>
            <w:r>
              <w:rPr>
                <w:rFonts w:ascii="Arial" w:cs="Arial" w:eastAsia="Arial" w:hAnsi="Arial"/>
                <w:sz w:val="12"/>
                <w:szCs w:val="12"/>
                <w:b w:val="1"/>
                <w:bCs w:val="1"/>
                <w:color w:val="auto"/>
                <w:w w:val="79"/>
              </w:rPr>
              <w:t>(In thousands)</w:t>
            </w:r>
          </w:p>
        </w:tc>
        <w:tc>
          <w:tcPr>
            <w:tcW w:w="18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600" w:type="dxa"/>
            <w:vAlign w:val="bottom"/>
            <w:tcBorders>
              <w:top w:val="single" w:sz="8" w:color="auto"/>
            </w:tcBorders>
          </w:tcPr>
          <w:p>
            <w:pPr>
              <w:spacing w:after="0"/>
              <w:rPr>
                <w:sz w:val="12"/>
                <w:szCs w:val="12"/>
                <w:color w:val="auto"/>
              </w:rPr>
            </w:pPr>
          </w:p>
        </w:tc>
        <w:tc>
          <w:tcPr>
            <w:tcW w:w="160" w:type="dxa"/>
            <w:vAlign w:val="bottom"/>
          </w:tcPr>
          <w:p>
            <w:pPr>
              <w:spacing w:after="0"/>
              <w:rPr>
                <w:sz w:val="12"/>
                <w:szCs w:val="12"/>
                <w:color w:val="auto"/>
              </w:rPr>
            </w:pPr>
          </w:p>
        </w:tc>
        <w:tc>
          <w:tcPr>
            <w:tcW w:w="580" w:type="dxa"/>
            <w:vAlign w:val="bottom"/>
            <w:tcBorders>
              <w:top w:val="single" w:sz="8" w:color="auto"/>
            </w:tcBorders>
          </w:tcPr>
          <w:p>
            <w:pPr>
              <w:spacing w:after="0"/>
              <w:rPr>
                <w:sz w:val="12"/>
                <w:szCs w:val="12"/>
                <w:color w:val="auto"/>
              </w:rPr>
            </w:pPr>
          </w:p>
        </w:tc>
        <w:tc>
          <w:tcPr>
            <w:tcW w:w="160" w:type="dxa"/>
            <w:vAlign w:val="bottom"/>
          </w:tcPr>
          <w:p>
            <w:pPr>
              <w:spacing w:after="0"/>
              <w:rPr>
                <w:sz w:val="12"/>
                <w:szCs w:val="12"/>
                <w:color w:val="auto"/>
              </w:rPr>
            </w:pPr>
          </w:p>
        </w:tc>
      </w:tr>
      <w:tr>
        <w:trPr>
          <w:trHeight w:val="216"/>
        </w:trPr>
        <w:tc>
          <w:tcPr>
            <w:tcW w:w="2920" w:type="dxa"/>
            <w:vAlign w:val="bottom"/>
            <w:shd w:val="clear" w:color="auto" w:fill="CCEEFF"/>
          </w:tcPr>
          <w:p>
            <w:pPr>
              <w:spacing w:after="0"/>
              <w:rPr>
                <w:sz w:val="20"/>
                <w:szCs w:val="20"/>
                <w:color w:val="auto"/>
              </w:rPr>
            </w:pPr>
            <w:r>
              <w:rPr>
                <w:rFonts w:ascii="Arial" w:cs="Arial" w:eastAsia="Arial" w:hAnsi="Arial"/>
                <w:sz w:val="18"/>
                <w:szCs w:val="18"/>
                <w:color w:val="auto"/>
              </w:rPr>
              <w:t>Money market funds</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10,975</w:t>
            </w:r>
          </w:p>
        </w:tc>
        <w:tc>
          <w:tcPr>
            <w:tcW w:w="28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w w:val="79"/>
              </w:rPr>
              <w:t>$</w:t>
            </w:r>
          </w:p>
        </w:tc>
        <w:tc>
          <w:tcPr>
            <w:tcW w:w="7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10,975</w:t>
            </w: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740" w:type="dxa"/>
            <w:vAlign w:val="bottom"/>
            <w:gridSpan w:val="2"/>
            <w:shd w:val="clear" w:color="auto" w:fill="CCEEFF"/>
          </w:tcPr>
          <w:p>
            <w:pPr>
              <w:ind w:left="400"/>
              <w:spacing w:after="0"/>
              <w:rPr>
                <w:sz w:val="20"/>
                <w:szCs w:val="20"/>
                <w:color w:val="auto"/>
              </w:rPr>
            </w:pPr>
            <w:r>
              <w:rPr>
                <w:rFonts w:ascii="Arial" w:cs="Arial" w:eastAsia="Arial" w:hAnsi="Arial"/>
                <w:sz w:val="18"/>
                <w:szCs w:val="18"/>
                <w:color w:val="auto"/>
              </w:rPr>
              <w:t>—</w:t>
            </w:r>
          </w:p>
        </w:tc>
      </w:tr>
      <w:tr>
        <w:trPr>
          <w:trHeight w:val="222"/>
        </w:trPr>
        <w:tc>
          <w:tcPr>
            <w:tcW w:w="2920" w:type="dxa"/>
            <w:vAlign w:val="bottom"/>
          </w:tcPr>
          <w:p>
            <w:pPr>
              <w:spacing w:after="0"/>
              <w:rPr>
                <w:sz w:val="20"/>
                <w:szCs w:val="20"/>
                <w:color w:val="auto"/>
              </w:rPr>
            </w:pPr>
            <w:r>
              <w:rPr>
                <w:rFonts w:ascii="Arial" w:cs="Arial" w:eastAsia="Arial" w:hAnsi="Arial"/>
                <w:sz w:val="18"/>
                <w:szCs w:val="18"/>
                <w:color w:val="auto"/>
              </w:rPr>
              <w:t>Marketable securities</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39,811</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60" w:type="dxa"/>
            <w:vAlign w:val="bottom"/>
            <w:gridSpan w:val="2"/>
          </w:tcPr>
          <w:p>
            <w:pPr>
              <w:jc w:val="right"/>
              <w:ind w:right="160"/>
              <w:spacing w:after="0"/>
              <w:rPr>
                <w:sz w:val="20"/>
                <w:szCs w:val="20"/>
                <w:color w:val="auto"/>
              </w:rPr>
            </w:pPr>
            <w:r>
              <w:rPr>
                <w:rFonts w:ascii="Arial" w:cs="Arial" w:eastAsia="Arial" w:hAnsi="Arial"/>
                <w:sz w:val="18"/>
                <w:szCs w:val="18"/>
                <w:color w:val="auto"/>
              </w:rPr>
              <w:t>39,811</w:t>
            </w:r>
          </w:p>
        </w:tc>
        <w:tc>
          <w:tcPr>
            <w:tcW w:w="740" w:type="dxa"/>
            <w:vAlign w:val="bottom"/>
            <w:gridSpan w:val="2"/>
          </w:tcPr>
          <w:p>
            <w:pPr>
              <w:ind w:left="400"/>
              <w:spacing w:after="0"/>
              <w:rPr>
                <w:sz w:val="20"/>
                <w:szCs w:val="20"/>
                <w:color w:val="auto"/>
              </w:rPr>
            </w:pPr>
            <w:r>
              <w:rPr>
                <w:rFonts w:ascii="Arial" w:cs="Arial" w:eastAsia="Arial" w:hAnsi="Arial"/>
                <w:sz w:val="18"/>
                <w:szCs w:val="18"/>
                <w:color w:val="auto"/>
              </w:rPr>
              <w:t>—</w:t>
            </w:r>
          </w:p>
        </w:tc>
      </w:tr>
      <w:tr>
        <w:trPr>
          <w:trHeight w:val="21"/>
        </w:trPr>
        <w:tc>
          <w:tcPr>
            <w:tcW w:w="29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210"/>
        </w:trPr>
        <w:tc>
          <w:tcPr>
            <w:tcW w:w="29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50,786</w:t>
            </w:r>
          </w:p>
        </w:tc>
        <w:tc>
          <w:tcPr>
            <w:tcW w:w="28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w w:val="79"/>
              </w:rPr>
              <w:t>$</w:t>
            </w:r>
          </w:p>
        </w:tc>
        <w:tc>
          <w:tcPr>
            <w:tcW w:w="7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10,975</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39,811</w:t>
            </w:r>
          </w:p>
        </w:tc>
        <w:tc>
          <w:tcPr>
            <w:tcW w:w="740" w:type="dxa"/>
            <w:vAlign w:val="bottom"/>
            <w:gridSpan w:val="2"/>
            <w:shd w:val="clear" w:color="auto" w:fill="CCEEFF"/>
          </w:tcPr>
          <w:p>
            <w:pPr>
              <w:ind w:left="400"/>
              <w:spacing w:after="0"/>
              <w:rPr>
                <w:sz w:val="20"/>
                <w:szCs w:val="20"/>
                <w:color w:val="auto"/>
              </w:rPr>
            </w:pPr>
            <w:r>
              <w:rPr>
                <w:rFonts w:ascii="Arial" w:cs="Arial" w:eastAsia="Arial" w:hAnsi="Arial"/>
                <w:sz w:val="18"/>
                <w:szCs w:val="18"/>
                <w:color w:val="auto"/>
              </w:rPr>
              <w:t>—</w:t>
            </w:r>
          </w:p>
        </w:tc>
      </w:tr>
      <w:tr>
        <w:trPr>
          <w:trHeight w:val="27"/>
        </w:trPr>
        <w:tc>
          <w:tcPr>
            <w:tcW w:w="292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r>
      <w:tr>
        <w:trPr>
          <w:trHeight w:val="20"/>
        </w:trPr>
        <w:tc>
          <w:tcPr>
            <w:tcW w:w="29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765"/>
        </w:trPr>
        <w:tc>
          <w:tcPr>
            <w:tcW w:w="2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80" w:type="dxa"/>
            <w:vAlign w:val="bottom"/>
          </w:tcPr>
          <w:p>
            <w:pPr>
              <w:jc w:val="center"/>
              <w:spacing w:after="0"/>
              <w:rPr>
                <w:sz w:val="20"/>
                <w:szCs w:val="20"/>
                <w:color w:val="auto"/>
              </w:rPr>
            </w:pPr>
            <w:r>
              <w:rPr>
                <w:rFonts w:ascii="Arial" w:cs="Arial" w:eastAsia="Arial" w:hAnsi="Arial"/>
                <w:sz w:val="14"/>
                <w:szCs w:val="14"/>
                <w:b w:val="1"/>
                <w:bCs w:val="1"/>
                <w:color w:val="auto"/>
                <w:w w:val="85"/>
              </w:rPr>
              <w:t>As of</w:t>
            </w: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60" w:type="dxa"/>
            <w:vAlign w:val="bottom"/>
          </w:tcPr>
          <w:p>
            <w:pPr>
              <w:spacing w:after="0"/>
              <w:rPr>
                <w:sz w:val="24"/>
                <w:szCs w:val="24"/>
                <w:color w:val="auto"/>
              </w:rPr>
            </w:pPr>
          </w:p>
        </w:tc>
      </w:tr>
      <w:tr>
        <w:trPr>
          <w:trHeight w:val="161"/>
        </w:trPr>
        <w:tc>
          <w:tcPr>
            <w:tcW w:w="29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80" w:type="dxa"/>
            <w:vAlign w:val="bottom"/>
          </w:tcPr>
          <w:p>
            <w:pPr>
              <w:jc w:val="center"/>
              <w:ind w:right="20"/>
              <w:spacing w:after="0"/>
              <w:rPr>
                <w:sz w:val="20"/>
                <w:szCs w:val="20"/>
                <w:color w:val="auto"/>
              </w:rPr>
            </w:pPr>
            <w:r>
              <w:rPr>
                <w:rFonts w:ascii="Arial" w:cs="Arial" w:eastAsia="Arial" w:hAnsi="Arial"/>
                <w:sz w:val="14"/>
                <w:szCs w:val="14"/>
                <w:b w:val="1"/>
                <w:bCs w:val="1"/>
                <w:color w:val="auto"/>
                <w:w w:val="85"/>
              </w:rPr>
              <w:t>December 31, 2009</w:t>
            </w: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60" w:type="dxa"/>
            <w:vAlign w:val="bottom"/>
            <w:gridSpan w:val="2"/>
          </w:tcPr>
          <w:p>
            <w:pPr>
              <w:jc w:val="right"/>
              <w:ind w:right="320"/>
              <w:spacing w:after="0"/>
              <w:rPr>
                <w:sz w:val="20"/>
                <w:szCs w:val="20"/>
                <w:color w:val="auto"/>
              </w:rPr>
            </w:pPr>
            <w:r>
              <w:rPr>
                <w:rFonts w:ascii="Arial" w:cs="Arial" w:eastAsia="Arial" w:hAnsi="Arial"/>
                <w:sz w:val="14"/>
                <w:szCs w:val="14"/>
                <w:b w:val="1"/>
                <w:bCs w:val="1"/>
                <w:color w:val="auto"/>
                <w:w w:val="88"/>
              </w:rPr>
              <w:t>Level 1</w:t>
            </w:r>
          </w:p>
        </w:tc>
        <w:tc>
          <w:tcPr>
            <w:tcW w:w="100" w:type="dxa"/>
            <w:vAlign w:val="bottom"/>
          </w:tcPr>
          <w:p>
            <w:pPr>
              <w:spacing w:after="0"/>
              <w:rPr>
                <w:sz w:val="14"/>
                <w:szCs w:val="14"/>
                <w:color w:val="auto"/>
              </w:rPr>
            </w:pPr>
          </w:p>
        </w:tc>
        <w:tc>
          <w:tcPr>
            <w:tcW w:w="760" w:type="dxa"/>
            <w:vAlign w:val="bottom"/>
            <w:gridSpan w:val="2"/>
          </w:tcPr>
          <w:p>
            <w:pPr>
              <w:ind w:left="40"/>
              <w:spacing w:after="0"/>
              <w:rPr>
                <w:sz w:val="20"/>
                <w:szCs w:val="20"/>
                <w:color w:val="auto"/>
              </w:rPr>
            </w:pPr>
            <w:r>
              <w:rPr>
                <w:rFonts w:ascii="Arial" w:cs="Arial" w:eastAsia="Arial" w:hAnsi="Arial"/>
                <w:sz w:val="14"/>
                <w:szCs w:val="14"/>
                <w:b w:val="1"/>
                <w:bCs w:val="1"/>
                <w:color w:val="auto"/>
              </w:rPr>
              <w:t>Level 2</w:t>
            </w:r>
          </w:p>
        </w:tc>
        <w:tc>
          <w:tcPr>
            <w:tcW w:w="740" w:type="dxa"/>
            <w:vAlign w:val="bottom"/>
            <w:gridSpan w:val="2"/>
          </w:tcPr>
          <w:p>
            <w:pPr>
              <w:ind w:left="80"/>
              <w:spacing w:after="0"/>
              <w:rPr>
                <w:sz w:val="20"/>
                <w:szCs w:val="20"/>
                <w:color w:val="auto"/>
              </w:rPr>
            </w:pPr>
            <w:r>
              <w:rPr>
                <w:rFonts w:ascii="Arial" w:cs="Arial" w:eastAsia="Arial" w:hAnsi="Arial"/>
                <w:sz w:val="14"/>
                <w:szCs w:val="14"/>
                <w:b w:val="1"/>
                <w:bCs w:val="1"/>
                <w:color w:val="auto"/>
              </w:rPr>
              <w:t>Level 3</w:t>
            </w:r>
          </w:p>
        </w:tc>
      </w:tr>
      <w:tr>
        <w:trPr>
          <w:trHeight w:val="142"/>
        </w:trPr>
        <w:tc>
          <w:tcPr>
            <w:tcW w:w="292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1180" w:type="dxa"/>
            <w:vAlign w:val="bottom"/>
            <w:tcBorders>
              <w:top w:val="single" w:sz="8" w:color="auto"/>
            </w:tcBorders>
          </w:tcPr>
          <w:p>
            <w:pPr>
              <w:spacing w:after="0"/>
              <w:rPr>
                <w:sz w:val="12"/>
                <w:szCs w:val="12"/>
                <w:color w:val="auto"/>
              </w:rPr>
            </w:pPr>
          </w:p>
        </w:tc>
        <w:tc>
          <w:tcPr>
            <w:tcW w:w="160" w:type="dxa"/>
            <w:vAlign w:val="bottom"/>
          </w:tcPr>
          <w:p>
            <w:pPr>
              <w:spacing w:after="0"/>
              <w:rPr>
                <w:sz w:val="12"/>
                <w:szCs w:val="12"/>
                <w:color w:val="auto"/>
              </w:rPr>
            </w:pPr>
          </w:p>
        </w:tc>
        <w:tc>
          <w:tcPr>
            <w:tcW w:w="700" w:type="dxa"/>
            <w:vAlign w:val="bottom"/>
            <w:tcBorders>
              <w:top w:val="single" w:sz="8" w:color="auto"/>
            </w:tcBorders>
            <w:gridSpan w:val="2"/>
          </w:tcPr>
          <w:p>
            <w:pPr>
              <w:ind w:left="20"/>
              <w:spacing w:after="0"/>
              <w:rPr>
                <w:sz w:val="20"/>
                <w:szCs w:val="20"/>
                <w:color w:val="auto"/>
              </w:rPr>
            </w:pPr>
            <w:r>
              <w:rPr>
                <w:rFonts w:ascii="Arial" w:cs="Arial" w:eastAsia="Arial" w:hAnsi="Arial"/>
                <w:sz w:val="12"/>
                <w:szCs w:val="12"/>
                <w:b w:val="1"/>
                <w:bCs w:val="1"/>
                <w:color w:val="auto"/>
                <w:w w:val="79"/>
              </w:rPr>
              <w:t>(In thousands)</w:t>
            </w:r>
          </w:p>
        </w:tc>
        <w:tc>
          <w:tcPr>
            <w:tcW w:w="18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600" w:type="dxa"/>
            <w:vAlign w:val="bottom"/>
            <w:tcBorders>
              <w:top w:val="single" w:sz="8" w:color="auto"/>
            </w:tcBorders>
          </w:tcPr>
          <w:p>
            <w:pPr>
              <w:spacing w:after="0"/>
              <w:rPr>
                <w:sz w:val="12"/>
                <w:szCs w:val="12"/>
                <w:color w:val="auto"/>
              </w:rPr>
            </w:pPr>
          </w:p>
        </w:tc>
        <w:tc>
          <w:tcPr>
            <w:tcW w:w="160" w:type="dxa"/>
            <w:vAlign w:val="bottom"/>
          </w:tcPr>
          <w:p>
            <w:pPr>
              <w:spacing w:after="0"/>
              <w:rPr>
                <w:sz w:val="12"/>
                <w:szCs w:val="12"/>
                <w:color w:val="auto"/>
              </w:rPr>
            </w:pPr>
          </w:p>
        </w:tc>
        <w:tc>
          <w:tcPr>
            <w:tcW w:w="580" w:type="dxa"/>
            <w:vAlign w:val="bottom"/>
            <w:tcBorders>
              <w:top w:val="single" w:sz="8" w:color="auto"/>
            </w:tcBorders>
          </w:tcPr>
          <w:p>
            <w:pPr>
              <w:spacing w:after="0"/>
              <w:rPr>
                <w:sz w:val="12"/>
                <w:szCs w:val="12"/>
                <w:color w:val="auto"/>
              </w:rPr>
            </w:pPr>
          </w:p>
        </w:tc>
        <w:tc>
          <w:tcPr>
            <w:tcW w:w="160" w:type="dxa"/>
            <w:vAlign w:val="bottom"/>
          </w:tcPr>
          <w:p>
            <w:pPr>
              <w:spacing w:after="0"/>
              <w:rPr>
                <w:sz w:val="12"/>
                <w:szCs w:val="12"/>
                <w:color w:val="auto"/>
              </w:rPr>
            </w:pPr>
          </w:p>
        </w:tc>
      </w:tr>
      <w:tr>
        <w:trPr>
          <w:trHeight w:val="216"/>
        </w:trPr>
        <w:tc>
          <w:tcPr>
            <w:tcW w:w="2920" w:type="dxa"/>
            <w:vAlign w:val="bottom"/>
            <w:shd w:val="clear" w:color="auto" w:fill="CCEEFF"/>
          </w:tcPr>
          <w:p>
            <w:pPr>
              <w:spacing w:after="0"/>
              <w:rPr>
                <w:sz w:val="20"/>
                <w:szCs w:val="20"/>
                <w:color w:val="auto"/>
              </w:rPr>
            </w:pPr>
            <w:r>
              <w:rPr>
                <w:rFonts w:ascii="Arial" w:cs="Arial" w:eastAsia="Arial" w:hAnsi="Arial"/>
                <w:sz w:val="18"/>
                <w:szCs w:val="18"/>
                <w:color w:val="auto"/>
              </w:rPr>
              <w:t>Money market funds</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53,780</w:t>
            </w:r>
          </w:p>
        </w:tc>
        <w:tc>
          <w:tcPr>
            <w:tcW w:w="28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w w:val="79"/>
              </w:rPr>
              <w:t>$</w:t>
            </w:r>
          </w:p>
        </w:tc>
        <w:tc>
          <w:tcPr>
            <w:tcW w:w="7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53,780</w:t>
            </w: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740" w:type="dxa"/>
            <w:vAlign w:val="bottom"/>
            <w:gridSpan w:val="2"/>
            <w:shd w:val="clear" w:color="auto" w:fill="CCEEFF"/>
          </w:tcPr>
          <w:p>
            <w:pPr>
              <w:ind w:left="400"/>
              <w:spacing w:after="0"/>
              <w:rPr>
                <w:sz w:val="20"/>
                <w:szCs w:val="20"/>
                <w:color w:val="auto"/>
              </w:rPr>
            </w:pPr>
            <w:r>
              <w:rPr>
                <w:rFonts w:ascii="Arial" w:cs="Arial" w:eastAsia="Arial" w:hAnsi="Arial"/>
                <w:sz w:val="18"/>
                <w:szCs w:val="18"/>
                <w:color w:val="auto"/>
              </w:rPr>
              <w:t>—</w:t>
            </w:r>
          </w:p>
        </w:tc>
      </w:tr>
      <w:tr>
        <w:trPr>
          <w:trHeight w:val="222"/>
        </w:trPr>
        <w:tc>
          <w:tcPr>
            <w:tcW w:w="2920" w:type="dxa"/>
            <w:vAlign w:val="bottom"/>
          </w:tcPr>
          <w:p>
            <w:pPr>
              <w:spacing w:after="0"/>
              <w:rPr>
                <w:sz w:val="20"/>
                <w:szCs w:val="20"/>
                <w:color w:val="auto"/>
              </w:rPr>
            </w:pPr>
            <w:r>
              <w:rPr>
                <w:rFonts w:ascii="Arial" w:cs="Arial" w:eastAsia="Arial" w:hAnsi="Arial"/>
                <w:sz w:val="18"/>
                <w:szCs w:val="18"/>
                <w:color w:val="auto"/>
              </w:rPr>
              <w:t>Marketable securities</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25,451</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60" w:type="dxa"/>
            <w:vAlign w:val="bottom"/>
            <w:gridSpan w:val="2"/>
          </w:tcPr>
          <w:p>
            <w:pPr>
              <w:jc w:val="right"/>
              <w:ind w:right="160"/>
              <w:spacing w:after="0"/>
              <w:rPr>
                <w:sz w:val="20"/>
                <w:szCs w:val="20"/>
                <w:color w:val="auto"/>
              </w:rPr>
            </w:pPr>
            <w:r>
              <w:rPr>
                <w:rFonts w:ascii="Arial" w:cs="Arial" w:eastAsia="Arial" w:hAnsi="Arial"/>
                <w:sz w:val="18"/>
                <w:szCs w:val="18"/>
                <w:color w:val="auto"/>
              </w:rPr>
              <w:t>25,451</w:t>
            </w:r>
          </w:p>
        </w:tc>
        <w:tc>
          <w:tcPr>
            <w:tcW w:w="740" w:type="dxa"/>
            <w:vAlign w:val="bottom"/>
            <w:gridSpan w:val="2"/>
          </w:tcPr>
          <w:p>
            <w:pPr>
              <w:ind w:left="400"/>
              <w:spacing w:after="0"/>
              <w:rPr>
                <w:sz w:val="20"/>
                <w:szCs w:val="20"/>
                <w:color w:val="auto"/>
              </w:rPr>
            </w:pPr>
            <w:r>
              <w:rPr>
                <w:rFonts w:ascii="Arial" w:cs="Arial" w:eastAsia="Arial" w:hAnsi="Arial"/>
                <w:sz w:val="18"/>
                <w:szCs w:val="18"/>
                <w:color w:val="auto"/>
              </w:rPr>
              <w:t>—</w:t>
            </w:r>
          </w:p>
        </w:tc>
      </w:tr>
      <w:tr>
        <w:trPr>
          <w:trHeight w:val="21"/>
        </w:trPr>
        <w:tc>
          <w:tcPr>
            <w:tcW w:w="29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210"/>
        </w:trPr>
        <w:tc>
          <w:tcPr>
            <w:tcW w:w="29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79,231</w:t>
            </w:r>
          </w:p>
        </w:tc>
        <w:tc>
          <w:tcPr>
            <w:tcW w:w="28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w w:val="79"/>
              </w:rPr>
              <w:t>$</w:t>
            </w:r>
          </w:p>
        </w:tc>
        <w:tc>
          <w:tcPr>
            <w:tcW w:w="7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53,780</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25,451</w:t>
            </w:r>
          </w:p>
        </w:tc>
        <w:tc>
          <w:tcPr>
            <w:tcW w:w="740" w:type="dxa"/>
            <w:vAlign w:val="bottom"/>
            <w:gridSpan w:val="2"/>
            <w:shd w:val="clear" w:color="auto" w:fill="CCEEFF"/>
          </w:tcPr>
          <w:p>
            <w:pPr>
              <w:ind w:left="400"/>
              <w:spacing w:after="0"/>
              <w:rPr>
                <w:sz w:val="20"/>
                <w:szCs w:val="20"/>
                <w:color w:val="auto"/>
              </w:rPr>
            </w:pPr>
            <w:r>
              <w:rPr>
                <w:rFonts w:ascii="Arial" w:cs="Arial" w:eastAsia="Arial" w:hAnsi="Arial"/>
                <w:sz w:val="18"/>
                <w:szCs w:val="18"/>
                <w:color w:val="auto"/>
              </w:rPr>
              <w:t>—</w:t>
            </w:r>
          </w:p>
        </w:tc>
      </w:tr>
      <w:tr>
        <w:trPr>
          <w:trHeight w:val="27"/>
        </w:trPr>
        <w:tc>
          <w:tcPr>
            <w:tcW w:w="292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r>
      <w:tr>
        <w:trPr>
          <w:trHeight w:val="20"/>
        </w:trPr>
        <w:tc>
          <w:tcPr>
            <w:tcW w:w="29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bl>
    <w:p>
      <w:pPr>
        <w:spacing w:after="0" w:line="208" w:lineRule="exact"/>
        <w:rPr>
          <w:sz w:val="20"/>
          <w:szCs w:val="20"/>
          <w:color w:val="auto"/>
        </w:rPr>
      </w:pPr>
    </w:p>
    <w:p>
      <w:pPr>
        <w:ind w:firstLine="348"/>
        <w:spacing w:after="0" w:line="283" w:lineRule="auto"/>
        <w:rPr>
          <w:sz w:val="20"/>
          <w:szCs w:val="20"/>
          <w:color w:val="auto"/>
        </w:rPr>
      </w:pPr>
      <w:r>
        <w:rPr>
          <w:rFonts w:ascii="Arial" w:cs="Arial" w:eastAsia="Arial" w:hAnsi="Arial"/>
          <w:sz w:val="16"/>
          <w:szCs w:val="16"/>
          <w:color w:val="auto"/>
        </w:rPr>
        <w:t>There have been no transfers of assets or liabilities between the fair value measurement classifications. The Company's financial instruments consist mainly of cash and cash equivalents, marketable securities, short-term accounts receivable, accounts payable and debt obligations. Marketable securities have been valued at each balance sheet date, using observable market inputs that may include trade information, broker or dealer quotes, bids, offers or a combination of these data sources. Short-term accounts receivable and accounts payable are reflected in the accompanying consolidated financial statements at cost, which approximates fair value due to the short-term nature of these instruments. Based on current market interest rates available to the Company for long-term liabilities with similar terms and maturities, the Company believes the fair value of the Term Loan, loan payable and note payable approximates its carrying value at December 31, 2010. At December 31, 2010, the estimated fair value of the Company's outstanding $12.5 million in CuraGen Debt was approximately</w:t>
      </w:r>
    </w:p>
    <w:p>
      <w:pPr>
        <w:jc w:val="center"/>
        <w:ind w:right="20"/>
        <w:spacing w:after="0"/>
        <w:rPr>
          <w:sz w:val="20"/>
          <w:szCs w:val="20"/>
          <w:color w:val="auto"/>
        </w:rPr>
      </w:pPr>
      <w:r>
        <w:rPr>
          <w:rFonts w:ascii="Arial" w:cs="Arial" w:eastAsia="Arial" w:hAnsi="Arial"/>
          <w:sz w:val="15"/>
          <w:szCs w:val="15"/>
          <w:color w:val="auto"/>
        </w:rPr>
        <w:t>$12.5 million based on quoted market prices. Intangible assets acquired in business combinations were accounted for using Level 3 inputs as described in Note 3.</w:t>
      </w:r>
    </w:p>
    <w:p>
      <w:pPr>
        <w:spacing w:after="0" w:line="25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131" w:right="279" w:bottom="1440" w:gutter="0" w:footer="0" w:header="0"/>
        </w:sectPr>
      </w:pPr>
    </w:p>
    <w:bookmarkStart w:id="84" w:name="page85"/>
    <w:bookmarkEnd w:id="84"/>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CELLDEX THERAPEUTICS, INC.</w:t>
      </w:r>
    </w:p>
    <w:p>
      <w:pPr>
        <w:spacing w:after="0" w:line="225"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(5) MARKETABLE SECURITIES</w:t>
      </w:r>
    </w:p>
    <w:p>
      <w:pPr>
        <w:spacing w:after="0" w:line="231" w:lineRule="exact"/>
        <w:rPr>
          <w:sz w:val="20"/>
          <w:szCs w:val="20"/>
          <w:color w:val="auto"/>
        </w:rPr>
      </w:pPr>
    </w:p>
    <w:p>
      <w:pPr>
        <w:ind w:left="340"/>
        <w:spacing w:after="0"/>
        <w:rPr>
          <w:sz w:val="20"/>
          <w:szCs w:val="20"/>
          <w:color w:val="auto"/>
        </w:rPr>
      </w:pPr>
      <w:r>
        <w:rPr>
          <w:rFonts w:ascii="Arial" w:cs="Arial" w:eastAsia="Arial" w:hAnsi="Arial"/>
          <w:sz w:val="18"/>
          <w:szCs w:val="18"/>
          <w:color w:val="auto"/>
        </w:rPr>
        <w:t>A summary of marketable securities is shown below:</w:t>
      </w:r>
    </w:p>
    <w:p>
      <w:pPr>
        <w:spacing w:after="0" w:line="208" w:lineRule="exact"/>
        <w:rPr>
          <w:sz w:val="20"/>
          <w:szCs w:val="20"/>
          <w:color w:val="auto"/>
        </w:rPr>
      </w:pPr>
    </w:p>
    <w:tbl>
      <w:tblPr>
        <w:tblLayout w:type="fixed"/>
        <w:tblInd w:w="114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4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40" w:type="dxa"/>
            <w:vAlign w:val="bottom"/>
          </w:tcPr>
          <w:p>
            <w:pPr>
              <w:jc w:val="right"/>
              <w:ind w:right="156"/>
              <w:spacing w:after="0"/>
              <w:rPr>
                <w:sz w:val="20"/>
                <w:szCs w:val="20"/>
                <w:color w:val="auto"/>
              </w:rPr>
            </w:pPr>
            <w:r>
              <w:rPr>
                <w:rFonts w:ascii="Arial" w:cs="Arial" w:eastAsia="Arial" w:hAnsi="Arial"/>
                <w:sz w:val="14"/>
                <w:szCs w:val="14"/>
                <w:b w:val="1"/>
                <w:bCs w:val="1"/>
                <w:color w:val="auto"/>
                <w:w w:val="93"/>
              </w:rPr>
              <w:t>Gross</w:t>
            </w:r>
          </w:p>
        </w:tc>
        <w:tc>
          <w:tcPr>
            <w:tcW w:w="160" w:type="dxa"/>
            <w:vAlign w:val="bottom"/>
          </w:tcPr>
          <w:p>
            <w:pPr>
              <w:spacing w:after="0"/>
              <w:rPr>
                <w:sz w:val="14"/>
                <w:szCs w:val="14"/>
                <w:color w:val="auto"/>
              </w:rPr>
            </w:pPr>
          </w:p>
        </w:tc>
        <w:tc>
          <w:tcPr>
            <w:tcW w:w="580" w:type="dxa"/>
            <w:vAlign w:val="bottom"/>
          </w:tcPr>
          <w:p>
            <w:pPr>
              <w:jc w:val="center"/>
              <w:ind w:left="128"/>
              <w:spacing w:after="0"/>
              <w:rPr>
                <w:sz w:val="20"/>
                <w:szCs w:val="20"/>
                <w:color w:val="auto"/>
              </w:rPr>
            </w:pPr>
            <w:r>
              <w:rPr>
                <w:rFonts w:ascii="Arial" w:cs="Arial" w:eastAsia="Arial" w:hAnsi="Arial"/>
                <w:sz w:val="14"/>
                <w:szCs w:val="14"/>
                <w:b w:val="1"/>
                <w:bCs w:val="1"/>
                <w:color w:val="auto"/>
                <w:w w:val="83"/>
              </w:rPr>
              <w:t>Gross</w:t>
            </w:r>
          </w:p>
        </w:tc>
        <w:tc>
          <w:tcPr>
            <w:tcW w:w="2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4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740" w:type="dxa"/>
            <w:vAlign w:val="bottom"/>
            <w:gridSpan w:val="2"/>
          </w:tcPr>
          <w:p>
            <w:pPr>
              <w:jc w:val="right"/>
              <w:spacing w:after="0" w:line="149" w:lineRule="exact"/>
              <w:rPr>
                <w:sz w:val="20"/>
                <w:szCs w:val="20"/>
                <w:color w:val="auto"/>
              </w:rPr>
            </w:pPr>
            <w:r>
              <w:rPr>
                <w:rFonts w:ascii="Arial" w:cs="Arial" w:eastAsia="Arial" w:hAnsi="Arial"/>
                <w:sz w:val="14"/>
                <w:szCs w:val="14"/>
                <w:b w:val="1"/>
                <w:bCs w:val="1"/>
                <w:color w:val="auto"/>
                <w:w w:val="93"/>
              </w:rPr>
              <w:t>Amortized</w:t>
            </w:r>
          </w:p>
        </w:tc>
        <w:tc>
          <w:tcPr>
            <w:tcW w:w="160" w:type="dxa"/>
            <w:vAlign w:val="bottom"/>
          </w:tcPr>
          <w:p>
            <w:pPr>
              <w:spacing w:after="0"/>
              <w:rPr>
                <w:sz w:val="12"/>
                <w:szCs w:val="12"/>
                <w:color w:val="auto"/>
              </w:rPr>
            </w:pPr>
          </w:p>
        </w:tc>
        <w:tc>
          <w:tcPr>
            <w:tcW w:w="780" w:type="dxa"/>
            <w:vAlign w:val="bottom"/>
            <w:gridSpan w:val="2"/>
          </w:tcPr>
          <w:p>
            <w:pPr>
              <w:jc w:val="right"/>
              <w:spacing w:after="0" w:line="149" w:lineRule="exact"/>
              <w:rPr>
                <w:sz w:val="20"/>
                <w:szCs w:val="20"/>
                <w:color w:val="auto"/>
              </w:rPr>
            </w:pPr>
            <w:r>
              <w:rPr>
                <w:rFonts w:ascii="Arial" w:cs="Arial" w:eastAsia="Arial" w:hAnsi="Arial"/>
                <w:sz w:val="14"/>
                <w:szCs w:val="14"/>
                <w:b w:val="1"/>
                <w:bCs w:val="1"/>
                <w:color w:val="auto"/>
                <w:w w:val="95"/>
              </w:rPr>
              <w:t>Unrealized</w:t>
            </w:r>
          </w:p>
        </w:tc>
        <w:tc>
          <w:tcPr>
            <w:tcW w:w="160" w:type="dxa"/>
            <w:vAlign w:val="bottom"/>
          </w:tcPr>
          <w:p>
            <w:pPr>
              <w:spacing w:after="0"/>
              <w:rPr>
                <w:sz w:val="12"/>
                <w:szCs w:val="12"/>
                <w:color w:val="auto"/>
              </w:rPr>
            </w:pPr>
          </w:p>
        </w:tc>
        <w:tc>
          <w:tcPr>
            <w:tcW w:w="78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87"/>
              </w:rPr>
              <w:t>Unrealized</w:t>
            </w:r>
          </w:p>
        </w:tc>
        <w:tc>
          <w:tcPr>
            <w:tcW w:w="1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54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jc w:val="right"/>
              <w:ind w:right="174"/>
              <w:spacing w:after="0"/>
              <w:rPr>
                <w:sz w:val="20"/>
                <w:szCs w:val="20"/>
                <w:color w:val="auto"/>
              </w:rPr>
            </w:pPr>
            <w:r>
              <w:rPr>
                <w:rFonts w:ascii="Arial" w:cs="Arial" w:eastAsia="Arial" w:hAnsi="Arial"/>
                <w:sz w:val="14"/>
                <w:szCs w:val="14"/>
                <w:b w:val="1"/>
                <w:bCs w:val="1"/>
                <w:color w:val="auto"/>
              </w:rPr>
              <w:t>Cost</w:t>
            </w:r>
          </w:p>
        </w:tc>
        <w:tc>
          <w:tcPr>
            <w:tcW w:w="16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right"/>
              <w:ind w:right="136"/>
              <w:spacing w:after="0"/>
              <w:rPr>
                <w:sz w:val="20"/>
                <w:szCs w:val="20"/>
                <w:color w:val="auto"/>
              </w:rPr>
            </w:pPr>
            <w:r>
              <w:rPr>
                <w:rFonts w:ascii="Arial" w:cs="Arial" w:eastAsia="Arial" w:hAnsi="Arial"/>
                <w:sz w:val="14"/>
                <w:szCs w:val="14"/>
                <w:b w:val="1"/>
                <w:bCs w:val="1"/>
                <w:color w:val="auto"/>
              </w:rPr>
              <w:t>Gains</w:t>
            </w:r>
          </w:p>
        </w:tc>
        <w:tc>
          <w:tcPr>
            <w:tcW w:w="160" w:type="dxa"/>
            <w:vAlign w:val="bottom"/>
          </w:tcPr>
          <w:p>
            <w:pPr>
              <w:spacing w:after="0"/>
              <w:rPr>
                <w:sz w:val="14"/>
                <w:szCs w:val="14"/>
                <w:color w:val="auto"/>
              </w:rPr>
            </w:pPr>
          </w:p>
        </w:tc>
        <w:tc>
          <w:tcPr>
            <w:tcW w:w="580" w:type="dxa"/>
            <w:vAlign w:val="bottom"/>
            <w:tcBorders>
              <w:bottom w:val="single" w:sz="8" w:color="auto"/>
            </w:tcBorders>
          </w:tcPr>
          <w:p>
            <w:pPr>
              <w:jc w:val="center"/>
              <w:ind w:left="128"/>
              <w:spacing w:after="0"/>
              <w:rPr>
                <w:sz w:val="20"/>
                <w:szCs w:val="20"/>
                <w:color w:val="auto"/>
              </w:rPr>
            </w:pPr>
            <w:r>
              <w:rPr>
                <w:rFonts w:ascii="Arial" w:cs="Arial" w:eastAsia="Arial" w:hAnsi="Arial"/>
                <w:sz w:val="14"/>
                <w:szCs w:val="14"/>
                <w:b w:val="1"/>
                <w:bCs w:val="1"/>
                <w:color w:val="auto"/>
                <w:w w:val="78"/>
              </w:rPr>
              <w:t>Losses</w:t>
            </w:r>
          </w:p>
        </w:tc>
        <w:tc>
          <w:tcPr>
            <w:tcW w:w="20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76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w w:val="98"/>
              </w:rPr>
              <w:t>Fair Value</w:t>
            </w: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54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40" w:type="dxa"/>
            <w:vAlign w:val="bottom"/>
          </w:tcPr>
          <w:p>
            <w:pPr>
              <w:jc w:val="right"/>
              <w:ind w:right="96"/>
              <w:spacing w:after="0" w:line="142" w:lineRule="exact"/>
              <w:rPr>
                <w:sz w:val="20"/>
                <w:szCs w:val="20"/>
                <w:color w:val="auto"/>
              </w:rPr>
            </w:pPr>
            <w:r>
              <w:rPr>
                <w:rFonts w:ascii="Arial" w:cs="Arial" w:eastAsia="Arial" w:hAnsi="Arial"/>
                <w:sz w:val="14"/>
                <w:szCs w:val="14"/>
                <w:b w:val="1"/>
                <w:bCs w:val="1"/>
                <w:color w:val="auto"/>
              </w:rPr>
              <w:t>(In</w:t>
            </w:r>
          </w:p>
        </w:tc>
        <w:tc>
          <w:tcPr>
            <w:tcW w:w="740" w:type="dxa"/>
            <w:vAlign w:val="bottom"/>
            <w:gridSpan w:val="2"/>
          </w:tcPr>
          <w:p>
            <w:pPr>
              <w:jc w:val="right"/>
              <w:ind w:right="168"/>
              <w:spacing w:after="0"/>
              <w:rPr>
                <w:sz w:val="20"/>
                <w:szCs w:val="20"/>
                <w:color w:val="auto"/>
              </w:rPr>
            </w:pPr>
            <w:r>
              <w:rPr>
                <w:rFonts w:ascii="Arial" w:cs="Arial" w:eastAsia="Arial" w:hAnsi="Arial"/>
                <w:sz w:val="12"/>
                <w:szCs w:val="12"/>
                <w:b w:val="1"/>
                <w:bCs w:val="1"/>
                <w:color w:val="auto"/>
                <w:w w:val="74"/>
              </w:rPr>
              <w:t>thousands)</w:t>
            </w:r>
          </w:p>
        </w:tc>
        <w:tc>
          <w:tcPr>
            <w:tcW w:w="2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00" w:type="dxa"/>
            <w:vAlign w:val="bottom"/>
            <w:shd w:val="clear" w:color="auto" w:fill="CCEEFF"/>
          </w:tcPr>
          <w:p>
            <w:pPr>
              <w:jc w:val="right"/>
              <w:ind w:right="3912"/>
              <w:spacing w:after="0"/>
              <w:rPr>
                <w:sz w:val="20"/>
                <w:szCs w:val="20"/>
                <w:color w:val="auto"/>
              </w:rPr>
            </w:pPr>
            <w:r>
              <w:rPr>
                <w:rFonts w:ascii="Arial" w:cs="Arial" w:eastAsia="Arial" w:hAnsi="Arial"/>
                <w:sz w:val="18"/>
                <w:szCs w:val="18"/>
                <w:b w:val="1"/>
                <w:bCs w:val="1"/>
                <w:color w:val="auto"/>
                <w:w w:val="85"/>
              </w:rPr>
              <w:t>December 31, 2010</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00" w:type="dxa"/>
            <w:vAlign w:val="bottom"/>
          </w:tcPr>
          <w:p>
            <w:pPr>
              <w:ind w:left="120"/>
              <w:spacing w:after="0"/>
              <w:rPr>
                <w:sz w:val="20"/>
                <w:szCs w:val="20"/>
                <w:color w:val="auto"/>
              </w:rPr>
            </w:pPr>
            <w:r>
              <w:rPr>
                <w:rFonts w:ascii="Arial" w:cs="Arial" w:eastAsia="Arial" w:hAnsi="Arial"/>
                <w:sz w:val="18"/>
                <w:szCs w:val="18"/>
                <w:color w:val="auto"/>
              </w:rPr>
              <w:t>Marketable securities</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00" w:type="dxa"/>
            <w:vAlign w:val="bottom"/>
            <w:shd w:val="clear" w:color="auto" w:fill="CCEEFF"/>
          </w:tcPr>
          <w:p>
            <w:pPr>
              <w:ind w:left="260"/>
              <w:spacing w:after="0"/>
              <w:rPr>
                <w:sz w:val="20"/>
                <w:szCs w:val="20"/>
                <w:color w:val="auto"/>
              </w:rPr>
            </w:pPr>
            <w:r>
              <w:rPr>
                <w:rFonts w:ascii="Arial" w:cs="Arial" w:eastAsia="Arial" w:hAnsi="Arial"/>
                <w:sz w:val="18"/>
                <w:szCs w:val="18"/>
                <w:color w:val="auto"/>
              </w:rPr>
              <w:t>U.S. government and municipal obligations</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00" w:type="dxa"/>
            <w:vAlign w:val="bottom"/>
          </w:tcPr>
          <w:p>
            <w:pPr>
              <w:ind w:left="400"/>
              <w:spacing w:after="0"/>
              <w:rPr>
                <w:sz w:val="20"/>
                <w:szCs w:val="20"/>
                <w:color w:val="auto"/>
              </w:rPr>
            </w:pPr>
            <w:r>
              <w:rPr>
                <w:rFonts w:ascii="Arial" w:cs="Arial" w:eastAsia="Arial" w:hAnsi="Arial"/>
                <w:sz w:val="18"/>
                <w:szCs w:val="18"/>
                <w:color w:val="auto"/>
              </w:rPr>
              <w:t>Maturing in one year or less</w:t>
            </w:r>
          </w:p>
        </w:tc>
        <w:tc>
          <w:tcPr>
            <w:tcW w:w="160" w:type="dxa"/>
            <w:vAlign w:val="bottom"/>
            <w:gridSpan w:val="2"/>
          </w:tcPr>
          <w:p>
            <w:pPr>
              <w:jc w:val="right"/>
              <w:ind w:right="26"/>
              <w:spacing w:after="0"/>
              <w:rPr>
                <w:sz w:val="20"/>
                <w:szCs w:val="20"/>
                <w:color w:val="auto"/>
              </w:rPr>
            </w:pPr>
            <w:r>
              <w:rPr>
                <w:rFonts w:ascii="Arial" w:cs="Arial" w:eastAsia="Arial" w:hAnsi="Arial"/>
                <w:sz w:val="15"/>
                <w:szCs w:val="15"/>
                <w:color w:val="auto"/>
                <w:w w:val="71"/>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14,836</w:t>
            </w:r>
          </w:p>
        </w:tc>
        <w:tc>
          <w:tcPr>
            <w:tcW w:w="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35</w:t>
            </w:r>
          </w:p>
        </w:tc>
        <w:tc>
          <w:tcPr>
            <w:tcW w:w="740" w:type="dxa"/>
            <w:vAlign w:val="bottom"/>
            <w:gridSpan w:val="2"/>
          </w:tcPr>
          <w:p>
            <w:pPr>
              <w:jc w:val="right"/>
              <w:ind w:right="428"/>
              <w:spacing w:after="0"/>
              <w:rPr>
                <w:sz w:val="20"/>
                <w:szCs w:val="20"/>
                <w:color w:val="auto"/>
              </w:rPr>
            </w:pPr>
            <w:r>
              <w:rPr>
                <w:rFonts w:ascii="Arial" w:cs="Arial" w:eastAsia="Arial" w:hAnsi="Arial"/>
                <w:sz w:val="18"/>
                <w:szCs w:val="18"/>
                <w:color w:val="auto"/>
              </w:rPr>
              <w:t>$</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3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14,871</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00" w:type="dxa"/>
            <w:vAlign w:val="bottom"/>
            <w:shd w:val="clear" w:color="auto" w:fill="CCEEFF"/>
          </w:tcPr>
          <w:p>
            <w:pPr>
              <w:ind w:left="400"/>
              <w:spacing w:after="0"/>
              <w:rPr>
                <w:sz w:val="20"/>
                <w:szCs w:val="20"/>
                <w:color w:val="auto"/>
              </w:rPr>
            </w:pPr>
            <w:r>
              <w:rPr>
                <w:rFonts w:ascii="Arial" w:cs="Arial" w:eastAsia="Arial" w:hAnsi="Arial"/>
                <w:sz w:val="18"/>
                <w:szCs w:val="18"/>
                <w:color w:val="auto"/>
              </w:rPr>
              <w:t>Maturing after one year through two years</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11,428</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103</w:t>
            </w:r>
          </w:p>
        </w:tc>
        <w:tc>
          <w:tcPr>
            <w:tcW w:w="16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11,531</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5400" w:type="dxa"/>
            <w:vAlign w:val="bottom"/>
            <w:vMerge w:val="restart"/>
          </w:tcPr>
          <w:p>
            <w:pPr>
              <w:ind w:left="260"/>
              <w:spacing w:after="0"/>
              <w:rPr>
                <w:sz w:val="20"/>
                <w:szCs w:val="20"/>
                <w:color w:val="auto"/>
              </w:rPr>
            </w:pPr>
            <w:r>
              <w:rPr>
                <w:rFonts w:ascii="Arial" w:cs="Arial" w:eastAsia="Arial" w:hAnsi="Arial"/>
                <w:sz w:val="18"/>
                <w:szCs w:val="18"/>
                <w:color w:val="auto"/>
              </w:rPr>
              <w:t>Total U.S. government and municipal obligations</w:t>
            </w:r>
          </w:p>
        </w:tc>
        <w:tc>
          <w:tcPr>
            <w:tcW w:w="160" w:type="dxa"/>
            <w:vAlign w:val="bottom"/>
            <w:gridSpan w:val="2"/>
          </w:tcPr>
          <w:p>
            <w:pPr>
              <w:spacing w:after="0"/>
              <w:rPr>
                <w:sz w:val="2"/>
                <w:szCs w:val="2"/>
                <w:color w:val="auto"/>
              </w:rPr>
            </w:pPr>
          </w:p>
        </w:tc>
        <w:tc>
          <w:tcPr>
            <w:tcW w:w="600" w:type="dxa"/>
            <w:vAlign w:val="bottom"/>
          </w:tcPr>
          <w:p>
            <w:pPr>
              <w:spacing w:after="0"/>
              <w:rPr>
                <w:sz w:val="2"/>
                <w:szCs w:val="2"/>
                <w:color w:val="auto"/>
              </w:rPr>
            </w:pPr>
          </w:p>
        </w:tc>
        <w:tc>
          <w:tcPr>
            <w:tcW w:w="300" w:type="dxa"/>
            <w:vAlign w:val="bottom"/>
            <w:gridSpan w:val="2"/>
          </w:tcPr>
          <w:p>
            <w:pPr>
              <w:spacing w:after="0"/>
              <w:rPr>
                <w:sz w:val="2"/>
                <w:szCs w:val="2"/>
                <w:color w:val="auto"/>
              </w:rPr>
            </w:pPr>
          </w:p>
        </w:tc>
        <w:tc>
          <w:tcPr>
            <w:tcW w:w="640" w:type="dxa"/>
            <w:vAlign w:val="bottom"/>
          </w:tcPr>
          <w:p>
            <w:pPr>
              <w:spacing w:after="0"/>
              <w:rPr>
                <w:sz w:val="2"/>
                <w:szCs w:val="2"/>
                <w:color w:val="auto"/>
              </w:rPr>
            </w:pPr>
          </w:p>
        </w:tc>
        <w:tc>
          <w:tcPr>
            <w:tcW w:w="740" w:type="dxa"/>
            <w:vAlign w:val="bottom"/>
            <w:gridSpan w:val="2"/>
          </w:tcPr>
          <w:p>
            <w:pPr>
              <w:spacing w:after="0"/>
              <w:rPr>
                <w:sz w:val="2"/>
                <w:szCs w:val="2"/>
                <w:color w:val="auto"/>
              </w:rPr>
            </w:pPr>
          </w:p>
        </w:tc>
        <w:tc>
          <w:tcPr>
            <w:tcW w:w="200" w:type="dxa"/>
            <w:vAlign w:val="bottom"/>
          </w:tcPr>
          <w:p>
            <w:pPr>
              <w:spacing w:after="0"/>
              <w:rPr>
                <w:sz w:val="2"/>
                <w:szCs w:val="2"/>
                <w:color w:val="auto"/>
              </w:rPr>
            </w:pPr>
          </w:p>
        </w:tc>
        <w:tc>
          <w:tcPr>
            <w:tcW w:w="340" w:type="dxa"/>
            <w:vAlign w:val="bottom"/>
            <w:gridSpan w:val="2"/>
          </w:tcPr>
          <w:p>
            <w:pPr>
              <w:spacing w:after="0"/>
              <w:rPr>
                <w:sz w:val="2"/>
                <w:szCs w:val="2"/>
                <w:color w:val="auto"/>
              </w:rPr>
            </w:pPr>
          </w:p>
        </w:tc>
        <w:tc>
          <w:tcPr>
            <w:tcW w:w="580" w:type="dxa"/>
            <w:vAlign w:val="bottom"/>
          </w:tcPr>
          <w:p>
            <w:pPr>
              <w:spacing w:after="0"/>
              <w:rPr>
                <w:sz w:val="2"/>
                <w:szCs w:val="2"/>
                <w:color w:val="auto"/>
              </w:rPr>
            </w:pPr>
          </w:p>
        </w:tc>
        <w:tc>
          <w:tcPr>
            <w:tcW w:w="1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00" w:type="dxa"/>
            <w:vAlign w:val="bottom"/>
            <w:vMerge w:val="continue"/>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Borders>
              <w:top w:val="single" w:sz="8" w:color="auto"/>
            </w:tcBorders>
          </w:tcPr>
          <w:p>
            <w:pPr>
              <w:jc w:val="right"/>
              <w:ind w:right="26"/>
              <w:spacing w:after="0"/>
              <w:rPr>
                <w:sz w:val="20"/>
                <w:szCs w:val="20"/>
                <w:color w:val="auto"/>
              </w:rPr>
            </w:pPr>
            <w:r>
              <w:rPr>
                <w:rFonts w:ascii="Arial" w:cs="Arial" w:eastAsia="Arial" w:hAnsi="Arial"/>
                <w:sz w:val="10"/>
                <w:szCs w:val="10"/>
                <w:color w:val="auto"/>
                <w:w w:val="71"/>
              </w:rPr>
              <w:t>$</w:t>
            </w:r>
          </w:p>
        </w:tc>
        <w:tc>
          <w:tcPr>
            <w:tcW w:w="6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26,264</w:t>
            </w:r>
          </w:p>
        </w:tc>
        <w:tc>
          <w:tcPr>
            <w:tcW w:w="160" w:type="dxa"/>
            <w:vAlign w:val="bottom"/>
          </w:tcPr>
          <w:p>
            <w:pPr>
              <w:spacing w:after="0"/>
              <w:rPr>
                <w:sz w:val="18"/>
                <w:szCs w:val="18"/>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6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138</w:t>
            </w:r>
          </w:p>
        </w:tc>
        <w:tc>
          <w:tcPr>
            <w:tcW w:w="160" w:type="dxa"/>
            <w:vAlign w:val="bottom"/>
          </w:tcPr>
          <w:p>
            <w:pPr>
              <w:spacing w:after="0"/>
              <w:rPr>
                <w:sz w:val="18"/>
                <w:szCs w:val="18"/>
                <w:color w:val="auto"/>
              </w:rPr>
            </w:pPr>
          </w:p>
        </w:tc>
        <w:tc>
          <w:tcPr>
            <w:tcW w:w="580" w:type="dxa"/>
            <w:vAlign w:val="bottom"/>
            <w:tcBorders>
              <w:top w:val="single" w:sz="8" w:color="auto"/>
            </w:tcBorders>
          </w:tcPr>
          <w:p>
            <w:pPr>
              <w:jc w:val="right"/>
              <w:ind w:right="428"/>
              <w:spacing w:after="0"/>
              <w:rPr>
                <w:sz w:val="20"/>
                <w:szCs w:val="20"/>
                <w:color w:val="auto"/>
              </w:rPr>
            </w:pPr>
            <w:r>
              <w:rPr>
                <w:rFonts w:ascii="Arial" w:cs="Arial" w:eastAsia="Arial" w:hAnsi="Arial"/>
                <w:sz w:val="15"/>
                <w:szCs w:val="15"/>
                <w:color w:val="auto"/>
                <w:w w:val="71"/>
              </w:rPr>
              <w:t>$</w:t>
            </w:r>
          </w:p>
        </w:tc>
        <w:tc>
          <w:tcPr>
            <w:tcW w:w="2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60" w:type="dxa"/>
            <w:vAlign w:val="bottom"/>
          </w:tcPr>
          <w:p>
            <w:pPr>
              <w:spacing w:after="0"/>
              <w:rPr>
                <w:sz w:val="18"/>
                <w:szCs w:val="18"/>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5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26,402</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54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400" w:type="dxa"/>
            <w:vAlign w:val="bottom"/>
            <w:shd w:val="clear" w:color="auto" w:fill="CCEEFF"/>
          </w:tcPr>
          <w:p>
            <w:pPr>
              <w:ind w:left="260"/>
              <w:spacing w:after="0"/>
              <w:rPr>
                <w:sz w:val="20"/>
                <w:szCs w:val="20"/>
                <w:color w:val="auto"/>
              </w:rPr>
            </w:pPr>
            <w:r>
              <w:rPr>
                <w:rFonts w:ascii="Arial" w:cs="Arial" w:eastAsia="Arial" w:hAnsi="Arial"/>
                <w:sz w:val="18"/>
                <w:szCs w:val="18"/>
                <w:color w:val="auto"/>
              </w:rPr>
              <w:t>Corporate debt securities</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00" w:type="dxa"/>
            <w:vAlign w:val="bottom"/>
          </w:tcPr>
          <w:p>
            <w:pPr>
              <w:ind w:left="400"/>
              <w:spacing w:after="0"/>
              <w:rPr>
                <w:sz w:val="20"/>
                <w:szCs w:val="20"/>
                <w:color w:val="auto"/>
              </w:rPr>
            </w:pPr>
            <w:r>
              <w:rPr>
                <w:rFonts w:ascii="Arial" w:cs="Arial" w:eastAsia="Arial" w:hAnsi="Arial"/>
                <w:sz w:val="18"/>
                <w:szCs w:val="18"/>
                <w:color w:val="auto"/>
              </w:rPr>
              <w:t>Maturing in one year or less</w:t>
            </w:r>
          </w:p>
        </w:tc>
        <w:tc>
          <w:tcPr>
            <w:tcW w:w="160" w:type="dxa"/>
            <w:vAlign w:val="bottom"/>
            <w:gridSpan w:val="2"/>
          </w:tcPr>
          <w:p>
            <w:pPr>
              <w:jc w:val="right"/>
              <w:ind w:right="26"/>
              <w:spacing w:after="0"/>
              <w:rPr>
                <w:sz w:val="20"/>
                <w:szCs w:val="20"/>
                <w:color w:val="auto"/>
              </w:rPr>
            </w:pPr>
            <w:r>
              <w:rPr>
                <w:rFonts w:ascii="Arial" w:cs="Arial" w:eastAsia="Arial" w:hAnsi="Arial"/>
                <w:sz w:val="15"/>
                <w:szCs w:val="15"/>
                <w:color w:val="auto"/>
                <w:w w:val="71"/>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11,798</w:t>
            </w:r>
          </w:p>
        </w:tc>
        <w:tc>
          <w:tcPr>
            <w:tcW w:w="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18</w:t>
            </w:r>
          </w:p>
        </w:tc>
        <w:tc>
          <w:tcPr>
            <w:tcW w:w="740" w:type="dxa"/>
            <w:vAlign w:val="bottom"/>
            <w:gridSpan w:val="2"/>
          </w:tcPr>
          <w:p>
            <w:pPr>
              <w:jc w:val="right"/>
              <w:ind w:right="428"/>
              <w:spacing w:after="0"/>
              <w:rPr>
                <w:sz w:val="20"/>
                <w:szCs w:val="20"/>
                <w:color w:val="auto"/>
              </w:rPr>
            </w:pPr>
            <w:r>
              <w:rPr>
                <w:rFonts w:ascii="Arial" w:cs="Arial" w:eastAsia="Arial" w:hAnsi="Arial"/>
                <w:sz w:val="18"/>
                <w:szCs w:val="18"/>
                <w:color w:val="auto"/>
              </w:rPr>
              <w:t>$</w:t>
            </w:r>
          </w:p>
        </w:tc>
        <w:tc>
          <w:tcPr>
            <w:tcW w:w="200" w:type="dxa"/>
            <w:vAlign w:val="bottom"/>
          </w:tcPr>
          <w:p>
            <w:pPr>
              <w:jc w:val="right"/>
              <w:spacing w:after="0"/>
              <w:rPr>
                <w:sz w:val="20"/>
                <w:szCs w:val="20"/>
                <w:color w:val="auto"/>
              </w:rPr>
            </w:pPr>
            <w:r>
              <w:rPr>
                <w:rFonts w:ascii="Arial" w:cs="Arial" w:eastAsia="Arial" w:hAnsi="Arial"/>
                <w:sz w:val="18"/>
                <w:szCs w:val="18"/>
                <w:color w:val="auto"/>
              </w:rPr>
              <w:t>2</w:t>
            </w:r>
          </w:p>
        </w:tc>
        <w:tc>
          <w:tcPr>
            <w:tcW w:w="3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11,814</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00" w:type="dxa"/>
            <w:vAlign w:val="bottom"/>
            <w:shd w:val="clear" w:color="auto" w:fill="CCEEFF"/>
          </w:tcPr>
          <w:p>
            <w:pPr>
              <w:ind w:left="400"/>
              <w:spacing w:after="0"/>
              <w:rPr>
                <w:sz w:val="20"/>
                <w:szCs w:val="20"/>
                <w:color w:val="auto"/>
              </w:rPr>
            </w:pPr>
            <w:r>
              <w:rPr>
                <w:rFonts w:ascii="Arial" w:cs="Arial" w:eastAsia="Arial" w:hAnsi="Arial"/>
                <w:sz w:val="18"/>
                <w:szCs w:val="18"/>
                <w:color w:val="auto"/>
              </w:rPr>
              <w:t>Maturing after one year through two years</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1,594</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6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1,595</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5400" w:type="dxa"/>
            <w:vAlign w:val="bottom"/>
            <w:vMerge w:val="restart"/>
          </w:tcPr>
          <w:p>
            <w:pPr>
              <w:ind w:left="260"/>
              <w:spacing w:after="0"/>
              <w:rPr>
                <w:sz w:val="20"/>
                <w:szCs w:val="20"/>
                <w:color w:val="auto"/>
              </w:rPr>
            </w:pPr>
            <w:r>
              <w:rPr>
                <w:rFonts w:ascii="Arial" w:cs="Arial" w:eastAsia="Arial" w:hAnsi="Arial"/>
                <w:sz w:val="18"/>
                <w:szCs w:val="18"/>
                <w:color w:val="auto"/>
              </w:rPr>
              <w:t>Total corporate debt securities</w:t>
            </w:r>
          </w:p>
        </w:tc>
        <w:tc>
          <w:tcPr>
            <w:tcW w:w="160" w:type="dxa"/>
            <w:vAlign w:val="bottom"/>
            <w:gridSpan w:val="2"/>
          </w:tcPr>
          <w:p>
            <w:pPr>
              <w:spacing w:after="0"/>
              <w:rPr>
                <w:sz w:val="2"/>
                <w:szCs w:val="2"/>
                <w:color w:val="auto"/>
              </w:rPr>
            </w:pPr>
          </w:p>
        </w:tc>
        <w:tc>
          <w:tcPr>
            <w:tcW w:w="600" w:type="dxa"/>
            <w:vAlign w:val="bottom"/>
          </w:tcPr>
          <w:p>
            <w:pPr>
              <w:spacing w:after="0"/>
              <w:rPr>
                <w:sz w:val="2"/>
                <w:szCs w:val="2"/>
                <w:color w:val="auto"/>
              </w:rPr>
            </w:pPr>
          </w:p>
        </w:tc>
        <w:tc>
          <w:tcPr>
            <w:tcW w:w="300" w:type="dxa"/>
            <w:vAlign w:val="bottom"/>
            <w:gridSpan w:val="2"/>
          </w:tcPr>
          <w:p>
            <w:pPr>
              <w:spacing w:after="0"/>
              <w:rPr>
                <w:sz w:val="2"/>
                <w:szCs w:val="2"/>
                <w:color w:val="auto"/>
              </w:rPr>
            </w:pPr>
          </w:p>
        </w:tc>
        <w:tc>
          <w:tcPr>
            <w:tcW w:w="640" w:type="dxa"/>
            <w:vAlign w:val="bottom"/>
          </w:tcPr>
          <w:p>
            <w:pPr>
              <w:spacing w:after="0"/>
              <w:rPr>
                <w:sz w:val="2"/>
                <w:szCs w:val="2"/>
                <w:color w:val="auto"/>
              </w:rPr>
            </w:pPr>
          </w:p>
        </w:tc>
        <w:tc>
          <w:tcPr>
            <w:tcW w:w="740" w:type="dxa"/>
            <w:vAlign w:val="bottom"/>
            <w:gridSpan w:val="2"/>
          </w:tcPr>
          <w:p>
            <w:pPr>
              <w:spacing w:after="0"/>
              <w:rPr>
                <w:sz w:val="2"/>
                <w:szCs w:val="2"/>
                <w:color w:val="auto"/>
              </w:rPr>
            </w:pPr>
          </w:p>
        </w:tc>
        <w:tc>
          <w:tcPr>
            <w:tcW w:w="200" w:type="dxa"/>
            <w:vAlign w:val="bottom"/>
          </w:tcPr>
          <w:p>
            <w:pPr>
              <w:spacing w:after="0"/>
              <w:rPr>
                <w:sz w:val="2"/>
                <w:szCs w:val="2"/>
                <w:color w:val="auto"/>
              </w:rPr>
            </w:pPr>
          </w:p>
        </w:tc>
        <w:tc>
          <w:tcPr>
            <w:tcW w:w="340" w:type="dxa"/>
            <w:vAlign w:val="bottom"/>
            <w:gridSpan w:val="2"/>
          </w:tcPr>
          <w:p>
            <w:pPr>
              <w:spacing w:after="0"/>
              <w:rPr>
                <w:sz w:val="2"/>
                <w:szCs w:val="2"/>
                <w:color w:val="auto"/>
              </w:rPr>
            </w:pPr>
          </w:p>
        </w:tc>
        <w:tc>
          <w:tcPr>
            <w:tcW w:w="580" w:type="dxa"/>
            <w:vAlign w:val="bottom"/>
          </w:tcPr>
          <w:p>
            <w:pPr>
              <w:spacing w:after="0"/>
              <w:rPr>
                <w:sz w:val="2"/>
                <w:szCs w:val="2"/>
                <w:color w:val="auto"/>
              </w:rPr>
            </w:pPr>
          </w:p>
        </w:tc>
        <w:tc>
          <w:tcPr>
            <w:tcW w:w="1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00" w:type="dxa"/>
            <w:vAlign w:val="bottom"/>
            <w:vMerge w:val="continue"/>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Borders>
              <w:top w:val="single" w:sz="8" w:color="auto"/>
            </w:tcBorders>
          </w:tcPr>
          <w:p>
            <w:pPr>
              <w:jc w:val="right"/>
              <w:ind w:right="26"/>
              <w:spacing w:after="0"/>
              <w:rPr>
                <w:sz w:val="20"/>
                <w:szCs w:val="20"/>
                <w:color w:val="auto"/>
              </w:rPr>
            </w:pPr>
            <w:r>
              <w:rPr>
                <w:rFonts w:ascii="Arial" w:cs="Arial" w:eastAsia="Arial" w:hAnsi="Arial"/>
                <w:sz w:val="10"/>
                <w:szCs w:val="10"/>
                <w:color w:val="auto"/>
                <w:w w:val="71"/>
              </w:rPr>
              <w:t>$</w:t>
            </w:r>
          </w:p>
        </w:tc>
        <w:tc>
          <w:tcPr>
            <w:tcW w:w="6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13,392</w:t>
            </w:r>
          </w:p>
        </w:tc>
        <w:tc>
          <w:tcPr>
            <w:tcW w:w="160" w:type="dxa"/>
            <w:vAlign w:val="bottom"/>
          </w:tcPr>
          <w:p>
            <w:pPr>
              <w:spacing w:after="0"/>
              <w:rPr>
                <w:sz w:val="18"/>
                <w:szCs w:val="18"/>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6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19</w:t>
            </w:r>
          </w:p>
        </w:tc>
        <w:tc>
          <w:tcPr>
            <w:tcW w:w="160" w:type="dxa"/>
            <w:vAlign w:val="bottom"/>
          </w:tcPr>
          <w:p>
            <w:pPr>
              <w:spacing w:after="0"/>
              <w:rPr>
                <w:sz w:val="18"/>
                <w:szCs w:val="18"/>
                <w:color w:val="auto"/>
              </w:rPr>
            </w:pPr>
          </w:p>
        </w:tc>
        <w:tc>
          <w:tcPr>
            <w:tcW w:w="580" w:type="dxa"/>
            <w:vAlign w:val="bottom"/>
            <w:tcBorders>
              <w:top w:val="single" w:sz="8" w:color="auto"/>
            </w:tcBorders>
          </w:tcPr>
          <w:p>
            <w:pPr>
              <w:jc w:val="right"/>
              <w:ind w:right="428"/>
              <w:spacing w:after="0"/>
              <w:rPr>
                <w:sz w:val="20"/>
                <w:szCs w:val="20"/>
                <w:color w:val="auto"/>
              </w:rPr>
            </w:pPr>
            <w:r>
              <w:rPr>
                <w:rFonts w:ascii="Arial" w:cs="Arial" w:eastAsia="Arial" w:hAnsi="Arial"/>
                <w:sz w:val="15"/>
                <w:szCs w:val="15"/>
                <w:color w:val="auto"/>
                <w:w w:val="71"/>
              </w:rPr>
              <w:t>$</w:t>
            </w:r>
          </w:p>
        </w:tc>
        <w:tc>
          <w:tcPr>
            <w:tcW w:w="2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w:t>
            </w:r>
          </w:p>
        </w:tc>
        <w:tc>
          <w:tcPr>
            <w:tcW w:w="160" w:type="dxa"/>
            <w:vAlign w:val="bottom"/>
          </w:tcPr>
          <w:p>
            <w:pPr>
              <w:spacing w:after="0"/>
              <w:rPr>
                <w:sz w:val="18"/>
                <w:szCs w:val="18"/>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5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13,409</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54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400" w:type="dxa"/>
            <w:vAlign w:val="bottom"/>
            <w:shd w:val="clear" w:color="auto" w:fill="CCEEFF"/>
          </w:tcPr>
          <w:p>
            <w:pPr>
              <w:ind w:left="120"/>
              <w:spacing w:after="0"/>
              <w:rPr>
                <w:sz w:val="20"/>
                <w:szCs w:val="20"/>
                <w:color w:val="auto"/>
              </w:rPr>
            </w:pPr>
            <w:r>
              <w:rPr>
                <w:rFonts w:ascii="Arial" w:cs="Arial" w:eastAsia="Arial" w:hAnsi="Arial"/>
                <w:sz w:val="18"/>
                <w:szCs w:val="18"/>
                <w:color w:val="auto"/>
              </w:rPr>
              <w:t>Total marketable securities</w:t>
            </w:r>
          </w:p>
        </w:tc>
        <w:tc>
          <w:tcPr>
            <w:tcW w:w="160" w:type="dxa"/>
            <w:vAlign w:val="bottom"/>
            <w:gridSpan w:val="2"/>
            <w:shd w:val="clear" w:color="auto" w:fill="CCEEFF"/>
          </w:tcPr>
          <w:p>
            <w:pPr>
              <w:jc w:val="right"/>
              <w:ind w:right="26"/>
              <w:spacing w:after="0"/>
              <w:rPr>
                <w:sz w:val="20"/>
                <w:szCs w:val="20"/>
                <w:color w:val="auto"/>
              </w:rPr>
            </w:pPr>
            <w:r>
              <w:rPr>
                <w:rFonts w:ascii="Arial" w:cs="Arial" w:eastAsia="Arial" w:hAnsi="Arial"/>
                <w:sz w:val="15"/>
                <w:szCs w:val="15"/>
                <w:color w:val="auto"/>
                <w:w w:val="71"/>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39,656</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157</w:t>
            </w:r>
          </w:p>
        </w:tc>
        <w:tc>
          <w:tcPr>
            <w:tcW w:w="740" w:type="dxa"/>
            <w:vAlign w:val="bottom"/>
            <w:gridSpan w:val="2"/>
            <w:shd w:val="clear" w:color="auto" w:fill="CCEEFF"/>
          </w:tcPr>
          <w:p>
            <w:pPr>
              <w:jc w:val="right"/>
              <w:ind w:right="428"/>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3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39,811</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5420" w:type="dxa"/>
            <w:vAlign w:val="bottom"/>
            <w:gridSpan w:val="2"/>
            <w:vMerge w:val="restart"/>
          </w:tcPr>
          <w:p>
            <w:pPr>
              <w:jc w:val="right"/>
              <w:ind w:right="3912"/>
              <w:spacing w:after="0"/>
              <w:rPr>
                <w:sz w:val="20"/>
                <w:szCs w:val="20"/>
                <w:color w:val="auto"/>
              </w:rPr>
            </w:pPr>
            <w:r>
              <w:rPr>
                <w:rFonts w:ascii="Arial" w:cs="Arial" w:eastAsia="Arial" w:hAnsi="Arial"/>
                <w:sz w:val="18"/>
                <w:szCs w:val="18"/>
                <w:b w:val="1"/>
                <w:bCs w:val="1"/>
                <w:color w:val="auto"/>
                <w:w w:val="86"/>
              </w:rPr>
              <w:t>December 31, 2009</w:t>
            </w:r>
          </w:p>
        </w:tc>
        <w:tc>
          <w:tcPr>
            <w:tcW w:w="2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5420" w:type="dxa"/>
            <w:vAlign w:val="bottom"/>
            <w:gridSpan w:val="2"/>
            <w:vMerge w:val="continu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5420" w:type="dxa"/>
            <w:vAlign w:val="bottom"/>
            <w:gridSpan w:val="2"/>
            <w:vMerge w:val="continue"/>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5400" w:type="dxa"/>
            <w:vAlign w:val="bottom"/>
            <w:shd w:val="clear" w:color="auto" w:fill="CCEEFF"/>
          </w:tcPr>
          <w:p>
            <w:pPr>
              <w:ind w:left="120"/>
              <w:spacing w:after="0"/>
              <w:rPr>
                <w:sz w:val="20"/>
                <w:szCs w:val="20"/>
                <w:color w:val="auto"/>
              </w:rPr>
            </w:pPr>
            <w:r>
              <w:rPr>
                <w:rFonts w:ascii="Arial" w:cs="Arial" w:eastAsia="Arial" w:hAnsi="Arial"/>
                <w:sz w:val="18"/>
                <w:szCs w:val="18"/>
                <w:color w:val="auto"/>
              </w:rPr>
              <w:t>Marketable securities</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00" w:type="dxa"/>
            <w:vAlign w:val="bottom"/>
          </w:tcPr>
          <w:p>
            <w:pPr>
              <w:ind w:left="260"/>
              <w:spacing w:after="0"/>
              <w:rPr>
                <w:sz w:val="20"/>
                <w:szCs w:val="20"/>
                <w:color w:val="auto"/>
              </w:rPr>
            </w:pPr>
            <w:r>
              <w:rPr>
                <w:rFonts w:ascii="Arial" w:cs="Arial" w:eastAsia="Arial" w:hAnsi="Arial"/>
                <w:sz w:val="18"/>
                <w:szCs w:val="18"/>
                <w:color w:val="auto"/>
              </w:rPr>
              <w:t>U.S. government and municipal obligations</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00" w:type="dxa"/>
            <w:vAlign w:val="bottom"/>
            <w:shd w:val="clear" w:color="auto" w:fill="CCEEFF"/>
          </w:tcPr>
          <w:p>
            <w:pPr>
              <w:ind w:left="400"/>
              <w:spacing w:after="0"/>
              <w:rPr>
                <w:sz w:val="20"/>
                <w:szCs w:val="20"/>
                <w:color w:val="auto"/>
              </w:rPr>
            </w:pPr>
            <w:r>
              <w:rPr>
                <w:rFonts w:ascii="Arial" w:cs="Arial" w:eastAsia="Arial" w:hAnsi="Arial"/>
                <w:sz w:val="18"/>
                <w:szCs w:val="18"/>
                <w:color w:val="auto"/>
              </w:rPr>
              <w:t>Maturing in one year or less</w:t>
            </w:r>
          </w:p>
        </w:tc>
        <w:tc>
          <w:tcPr>
            <w:tcW w:w="160" w:type="dxa"/>
            <w:vAlign w:val="bottom"/>
            <w:gridSpan w:val="2"/>
            <w:shd w:val="clear" w:color="auto" w:fill="CCEEFF"/>
          </w:tcPr>
          <w:p>
            <w:pPr>
              <w:jc w:val="right"/>
              <w:ind w:right="26"/>
              <w:spacing w:after="0"/>
              <w:rPr>
                <w:sz w:val="20"/>
                <w:szCs w:val="20"/>
                <w:color w:val="auto"/>
              </w:rPr>
            </w:pPr>
            <w:r>
              <w:rPr>
                <w:rFonts w:ascii="Arial" w:cs="Arial" w:eastAsia="Arial" w:hAnsi="Arial"/>
                <w:sz w:val="15"/>
                <w:szCs w:val="15"/>
                <w:color w:val="auto"/>
                <w:w w:val="71"/>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9,698</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740" w:type="dxa"/>
            <w:vAlign w:val="bottom"/>
            <w:gridSpan w:val="2"/>
            <w:shd w:val="clear" w:color="auto" w:fill="CCEEFF"/>
          </w:tcPr>
          <w:p>
            <w:pPr>
              <w:jc w:val="right"/>
              <w:ind w:right="428"/>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3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9,703</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5400" w:type="dxa"/>
            <w:vAlign w:val="bottom"/>
          </w:tcPr>
          <w:p>
            <w:pPr>
              <w:ind w:left="400"/>
              <w:spacing w:after="0"/>
              <w:rPr>
                <w:sz w:val="20"/>
                <w:szCs w:val="20"/>
                <w:color w:val="auto"/>
              </w:rPr>
            </w:pPr>
            <w:r>
              <w:rPr>
                <w:rFonts w:ascii="Arial" w:cs="Arial" w:eastAsia="Arial" w:hAnsi="Arial"/>
                <w:sz w:val="18"/>
                <w:szCs w:val="18"/>
                <w:color w:val="auto"/>
              </w:rPr>
              <w:t>Maturing after one year through two years</w:t>
            </w: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7,129</w:t>
            </w:r>
          </w:p>
        </w:tc>
        <w:tc>
          <w:tcPr>
            <w:tcW w:w="1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6</w:t>
            </w:r>
          </w:p>
        </w:tc>
        <w:tc>
          <w:tcPr>
            <w:tcW w:w="16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89"/>
              </w:rPr>
              <w:t>22</w:t>
            </w:r>
          </w:p>
        </w:tc>
        <w:tc>
          <w:tcPr>
            <w:tcW w:w="1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7,113</w:t>
            </w:r>
          </w:p>
        </w:tc>
        <w:tc>
          <w:tcPr>
            <w:tcW w:w="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54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400" w:type="dxa"/>
            <w:vAlign w:val="bottom"/>
            <w:shd w:val="clear" w:color="auto" w:fill="CCEEFF"/>
          </w:tcPr>
          <w:p>
            <w:pPr>
              <w:ind w:left="260"/>
              <w:spacing w:after="0"/>
              <w:rPr>
                <w:sz w:val="20"/>
                <w:szCs w:val="20"/>
                <w:color w:val="auto"/>
              </w:rPr>
            </w:pPr>
            <w:r>
              <w:rPr>
                <w:rFonts w:ascii="Arial" w:cs="Arial" w:eastAsia="Arial" w:hAnsi="Arial"/>
                <w:sz w:val="18"/>
                <w:szCs w:val="18"/>
                <w:color w:val="auto"/>
              </w:rPr>
              <w:t>Total U.S. government and municipal obligations</w:t>
            </w:r>
          </w:p>
        </w:tc>
        <w:tc>
          <w:tcPr>
            <w:tcW w:w="160" w:type="dxa"/>
            <w:vAlign w:val="bottom"/>
            <w:gridSpan w:val="2"/>
            <w:shd w:val="clear" w:color="auto" w:fill="CCEEFF"/>
          </w:tcPr>
          <w:p>
            <w:pPr>
              <w:jc w:val="right"/>
              <w:ind w:right="26"/>
              <w:spacing w:after="0"/>
              <w:rPr>
                <w:sz w:val="20"/>
                <w:szCs w:val="20"/>
                <w:color w:val="auto"/>
              </w:rPr>
            </w:pPr>
            <w:r>
              <w:rPr>
                <w:rFonts w:ascii="Arial" w:cs="Arial" w:eastAsia="Arial" w:hAnsi="Arial"/>
                <w:sz w:val="15"/>
                <w:szCs w:val="15"/>
                <w:color w:val="auto"/>
                <w:w w:val="71"/>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16,827</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740" w:type="dxa"/>
            <w:vAlign w:val="bottom"/>
            <w:gridSpan w:val="2"/>
            <w:shd w:val="clear" w:color="auto" w:fill="CCEEFF"/>
          </w:tcPr>
          <w:p>
            <w:pPr>
              <w:jc w:val="right"/>
              <w:ind w:right="428"/>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22</w:t>
            </w:r>
          </w:p>
        </w:tc>
        <w:tc>
          <w:tcPr>
            <w:tcW w:w="3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16,816</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5400" w:type="dxa"/>
            <w:vAlign w:val="bottom"/>
            <w:vMerge w:val="restart"/>
          </w:tcPr>
          <w:p>
            <w:pPr>
              <w:ind w:left="260"/>
              <w:spacing w:after="0"/>
              <w:rPr>
                <w:sz w:val="20"/>
                <w:szCs w:val="20"/>
                <w:color w:val="auto"/>
              </w:rPr>
            </w:pPr>
            <w:r>
              <w:rPr>
                <w:rFonts w:ascii="Arial" w:cs="Arial" w:eastAsia="Arial" w:hAnsi="Arial"/>
                <w:sz w:val="18"/>
                <w:szCs w:val="18"/>
                <w:color w:val="auto"/>
              </w:rPr>
              <w:t>Corporate debt securities</w:t>
            </w:r>
          </w:p>
        </w:tc>
        <w:tc>
          <w:tcPr>
            <w:tcW w:w="2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5400" w:type="dxa"/>
            <w:vAlign w:val="bottom"/>
            <w:vMerge w:val="continue"/>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5400" w:type="dxa"/>
            <w:vAlign w:val="bottom"/>
            <w:shd w:val="clear" w:color="auto" w:fill="CCEEFF"/>
          </w:tcPr>
          <w:p>
            <w:pPr>
              <w:ind w:left="400"/>
              <w:spacing w:after="0"/>
              <w:rPr>
                <w:sz w:val="20"/>
                <w:szCs w:val="20"/>
                <w:color w:val="auto"/>
              </w:rPr>
            </w:pPr>
            <w:r>
              <w:rPr>
                <w:rFonts w:ascii="Arial" w:cs="Arial" w:eastAsia="Arial" w:hAnsi="Arial"/>
                <w:sz w:val="18"/>
                <w:szCs w:val="18"/>
                <w:color w:val="auto"/>
              </w:rPr>
              <w:t>Maturing in one year or less</w:t>
            </w:r>
          </w:p>
        </w:tc>
        <w:tc>
          <w:tcPr>
            <w:tcW w:w="160" w:type="dxa"/>
            <w:vAlign w:val="bottom"/>
            <w:gridSpan w:val="2"/>
            <w:shd w:val="clear" w:color="auto" w:fill="CCEEFF"/>
          </w:tcPr>
          <w:p>
            <w:pPr>
              <w:jc w:val="right"/>
              <w:ind w:right="26"/>
              <w:spacing w:after="0"/>
              <w:rPr>
                <w:sz w:val="20"/>
                <w:szCs w:val="20"/>
                <w:color w:val="auto"/>
              </w:rPr>
            </w:pPr>
            <w:r>
              <w:rPr>
                <w:rFonts w:ascii="Arial" w:cs="Arial" w:eastAsia="Arial" w:hAnsi="Arial"/>
                <w:sz w:val="15"/>
                <w:szCs w:val="15"/>
                <w:color w:val="auto"/>
                <w:w w:val="71"/>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40" w:type="dxa"/>
            <w:vAlign w:val="bottom"/>
            <w:gridSpan w:val="2"/>
            <w:shd w:val="clear" w:color="auto" w:fill="CCEEFF"/>
          </w:tcPr>
          <w:p>
            <w:pPr>
              <w:jc w:val="right"/>
              <w:ind w:right="428"/>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3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5400" w:type="dxa"/>
            <w:vAlign w:val="bottom"/>
          </w:tcPr>
          <w:p>
            <w:pPr>
              <w:ind w:left="400"/>
              <w:spacing w:after="0"/>
              <w:rPr>
                <w:sz w:val="20"/>
                <w:szCs w:val="20"/>
                <w:color w:val="auto"/>
              </w:rPr>
            </w:pPr>
            <w:r>
              <w:rPr>
                <w:rFonts w:ascii="Arial" w:cs="Arial" w:eastAsia="Arial" w:hAnsi="Arial"/>
                <w:sz w:val="18"/>
                <w:szCs w:val="18"/>
                <w:color w:val="auto"/>
              </w:rPr>
              <w:t>Maturing after one year through two years</w:t>
            </w: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8,672</w:t>
            </w:r>
          </w:p>
        </w:tc>
        <w:tc>
          <w:tcPr>
            <w:tcW w:w="1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89"/>
              </w:rPr>
              <w:t>37</w:t>
            </w:r>
          </w:p>
        </w:tc>
        <w:tc>
          <w:tcPr>
            <w:tcW w:w="1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8,635</w:t>
            </w:r>
          </w:p>
        </w:tc>
        <w:tc>
          <w:tcPr>
            <w:tcW w:w="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54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400" w:type="dxa"/>
            <w:vAlign w:val="bottom"/>
            <w:shd w:val="clear" w:color="auto" w:fill="CCEEFF"/>
          </w:tcPr>
          <w:p>
            <w:pPr>
              <w:ind w:left="260"/>
              <w:spacing w:after="0"/>
              <w:rPr>
                <w:sz w:val="20"/>
                <w:szCs w:val="20"/>
                <w:color w:val="auto"/>
              </w:rPr>
            </w:pPr>
            <w:r>
              <w:rPr>
                <w:rFonts w:ascii="Arial" w:cs="Arial" w:eastAsia="Arial" w:hAnsi="Arial"/>
                <w:sz w:val="18"/>
                <w:szCs w:val="18"/>
                <w:color w:val="auto"/>
              </w:rPr>
              <w:t>Total corporate debt securities</w:t>
            </w:r>
          </w:p>
        </w:tc>
        <w:tc>
          <w:tcPr>
            <w:tcW w:w="160" w:type="dxa"/>
            <w:vAlign w:val="bottom"/>
            <w:gridSpan w:val="2"/>
            <w:shd w:val="clear" w:color="auto" w:fill="CCEEFF"/>
          </w:tcPr>
          <w:p>
            <w:pPr>
              <w:jc w:val="right"/>
              <w:ind w:right="26"/>
              <w:spacing w:after="0"/>
              <w:rPr>
                <w:sz w:val="20"/>
                <w:szCs w:val="20"/>
                <w:color w:val="auto"/>
              </w:rPr>
            </w:pPr>
            <w:r>
              <w:rPr>
                <w:rFonts w:ascii="Arial" w:cs="Arial" w:eastAsia="Arial" w:hAnsi="Arial"/>
                <w:sz w:val="15"/>
                <w:szCs w:val="15"/>
                <w:color w:val="auto"/>
                <w:w w:val="71"/>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8,672</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40" w:type="dxa"/>
            <w:vAlign w:val="bottom"/>
            <w:gridSpan w:val="2"/>
            <w:shd w:val="clear" w:color="auto" w:fill="CCEEFF"/>
          </w:tcPr>
          <w:p>
            <w:pPr>
              <w:jc w:val="right"/>
              <w:ind w:right="428"/>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37</w:t>
            </w:r>
          </w:p>
        </w:tc>
        <w:tc>
          <w:tcPr>
            <w:tcW w:w="3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8,635</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5400" w:type="dxa"/>
            <w:vAlign w:val="bottom"/>
            <w:vMerge w:val="restart"/>
          </w:tcPr>
          <w:p>
            <w:pPr>
              <w:ind w:left="120"/>
              <w:spacing w:after="0"/>
              <w:rPr>
                <w:sz w:val="20"/>
                <w:szCs w:val="20"/>
                <w:color w:val="auto"/>
              </w:rPr>
            </w:pPr>
            <w:r>
              <w:rPr>
                <w:rFonts w:ascii="Arial" w:cs="Arial" w:eastAsia="Arial" w:hAnsi="Arial"/>
                <w:sz w:val="18"/>
                <w:szCs w:val="18"/>
                <w:color w:val="auto"/>
              </w:rPr>
              <w:t>Total marketable securities</w:t>
            </w:r>
          </w:p>
        </w:tc>
        <w:tc>
          <w:tcPr>
            <w:tcW w:w="160" w:type="dxa"/>
            <w:vAlign w:val="bottom"/>
            <w:gridSpan w:val="2"/>
          </w:tcPr>
          <w:p>
            <w:pPr>
              <w:spacing w:after="0"/>
              <w:rPr>
                <w:sz w:val="2"/>
                <w:szCs w:val="2"/>
                <w:color w:val="auto"/>
              </w:rPr>
            </w:pPr>
          </w:p>
        </w:tc>
        <w:tc>
          <w:tcPr>
            <w:tcW w:w="600" w:type="dxa"/>
            <w:vAlign w:val="bottom"/>
          </w:tcPr>
          <w:p>
            <w:pPr>
              <w:spacing w:after="0"/>
              <w:rPr>
                <w:sz w:val="2"/>
                <w:szCs w:val="2"/>
                <w:color w:val="auto"/>
              </w:rPr>
            </w:pPr>
          </w:p>
        </w:tc>
        <w:tc>
          <w:tcPr>
            <w:tcW w:w="300" w:type="dxa"/>
            <w:vAlign w:val="bottom"/>
            <w:gridSpan w:val="2"/>
          </w:tcPr>
          <w:p>
            <w:pPr>
              <w:spacing w:after="0"/>
              <w:rPr>
                <w:sz w:val="2"/>
                <w:szCs w:val="2"/>
                <w:color w:val="auto"/>
              </w:rPr>
            </w:pPr>
          </w:p>
        </w:tc>
        <w:tc>
          <w:tcPr>
            <w:tcW w:w="640" w:type="dxa"/>
            <w:vAlign w:val="bottom"/>
          </w:tcPr>
          <w:p>
            <w:pPr>
              <w:spacing w:after="0"/>
              <w:rPr>
                <w:sz w:val="2"/>
                <w:szCs w:val="2"/>
                <w:color w:val="auto"/>
              </w:rPr>
            </w:pPr>
          </w:p>
        </w:tc>
        <w:tc>
          <w:tcPr>
            <w:tcW w:w="740" w:type="dxa"/>
            <w:vAlign w:val="bottom"/>
            <w:gridSpan w:val="2"/>
          </w:tcPr>
          <w:p>
            <w:pPr>
              <w:spacing w:after="0"/>
              <w:rPr>
                <w:sz w:val="2"/>
                <w:szCs w:val="2"/>
                <w:color w:val="auto"/>
              </w:rPr>
            </w:pPr>
          </w:p>
        </w:tc>
        <w:tc>
          <w:tcPr>
            <w:tcW w:w="200" w:type="dxa"/>
            <w:vAlign w:val="bottom"/>
          </w:tcPr>
          <w:p>
            <w:pPr>
              <w:spacing w:after="0"/>
              <w:rPr>
                <w:sz w:val="2"/>
                <w:szCs w:val="2"/>
                <w:color w:val="auto"/>
              </w:rPr>
            </w:pPr>
          </w:p>
        </w:tc>
        <w:tc>
          <w:tcPr>
            <w:tcW w:w="340" w:type="dxa"/>
            <w:vAlign w:val="bottom"/>
            <w:gridSpan w:val="2"/>
          </w:tcPr>
          <w:p>
            <w:pPr>
              <w:spacing w:after="0"/>
              <w:rPr>
                <w:sz w:val="2"/>
                <w:szCs w:val="2"/>
                <w:color w:val="auto"/>
              </w:rPr>
            </w:pPr>
          </w:p>
        </w:tc>
        <w:tc>
          <w:tcPr>
            <w:tcW w:w="580" w:type="dxa"/>
            <w:vAlign w:val="bottom"/>
          </w:tcPr>
          <w:p>
            <w:pPr>
              <w:spacing w:after="0"/>
              <w:rPr>
                <w:sz w:val="2"/>
                <w:szCs w:val="2"/>
                <w:color w:val="auto"/>
              </w:rPr>
            </w:pPr>
          </w:p>
        </w:tc>
        <w:tc>
          <w:tcPr>
            <w:tcW w:w="1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00" w:type="dxa"/>
            <w:vAlign w:val="bottom"/>
            <w:vMerge w:val="continue"/>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Borders>
              <w:top w:val="single" w:sz="8" w:color="auto"/>
            </w:tcBorders>
          </w:tcPr>
          <w:p>
            <w:pPr>
              <w:jc w:val="right"/>
              <w:ind w:right="26"/>
              <w:spacing w:after="0"/>
              <w:rPr>
                <w:sz w:val="20"/>
                <w:szCs w:val="20"/>
                <w:color w:val="auto"/>
              </w:rPr>
            </w:pPr>
            <w:r>
              <w:rPr>
                <w:rFonts w:ascii="Arial" w:cs="Arial" w:eastAsia="Arial" w:hAnsi="Arial"/>
                <w:sz w:val="10"/>
                <w:szCs w:val="10"/>
                <w:color w:val="auto"/>
                <w:w w:val="71"/>
              </w:rPr>
              <w:t>$</w:t>
            </w:r>
          </w:p>
        </w:tc>
        <w:tc>
          <w:tcPr>
            <w:tcW w:w="6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25,499</w:t>
            </w:r>
          </w:p>
        </w:tc>
        <w:tc>
          <w:tcPr>
            <w:tcW w:w="160" w:type="dxa"/>
            <w:vAlign w:val="bottom"/>
          </w:tcPr>
          <w:p>
            <w:pPr>
              <w:spacing w:after="0"/>
              <w:rPr>
                <w:sz w:val="18"/>
                <w:szCs w:val="18"/>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6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11</w:t>
            </w:r>
          </w:p>
        </w:tc>
        <w:tc>
          <w:tcPr>
            <w:tcW w:w="160" w:type="dxa"/>
            <w:vAlign w:val="bottom"/>
          </w:tcPr>
          <w:p>
            <w:pPr>
              <w:spacing w:after="0"/>
              <w:rPr>
                <w:sz w:val="18"/>
                <w:szCs w:val="18"/>
                <w:color w:val="auto"/>
              </w:rPr>
            </w:pPr>
          </w:p>
        </w:tc>
        <w:tc>
          <w:tcPr>
            <w:tcW w:w="580" w:type="dxa"/>
            <w:vAlign w:val="bottom"/>
            <w:tcBorders>
              <w:top w:val="single" w:sz="8" w:color="auto"/>
            </w:tcBorders>
          </w:tcPr>
          <w:p>
            <w:pPr>
              <w:jc w:val="right"/>
              <w:ind w:right="428"/>
              <w:spacing w:after="0"/>
              <w:rPr>
                <w:sz w:val="20"/>
                <w:szCs w:val="20"/>
                <w:color w:val="auto"/>
              </w:rPr>
            </w:pPr>
            <w:r>
              <w:rPr>
                <w:rFonts w:ascii="Arial" w:cs="Arial" w:eastAsia="Arial" w:hAnsi="Arial"/>
                <w:sz w:val="15"/>
                <w:szCs w:val="15"/>
                <w:color w:val="auto"/>
                <w:w w:val="71"/>
              </w:rPr>
              <w:t>$</w:t>
            </w:r>
          </w:p>
        </w:tc>
        <w:tc>
          <w:tcPr>
            <w:tcW w:w="2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9"/>
              </w:rPr>
              <w:t>59</w:t>
            </w:r>
          </w:p>
        </w:tc>
        <w:tc>
          <w:tcPr>
            <w:tcW w:w="160" w:type="dxa"/>
            <w:vAlign w:val="bottom"/>
          </w:tcPr>
          <w:p>
            <w:pPr>
              <w:spacing w:after="0"/>
              <w:rPr>
                <w:sz w:val="18"/>
                <w:szCs w:val="18"/>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5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25,451</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540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4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8" w:lineRule="exact"/>
        <w:rPr>
          <w:sz w:val="20"/>
          <w:szCs w:val="20"/>
          <w:color w:val="auto"/>
        </w:rPr>
      </w:pPr>
    </w:p>
    <w:p>
      <w:pPr>
        <w:ind w:firstLine="341"/>
        <w:spacing w:after="0" w:line="259" w:lineRule="auto"/>
        <w:rPr>
          <w:sz w:val="20"/>
          <w:szCs w:val="20"/>
          <w:color w:val="auto"/>
        </w:rPr>
      </w:pPr>
      <w:r>
        <w:rPr>
          <w:rFonts w:ascii="Arial" w:cs="Arial" w:eastAsia="Arial" w:hAnsi="Arial"/>
          <w:sz w:val="18"/>
          <w:szCs w:val="18"/>
          <w:color w:val="auto"/>
        </w:rPr>
        <w:t>As of December 31, 2010, unrealized losses in the portfolio were primarily due to increases in interest rates. The marketable securities held by the Company were high investment grade and there were no marketable securities that the Company considered to be other-than-temporarily impaired as of December 31, 2010.</w:t>
      </w:r>
    </w:p>
    <w:p>
      <w:pPr>
        <w:spacing w:after="0" w:line="194"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40"/>
          </w:cols>
          <w:pgMar w:left="240" w:top="131" w:right="319" w:bottom="1440" w:gutter="0" w:footer="0" w:header="0"/>
        </w:sectPr>
      </w:pPr>
    </w:p>
    <w:bookmarkStart w:id="85" w:name="page86"/>
    <w:bookmarkEnd w:id="85"/>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CELLDEX THERAPEUTICS, INC.</w:t>
      </w:r>
    </w:p>
    <w:p>
      <w:pPr>
        <w:spacing w:after="0" w:line="225"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(6) PROPERTY AND EQUIPMENT</w:t>
      </w:r>
    </w:p>
    <w:p>
      <w:pPr>
        <w:spacing w:after="0" w:line="231" w:lineRule="exact"/>
        <w:rPr>
          <w:sz w:val="20"/>
          <w:szCs w:val="20"/>
          <w:color w:val="auto"/>
        </w:rPr>
      </w:pPr>
    </w:p>
    <w:p>
      <w:pPr>
        <w:ind w:left="360"/>
        <w:spacing w:after="0"/>
        <w:rPr>
          <w:sz w:val="20"/>
          <w:szCs w:val="20"/>
          <w:color w:val="auto"/>
        </w:rPr>
      </w:pPr>
      <w:r>
        <w:rPr>
          <w:rFonts w:ascii="Arial" w:cs="Arial" w:eastAsia="Arial" w:hAnsi="Arial"/>
          <w:sz w:val="18"/>
          <w:szCs w:val="18"/>
          <w:color w:val="auto"/>
        </w:rPr>
        <w:t>Property and equipment include the following:</w:t>
      </w:r>
    </w:p>
    <w:p>
      <w:pPr>
        <w:spacing w:after="0" w:line="208" w:lineRule="exact"/>
        <w:rPr>
          <w:sz w:val="20"/>
          <w:szCs w:val="20"/>
          <w:color w:val="auto"/>
        </w:rPr>
      </w:pPr>
    </w:p>
    <w:tbl>
      <w:tblPr>
        <w:tblLayout w:type="fixed"/>
        <w:tblInd w:w="2300" w:type="dxa"/>
        <w:tblCellMar>
          <w:top w:w="0" w:type="dxa"/>
          <w:left w:w="0" w:type="dxa"/>
          <w:bottom w:w="0" w:type="dxa"/>
          <w:right w:w="0" w:type="dxa"/>
        </w:tblCellMar>
      </w:tblPr>
      <w:tr>
        <w:trPr>
          <w:trHeight w:val="161"/>
        </w:trPr>
        <w:tc>
          <w:tcPr>
            <w:tcW w:w="4600" w:type="dxa"/>
            <w:vAlign w:val="bottom"/>
          </w:tcPr>
          <w:p>
            <w:pPr>
              <w:spacing w:after="0"/>
              <w:rPr>
                <w:sz w:val="14"/>
                <w:szCs w:val="14"/>
                <w:color w:val="auto"/>
              </w:rPr>
            </w:pPr>
          </w:p>
        </w:tc>
        <w:tc>
          <w:tcPr>
            <w:tcW w:w="1120" w:type="dxa"/>
            <w:vAlign w:val="bottom"/>
            <w:gridSpan w:val="4"/>
          </w:tcPr>
          <w:p>
            <w:pPr>
              <w:jc w:val="right"/>
              <w:ind w:right="260"/>
              <w:spacing w:after="0"/>
              <w:rPr>
                <w:sz w:val="20"/>
                <w:szCs w:val="20"/>
                <w:color w:val="auto"/>
              </w:rPr>
            </w:pPr>
            <w:r>
              <w:rPr>
                <w:rFonts w:ascii="Arial" w:cs="Arial" w:eastAsia="Arial" w:hAnsi="Arial"/>
                <w:sz w:val="14"/>
                <w:szCs w:val="14"/>
                <w:b w:val="1"/>
                <w:bCs w:val="1"/>
                <w:color w:val="auto"/>
                <w:w w:val="92"/>
              </w:rPr>
              <w:t>December 31,</w:t>
            </w:r>
          </w:p>
        </w:tc>
        <w:tc>
          <w:tcPr>
            <w:tcW w:w="1120" w:type="dxa"/>
            <w:vAlign w:val="bottom"/>
            <w:gridSpan w:val="3"/>
          </w:tcPr>
          <w:p>
            <w:pPr>
              <w:jc w:val="right"/>
              <w:ind w:right="260"/>
              <w:spacing w:after="0"/>
              <w:rPr>
                <w:sz w:val="20"/>
                <w:szCs w:val="20"/>
                <w:color w:val="auto"/>
              </w:rPr>
            </w:pPr>
            <w:r>
              <w:rPr>
                <w:rFonts w:ascii="Arial" w:cs="Arial" w:eastAsia="Arial" w:hAnsi="Arial"/>
                <w:sz w:val="14"/>
                <w:szCs w:val="14"/>
                <w:b w:val="1"/>
                <w:bCs w:val="1"/>
                <w:color w:val="auto"/>
                <w:w w:val="92"/>
              </w:rPr>
              <w:t>December 31,</w:t>
            </w:r>
          </w:p>
        </w:tc>
        <w:tc>
          <w:tcPr>
            <w:tcW w:w="0" w:type="dxa"/>
            <w:vAlign w:val="bottom"/>
          </w:tcPr>
          <w:p>
            <w:pPr>
              <w:spacing w:after="0"/>
              <w:rPr>
                <w:sz w:val="1"/>
                <w:szCs w:val="1"/>
                <w:color w:val="auto"/>
              </w:rPr>
            </w:pPr>
          </w:p>
        </w:tc>
      </w:tr>
      <w:tr>
        <w:trPr>
          <w:trHeight w:val="161"/>
        </w:trPr>
        <w:tc>
          <w:tcPr>
            <w:tcW w:w="460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jc w:val="right"/>
              <w:ind w:right="256"/>
              <w:spacing w:after="0"/>
              <w:rPr>
                <w:sz w:val="20"/>
                <w:szCs w:val="20"/>
                <w:color w:val="auto"/>
              </w:rPr>
            </w:pPr>
            <w:r>
              <w:rPr>
                <w:rFonts w:ascii="Arial" w:cs="Arial" w:eastAsia="Arial" w:hAnsi="Arial"/>
                <w:sz w:val="14"/>
                <w:szCs w:val="14"/>
                <w:b w:val="1"/>
                <w:bCs w:val="1"/>
                <w:color w:val="auto"/>
              </w:rPr>
              <w:t>2010</w:t>
            </w: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jc w:val="right"/>
              <w:ind w:right="254"/>
              <w:spacing w:after="0"/>
              <w:rPr>
                <w:sz w:val="20"/>
                <w:szCs w:val="20"/>
                <w:color w:val="auto"/>
              </w:rPr>
            </w:pPr>
            <w:r>
              <w:rPr>
                <w:rFonts w:ascii="Arial" w:cs="Arial" w:eastAsia="Arial" w:hAnsi="Arial"/>
                <w:sz w:val="14"/>
                <w:szCs w:val="14"/>
                <w:b w:val="1"/>
                <w:bCs w:val="1"/>
                <w:color w:val="auto"/>
                <w:w w:val="83"/>
              </w:rPr>
              <w:t>2009</w:t>
            </w: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46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40" w:type="dxa"/>
            <w:vAlign w:val="bottom"/>
          </w:tcPr>
          <w:p>
            <w:pPr>
              <w:jc w:val="right"/>
              <w:ind w:right="96"/>
              <w:spacing w:after="0" w:line="142" w:lineRule="exact"/>
              <w:rPr>
                <w:sz w:val="20"/>
                <w:szCs w:val="20"/>
                <w:color w:val="auto"/>
              </w:rPr>
            </w:pPr>
            <w:r>
              <w:rPr>
                <w:rFonts w:ascii="Arial" w:cs="Arial" w:eastAsia="Arial" w:hAnsi="Arial"/>
                <w:sz w:val="14"/>
                <w:szCs w:val="14"/>
                <w:b w:val="1"/>
                <w:bCs w:val="1"/>
                <w:color w:val="auto"/>
              </w:rPr>
              <w:t>(In</w:t>
            </w:r>
          </w:p>
        </w:tc>
        <w:tc>
          <w:tcPr>
            <w:tcW w:w="500" w:type="dxa"/>
            <w:vAlign w:val="bottom"/>
            <w:gridSpan w:val="3"/>
          </w:tcPr>
          <w:p>
            <w:pPr>
              <w:jc w:val="right"/>
              <w:spacing w:after="0"/>
              <w:rPr>
                <w:sz w:val="20"/>
                <w:szCs w:val="20"/>
                <w:color w:val="auto"/>
              </w:rPr>
            </w:pPr>
            <w:r>
              <w:rPr>
                <w:rFonts w:ascii="Arial" w:cs="Arial" w:eastAsia="Arial" w:hAnsi="Arial"/>
                <w:sz w:val="12"/>
                <w:szCs w:val="12"/>
                <w:b w:val="1"/>
                <w:bCs w:val="1"/>
                <w:color w:val="auto"/>
                <w:w w:val="74"/>
              </w:rPr>
              <w:t>thousands)</w:t>
            </w:r>
          </w:p>
        </w:tc>
        <w:tc>
          <w:tcPr>
            <w:tcW w:w="6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4600" w:type="dxa"/>
            <w:vAlign w:val="bottom"/>
            <w:shd w:val="clear" w:color="auto" w:fill="CCEEFF"/>
          </w:tcPr>
          <w:p>
            <w:pPr>
              <w:spacing w:after="0"/>
              <w:rPr>
                <w:sz w:val="20"/>
                <w:szCs w:val="20"/>
                <w:color w:val="auto"/>
              </w:rPr>
            </w:pPr>
            <w:r>
              <w:rPr>
                <w:rFonts w:ascii="Arial" w:cs="Arial" w:eastAsia="Arial" w:hAnsi="Arial"/>
                <w:sz w:val="18"/>
                <w:szCs w:val="18"/>
                <w:color w:val="auto"/>
              </w:rPr>
              <w:t>Laboratory Equipment</w:t>
            </w:r>
          </w:p>
        </w:tc>
        <w:tc>
          <w:tcPr>
            <w:tcW w:w="220" w:type="dxa"/>
            <w:vAlign w:val="bottom"/>
            <w:shd w:val="clear" w:color="auto" w:fill="CCEEFF"/>
          </w:tcPr>
          <w:p>
            <w:pPr>
              <w:jc w:val="right"/>
              <w:ind w:right="39"/>
              <w:spacing w:after="0"/>
              <w:rPr>
                <w:sz w:val="20"/>
                <w:szCs w:val="20"/>
                <w:color w:val="auto"/>
              </w:rPr>
            </w:pPr>
            <w:r>
              <w:rPr>
                <w:rFonts w:ascii="Arial" w:cs="Arial" w:eastAsia="Arial" w:hAnsi="Arial"/>
                <w:sz w:val="18"/>
                <w:szCs w:val="18"/>
                <w:color w:val="auto"/>
                <w:w w:val="79"/>
              </w:rPr>
              <w:t>$</w:t>
            </w:r>
          </w:p>
        </w:tc>
        <w:tc>
          <w:tcPr>
            <w:tcW w:w="7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2,942</w:t>
            </w:r>
          </w:p>
        </w:tc>
        <w:tc>
          <w:tcPr>
            <w:tcW w:w="140" w:type="dxa"/>
            <w:vAlign w:val="bottom"/>
            <w:shd w:val="clear" w:color="auto" w:fill="CCEEFF"/>
          </w:tcPr>
          <w:p>
            <w:pPr>
              <w:spacing w:after="0"/>
              <w:rPr>
                <w:sz w:val="18"/>
                <w:szCs w:val="18"/>
                <w:color w:val="auto"/>
              </w:rPr>
            </w:pPr>
          </w:p>
        </w:tc>
        <w:tc>
          <w:tcPr>
            <w:tcW w:w="340" w:type="dxa"/>
            <w:vAlign w:val="bottom"/>
            <w:shd w:val="clear" w:color="auto" w:fill="CCEEFF"/>
          </w:tcPr>
          <w:p>
            <w:pPr>
              <w:jc w:val="right"/>
              <w:ind w:right="159"/>
              <w:spacing w:after="0"/>
              <w:rPr>
                <w:sz w:val="20"/>
                <w:szCs w:val="20"/>
                <w:color w:val="auto"/>
              </w:rPr>
            </w:pPr>
            <w:r>
              <w:rPr>
                <w:rFonts w:ascii="Arial" w:cs="Arial" w:eastAsia="Arial" w:hAnsi="Arial"/>
                <w:sz w:val="18"/>
                <w:szCs w:val="18"/>
                <w:color w:val="auto"/>
                <w:w w:val="79"/>
              </w:rPr>
              <w:t>$</w:t>
            </w:r>
          </w:p>
        </w:tc>
        <w:tc>
          <w:tcPr>
            <w:tcW w:w="7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2,643</w:t>
            </w:r>
          </w:p>
        </w:tc>
        <w:tc>
          <w:tcPr>
            <w:tcW w:w="0" w:type="dxa"/>
            <w:vAlign w:val="bottom"/>
          </w:tcPr>
          <w:p>
            <w:pPr>
              <w:spacing w:after="0"/>
              <w:rPr>
                <w:sz w:val="1"/>
                <w:szCs w:val="1"/>
                <w:color w:val="auto"/>
              </w:rPr>
            </w:pPr>
          </w:p>
        </w:tc>
      </w:tr>
      <w:tr>
        <w:trPr>
          <w:trHeight w:val="216"/>
        </w:trPr>
        <w:tc>
          <w:tcPr>
            <w:tcW w:w="4600" w:type="dxa"/>
            <w:vAlign w:val="bottom"/>
          </w:tcPr>
          <w:p>
            <w:pPr>
              <w:spacing w:after="0"/>
              <w:rPr>
                <w:sz w:val="20"/>
                <w:szCs w:val="20"/>
                <w:color w:val="auto"/>
              </w:rPr>
            </w:pPr>
            <w:r>
              <w:rPr>
                <w:rFonts w:ascii="Arial" w:cs="Arial" w:eastAsia="Arial" w:hAnsi="Arial"/>
                <w:sz w:val="18"/>
                <w:szCs w:val="18"/>
                <w:color w:val="auto"/>
              </w:rPr>
              <w:t>Manufacturing Equipment</w:t>
            </w:r>
          </w:p>
        </w:tc>
        <w:tc>
          <w:tcPr>
            <w:tcW w:w="220" w:type="dxa"/>
            <w:vAlign w:val="bottom"/>
          </w:tcPr>
          <w:p>
            <w:pPr>
              <w:spacing w:after="0"/>
              <w:rPr>
                <w:sz w:val="18"/>
                <w:szCs w:val="18"/>
                <w:color w:val="auto"/>
              </w:rPr>
            </w:pPr>
          </w:p>
        </w:tc>
        <w:tc>
          <w:tcPr>
            <w:tcW w:w="760" w:type="dxa"/>
            <w:vAlign w:val="bottom"/>
            <w:gridSpan w:val="2"/>
          </w:tcPr>
          <w:p>
            <w:pPr>
              <w:jc w:val="right"/>
              <w:spacing w:after="0"/>
              <w:rPr>
                <w:sz w:val="20"/>
                <w:szCs w:val="20"/>
                <w:color w:val="auto"/>
              </w:rPr>
            </w:pPr>
            <w:r>
              <w:rPr>
                <w:rFonts w:ascii="Arial" w:cs="Arial" w:eastAsia="Arial" w:hAnsi="Arial"/>
                <w:sz w:val="18"/>
                <w:szCs w:val="18"/>
                <w:color w:val="auto"/>
              </w:rPr>
              <w:t>1,418</w:t>
            </w:r>
          </w:p>
        </w:tc>
        <w:tc>
          <w:tcPr>
            <w:tcW w:w="1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80" w:type="dxa"/>
            <w:vAlign w:val="bottom"/>
            <w:gridSpan w:val="2"/>
          </w:tcPr>
          <w:p>
            <w:pPr>
              <w:jc w:val="right"/>
              <w:ind w:right="160"/>
              <w:spacing w:after="0"/>
              <w:rPr>
                <w:sz w:val="20"/>
                <w:szCs w:val="20"/>
                <w:color w:val="auto"/>
              </w:rPr>
            </w:pPr>
            <w:r>
              <w:rPr>
                <w:rFonts w:ascii="Arial" w:cs="Arial" w:eastAsia="Arial" w:hAnsi="Arial"/>
                <w:sz w:val="18"/>
                <w:szCs w:val="18"/>
                <w:color w:val="auto"/>
              </w:rPr>
              <w:t>1,622</w:t>
            </w:r>
          </w:p>
        </w:tc>
        <w:tc>
          <w:tcPr>
            <w:tcW w:w="0" w:type="dxa"/>
            <w:vAlign w:val="bottom"/>
          </w:tcPr>
          <w:p>
            <w:pPr>
              <w:spacing w:after="0"/>
              <w:rPr>
                <w:sz w:val="1"/>
                <w:szCs w:val="1"/>
                <w:color w:val="auto"/>
              </w:rPr>
            </w:pPr>
          </w:p>
        </w:tc>
      </w:tr>
      <w:tr>
        <w:trPr>
          <w:trHeight w:val="216"/>
        </w:trPr>
        <w:tc>
          <w:tcPr>
            <w:tcW w:w="4600" w:type="dxa"/>
            <w:vAlign w:val="bottom"/>
            <w:shd w:val="clear" w:color="auto" w:fill="CCEEFF"/>
          </w:tcPr>
          <w:p>
            <w:pPr>
              <w:spacing w:after="0"/>
              <w:rPr>
                <w:sz w:val="20"/>
                <w:szCs w:val="20"/>
                <w:color w:val="auto"/>
              </w:rPr>
            </w:pPr>
            <w:r>
              <w:rPr>
                <w:rFonts w:ascii="Arial" w:cs="Arial" w:eastAsia="Arial" w:hAnsi="Arial"/>
                <w:sz w:val="18"/>
                <w:szCs w:val="18"/>
                <w:color w:val="auto"/>
              </w:rPr>
              <w:t>Office Furniture and Equipment</w:t>
            </w:r>
          </w:p>
        </w:tc>
        <w:tc>
          <w:tcPr>
            <w:tcW w:w="22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1,299</w:t>
            </w:r>
          </w:p>
        </w:tc>
        <w:tc>
          <w:tcPr>
            <w:tcW w:w="1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1,165</w:t>
            </w:r>
          </w:p>
        </w:tc>
        <w:tc>
          <w:tcPr>
            <w:tcW w:w="0" w:type="dxa"/>
            <w:vAlign w:val="bottom"/>
          </w:tcPr>
          <w:p>
            <w:pPr>
              <w:spacing w:after="0"/>
              <w:rPr>
                <w:sz w:val="1"/>
                <w:szCs w:val="1"/>
                <w:color w:val="auto"/>
              </w:rPr>
            </w:pPr>
          </w:p>
        </w:tc>
      </w:tr>
      <w:tr>
        <w:trPr>
          <w:trHeight w:val="216"/>
        </w:trPr>
        <w:tc>
          <w:tcPr>
            <w:tcW w:w="4600" w:type="dxa"/>
            <w:vAlign w:val="bottom"/>
          </w:tcPr>
          <w:p>
            <w:pPr>
              <w:spacing w:after="0"/>
              <w:rPr>
                <w:sz w:val="20"/>
                <w:szCs w:val="20"/>
                <w:color w:val="auto"/>
              </w:rPr>
            </w:pPr>
            <w:r>
              <w:rPr>
                <w:rFonts w:ascii="Arial" w:cs="Arial" w:eastAsia="Arial" w:hAnsi="Arial"/>
                <w:sz w:val="18"/>
                <w:szCs w:val="18"/>
                <w:color w:val="auto"/>
              </w:rPr>
              <w:t>Leasehold Improvements</w:t>
            </w:r>
          </w:p>
        </w:tc>
        <w:tc>
          <w:tcPr>
            <w:tcW w:w="220" w:type="dxa"/>
            <w:vAlign w:val="bottom"/>
          </w:tcPr>
          <w:p>
            <w:pPr>
              <w:spacing w:after="0"/>
              <w:rPr>
                <w:sz w:val="18"/>
                <w:szCs w:val="18"/>
                <w:color w:val="auto"/>
              </w:rPr>
            </w:pPr>
          </w:p>
        </w:tc>
        <w:tc>
          <w:tcPr>
            <w:tcW w:w="760" w:type="dxa"/>
            <w:vAlign w:val="bottom"/>
            <w:gridSpan w:val="2"/>
          </w:tcPr>
          <w:p>
            <w:pPr>
              <w:jc w:val="right"/>
              <w:spacing w:after="0"/>
              <w:rPr>
                <w:sz w:val="20"/>
                <w:szCs w:val="20"/>
                <w:color w:val="auto"/>
              </w:rPr>
            </w:pPr>
            <w:r>
              <w:rPr>
                <w:rFonts w:ascii="Arial" w:cs="Arial" w:eastAsia="Arial" w:hAnsi="Arial"/>
                <w:sz w:val="18"/>
                <w:szCs w:val="18"/>
                <w:color w:val="auto"/>
              </w:rPr>
              <w:t>13,244</w:t>
            </w:r>
          </w:p>
        </w:tc>
        <w:tc>
          <w:tcPr>
            <w:tcW w:w="1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80" w:type="dxa"/>
            <w:vAlign w:val="bottom"/>
            <w:gridSpan w:val="2"/>
          </w:tcPr>
          <w:p>
            <w:pPr>
              <w:jc w:val="right"/>
              <w:ind w:right="160"/>
              <w:spacing w:after="0"/>
              <w:rPr>
                <w:sz w:val="20"/>
                <w:szCs w:val="20"/>
                <w:color w:val="auto"/>
              </w:rPr>
            </w:pPr>
            <w:r>
              <w:rPr>
                <w:rFonts w:ascii="Arial" w:cs="Arial" w:eastAsia="Arial" w:hAnsi="Arial"/>
                <w:sz w:val="18"/>
                <w:szCs w:val="18"/>
                <w:color w:val="auto"/>
              </w:rPr>
              <w:t>12,601</w:t>
            </w:r>
          </w:p>
        </w:tc>
        <w:tc>
          <w:tcPr>
            <w:tcW w:w="0" w:type="dxa"/>
            <w:vAlign w:val="bottom"/>
          </w:tcPr>
          <w:p>
            <w:pPr>
              <w:spacing w:after="0"/>
              <w:rPr>
                <w:sz w:val="1"/>
                <w:szCs w:val="1"/>
                <w:color w:val="auto"/>
              </w:rPr>
            </w:pPr>
          </w:p>
        </w:tc>
      </w:tr>
      <w:tr>
        <w:trPr>
          <w:trHeight w:val="216"/>
        </w:trPr>
        <w:tc>
          <w:tcPr>
            <w:tcW w:w="4600" w:type="dxa"/>
            <w:vAlign w:val="bottom"/>
            <w:shd w:val="clear" w:color="auto" w:fill="CCEEFF"/>
          </w:tcPr>
          <w:p>
            <w:pPr>
              <w:spacing w:after="0"/>
              <w:rPr>
                <w:sz w:val="20"/>
                <w:szCs w:val="20"/>
                <w:color w:val="auto"/>
              </w:rPr>
            </w:pPr>
            <w:r>
              <w:rPr>
                <w:rFonts w:ascii="Arial" w:cs="Arial" w:eastAsia="Arial" w:hAnsi="Arial"/>
                <w:sz w:val="18"/>
                <w:szCs w:val="18"/>
                <w:color w:val="auto"/>
              </w:rPr>
              <w:t>Construction in Progress</w:t>
            </w:r>
          </w:p>
        </w:tc>
        <w:tc>
          <w:tcPr>
            <w:tcW w:w="22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703</w:t>
            </w:r>
          </w:p>
        </w:tc>
        <w:tc>
          <w:tcPr>
            <w:tcW w:w="1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180</w:t>
            </w:r>
          </w:p>
        </w:tc>
        <w:tc>
          <w:tcPr>
            <w:tcW w:w="0" w:type="dxa"/>
            <w:vAlign w:val="bottom"/>
          </w:tcPr>
          <w:p>
            <w:pPr>
              <w:spacing w:after="0"/>
              <w:rPr>
                <w:sz w:val="1"/>
                <w:szCs w:val="1"/>
                <w:color w:val="auto"/>
              </w:rPr>
            </w:pPr>
          </w:p>
        </w:tc>
      </w:tr>
      <w:tr>
        <w:trPr>
          <w:trHeight w:val="27"/>
        </w:trPr>
        <w:tc>
          <w:tcPr>
            <w:tcW w:w="4600" w:type="dxa"/>
            <w:vAlign w:val="bottom"/>
            <w:vMerge w:val="restart"/>
          </w:tcPr>
          <w:p>
            <w:pPr>
              <w:ind w:left="120"/>
              <w:spacing w:after="0"/>
              <w:rPr>
                <w:sz w:val="20"/>
                <w:szCs w:val="20"/>
                <w:color w:val="auto"/>
              </w:rPr>
            </w:pPr>
            <w:r>
              <w:rPr>
                <w:rFonts w:ascii="Arial" w:cs="Arial" w:eastAsia="Arial" w:hAnsi="Arial"/>
                <w:sz w:val="18"/>
                <w:szCs w:val="18"/>
                <w:color w:val="auto"/>
              </w:rPr>
              <w:t>Total Property and Equipment</w:t>
            </w:r>
          </w:p>
        </w:tc>
        <w:tc>
          <w:tcPr>
            <w:tcW w:w="220" w:type="dxa"/>
            <w:vAlign w:val="bottom"/>
          </w:tcPr>
          <w:p>
            <w:pPr>
              <w:spacing w:after="0"/>
              <w:rPr>
                <w:sz w:val="2"/>
                <w:szCs w:val="2"/>
                <w:color w:val="auto"/>
              </w:rPr>
            </w:pPr>
          </w:p>
        </w:tc>
        <w:tc>
          <w:tcPr>
            <w:tcW w:w="760" w:type="dxa"/>
            <w:vAlign w:val="bottom"/>
            <w:gridSpan w:val="2"/>
          </w:tcPr>
          <w:p>
            <w:pPr>
              <w:spacing w:after="0"/>
              <w:rPr>
                <w:sz w:val="2"/>
                <w:szCs w:val="2"/>
                <w:color w:val="auto"/>
              </w:rPr>
            </w:pPr>
          </w:p>
        </w:tc>
        <w:tc>
          <w:tcPr>
            <w:tcW w:w="140" w:type="dxa"/>
            <w:vAlign w:val="bottom"/>
          </w:tcPr>
          <w:p>
            <w:pPr>
              <w:spacing w:after="0"/>
              <w:rPr>
                <w:sz w:val="2"/>
                <w:szCs w:val="2"/>
                <w:color w:val="auto"/>
              </w:rPr>
            </w:pPr>
          </w:p>
        </w:tc>
        <w:tc>
          <w:tcPr>
            <w:tcW w:w="340" w:type="dxa"/>
            <w:vAlign w:val="bottom"/>
          </w:tcPr>
          <w:p>
            <w:pPr>
              <w:spacing w:after="0"/>
              <w:rPr>
                <w:sz w:val="2"/>
                <w:szCs w:val="2"/>
                <w:color w:val="auto"/>
              </w:rPr>
            </w:pPr>
          </w:p>
        </w:tc>
        <w:tc>
          <w:tcPr>
            <w:tcW w:w="780" w:type="dxa"/>
            <w:vAlign w:val="bottom"/>
            <w:gridSpan w:val="2"/>
          </w:tcPr>
          <w:p>
            <w:pPr>
              <w:spacing w:after="0"/>
              <w:rPr>
                <w:sz w:val="2"/>
                <w:szCs w:val="2"/>
                <w:color w:val="auto"/>
              </w:rPr>
            </w:pPr>
          </w:p>
        </w:tc>
        <w:tc>
          <w:tcPr>
            <w:tcW w:w="0" w:type="dxa"/>
            <w:vAlign w:val="bottom"/>
          </w:tcPr>
          <w:p>
            <w:pPr>
              <w:spacing w:after="0"/>
              <w:rPr>
                <w:sz w:val="1"/>
                <w:szCs w:val="1"/>
                <w:color w:val="auto"/>
              </w:rPr>
            </w:pPr>
          </w:p>
        </w:tc>
      </w:tr>
      <w:tr>
        <w:trPr>
          <w:trHeight w:val="210"/>
        </w:trPr>
        <w:tc>
          <w:tcPr>
            <w:tcW w:w="4600" w:type="dxa"/>
            <w:vAlign w:val="bottom"/>
            <w:vMerge w:val="continue"/>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7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19,606</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40" w:type="dxa"/>
            <w:vAlign w:val="bottom"/>
            <w:tcBorders>
              <w:top w:val="single" w:sz="8" w:color="auto"/>
            </w:tcBorders>
          </w:tcPr>
          <w:p>
            <w:pPr>
              <w:spacing w:after="0"/>
              <w:rPr>
                <w:sz w:val="18"/>
                <w:szCs w:val="18"/>
                <w:color w:val="auto"/>
              </w:rPr>
            </w:pPr>
          </w:p>
        </w:tc>
        <w:tc>
          <w:tcPr>
            <w:tcW w:w="6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18,211</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00" w:type="dxa"/>
            <w:vAlign w:val="bottom"/>
            <w:shd w:val="clear" w:color="auto" w:fill="CCEEFF"/>
          </w:tcPr>
          <w:p>
            <w:pPr>
              <w:spacing w:after="0"/>
              <w:rPr>
                <w:sz w:val="20"/>
                <w:szCs w:val="20"/>
                <w:color w:val="auto"/>
              </w:rPr>
            </w:pPr>
            <w:r>
              <w:rPr>
                <w:rFonts w:ascii="Arial" w:cs="Arial" w:eastAsia="Arial" w:hAnsi="Arial"/>
                <w:sz w:val="18"/>
                <w:szCs w:val="18"/>
                <w:color w:val="auto"/>
              </w:rPr>
              <w:t>Less Accumulated Depreciation and Amortization</w:t>
            </w:r>
          </w:p>
        </w:tc>
        <w:tc>
          <w:tcPr>
            <w:tcW w:w="220" w:type="dxa"/>
            <w:vAlign w:val="bottom"/>
            <w:shd w:val="clear" w:color="auto" w:fill="CCEEFF"/>
          </w:tcPr>
          <w:p>
            <w:pPr>
              <w:spacing w:after="0"/>
              <w:rPr>
                <w:sz w:val="18"/>
                <w:szCs w:val="18"/>
                <w:color w:val="auto"/>
              </w:rPr>
            </w:pPr>
          </w:p>
        </w:tc>
        <w:tc>
          <w:tcPr>
            <w:tcW w:w="90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(8,774)</w:t>
            </w:r>
          </w:p>
        </w:tc>
        <w:tc>
          <w:tcPr>
            <w:tcW w:w="34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(6,722)</w:t>
            </w:r>
          </w:p>
        </w:tc>
        <w:tc>
          <w:tcPr>
            <w:tcW w:w="0" w:type="dxa"/>
            <w:vAlign w:val="bottom"/>
          </w:tcPr>
          <w:p>
            <w:pPr>
              <w:spacing w:after="0"/>
              <w:rPr>
                <w:sz w:val="1"/>
                <w:szCs w:val="1"/>
                <w:color w:val="auto"/>
              </w:rPr>
            </w:pPr>
          </w:p>
        </w:tc>
      </w:tr>
      <w:tr>
        <w:trPr>
          <w:trHeight w:val="27"/>
        </w:trPr>
        <w:tc>
          <w:tcPr>
            <w:tcW w:w="4600" w:type="dxa"/>
            <w:vAlign w:val="bottom"/>
          </w:tcPr>
          <w:p>
            <w:pPr>
              <w:spacing w:after="0"/>
              <w:rPr>
                <w:sz w:val="2"/>
                <w:szCs w:val="2"/>
                <w:color w:val="auto"/>
              </w:rPr>
            </w:pPr>
          </w:p>
        </w:tc>
        <w:tc>
          <w:tcPr>
            <w:tcW w:w="220" w:type="dxa"/>
            <w:vAlign w:val="bottom"/>
          </w:tcPr>
          <w:p>
            <w:pPr>
              <w:spacing w:after="0"/>
              <w:rPr>
                <w:sz w:val="2"/>
                <w:szCs w:val="2"/>
                <w:color w:val="auto"/>
              </w:rPr>
            </w:pPr>
          </w:p>
        </w:tc>
        <w:tc>
          <w:tcPr>
            <w:tcW w:w="760" w:type="dxa"/>
            <w:vAlign w:val="bottom"/>
            <w:gridSpan w:val="2"/>
          </w:tcPr>
          <w:p>
            <w:pPr>
              <w:spacing w:after="0"/>
              <w:rPr>
                <w:sz w:val="2"/>
                <w:szCs w:val="2"/>
                <w:color w:val="auto"/>
              </w:rPr>
            </w:pPr>
          </w:p>
        </w:tc>
        <w:tc>
          <w:tcPr>
            <w:tcW w:w="140" w:type="dxa"/>
            <w:vAlign w:val="bottom"/>
          </w:tcPr>
          <w:p>
            <w:pPr>
              <w:spacing w:after="0"/>
              <w:rPr>
                <w:sz w:val="2"/>
                <w:szCs w:val="2"/>
                <w:color w:val="auto"/>
              </w:rPr>
            </w:pPr>
          </w:p>
        </w:tc>
        <w:tc>
          <w:tcPr>
            <w:tcW w:w="340" w:type="dxa"/>
            <w:vAlign w:val="bottom"/>
          </w:tcPr>
          <w:p>
            <w:pPr>
              <w:spacing w:after="0"/>
              <w:rPr>
                <w:sz w:val="2"/>
                <w:szCs w:val="2"/>
                <w:color w:val="auto"/>
              </w:rPr>
            </w:pPr>
          </w:p>
        </w:tc>
        <w:tc>
          <w:tcPr>
            <w:tcW w:w="780" w:type="dxa"/>
            <w:vAlign w:val="bottom"/>
            <w:gridSpan w:val="2"/>
          </w:tcPr>
          <w:p>
            <w:pPr>
              <w:spacing w:after="0"/>
              <w:rPr>
                <w:sz w:val="2"/>
                <w:szCs w:val="2"/>
                <w:color w:val="auto"/>
              </w:rPr>
            </w:pPr>
          </w:p>
        </w:tc>
        <w:tc>
          <w:tcPr>
            <w:tcW w:w="0" w:type="dxa"/>
            <w:vAlign w:val="bottom"/>
          </w:tcPr>
          <w:p>
            <w:pPr>
              <w:spacing w:after="0"/>
              <w:rPr>
                <w:sz w:val="1"/>
                <w:szCs w:val="1"/>
                <w:color w:val="auto"/>
              </w:rPr>
            </w:pPr>
          </w:p>
        </w:tc>
      </w:tr>
      <w:tr>
        <w:trPr>
          <w:trHeight w:val="216"/>
        </w:trPr>
        <w:tc>
          <w:tcPr>
            <w:tcW w:w="4600" w:type="dxa"/>
            <w:vAlign w:val="bottom"/>
          </w:tcPr>
          <w:p>
            <w:pPr>
              <w:spacing w:after="0"/>
              <w:rPr>
                <w:sz w:val="18"/>
                <w:szCs w:val="18"/>
                <w:color w:val="auto"/>
              </w:rPr>
            </w:pPr>
          </w:p>
        </w:tc>
        <w:tc>
          <w:tcPr>
            <w:tcW w:w="220" w:type="dxa"/>
            <w:vAlign w:val="bottom"/>
            <w:tcBorders>
              <w:top w:val="single" w:sz="8" w:color="auto"/>
            </w:tcBorders>
          </w:tcPr>
          <w:p>
            <w:pPr>
              <w:jc w:val="right"/>
              <w:ind w:right="39"/>
              <w:spacing w:after="0"/>
              <w:rPr>
                <w:sz w:val="20"/>
                <w:szCs w:val="20"/>
                <w:color w:val="auto"/>
              </w:rPr>
            </w:pPr>
            <w:r>
              <w:rPr>
                <w:rFonts w:ascii="Arial" w:cs="Arial" w:eastAsia="Arial" w:hAnsi="Arial"/>
                <w:sz w:val="18"/>
                <w:szCs w:val="18"/>
                <w:color w:val="auto"/>
                <w:w w:val="79"/>
              </w:rPr>
              <w:t>$</w:t>
            </w:r>
          </w:p>
        </w:tc>
        <w:tc>
          <w:tcPr>
            <w:tcW w:w="7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10,832</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40" w:type="dxa"/>
            <w:vAlign w:val="bottom"/>
            <w:tcBorders>
              <w:top w:val="single" w:sz="8" w:color="auto"/>
            </w:tcBorders>
          </w:tcPr>
          <w:p>
            <w:pPr>
              <w:jc w:val="right"/>
              <w:ind w:right="159"/>
              <w:spacing w:after="0"/>
              <w:rPr>
                <w:sz w:val="20"/>
                <w:szCs w:val="20"/>
                <w:color w:val="auto"/>
              </w:rPr>
            </w:pPr>
            <w:r>
              <w:rPr>
                <w:rFonts w:ascii="Arial" w:cs="Arial" w:eastAsia="Arial" w:hAnsi="Arial"/>
                <w:sz w:val="18"/>
                <w:szCs w:val="18"/>
                <w:color w:val="auto"/>
                <w:w w:val="79"/>
              </w:rPr>
              <w:t>$</w:t>
            </w:r>
          </w:p>
        </w:tc>
        <w:tc>
          <w:tcPr>
            <w:tcW w:w="6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11,489</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46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
        </w:trPr>
        <w:tc>
          <w:tcPr>
            <w:tcW w:w="46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8" w:lineRule="exact"/>
        <w:rPr>
          <w:sz w:val="20"/>
          <w:szCs w:val="20"/>
          <w:color w:val="auto"/>
        </w:rPr>
      </w:pPr>
    </w:p>
    <w:p>
      <w:pPr>
        <w:ind w:right="40" w:firstLine="351"/>
        <w:spacing w:after="0" w:line="268" w:lineRule="auto"/>
        <w:rPr>
          <w:sz w:val="20"/>
          <w:szCs w:val="20"/>
          <w:color w:val="auto"/>
        </w:rPr>
      </w:pPr>
      <w:r>
        <w:rPr>
          <w:rFonts w:ascii="Arial" w:cs="Arial" w:eastAsia="Arial" w:hAnsi="Arial"/>
          <w:sz w:val="18"/>
          <w:szCs w:val="18"/>
          <w:color w:val="auto"/>
        </w:rPr>
        <w:t>Depreciation and amortization expense related to property and equipment was $2.7 million, $2.6 million and $2.2 million for the years ended December 31, 2010, 2009 and 2008, respectively.</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(7) INTANGIBLE ASSETS AND GOODWILL</w:t>
      </w:r>
    </w:p>
    <w:p>
      <w:pPr>
        <w:spacing w:after="0" w:line="231" w:lineRule="exact"/>
        <w:rPr>
          <w:sz w:val="20"/>
          <w:szCs w:val="20"/>
          <w:color w:val="auto"/>
        </w:rPr>
      </w:pPr>
    </w:p>
    <w:p>
      <w:pPr>
        <w:ind w:left="360"/>
        <w:spacing w:after="0"/>
        <w:rPr>
          <w:sz w:val="20"/>
          <w:szCs w:val="20"/>
          <w:color w:val="auto"/>
        </w:rPr>
      </w:pPr>
      <w:r>
        <w:rPr>
          <w:rFonts w:ascii="Arial" w:cs="Arial" w:eastAsia="Arial" w:hAnsi="Arial"/>
          <w:sz w:val="18"/>
          <w:szCs w:val="18"/>
          <w:color w:val="auto"/>
        </w:rPr>
        <w:t>Intangible assets, net of accumulated amortization, and goodwill are as follows:</w:t>
      </w:r>
    </w:p>
    <w:p>
      <w:pPr>
        <w:spacing w:after="0" w:line="275" w:lineRule="exact"/>
        <w:rPr>
          <w:sz w:val="20"/>
          <w:szCs w:val="20"/>
          <w:color w:val="auto"/>
        </w:rPr>
      </w:pPr>
    </w:p>
    <w:tbl>
      <w:tblPr>
        <w:tblLayout w:type="fixed"/>
        <w:tblInd w:w="114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0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16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w w:val="85"/>
              </w:rPr>
              <w:t>December 31, 2010</w:t>
            </w:r>
          </w:p>
        </w:tc>
        <w:tc>
          <w:tcPr>
            <w:tcW w:w="50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spacing w:after="0"/>
              <w:rPr>
                <w:sz w:val="14"/>
                <w:szCs w:val="14"/>
                <w:color w:val="auto"/>
              </w:rPr>
            </w:pPr>
          </w:p>
        </w:tc>
        <w:tc>
          <w:tcPr>
            <w:tcW w:w="1200" w:type="dxa"/>
            <w:vAlign w:val="bottom"/>
            <w:tcBorders>
              <w:bottom w:val="single" w:sz="8" w:color="auto"/>
            </w:tcBorders>
            <w:gridSpan w:val="4"/>
          </w:tcPr>
          <w:p>
            <w:pPr>
              <w:jc w:val="right"/>
              <w:ind w:right="40"/>
              <w:spacing w:after="0"/>
              <w:rPr>
                <w:sz w:val="20"/>
                <w:szCs w:val="20"/>
                <w:color w:val="auto"/>
              </w:rPr>
            </w:pPr>
            <w:r>
              <w:rPr>
                <w:rFonts w:ascii="Arial" w:cs="Arial" w:eastAsia="Arial" w:hAnsi="Arial"/>
                <w:sz w:val="14"/>
                <w:szCs w:val="14"/>
                <w:b w:val="1"/>
                <w:bCs w:val="1"/>
                <w:color w:val="auto"/>
                <w:w w:val="90"/>
              </w:rPr>
              <w:t>December 31, 2009</w:t>
            </w:r>
          </w:p>
        </w:tc>
        <w:tc>
          <w:tcPr>
            <w:tcW w:w="4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r>
      <w:tr>
        <w:trPr>
          <w:trHeight w:val="129"/>
        </w:trPr>
        <w:tc>
          <w:tcPr>
            <w:tcW w:w="20" w:type="dxa"/>
            <w:vAlign w:val="bottom"/>
          </w:tcPr>
          <w:p>
            <w:pPr>
              <w:spacing w:after="0"/>
              <w:rPr>
                <w:sz w:val="11"/>
                <w:szCs w:val="11"/>
                <w:color w:val="auto"/>
              </w:rPr>
            </w:pPr>
          </w:p>
        </w:tc>
        <w:tc>
          <w:tcPr>
            <w:tcW w:w="22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00" w:type="dxa"/>
            <w:vAlign w:val="bottom"/>
          </w:tcPr>
          <w:p>
            <w:pPr>
              <w:jc w:val="center"/>
              <w:spacing w:after="0" w:line="129" w:lineRule="exact"/>
              <w:rPr>
                <w:sz w:val="20"/>
                <w:szCs w:val="20"/>
                <w:color w:val="auto"/>
              </w:rPr>
            </w:pPr>
            <w:r>
              <w:rPr>
                <w:rFonts w:ascii="Arial" w:cs="Arial" w:eastAsia="Arial" w:hAnsi="Arial"/>
                <w:sz w:val="14"/>
                <w:szCs w:val="14"/>
                <w:b w:val="1"/>
                <w:bCs w:val="1"/>
                <w:color w:val="auto"/>
                <w:w w:val="89"/>
              </w:rPr>
              <w:t>Estimated</w:t>
            </w:r>
          </w:p>
        </w:tc>
        <w:tc>
          <w:tcPr>
            <w:tcW w:w="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80" w:type="dxa"/>
            <w:vAlign w:val="bottom"/>
            <w:gridSpan w:val="3"/>
          </w:tcPr>
          <w:p>
            <w:pPr>
              <w:jc w:val="right"/>
              <w:ind w:right="240"/>
              <w:spacing w:after="0" w:line="129" w:lineRule="exact"/>
              <w:rPr>
                <w:sz w:val="20"/>
                <w:szCs w:val="20"/>
                <w:color w:val="auto"/>
              </w:rPr>
            </w:pPr>
            <w:r>
              <w:rPr>
                <w:rFonts w:ascii="Arial" w:cs="Arial" w:eastAsia="Arial" w:hAnsi="Arial"/>
                <w:sz w:val="14"/>
                <w:szCs w:val="14"/>
                <w:b w:val="1"/>
                <w:bCs w:val="1"/>
                <w:color w:val="auto"/>
                <w:w w:val="93"/>
              </w:rPr>
              <w:t>Accumulated</w:t>
            </w: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40" w:type="dxa"/>
            <w:vAlign w:val="bottom"/>
            <w:gridSpan w:val="3"/>
          </w:tcPr>
          <w:p>
            <w:pPr>
              <w:jc w:val="right"/>
              <w:ind w:right="200"/>
              <w:spacing w:after="0" w:line="129" w:lineRule="exact"/>
              <w:rPr>
                <w:sz w:val="20"/>
                <w:szCs w:val="20"/>
                <w:color w:val="auto"/>
              </w:rPr>
            </w:pPr>
            <w:r>
              <w:rPr>
                <w:rFonts w:ascii="Arial" w:cs="Arial" w:eastAsia="Arial" w:hAnsi="Arial"/>
                <w:sz w:val="14"/>
                <w:szCs w:val="14"/>
                <w:b w:val="1"/>
                <w:bCs w:val="1"/>
                <w:color w:val="auto"/>
                <w:w w:val="93"/>
              </w:rPr>
              <w:t>Accumulated</w:t>
            </w:r>
          </w:p>
        </w:tc>
        <w:tc>
          <w:tcPr>
            <w:tcW w:w="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60" w:type="dxa"/>
            <w:vAlign w:val="bottom"/>
          </w:tcPr>
          <w:p>
            <w:pPr>
              <w:spacing w:after="0"/>
              <w:rPr>
                <w:sz w:val="11"/>
                <w:szCs w:val="11"/>
                <w:color w:val="auto"/>
              </w:rPr>
            </w:pPr>
          </w:p>
        </w:tc>
      </w:tr>
      <w:tr>
        <w:trPr>
          <w:trHeight w:val="161"/>
        </w:trPr>
        <w:tc>
          <w:tcPr>
            <w:tcW w:w="20" w:type="dxa"/>
            <w:vAlign w:val="bottom"/>
          </w:tcPr>
          <w:p>
            <w:pPr>
              <w:spacing w:after="0"/>
              <w:rPr>
                <w:sz w:val="14"/>
                <w:szCs w:val="14"/>
                <w:color w:val="auto"/>
              </w:rPr>
            </w:pPr>
          </w:p>
        </w:tc>
        <w:tc>
          <w:tcPr>
            <w:tcW w:w="2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6"/>
              </w:rPr>
              <w:t>Life</w:t>
            </w:r>
          </w:p>
        </w:tc>
        <w:tc>
          <w:tcPr>
            <w:tcW w:w="16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jc w:val="right"/>
              <w:ind w:right="137"/>
              <w:spacing w:after="0"/>
              <w:rPr>
                <w:sz w:val="20"/>
                <w:szCs w:val="20"/>
                <w:color w:val="auto"/>
              </w:rPr>
            </w:pPr>
            <w:r>
              <w:rPr>
                <w:rFonts w:ascii="Arial" w:cs="Arial" w:eastAsia="Arial" w:hAnsi="Arial"/>
                <w:sz w:val="14"/>
                <w:szCs w:val="14"/>
                <w:b w:val="1"/>
                <w:bCs w:val="1"/>
                <w:color w:val="auto"/>
              </w:rPr>
              <w:t>Cost</w:t>
            </w:r>
          </w:p>
        </w:tc>
        <w:tc>
          <w:tcPr>
            <w:tcW w:w="160" w:type="dxa"/>
            <w:vAlign w:val="bottom"/>
          </w:tcPr>
          <w:p>
            <w:pPr>
              <w:spacing w:after="0"/>
              <w:rPr>
                <w:sz w:val="14"/>
                <w:szCs w:val="14"/>
                <w:color w:val="auto"/>
              </w:rPr>
            </w:pPr>
          </w:p>
        </w:tc>
        <w:tc>
          <w:tcPr>
            <w:tcW w:w="92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w w:val="95"/>
              </w:rPr>
              <w:t>Amortization</w:t>
            </w:r>
          </w:p>
        </w:tc>
        <w:tc>
          <w:tcPr>
            <w:tcW w:w="16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jc w:val="right"/>
              <w:ind w:right="177"/>
              <w:spacing w:after="0"/>
              <w:rPr>
                <w:sz w:val="20"/>
                <w:szCs w:val="20"/>
                <w:color w:val="auto"/>
              </w:rPr>
            </w:pPr>
            <w:r>
              <w:rPr>
                <w:rFonts w:ascii="Arial" w:cs="Arial" w:eastAsia="Arial" w:hAnsi="Arial"/>
                <w:sz w:val="14"/>
                <w:szCs w:val="14"/>
                <w:b w:val="1"/>
                <w:bCs w:val="1"/>
                <w:color w:val="auto"/>
              </w:rPr>
              <w:t>Net</w:t>
            </w:r>
          </w:p>
        </w:tc>
        <w:tc>
          <w:tcPr>
            <w:tcW w:w="16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jc w:val="right"/>
              <w:ind w:right="135"/>
              <w:spacing w:after="0"/>
              <w:rPr>
                <w:sz w:val="20"/>
                <w:szCs w:val="20"/>
                <w:color w:val="auto"/>
              </w:rPr>
            </w:pPr>
            <w:r>
              <w:rPr>
                <w:rFonts w:ascii="Arial" w:cs="Arial" w:eastAsia="Arial" w:hAnsi="Arial"/>
                <w:sz w:val="14"/>
                <w:szCs w:val="14"/>
                <w:b w:val="1"/>
                <w:bCs w:val="1"/>
                <w:color w:val="auto"/>
                <w:w w:val="96"/>
              </w:rPr>
              <w:t>Cost</w:t>
            </w:r>
          </w:p>
        </w:tc>
        <w:tc>
          <w:tcPr>
            <w:tcW w:w="160" w:type="dxa"/>
            <w:vAlign w:val="bottom"/>
          </w:tcPr>
          <w:p>
            <w:pPr>
              <w:spacing w:after="0"/>
              <w:rPr>
                <w:sz w:val="14"/>
                <w:szCs w:val="14"/>
                <w:color w:val="auto"/>
              </w:rPr>
            </w:pPr>
          </w:p>
        </w:tc>
        <w:tc>
          <w:tcPr>
            <w:tcW w:w="92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w w:val="95"/>
              </w:rPr>
              <w:t>Amortization</w:t>
            </w:r>
          </w:p>
        </w:tc>
        <w:tc>
          <w:tcPr>
            <w:tcW w:w="1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jc w:val="right"/>
              <w:ind w:right="175"/>
              <w:spacing w:after="0"/>
              <w:rPr>
                <w:sz w:val="20"/>
                <w:szCs w:val="20"/>
                <w:color w:val="auto"/>
              </w:rPr>
            </w:pPr>
            <w:r>
              <w:rPr>
                <w:rFonts w:ascii="Arial" w:cs="Arial" w:eastAsia="Arial" w:hAnsi="Arial"/>
                <w:sz w:val="14"/>
                <w:szCs w:val="14"/>
                <w:b w:val="1"/>
                <w:bCs w:val="1"/>
                <w:color w:val="auto"/>
              </w:rPr>
              <w:t>Net</w:t>
            </w:r>
          </w:p>
        </w:tc>
        <w:tc>
          <w:tcPr>
            <w:tcW w:w="160" w:type="dxa"/>
            <w:vAlign w:val="bottom"/>
          </w:tcPr>
          <w:p>
            <w:pPr>
              <w:spacing w:after="0"/>
              <w:rPr>
                <w:sz w:val="14"/>
                <w:szCs w:val="14"/>
                <w:color w:val="auto"/>
              </w:rPr>
            </w:pPr>
          </w:p>
        </w:tc>
      </w:tr>
      <w:tr>
        <w:trPr>
          <w:trHeight w:val="142"/>
        </w:trPr>
        <w:tc>
          <w:tcPr>
            <w:tcW w:w="20" w:type="dxa"/>
            <w:vAlign w:val="bottom"/>
          </w:tcPr>
          <w:p>
            <w:pPr>
              <w:spacing w:after="0"/>
              <w:rPr>
                <w:sz w:val="12"/>
                <w:szCs w:val="12"/>
                <w:color w:val="auto"/>
              </w:rPr>
            </w:pPr>
          </w:p>
        </w:tc>
        <w:tc>
          <w:tcPr>
            <w:tcW w:w="2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40" w:type="dxa"/>
            <w:vAlign w:val="bottom"/>
          </w:tcPr>
          <w:p>
            <w:pPr>
              <w:jc w:val="right"/>
              <w:ind w:right="77"/>
              <w:spacing w:after="0" w:line="142" w:lineRule="exact"/>
              <w:rPr>
                <w:sz w:val="20"/>
                <w:szCs w:val="20"/>
                <w:color w:val="auto"/>
              </w:rPr>
            </w:pPr>
            <w:r>
              <w:rPr>
                <w:rFonts w:ascii="Arial" w:cs="Arial" w:eastAsia="Arial" w:hAnsi="Arial"/>
                <w:sz w:val="14"/>
                <w:szCs w:val="14"/>
                <w:b w:val="1"/>
                <w:bCs w:val="1"/>
                <w:color w:val="auto"/>
              </w:rPr>
              <w:t>(In</w:t>
            </w:r>
          </w:p>
        </w:tc>
        <w:tc>
          <w:tcPr>
            <w:tcW w:w="860" w:type="dxa"/>
            <w:vAlign w:val="bottom"/>
            <w:gridSpan w:val="3"/>
          </w:tcPr>
          <w:p>
            <w:pPr>
              <w:jc w:val="right"/>
              <w:ind w:right="275"/>
              <w:spacing w:after="0"/>
              <w:rPr>
                <w:sz w:val="20"/>
                <w:szCs w:val="20"/>
                <w:color w:val="auto"/>
              </w:rPr>
            </w:pPr>
            <w:r>
              <w:rPr>
                <w:rFonts w:ascii="Arial" w:cs="Arial" w:eastAsia="Arial" w:hAnsi="Arial"/>
                <w:sz w:val="12"/>
                <w:szCs w:val="12"/>
                <w:b w:val="1"/>
                <w:bCs w:val="1"/>
                <w:color w:val="auto"/>
                <w:w w:val="74"/>
              </w:rPr>
              <w:t>thousands)</w:t>
            </w:r>
          </w:p>
        </w:tc>
        <w:tc>
          <w:tcPr>
            <w:tcW w:w="1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60" w:type="dxa"/>
            <w:vAlign w:val="bottom"/>
          </w:tcPr>
          <w:p>
            <w:pPr>
              <w:spacing w:after="0"/>
              <w:rPr>
                <w:sz w:val="12"/>
                <w:szCs w:val="12"/>
                <w:color w:val="auto"/>
              </w:rPr>
            </w:pPr>
          </w:p>
        </w:tc>
      </w:tr>
      <w:tr>
        <w:trPr>
          <w:trHeight w:val="216"/>
        </w:trPr>
        <w:tc>
          <w:tcPr>
            <w:tcW w:w="20" w:type="dxa"/>
            <w:vAlign w:val="bottom"/>
          </w:tcPr>
          <w:p>
            <w:pPr>
              <w:spacing w:after="0"/>
              <w:rPr>
                <w:sz w:val="18"/>
                <w:szCs w:val="18"/>
                <w:color w:val="auto"/>
              </w:rPr>
            </w:pPr>
          </w:p>
        </w:tc>
        <w:tc>
          <w:tcPr>
            <w:tcW w:w="2240" w:type="dxa"/>
            <w:vAlign w:val="bottom"/>
            <w:shd w:val="clear" w:color="auto" w:fill="CCEEFF"/>
          </w:tcPr>
          <w:p>
            <w:pPr>
              <w:spacing w:after="0"/>
              <w:rPr>
                <w:sz w:val="20"/>
                <w:szCs w:val="20"/>
                <w:color w:val="auto"/>
              </w:rPr>
            </w:pPr>
            <w:r>
              <w:rPr>
                <w:rFonts w:ascii="Arial" w:cs="Arial" w:eastAsia="Arial" w:hAnsi="Arial"/>
                <w:sz w:val="18"/>
                <w:szCs w:val="18"/>
                <w:color w:val="auto"/>
              </w:rPr>
              <w:t>Intangible Assets:</w:t>
            </w:r>
          </w:p>
        </w:tc>
        <w:tc>
          <w:tcPr>
            <w:tcW w:w="1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2240" w:type="dxa"/>
            <w:vAlign w:val="bottom"/>
          </w:tcPr>
          <w:p>
            <w:pPr>
              <w:ind w:left="120"/>
              <w:spacing w:after="0"/>
              <w:rPr>
                <w:sz w:val="20"/>
                <w:szCs w:val="20"/>
                <w:color w:val="auto"/>
              </w:rPr>
            </w:pPr>
            <w:r>
              <w:rPr>
                <w:rFonts w:ascii="Arial" w:cs="Arial" w:eastAsia="Arial" w:hAnsi="Arial"/>
                <w:sz w:val="18"/>
                <w:szCs w:val="18"/>
                <w:color w:val="auto"/>
              </w:rPr>
              <w:t>IPR&amp;D</w:t>
            </w:r>
          </w:p>
        </w:tc>
        <w:tc>
          <w:tcPr>
            <w:tcW w:w="1220" w:type="dxa"/>
            <w:vAlign w:val="bottom"/>
            <w:gridSpan w:val="2"/>
          </w:tcPr>
          <w:p>
            <w:pPr>
              <w:ind w:left="120"/>
              <w:spacing w:after="0"/>
              <w:rPr>
                <w:sz w:val="20"/>
                <w:szCs w:val="20"/>
                <w:color w:val="auto"/>
              </w:rPr>
            </w:pPr>
            <w:r>
              <w:rPr>
                <w:rFonts w:ascii="Arial" w:cs="Arial" w:eastAsia="Arial" w:hAnsi="Arial"/>
                <w:sz w:val="18"/>
                <w:szCs w:val="18"/>
                <w:color w:val="auto"/>
              </w:rPr>
              <w:t>Indefinite</w:t>
            </w:r>
          </w:p>
        </w:tc>
        <w:tc>
          <w:tcPr>
            <w:tcW w:w="28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11,800</w:t>
            </w:r>
          </w:p>
        </w:tc>
        <w:tc>
          <w:tcPr>
            <w:tcW w:w="580" w:type="dxa"/>
            <w:vAlign w:val="bottom"/>
            <w:gridSpan w:val="2"/>
          </w:tcPr>
          <w:p>
            <w:pPr>
              <w:jc w:val="right"/>
              <w:ind w:right="272"/>
              <w:spacing w:after="0"/>
              <w:rPr>
                <w:sz w:val="20"/>
                <w:szCs w:val="20"/>
                <w:color w:val="auto"/>
              </w:rPr>
            </w:pPr>
            <w:r>
              <w:rPr>
                <w:rFonts w:ascii="Arial" w:cs="Arial" w:eastAsia="Arial" w:hAnsi="Arial"/>
                <w:sz w:val="18"/>
                <w:szCs w:val="18"/>
                <w:color w:val="auto"/>
              </w:rPr>
              <w:t>$</w:t>
            </w:r>
          </w:p>
        </w:tc>
        <w:tc>
          <w:tcPr>
            <w:tcW w:w="6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60" w:type="dxa"/>
            <w:vAlign w:val="bottom"/>
          </w:tcPr>
          <w:p>
            <w:pPr>
              <w:jc w:val="right"/>
              <w:ind w:right="3"/>
              <w:spacing w:after="0"/>
              <w:rPr>
                <w:sz w:val="20"/>
                <w:szCs w:val="20"/>
                <w:color w:val="auto"/>
              </w:rPr>
            </w:pPr>
            <w:r>
              <w:rPr>
                <w:rFonts w:ascii="Arial" w:cs="Arial" w:eastAsia="Arial" w:hAnsi="Arial"/>
                <w:sz w:val="15"/>
                <w:szCs w:val="15"/>
                <w:color w:val="auto"/>
                <w:w w:val="71"/>
              </w:rPr>
              <w:t>$</w:t>
            </w:r>
          </w:p>
        </w:tc>
        <w:tc>
          <w:tcPr>
            <w:tcW w:w="540" w:type="dxa"/>
            <w:vAlign w:val="bottom"/>
          </w:tcPr>
          <w:p>
            <w:pPr>
              <w:jc w:val="right"/>
              <w:spacing w:after="0"/>
              <w:rPr>
                <w:sz w:val="20"/>
                <w:szCs w:val="20"/>
                <w:color w:val="auto"/>
              </w:rPr>
            </w:pPr>
            <w:r>
              <w:rPr>
                <w:rFonts w:ascii="Arial" w:cs="Arial" w:eastAsia="Arial" w:hAnsi="Arial"/>
                <w:sz w:val="18"/>
                <w:szCs w:val="18"/>
                <w:color w:val="auto"/>
                <w:w w:val="94"/>
              </w:rPr>
              <w:t>11,800</w:t>
            </w:r>
          </w:p>
        </w:tc>
        <w:tc>
          <w:tcPr>
            <w:tcW w:w="32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540" w:type="dxa"/>
            <w:vAlign w:val="bottom"/>
          </w:tcPr>
          <w:p>
            <w:pPr>
              <w:jc w:val="right"/>
              <w:spacing w:after="0"/>
              <w:rPr>
                <w:sz w:val="20"/>
                <w:szCs w:val="20"/>
                <w:color w:val="auto"/>
              </w:rPr>
            </w:pPr>
            <w:r>
              <w:rPr>
                <w:rFonts w:ascii="Arial" w:cs="Arial" w:eastAsia="Arial" w:hAnsi="Arial"/>
                <w:sz w:val="18"/>
                <w:szCs w:val="18"/>
                <w:color w:val="auto"/>
                <w:w w:val="94"/>
              </w:rPr>
              <w:t>11,800</w:t>
            </w:r>
          </w:p>
        </w:tc>
        <w:tc>
          <w:tcPr>
            <w:tcW w:w="440" w:type="dxa"/>
            <w:vAlign w:val="bottom"/>
            <w:gridSpan w:val="2"/>
          </w:tcPr>
          <w:p>
            <w:pPr>
              <w:jc w:val="right"/>
              <w:ind w:right="112"/>
              <w:spacing w:after="0"/>
              <w:rPr>
                <w:sz w:val="20"/>
                <w:szCs w:val="20"/>
                <w:color w:val="auto"/>
              </w:rPr>
            </w:pPr>
            <w:r>
              <w:rPr>
                <w:rFonts w:ascii="Arial" w:cs="Arial" w:eastAsia="Arial" w:hAnsi="Arial"/>
                <w:sz w:val="18"/>
                <w:szCs w:val="18"/>
                <w:color w:val="auto"/>
              </w:rPr>
              <w:t>$</w:t>
            </w:r>
          </w:p>
        </w:tc>
        <w:tc>
          <w:tcPr>
            <w:tcW w:w="76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20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560" w:type="dxa"/>
            <w:vAlign w:val="bottom"/>
          </w:tcPr>
          <w:p>
            <w:pPr>
              <w:jc w:val="right"/>
              <w:spacing w:after="0"/>
              <w:rPr>
                <w:sz w:val="20"/>
                <w:szCs w:val="20"/>
                <w:color w:val="auto"/>
              </w:rPr>
            </w:pPr>
            <w:r>
              <w:rPr>
                <w:rFonts w:ascii="Arial" w:cs="Arial" w:eastAsia="Arial" w:hAnsi="Arial"/>
                <w:sz w:val="18"/>
                <w:szCs w:val="18"/>
                <w:color w:val="auto"/>
                <w:w w:val="94"/>
              </w:rPr>
              <w:t>11,800</w:t>
            </w:r>
          </w:p>
        </w:tc>
        <w:tc>
          <w:tcPr>
            <w:tcW w:w="16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2240" w:type="dxa"/>
            <w:vAlign w:val="bottom"/>
            <w:shd w:val="clear" w:color="auto" w:fill="CCEEFF"/>
          </w:tcPr>
          <w:p>
            <w:pPr>
              <w:ind w:left="120"/>
              <w:spacing w:after="0"/>
              <w:rPr>
                <w:sz w:val="20"/>
                <w:szCs w:val="20"/>
                <w:color w:val="auto"/>
              </w:rPr>
            </w:pPr>
            <w:r>
              <w:rPr>
                <w:rFonts w:ascii="Arial" w:cs="Arial" w:eastAsia="Arial" w:hAnsi="Arial"/>
                <w:sz w:val="18"/>
                <w:szCs w:val="18"/>
                <w:color w:val="auto"/>
              </w:rPr>
              <w:t>Amgen Amendment</w:t>
            </w:r>
          </w:p>
        </w:tc>
        <w:tc>
          <w:tcPr>
            <w:tcW w:w="122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16 years</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14,500</w:t>
            </w:r>
          </w:p>
        </w:tc>
        <w:tc>
          <w:tcPr>
            <w:tcW w:w="16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91"/>
              </w:rPr>
              <w:t>(1,121)</w:t>
            </w:r>
          </w:p>
        </w:tc>
        <w:tc>
          <w:tcPr>
            <w:tcW w:w="16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13,379</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14,500</w:t>
            </w:r>
          </w:p>
        </w:tc>
        <w:tc>
          <w:tcPr>
            <w:tcW w:w="1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(224)</w:t>
            </w:r>
          </w:p>
        </w:tc>
        <w:tc>
          <w:tcPr>
            <w:tcW w:w="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14,276</w:t>
            </w:r>
          </w:p>
        </w:tc>
        <w:tc>
          <w:tcPr>
            <w:tcW w:w="16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2240" w:type="dxa"/>
            <w:vAlign w:val="bottom"/>
          </w:tcPr>
          <w:p>
            <w:pPr>
              <w:ind w:left="120"/>
              <w:spacing w:after="0"/>
              <w:rPr>
                <w:sz w:val="20"/>
                <w:szCs w:val="20"/>
                <w:color w:val="auto"/>
              </w:rPr>
            </w:pPr>
            <w:r>
              <w:rPr>
                <w:rFonts w:ascii="Arial" w:cs="Arial" w:eastAsia="Arial" w:hAnsi="Arial"/>
                <w:sz w:val="18"/>
                <w:szCs w:val="18"/>
                <w:color w:val="auto"/>
              </w:rPr>
              <w:t>TopoTarget Agreement</w:t>
            </w:r>
          </w:p>
        </w:tc>
        <w:tc>
          <w:tcPr>
            <w:tcW w:w="1220" w:type="dxa"/>
            <w:vAlign w:val="bottom"/>
            <w:gridSpan w:val="2"/>
          </w:tcPr>
          <w:p>
            <w:pPr>
              <w:ind w:left="120"/>
              <w:spacing w:after="0"/>
              <w:rPr>
                <w:sz w:val="20"/>
                <w:szCs w:val="20"/>
                <w:color w:val="auto"/>
              </w:rPr>
            </w:pPr>
            <w:r>
              <w:rPr>
                <w:rFonts w:ascii="Arial" w:cs="Arial" w:eastAsia="Arial" w:hAnsi="Arial"/>
                <w:sz w:val="18"/>
                <w:szCs w:val="18"/>
                <w:color w:val="auto"/>
              </w:rPr>
              <w:t>1.75 years</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2,400</w:t>
            </w:r>
          </w:p>
        </w:tc>
        <w:tc>
          <w:tcPr>
            <w:tcW w:w="1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660" w:type="dxa"/>
            <w:vAlign w:val="bottom"/>
            <w:gridSpan w:val="2"/>
          </w:tcPr>
          <w:p>
            <w:pPr>
              <w:jc w:val="right"/>
              <w:ind w:right="120"/>
              <w:spacing w:after="0"/>
              <w:rPr>
                <w:sz w:val="20"/>
                <w:szCs w:val="20"/>
                <w:color w:val="auto"/>
              </w:rPr>
            </w:pPr>
            <w:r>
              <w:rPr>
                <w:rFonts w:ascii="Arial" w:cs="Arial" w:eastAsia="Arial" w:hAnsi="Arial"/>
                <w:sz w:val="18"/>
                <w:szCs w:val="18"/>
                <w:color w:val="auto"/>
                <w:w w:val="91"/>
              </w:rPr>
              <w:t>(2,057)</w:t>
            </w:r>
          </w:p>
        </w:tc>
        <w:tc>
          <w:tcPr>
            <w:tcW w:w="16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343</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2,400</w:t>
            </w:r>
          </w:p>
        </w:tc>
        <w:tc>
          <w:tcPr>
            <w:tcW w:w="1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60" w:type="dxa"/>
            <w:vAlign w:val="bottom"/>
            <w:gridSpan w:val="2"/>
          </w:tcPr>
          <w:p>
            <w:pPr>
              <w:jc w:val="right"/>
              <w:ind w:right="60"/>
              <w:spacing w:after="0"/>
              <w:rPr>
                <w:sz w:val="20"/>
                <w:szCs w:val="20"/>
                <w:color w:val="auto"/>
              </w:rPr>
            </w:pPr>
            <w:r>
              <w:rPr>
                <w:rFonts w:ascii="Arial" w:cs="Arial" w:eastAsia="Arial" w:hAnsi="Arial"/>
                <w:sz w:val="18"/>
                <w:szCs w:val="18"/>
                <w:color w:val="auto"/>
              </w:rPr>
              <w:t>(343)</w:t>
            </w: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2,057</w:t>
            </w:r>
          </w:p>
        </w:tc>
        <w:tc>
          <w:tcPr>
            <w:tcW w:w="16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2240" w:type="dxa"/>
            <w:vAlign w:val="bottom"/>
            <w:shd w:val="clear" w:color="auto" w:fill="CCEEFF"/>
          </w:tcPr>
          <w:p>
            <w:pPr>
              <w:ind w:left="120"/>
              <w:spacing w:after="0"/>
              <w:rPr>
                <w:sz w:val="20"/>
                <w:szCs w:val="20"/>
                <w:color w:val="auto"/>
              </w:rPr>
            </w:pPr>
            <w:r>
              <w:rPr>
                <w:rFonts w:ascii="Arial" w:cs="Arial" w:eastAsia="Arial" w:hAnsi="Arial"/>
                <w:sz w:val="18"/>
                <w:szCs w:val="18"/>
                <w:color w:val="auto"/>
              </w:rPr>
              <w:t>Core Technology</w:t>
            </w:r>
          </w:p>
        </w:tc>
        <w:tc>
          <w:tcPr>
            <w:tcW w:w="122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w w:val="98"/>
              </w:rPr>
              <w:t>4.5 - 11 years</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1,948</w:t>
            </w:r>
          </w:p>
        </w:tc>
        <w:tc>
          <w:tcPr>
            <w:tcW w:w="16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91"/>
              </w:rPr>
              <w:t>(1,040)</w:t>
            </w:r>
          </w:p>
        </w:tc>
        <w:tc>
          <w:tcPr>
            <w:tcW w:w="16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908</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2,193</w:t>
            </w:r>
          </w:p>
        </w:tc>
        <w:tc>
          <w:tcPr>
            <w:tcW w:w="1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(832)</w:t>
            </w:r>
          </w:p>
        </w:tc>
        <w:tc>
          <w:tcPr>
            <w:tcW w:w="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1,361</w:t>
            </w:r>
          </w:p>
        </w:tc>
        <w:tc>
          <w:tcPr>
            <w:tcW w:w="160" w:type="dxa"/>
            <w:vAlign w:val="bottom"/>
            <w:shd w:val="clear" w:color="auto" w:fill="CCEEFF"/>
          </w:tcPr>
          <w:p>
            <w:pPr>
              <w:spacing w:after="0"/>
              <w:rPr>
                <w:sz w:val="18"/>
                <w:szCs w:val="18"/>
                <w:color w:val="auto"/>
              </w:rPr>
            </w:pPr>
          </w:p>
        </w:tc>
      </w:tr>
      <w:tr>
        <w:trPr>
          <w:trHeight w:val="222"/>
        </w:trPr>
        <w:tc>
          <w:tcPr>
            <w:tcW w:w="20" w:type="dxa"/>
            <w:vAlign w:val="bottom"/>
          </w:tcPr>
          <w:p>
            <w:pPr>
              <w:spacing w:after="0"/>
              <w:rPr>
                <w:sz w:val="19"/>
                <w:szCs w:val="19"/>
                <w:color w:val="auto"/>
              </w:rPr>
            </w:pPr>
          </w:p>
        </w:tc>
        <w:tc>
          <w:tcPr>
            <w:tcW w:w="2240" w:type="dxa"/>
            <w:vAlign w:val="bottom"/>
          </w:tcPr>
          <w:p>
            <w:pPr>
              <w:ind w:left="120"/>
              <w:spacing w:after="0"/>
              <w:rPr>
                <w:sz w:val="20"/>
                <w:szCs w:val="20"/>
                <w:color w:val="auto"/>
              </w:rPr>
            </w:pPr>
            <w:r>
              <w:rPr>
                <w:rFonts w:ascii="Arial" w:cs="Arial" w:eastAsia="Arial" w:hAnsi="Arial"/>
                <w:sz w:val="18"/>
                <w:szCs w:val="18"/>
                <w:color w:val="auto"/>
                <w:w w:val="92"/>
              </w:rPr>
              <w:t>Strategic Partner Agreement</w:t>
            </w:r>
          </w:p>
        </w:tc>
        <w:tc>
          <w:tcPr>
            <w:tcW w:w="1220" w:type="dxa"/>
            <w:vAlign w:val="bottom"/>
            <w:gridSpan w:val="2"/>
          </w:tcPr>
          <w:p>
            <w:pPr>
              <w:ind w:left="120"/>
              <w:spacing w:after="0"/>
              <w:rPr>
                <w:sz w:val="20"/>
                <w:szCs w:val="20"/>
                <w:color w:val="auto"/>
              </w:rPr>
            </w:pPr>
            <w:r>
              <w:rPr>
                <w:rFonts w:ascii="Arial" w:cs="Arial" w:eastAsia="Arial" w:hAnsi="Arial"/>
                <w:sz w:val="18"/>
                <w:szCs w:val="18"/>
                <w:color w:val="auto"/>
              </w:rPr>
              <w:t>8 years</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630</w:t>
            </w:r>
          </w:p>
        </w:tc>
        <w:tc>
          <w:tcPr>
            <w:tcW w:w="16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660" w:type="dxa"/>
            <w:vAlign w:val="bottom"/>
            <w:gridSpan w:val="2"/>
          </w:tcPr>
          <w:p>
            <w:pPr>
              <w:jc w:val="right"/>
              <w:ind w:right="120"/>
              <w:spacing w:after="0"/>
              <w:rPr>
                <w:sz w:val="20"/>
                <w:szCs w:val="20"/>
                <w:color w:val="auto"/>
              </w:rPr>
            </w:pPr>
            <w:r>
              <w:rPr>
                <w:rFonts w:ascii="Arial" w:cs="Arial" w:eastAsia="Arial" w:hAnsi="Arial"/>
                <w:sz w:val="18"/>
                <w:szCs w:val="18"/>
                <w:color w:val="auto"/>
              </w:rPr>
              <w:t>(224)</w:t>
            </w:r>
          </w:p>
        </w:tc>
        <w:tc>
          <w:tcPr>
            <w:tcW w:w="16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406</w:t>
            </w:r>
          </w:p>
        </w:tc>
        <w:tc>
          <w:tcPr>
            <w:tcW w:w="1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630</w:t>
            </w:r>
          </w:p>
        </w:tc>
        <w:tc>
          <w:tcPr>
            <w:tcW w:w="1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760" w:type="dxa"/>
            <w:vAlign w:val="bottom"/>
            <w:gridSpan w:val="2"/>
          </w:tcPr>
          <w:p>
            <w:pPr>
              <w:jc w:val="right"/>
              <w:ind w:right="60"/>
              <w:spacing w:after="0"/>
              <w:rPr>
                <w:sz w:val="20"/>
                <w:szCs w:val="20"/>
                <w:color w:val="auto"/>
              </w:rPr>
            </w:pPr>
            <w:r>
              <w:rPr>
                <w:rFonts w:ascii="Arial" w:cs="Arial" w:eastAsia="Arial" w:hAnsi="Arial"/>
                <w:sz w:val="18"/>
                <w:szCs w:val="18"/>
                <w:color w:val="auto"/>
              </w:rPr>
              <w:t>(145)</w:t>
            </w:r>
          </w:p>
        </w:tc>
        <w:tc>
          <w:tcPr>
            <w:tcW w:w="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485</w:t>
            </w:r>
          </w:p>
        </w:tc>
        <w:tc>
          <w:tcPr>
            <w:tcW w:w="160" w:type="dxa"/>
            <w:vAlign w:val="bottom"/>
          </w:tcPr>
          <w:p>
            <w:pPr>
              <w:spacing w:after="0"/>
              <w:rPr>
                <w:sz w:val="19"/>
                <w:szCs w:val="19"/>
                <w:color w:val="auto"/>
              </w:rPr>
            </w:pPr>
          </w:p>
        </w:tc>
      </w:tr>
      <w:tr>
        <w:trPr>
          <w:trHeight w:val="21"/>
        </w:trPr>
        <w:tc>
          <w:tcPr>
            <w:tcW w:w="20" w:type="dxa"/>
            <w:vAlign w:val="bottom"/>
          </w:tcPr>
          <w:p>
            <w:pPr>
              <w:spacing w:after="0" w:line="20" w:lineRule="exact"/>
              <w:rPr>
                <w:sz w:val="1"/>
                <w:szCs w:val="1"/>
                <w:color w:val="auto"/>
              </w:rPr>
            </w:pPr>
          </w:p>
        </w:tc>
        <w:tc>
          <w:tcPr>
            <w:tcW w:w="22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2240" w:type="dxa"/>
            <w:vAlign w:val="bottom"/>
            <w:shd w:val="clear" w:color="auto" w:fill="CCEEFF"/>
          </w:tcPr>
          <w:p>
            <w:pPr>
              <w:spacing w:after="0"/>
              <w:rPr>
                <w:sz w:val="20"/>
                <w:szCs w:val="20"/>
                <w:color w:val="auto"/>
              </w:rPr>
            </w:pPr>
            <w:r>
              <w:rPr>
                <w:rFonts w:ascii="Arial" w:cs="Arial" w:eastAsia="Arial" w:hAnsi="Arial"/>
                <w:sz w:val="18"/>
                <w:szCs w:val="18"/>
                <w:color w:val="auto"/>
              </w:rPr>
              <w:t>Total Intangible Assets</w:t>
            </w:r>
          </w:p>
        </w:tc>
        <w:tc>
          <w:tcPr>
            <w:tcW w:w="1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2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31,278</w:t>
            </w:r>
          </w:p>
        </w:tc>
        <w:tc>
          <w:tcPr>
            <w:tcW w:w="580" w:type="dxa"/>
            <w:vAlign w:val="bottom"/>
            <w:gridSpan w:val="2"/>
            <w:shd w:val="clear" w:color="auto" w:fill="CCEEFF"/>
          </w:tcPr>
          <w:p>
            <w:pPr>
              <w:jc w:val="right"/>
              <w:ind w:right="272"/>
              <w:spacing w:after="0"/>
              <w:rPr>
                <w:sz w:val="20"/>
                <w:szCs w:val="20"/>
                <w:color w:val="auto"/>
              </w:rPr>
            </w:pPr>
            <w:r>
              <w:rPr>
                <w:rFonts w:ascii="Arial" w:cs="Arial" w:eastAsia="Arial" w:hAnsi="Arial"/>
                <w:sz w:val="18"/>
                <w:szCs w:val="18"/>
                <w:color w:val="auto"/>
              </w:rPr>
              <w:t>$</w:t>
            </w:r>
          </w:p>
        </w:tc>
        <w:tc>
          <w:tcPr>
            <w:tcW w:w="6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91"/>
              </w:rPr>
              <w:t>(4,442)</w:t>
            </w:r>
          </w:p>
        </w:tc>
        <w:tc>
          <w:tcPr>
            <w:tcW w:w="160" w:type="dxa"/>
            <w:vAlign w:val="bottom"/>
            <w:shd w:val="clear" w:color="auto" w:fill="CCEEFF"/>
          </w:tcPr>
          <w:p>
            <w:pPr>
              <w:jc w:val="right"/>
              <w:ind w:right="3"/>
              <w:spacing w:after="0"/>
              <w:rPr>
                <w:sz w:val="20"/>
                <w:szCs w:val="20"/>
                <w:color w:val="auto"/>
              </w:rPr>
            </w:pPr>
            <w:r>
              <w:rPr>
                <w:rFonts w:ascii="Arial" w:cs="Arial" w:eastAsia="Arial" w:hAnsi="Arial"/>
                <w:sz w:val="15"/>
                <w:szCs w:val="15"/>
                <w:color w:val="auto"/>
                <w:w w:val="71"/>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26,836</w:t>
            </w:r>
          </w:p>
        </w:tc>
        <w:tc>
          <w:tcPr>
            <w:tcW w:w="3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31,523</w:t>
            </w:r>
          </w:p>
        </w:tc>
        <w:tc>
          <w:tcPr>
            <w:tcW w:w="440" w:type="dxa"/>
            <w:vAlign w:val="bottom"/>
            <w:gridSpan w:val="2"/>
            <w:shd w:val="clear" w:color="auto" w:fill="CCEEFF"/>
          </w:tcPr>
          <w:p>
            <w:pPr>
              <w:jc w:val="right"/>
              <w:ind w:right="112"/>
              <w:spacing w:after="0"/>
              <w:rPr>
                <w:sz w:val="20"/>
                <w:szCs w:val="20"/>
                <w:color w:val="auto"/>
              </w:rPr>
            </w:pPr>
            <w:r>
              <w:rPr>
                <w:rFonts w:ascii="Arial" w:cs="Arial" w:eastAsia="Arial" w:hAnsi="Arial"/>
                <w:sz w:val="18"/>
                <w:szCs w:val="18"/>
                <w:color w:val="auto"/>
              </w:rPr>
              <w:t>$</w:t>
            </w:r>
          </w:p>
        </w:tc>
        <w:tc>
          <w:tcPr>
            <w:tcW w:w="7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(1,544)</w:t>
            </w:r>
          </w:p>
        </w:tc>
        <w:tc>
          <w:tcPr>
            <w:tcW w:w="2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29,979</w:t>
            </w:r>
          </w:p>
        </w:tc>
        <w:tc>
          <w:tcPr>
            <w:tcW w:w="160" w:type="dxa"/>
            <w:vAlign w:val="bottom"/>
            <w:shd w:val="clear" w:color="auto" w:fill="CCEEFF"/>
          </w:tcPr>
          <w:p>
            <w:pPr>
              <w:spacing w:after="0"/>
              <w:rPr>
                <w:sz w:val="18"/>
                <w:szCs w:val="18"/>
                <w:color w:val="auto"/>
              </w:rPr>
            </w:pPr>
          </w:p>
        </w:tc>
      </w:tr>
      <w:tr>
        <w:trPr>
          <w:trHeight w:val="27"/>
        </w:trPr>
        <w:tc>
          <w:tcPr>
            <w:tcW w:w="2260" w:type="dxa"/>
            <w:vAlign w:val="bottom"/>
            <w:gridSpan w:val="2"/>
          </w:tcPr>
          <w:p>
            <w:pPr>
              <w:spacing w:after="0"/>
              <w:rPr>
                <w:sz w:val="2"/>
                <w:szCs w:val="2"/>
                <w:color w:val="auto"/>
              </w:rPr>
            </w:pPr>
          </w:p>
        </w:tc>
        <w:tc>
          <w:tcPr>
            <w:tcW w:w="1220" w:type="dxa"/>
            <w:vAlign w:val="bottom"/>
            <w:gridSpan w:val="2"/>
          </w:tcPr>
          <w:p>
            <w:pPr>
              <w:spacing w:after="0"/>
              <w:rPr>
                <w:sz w:val="2"/>
                <w:szCs w:val="2"/>
                <w:color w:val="auto"/>
              </w:rPr>
            </w:pPr>
          </w:p>
        </w:tc>
        <w:tc>
          <w:tcPr>
            <w:tcW w:w="16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4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r>
      <w:tr>
        <w:trPr>
          <w:trHeight w:val="20"/>
        </w:trPr>
        <w:tc>
          <w:tcPr>
            <w:tcW w:w="2260" w:type="dxa"/>
            <w:vAlign w:val="bottom"/>
            <w:gridSpan w:val="2"/>
          </w:tcPr>
          <w:p>
            <w:pPr>
              <w:spacing w:after="0" w:line="20" w:lineRule="exact"/>
              <w:rPr>
                <w:sz w:val="1"/>
                <w:szCs w:val="1"/>
                <w:color w:val="auto"/>
              </w:rPr>
            </w:pPr>
          </w:p>
        </w:tc>
        <w:tc>
          <w:tcPr>
            <w:tcW w:w="122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411"/>
        </w:trPr>
        <w:tc>
          <w:tcPr>
            <w:tcW w:w="2260" w:type="dxa"/>
            <w:vAlign w:val="bottom"/>
            <w:gridSpan w:val="2"/>
          </w:tcPr>
          <w:p>
            <w:pPr>
              <w:spacing w:after="0"/>
              <w:rPr>
                <w:sz w:val="20"/>
                <w:szCs w:val="20"/>
                <w:color w:val="auto"/>
              </w:rPr>
            </w:pPr>
            <w:r>
              <w:rPr>
                <w:rFonts w:ascii="Arial" w:cs="Arial" w:eastAsia="Arial" w:hAnsi="Arial"/>
                <w:sz w:val="18"/>
                <w:szCs w:val="18"/>
                <w:color w:val="auto"/>
              </w:rPr>
              <w:t>Goodwill</w:t>
            </w:r>
          </w:p>
        </w:tc>
        <w:tc>
          <w:tcPr>
            <w:tcW w:w="1220" w:type="dxa"/>
            <w:vAlign w:val="bottom"/>
            <w:gridSpan w:val="2"/>
          </w:tcPr>
          <w:p>
            <w:pPr>
              <w:ind w:left="120"/>
              <w:spacing w:after="0"/>
              <w:rPr>
                <w:sz w:val="20"/>
                <w:szCs w:val="20"/>
                <w:color w:val="auto"/>
              </w:rPr>
            </w:pPr>
            <w:r>
              <w:rPr>
                <w:rFonts w:ascii="Arial" w:cs="Arial" w:eastAsia="Arial" w:hAnsi="Arial"/>
                <w:sz w:val="18"/>
                <w:szCs w:val="18"/>
                <w:color w:val="auto"/>
              </w:rPr>
              <w:t>Indefinite</w:t>
            </w:r>
          </w:p>
        </w:tc>
        <w:tc>
          <w:tcPr>
            <w:tcW w:w="28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8,965</w:t>
            </w:r>
          </w:p>
        </w:tc>
        <w:tc>
          <w:tcPr>
            <w:tcW w:w="1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6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60" w:type="dxa"/>
            <w:vAlign w:val="bottom"/>
          </w:tcPr>
          <w:p>
            <w:pPr>
              <w:jc w:val="right"/>
              <w:ind w:right="3"/>
              <w:spacing w:after="0"/>
              <w:rPr>
                <w:sz w:val="20"/>
                <w:szCs w:val="20"/>
                <w:color w:val="auto"/>
              </w:rPr>
            </w:pPr>
            <w:r>
              <w:rPr>
                <w:rFonts w:ascii="Arial" w:cs="Arial" w:eastAsia="Arial" w:hAnsi="Arial"/>
                <w:sz w:val="15"/>
                <w:szCs w:val="15"/>
                <w:color w:val="auto"/>
                <w:w w:val="71"/>
              </w:rPr>
              <w:t>$</w:t>
            </w:r>
          </w:p>
        </w:tc>
        <w:tc>
          <w:tcPr>
            <w:tcW w:w="540" w:type="dxa"/>
            <w:vAlign w:val="bottom"/>
          </w:tcPr>
          <w:p>
            <w:pPr>
              <w:jc w:val="right"/>
              <w:spacing w:after="0"/>
              <w:rPr>
                <w:sz w:val="20"/>
                <w:szCs w:val="20"/>
                <w:color w:val="auto"/>
              </w:rPr>
            </w:pPr>
            <w:r>
              <w:rPr>
                <w:rFonts w:ascii="Arial" w:cs="Arial" w:eastAsia="Arial" w:hAnsi="Arial"/>
                <w:sz w:val="18"/>
                <w:szCs w:val="18"/>
                <w:color w:val="auto"/>
              </w:rPr>
              <w:t>8,965</w:t>
            </w:r>
          </w:p>
        </w:tc>
        <w:tc>
          <w:tcPr>
            <w:tcW w:w="32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540" w:type="dxa"/>
            <w:vAlign w:val="bottom"/>
          </w:tcPr>
          <w:p>
            <w:pPr>
              <w:jc w:val="right"/>
              <w:spacing w:after="0"/>
              <w:rPr>
                <w:sz w:val="20"/>
                <w:szCs w:val="20"/>
                <w:color w:val="auto"/>
              </w:rPr>
            </w:pPr>
            <w:r>
              <w:rPr>
                <w:rFonts w:ascii="Arial" w:cs="Arial" w:eastAsia="Arial" w:hAnsi="Arial"/>
                <w:sz w:val="18"/>
                <w:szCs w:val="18"/>
                <w:color w:val="auto"/>
              </w:rPr>
              <w:t>8,965</w:t>
            </w:r>
          </w:p>
        </w:tc>
        <w:tc>
          <w:tcPr>
            <w:tcW w:w="1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76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20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560" w:type="dxa"/>
            <w:vAlign w:val="bottom"/>
          </w:tcPr>
          <w:p>
            <w:pPr>
              <w:jc w:val="right"/>
              <w:spacing w:after="0"/>
              <w:rPr>
                <w:sz w:val="20"/>
                <w:szCs w:val="20"/>
                <w:color w:val="auto"/>
              </w:rPr>
            </w:pPr>
            <w:r>
              <w:rPr>
                <w:rFonts w:ascii="Arial" w:cs="Arial" w:eastAsia="Arial" w:hAnsi="Arial"/>
                <w:sz w:val="18"/>
                <w:szCs w:val="18"/>
                <w:color w:val="auto"/>
              </w:rPr>
              <w:t>8,965</w:t>
            </w:r>
          </w:p>
        </w:tc>
        <w:tc>
          <w:tcPr>
            <w:tcW w:w="160" w:type="dxa"/>
            <w:vAlign w:val="bottom"/>
          </w:tcPr>
          <w:p>
            <w:pPr>
              <w:spacing w:after="0"/>
              <w:rPr>
                <w:sz w:val="24"/>
                <w:szCs w:val="24"/>
                <w:color w:val="auto"/>
              </w:rPr>
            </w:pPr>
          </w:p>
        </w:tc>
      </w:tr>
      <w:tr>
        <w:trPr>
          <w:trHeight w:val="29"/>
        </w:trPr>
        <w:tc>
          <w:tcPr>
            <w:tcW w:w="20" w:type="dxa"/>
            <w:vAlign w:val="bottom"/>
          </w:tcPr>
          <w:p>
            <w:pPr>
              <w:spacing w:after="0"/>
              <w:rPr>
                <w:sz w:val="2"/>
                <w:szCs w:val="2"/>
                <w:color w:val="auto"/>
              </w:rPr>
            </w:pPr>
          </w:p>
        </w:tc>
        <w:tc>
          <w:tcPr>
            <w:tcW w:w="2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4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r>
      <w:tr>
        <w:trPr>
          <w:trHeight w:val="20"/>
        </w:trPr>
        <w:tc>
          <w:tcPr>
            <w:tcW w:w="20" w:type="dxa"/>
            <w:vAlign w:val="bottom"/>
          </w:tcPr>
          <w:p>
            <w:pPr>
              <w:spacing w:after="0" w:line="20" w:lineRule="exact"/>
              <w:rPr>
                <w:sz w:val="1"/>
                <w:szCs w:val="1"/>
                <w:color w:val="auto"/>
              </w:rPr>
            </w:pPr>
          </w:p>
        </w:tc>
        <w:tc>
          <w:tcPr>
            <w:tcW w:w="22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bl>
    <w:p>
      <w:pPr>
        <w:spacing w:after="0" w:line="208" w:lineRule="exact"/>
        <w:rPr>
          <w:sz w:val="20"/>
          <w:szCs w:val="20"/>
          <w:color w:val="auto"/>
        </w:rPr>
      </w:pPr>
    </w:p>
    <w:p>
      <w:pPr>
        <w:ind w:firstLine="351"/>
        <w:spacing w:after="0" w:line="256" w:lineRule="auto"/>
        <w:rPr>
          <w:sz w:val="20"/>
          <w:szCs w:val="20"/>
          <w:color w:val="auto"/>
        </w:rPr>
      </w:pPr>
      <w:r>
        <w:rPr>
          <w:rFonts w:ascii="Arial" w:cs="Arial" w:eastAsia="Arial" w:hAnsi="Arial"/>
          <w:sz w:val="18"/>
          <w:szCs w:val="18"/>
          <w:color w:val="auto"/>
        </w:rPr>
        <w:t>In January 2009, the Company entered into a purchase agreement ("LAHI Agreement") with Lohmann Animal Health International ("LAHI") to sell its poultry vaccines assets to LAHI. Under the LAHI Agreement, LAHI paid an upfront fee of $0.8 million and agreed to pay potential milestone payments. During the year ended December 31, 2009, the Company recorded a gain of $0.6 million related to the LAHI Agreement based on the upfront fee less the net book value of the related asset.</w:t>
      </w:r>
    </w:p>
    <w:p>
      <w:pPr>
        <w:spacing w:after="0" w:line="197" w:lineRule="exact"/>
        <w:rPr>
          <w:sz w:val="20"/>
          <w:szCs w:val="20"/>
          <w:color w:val="auto"/>
        </w:rPr>
      </w:pPr>
    </w:p>
    <w:p>
      <w:pPr>
        <w:ind w:right="360" w:firstLine="348"/>
        <w:spacing w:after="0" w:line="256" w:lineRule="auto"/>
        <w:rPr>
          <w:sz w:val="20"/>
          <w:szCs w:val="20"/>
          <w:color w:val="auto"/>
        </w:rPr>
      </w:pPr>
      <w:r>
        <w:rPr>
          <w:rFonts w:ascii="Arial" w:cs="Arial" w:eastAsia="Arial" w:hAnsi="Arial"/>
          <w:sz w:val="18"/>
          <w:szCs w:val="18"/>
          <w:color w:val="auto"/>
        </w:rPr>
        <w:t>The estimated fair value attributed to the April 2008 agreement ("TopoTarget Agreement") between the Company (as a successor to CuraGen) and TopoTarget A/S ("TopoTarget") relates to the Company's rights under the TopoTarget Agreement to receive up to $6 million in either potential commercial milestone payments related to future net sales of Belinostat or 10% of any sublicense income received by TopoTarget ("TopoTarget Payments"). In February 2010, TopoTarget entered into a</w:t>
      </w:r>
    </w:p>
    <w:p>
      <w:pPr>
        <w:spacing w:after="0" w:line="197"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40"/>
          </w:cols>
          <w:pgMar w:left="240" w:top="131" w:right="319" w:bottom="1440" w:gutter="0" w:footer="0" w:header="0"/>
        </w:sectPr>
      </w:pPr>
    </w:p>
    <w:bookmarkStart w:id="86" w:name="page87"/>
    <w:bookmarkEnd w:id="86"/>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CELLDEX THERAPEUTICS, INC.</w:t>
      </w:r>
    </w:p>
    <w:p>
      <w:pPr>
        <w:spacing w:after="0" w:line="225" w:lineRule="exact"/>
        <w:rPr>
          <w:sz w:val="20"/>
          <w:szCs w:val="20"/>
          <w:color w:val="auto"/>
        </w:rPr>
      </w:pPr>
    </w:p>
    <w:p>
      <w:pPr>
        <w:ind w:left="2940"/>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(7) INTANGIBLE ASSETS AND GOODWILL (Continued)</w:t>
      </w: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ind w:right="220"/>
        <w:spacing w:after="0" w:line="332" w:lineRule="auto"/>
        <w:rPr>
          <w:sz w:val="20"/>
          <w:szCs w:val="20"/>
          <w:color w:val="auto"/>
        </w:rPr>
      </w:pPr>
      <w:r>
        <w:rPr>
          <w:rFonts w:ascii="Arial" w:cs="Arial" w:eastAsia="Arial" w:hAnsi="Arial"/>
          <w:sz w:val="16"/>
          <w:szCs w:val="16"/>
          <w:color w:val="auto"/>
        </w:rPr>
        <w:t>co-development and commercialization agreement for Belinostat with Spectrum Pharmaceuticals, Inc. which resulted in the Company's receipt of $3 million of the TopoTarget Payments. The Company recorded this cash receipt as Other Income for the year ended December 31, 2010.</w:t>
      </w:r>
    </w:p>
    <w:p>
      <w:pPr>
        <w:spacing w:after="0" w:line="139" w:lineRule="exact"/>
        <w:rPr>
          <w:sz w:val="20"/>
          <w:szCs w:val="20"/>
          <w:color w:val="auto"/>
        </w:rPr>
      </w:pPr>
    </w:p>
    <w:p>
      <w:pPr>
        <w:ind w:left="360"/>
        <w:spacing w:after="0"/>
        <w:rPr>
          <w:sz w:val="20"/>
          <w:szCs w:val="20"/>
          <w:color w:val="auto"/>
        </w:rPr>
      </w:pPr>
      <w:r>
        <w:rPr>
          <w:rFonts w:ascii="Arial" w:cs="Arial" w:eastAsia="Arial" w:hAnsi="Arial"/>
          <w:sz w:val="16"/>
          <w:szCs w:val="16"/>
          <w:color w:val="auto"/>
        </w:rPr>
        <w:t>During the year ended December 31, 2010, the Company wrote-off $0.2 million in Core Technology to amortization of intangible asset expense.</w:t>
      </w:r>
    </w:p>
    <w:p>
      <w:pPr>
        <w:spacing w:after="0" w:line="248" w:lineRule="exact"/>
        <w:rPr>
          <w:sz w:val="20"/>
          <w:szCs w:val="20"/>
          <w:color w:val="auto"/>
        </w:rPr>
      </w:pPr>
    </w:p>
    <w:p>
      <w:pPr>
        <w:ind w:right="720" w:firstLine="341"/>
        <w:spacing w:after="0" w:line="332" w:lineRule="auto"/>
        <w:rPr>
          <w:sz w:val="20"/>
          <w:szCs w:val="20"/>
          <w:color w:val="auto"/>
        </w:rPr>
      </w:pPr>
      <w:r>
        <w:rPr>
          <w:rFonts w:ascii="Arial" w:cs="Arial" w:eastAsia="Arial" w:hAnsi="Arial"/>
          <w:sz w:val="16"/>
          <w:szCs w:val="16"/>
          <w:color w:val="auto"/>
        </w:rPr>
        <w:t>Amortization expense for intangible assets was $3.1 million, $0.9 million and $0.4 million for the years ended December 31, 2010, 2009 and 2008, respectively. The estimated future amortization expense of intangible assets as of December 31, 2010, for the next five years is as follows:</w:t>
      </w:r>
    </w:p>
    <w:p>
      <w:pPr>
        <w:spacing w:after="0" w:line="12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300" w:type="dxa"/>
            <w:vAlign w:val="bottom"/>
          </w:tcPr>
          <w:p>
            <w:pPr>
              <w:spacing w:after="0"/>
              <w:rPr>
                <w:sz w:val="14"/>
                <w:szCs w:val="14"/>
                <w:color w:val="auto"/>
              </w:rPr>
            </w:pPr>
          </w:p>
        </w:tc>
        <w:tc>
          <w:tcPr>
            <w:tcW w:w="1600" w:type="dxa"/>
            <w:vAlign w:val="bottom"/>
          </w:tcPr>
          <w:p>
            <w:pPr>
              <w:spacing w:after="0"/>
              <w:rPr>
                <w:sz w:val="14"/>
                <w:szCs w:val="14"/>
                <w:color w:val="auto"/>
              </w:rPr>
            </w:pPr>
          </w:p>
        </w:tc>
        <w:tc>
          <w:tcPr>
            <w:tcW w:w="30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280" w:type="dxa"/>
            <w:vAlign w:val="bottom"/>
            <w:gridSpan w:val="3"/>
          </w:tcPr>
          <w:p>
            <w:pPr>
              <w:jc w:val="center"/>
              <w:ind w:right="2660"/>
              <w:spacing w:after="0"/>
              <w:rPr>
                <w:sz w:val="20"/>
                <w:szCs w:val="20"/>
                <w:color w:val="auto"/>
              </w:rPr>
            </w:pPr>
            <w:r>
              <w:rPr>
                <w:rFonts w:ascii="Arial" w:cs="Arial" w:eastAsia="Arial" w:hAnsi="Arial"/>
                <w:sz w:val="14"/>
                <w:szCs w:val="14"/>
                <w:b w:val="1"/>
                <w:bCs w:val="1"/>
                <w:color w:val="auto"/>
                <w:w w:val="86"/>
              </w:rPr>
              <w:t>Estimated</w:t>
            </w:r>
          </w:p>
        </w:tc>
        <w:tc>
          <w:tcPr>
            <w:tcW w:w="0" w:type="dxa"/>
            <w:vAlign w:val="bottom"/>
          </w:tcPr>
          <w:p>
            <w:pPr>
              <w:spacing w:after="0"/>
              <w:rPr>
                <w:sz w:val="1"/>
                <w:szCs w:val="1"/>
                <w:color w:val="auto"/>
              </w:rPr>
            </w:pPr>
          </w:p>
        </w:tc>
      </w:tr>
      <w:tr>
        <w:trPr>
          <w:trHeight w:val="149"/>
        </w:trPr>
        <w:tc>
          <w:tcPr>
            <w:tcW w:w="2300" w:type="dxa"/>
            <w:vAlign w:val="bottom"/>
          </w:tcPr>
          <w:p>
            <w:pPr>
              <w:spacing w:after="0"/>
              <w:rPr>
                <w:sz w:val="12"/>
                <w:szCs w:val="12"/>
                <w:color w:val="auto"/>
              </w:rPr>
            </w:pPr>
          </w:p>
        </w:tc>
        <w:tc>
          <w:tcPr>
            <w:tcW w:w="1600" w:type="dxa"/>
            <w:vAlign w:val="bottom"/>
          </w:tcPr>
          <w:p>
            <w:pPr>
              <w:spacing w:after="0"/>
              <w:rPr>
                <w:sz w:val="12"/>
                <w:szCs w:val="12"/>
                <w:color w:val="auto"/>
              </w:rPr>
            </w:pPr>
          </w:p>
        </w:tc>
        <w:tc>
          <w:tcPr>
            <w:tcW w:w="30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400" w:type="dxa"/>
            <w:vAlign w:val="bottom"/>
            <w:gridSpan w:val="4"/>
          </w:tcPr>
          <w:p>
            <w:pPr>
              <w:jc w:val="center"/>
              <w:ind w:right="2540"/>
              <w:spacing w:after="0" w:line="149" w:lineRule="exact"/>
              <w:rPr>
                <w:sz w:val="20"/>
                <w:szCs w:val="20"/>
                <w:color w:val="auto"/>
              </w:rPr>
            </w:pPr>
            <w:r>
              <w:rPr>
                <w:rFonts w:ascii="Arial" w:cs="Arial" w:eastAsia="Arial" w:hAnsi="Arial"/>
                <w:sz w:val="14"/>
                <w:szCs w:val="14"/>
                <w:b w:val="1"/>
                <w:bCs w:val="1"/>
                <w:color w:val="auto"/>
                <w:w w:val="91"/>
              </w:rPr>
              <w:t>Amortization</w:t>
            </w:r>
          </w:p>
        </w:tc>
        <w:tc>
          <w:tcPr>
            <w:tcW w:w="0" w:type="dxa"/>
            <w:vAlign w:val="bottom"/>
          </w:tcPr>
          <w:p>
            <w:pPr>
              <w:spacing w:after="0"/>
              <w:rPr>
                <w:sz w:val="1"/>
                <w:szCs w:val="1"/>
                <w:color w:val="auto"/>
              </w:rPr>
            </w:pPr>
          </w:p>
        </w:tc>
      </w:tr>
      <w:tr>
        <w:trPr>
          <w:trHeight w:val="161"/>
        </w:trPr>
        <w:tc>
          <w:tcPr>
            <w:tcW w:w="6900" w:type="dxa"/>
            <w:vAlign w:val="bottom"/>
            <w:gridSpan w:val="3"/>
          </w:tcPr>
          <w:p>
            <w:pPr>
              <w:ind w:left="2300"/>
              <w:spacing w:after="0"/>
              <w:rPr>
                <w:sz w:val="20"/>
                <w:szCs w:val="20"/>
                <w:color w:val="auto"/>
              </w:rPr>
            </w:pPr>
            <w:r>
              <w:rPr>
                <w:rFonts w:ascii="Arial" w:cs="Arial" w:eastAsia="Arial" w:hAnsi="Arial"/>
                <w:sz w:val="14"/>
                <w:szCs w:val="14"/>
                <w:b w:val="1"/>
                <w:bCs w:val="1"/>
                <w:color w:val="auto"/>
              </w:rPr>
              <w:t>Year ending December 31,</w:t>
            </w:r>
          </w:p>
        </w:tc>
        <w:tc>
          <w:tcPr>
            <w:tcW w:w="2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280" w:type="dxa"/>
            <w:vAlign w:val="bottom"/>
            <w:gridSpan w:val="3"/>
          </w:tcPr>
          <w:p>
            <w:pPr>
              <w:jc w:val="center"/>
              <w:ind w:right="2640"/>
              <w:spacing w:after="0"/>
              <w:rPr>
                <w:sz w:val="20"/>
                <w:szCs w:val="20"/>
                <w:color w:val="auto"/>
              </w:rPr>
            </w:pPr>
            <w:r>
              <w:rPr>
                <w:rFonts w:ascii="Arial" w:cs="Arial" w:eastAsia="Arial" w:hAnsi="Arial"/>
                <w:sz w:val="14"/>
                <w:szCs w:val="14"/>
                <w:b w:val="1"/>
                <w:bCs w:val="1"/>
                <w:color w:val="auto"/>
                <w:w w:val="83"/>
              </w:rPr>
              <w:t>Expense</w:t>
            </w:r>
          </w:p>
        </w:tc>
        <w:tc>
          <w:tcPr>
            <w:tcW w:w="0" w:type="dxa"/>
            <w:vAlign w:val="bottom"/>
          </w:tcPr>
          <w:p>
            <w:pPr>
              <w:spacing w:after="0"/>
              <w:rPr>
                <w:sz w:val="1"/>
                <w:szCs w:val="1"/>
                <w:color w:val="auto"/>
              </w:rPr>
            </w:pPr>
          </w:p>
        </w:tc>
      </w:tr>
      <w:tr>
        <w:trPr>
          <w:trHeight w:val="142"/>
        </w:trPr>
        <w:tc>
          <w:tcPr>
            <w:tcW w:w="2300" w:type="dxa"/>
            <w:vAlign w:val="bottom"/>
          </w:tcPr>
          <w:p>
            <w:pPr>
              <w:spacing w:after="0"/>
              <w:rPr>
                <w:sz w:val="12"/>
                <w:szCs w:val="12"/>
                <w:color w:val="auto"/>
              </w:rPr>
            </w:pPr>
          </w:p>
        </w:tc>
        <w:tc>
          <w:tcPr>
            <w:tcW w:w="1600" w:type="dxa"/>
            <w:vAlign w:val="bottom"/>
            <w:tcBorders>
              <w:top w:val="single" w:sz="8" w:color="auto"/>
            </w:tcBorders>
          </w:tcPr>
          <w:p>
            <w:pPr>
              <w:spacing w:after="0"/>
              <w:rPr>
                <w:sz w:val="12"/>
                <w:szCs w:val="12"/>
                <w:color w:val="auto"/>
              </w:rPr>
            </w:pPr>
          </w:p>
        </w:tc>
        <w:tc>
          <w:tcPr>
            <w:tcW w:w="30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960" w:type="dxa"/>
            <w:vAlign w:val="bottom"/>
            <w:tcBorders>
              <w:top w:val="single" w:sz="8" w:color="auto"/>
            </w:tcBorders>
            <w:gridSpan w:val="2"/>
          </w:tcPr>
          <w:p>
            <w:pPr>
              <w:jc w:val="center"/>
              <w:spacing w:after="0" w:line="142" w:lineRule="exact"/>
              <w:rPr>
                <w:sz w:val="20"/>
                <w:szCs w:val="20"/>
                <w:color w:val="auto"/>
              </w:rPr>
            </w:pPr>
            <w:r>
              <w:rPr>
                <w:rFonts w:ascii="Arial" w:cs="Arial" w:eastAsia="Arial" w:hAnsi="Arial"/>
                <w:sz w:val="14"/>
                <w:szCs w:val="14"/>
                <w:b w:val="1"/>
                <w:bCs w:val="1"/>
                <w:color w:val="auto"/>
                <w:w w:val="87"/>
              </w:rPr>
              <w:t>(In thousands)</w:t>
            </w:r>
          </w:p>
        </w:tc>
        <w:tc>
          <w:tcPr>
            <w:tcW w:w="2440" w:type="dxa"/>
            <w:vAlign w:val="bottom"/>
            <w:gridSpan w:val="2"/>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300" w:type="dxa"/>
            <w:vAlign w:val="bottom"/>
          </w:tcPr>
          <w:p>
            <w:pPr>
              <w:spacing w:after="0"/>
              <w:rPr>
                <w:sz w:val="18"/>
                <w:szCs w:val="18"/>
                <w:color w:val="auto"/>
              </w:rPr>
            </w:pPr>
          </w:p>
        </w:tc>
        <w:tc>
          <w:tcPr>
            <w:tcW w:w="1600" w:type="dxa"/>
            <w:vAlign w:val="bottom"/>
            <w:shd w:val="clear" w:color="auto" w:fill="CCEEFF"/>
          </w:tcPr>
          <w:p>
            <w:pPr>
              <w:spacing w:after="0"/>
              <w:rPr>
                <w:sz w:val="20"/>
                <w:szCs w:val="20"/>
                <w:color w:val="auto"/>
              </w:rPr>
            </w:pPr>
            <w:r>
              <w:rPr>
                <w:rFonts w:ascii="Arial" w:cs="Arial" w:eastAsia="Arial" w:hAnsi="Arial"/>
                <w:sz w:val="18"/>
                <w:szCs w:val="18"/>
                <w:color w:val="auto"/>
              </w:rPr>
              <w:t>2011</w:t>
            </w:r>
          </w:p>
        </w:tc>
        <w:tc>
          <w:tcPr>
            <w:tcW w:w="30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0" w:type="dxa"/>
            <w:vAlign w:val="bottom"/>
            <w:gridSpan w:val="2"/>
            <w:shd w:val="clear" w:color="auto" w:fill="CCEEFF"/>
          </w:tcPr>
          <w:p>
            <w:pPr>
              <w:jc w:val="right"/>
              <w:ind w:right="27"/>
              <w:spacing w:after="0"/>
              <w:rPr>
                <w:sz w:val="20"/>
                <w:szCs w:val="20"/>
                <w:color w:val="auto"/>
              </w:rPr>
            </w:pPr>
            <w:r>
              <w:rPr>
                <w:rFonts w:ascii="Arial" w:cs="Arial" w:eastAsia="Arial" w:hAnsi="Arial"/>
                <w:sz w:val="18"/>
                <w:szCs w:val="18"/>
                <w:color w:val="auto"/>
                <w:w w:val="79"/>
              </w:rPr>
              <w:t>$</w:t>
            </w:r>
          </w:p>
        </w:tc>
        <w:tc>
          <w:tcPr>
            <w:tcW w:w="10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1,588</w:t>
            </w:r>
          </w:p>
        </w:tc>
        <w:tc>
          <w:tcPr>
            <w:tcW w:w="2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300" w:type="dxa"/>
            <w:vAlign w:val="bottom"/>
          </w:tcPr>
          <w:p>
            <w:pPr>
              <w:spacing w:after="0"/>
              <w:rPr>
                <w:sz w:val="18"/>
                <w:szCs w:val="18"/>
                <w:color w:val="auto"/>
              </w:rPr>
            </w:pPr>
          </w:p>
        </w:tc>
        <w:tc>
          <w:tcPr>
            <w:tcW w:w="1600" w:type="dxa"/>
            <w:vAlign w:val="bottom"/>
          </w:tcPr>
          <w:p>
            <w:pPr>
              <w:spacing w:after="0"/>
              <w:rPr>
                <w:sz w:val="20"/>
                <w:szCs w:val="20"/>
                <w:color w:val="auto"/>
              </w:rPr>
            </w:pPr>
            <w:r>
              <w:rPr>
                <w:rFonts w:ascii="Arial" w:cs="Arial" w:eastAsia="Arial" w:hAnsi="Arial"/>
                <w:sz w:val="18"/>
                <w:szCs w:val="18"/>
                <w:color w:val="auto"/>
              </w:rPr>
              <w:t>2012</w:t>
            </w:r>
          </w:p>
        </w:tc>
        <w:tc>
          <w:tcPr>
            <w:tcW w:w="3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gridSpan w:val="2"/>
          </w:tcPr>
          <w:p>
            <w:pPr>
              <w:jc w:val="right"/>
              <w:ind w:right="160"/>
              <w:spacing w:after="0"/>
              <w:rPr>
                <w:sz w:val="20"/>
                <w:szCs w:val="20"/>
                <w:color w:val="auto"/>
              </w:rPr>
            </w:pPr>
            <w:r>
              <w:rPr>
                <w:rFonts w:ascii="Arial" w:cs="Arial" w:eastAsia="Arial" w:hAnsi="Arial"/>
                <w:sz w:val="18"/>
                <w:szCs w:val="18"/>
                <w:color w:val="auto"/>
              </w:rPr>
              <w:t>1,169</w:t>
            </w:r>
          </w:p>
        </w:tc>
        <w:tc>
          <w:tcPr>
            <w:tcW w:w="2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300" w:type="dxa"/>
            <w:vAlign w:val="bottom"/>
          </w:tcPr>
          <w:p>
            <w:pPr>
              <w:spacing w:after="0"/>
              <w:rPr>
                <w:sz w:val="18"/>
                <w:szCs w:val="18"/>
                <w:color w:val="auto"/>
              </w:rPr>
            </w:pPr>
          </w:p>
        </w:tc>
        <w:tc>
          <w:tcPr>
            <w:tcW w:w="1600" w:type="dxa"/>
            <w:vAlign w:val="bottom"/>
            <w:shd w:val="clear" w:color="auto" w:fill="CCEEFF"/>
          </w:tcPr>
          <w:p>
            <w:pPr>
              <w:spacing w:after="0"/>
              <w:rPr>
                <w:sz w:val="20"/>
                <w:szCs w:val="20"/>
                <w:color w:val="auto"/>
              </w:rPr>
            </w:pPr>
            <w:r>
              <w:rPr>
                <w:rFonts w:ascii="Arial" w:cs="Arial" w:eastAsia="Arial" w:hAnsi="Arial"/>
                <w:sz w:val="18"/>
                <w:szCs w:val="18"/>
                <w:color w:val="auto"/>
              </w:rPr>
              <w:t>2013</w:t>
            </w:r>
          </w:p>
        </w:tc>
        <w:tc>
          <w:tcPr>
            <w:tcW w:w="30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1,094</w:t>
            </w:r>
          </w:p>
        </w:tc>
        <w:tc>
          <w:tcPr>
            <w:tcW w:w="2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300" w:type="dxa"/>
            <w:vAlign w:val="bottom"/>
          </w:tcPr>
          <w:p>
            <w:pPr>
              <w:spacing w:after="0"/>
              <w:rPr>
                <w:sz w:val="18"/>
                <w:szCs w:val="18"/>
                <w:color w:val="auto"/>
              </w:rPr>
            </w:pPr>
          </w:p>
        </w:tc>
        <w:tc>
          <w:tcPr>
            <w:tcW w:w="1600" w:type="dxa"/>
            <w:vAlign w:val="bottom"/>
          </w:tcPr>
          <w:p>
            <w:pPr>
              <w:spacing w:after="0"/>
              <w:rPr>
                <w:sz w:val="20"/>
                <w:szCs w:val="20"/>
                <w:color w:val="auto"/>
              </w:rPr>
            </w:pPr>
            <w:r>
              <w:rPr>
                <w:rFonts w:ascii="Arial" w:cs="Arial" w:eastAsia="Arial" w:hAnsi="Arial"/>
                <w:sz w:val="18"/>
                <w:szCs w:val="18"/>
                <w:color w:val="auto"/>
              </w:rPr>
              <w:t>2014</w:t>
            </w:r>
          </w:p>
        </w:tc>
        <w:tc>
          <w:tcPr>
            <w:tcW w:w="3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gridSpan w:val="2"/>
          </w:tcPr>
          <w:p>
            <w:pPr>
              <w:jc w:val="right"/>
              <w:ind w:right="160"/>
              <w:spacing w:after="0"/>
              <w:rPr>
                <w:sz w:val="20"/>
                <w:szCs w:val="20"/>
                <w:color w:val="auto"/>
              </w:rPr>
            </w:pPr>
            <w:r>
              <w:rPr>
                <w:rFonts w:ascii="Arial" w:cs="Arial" w:eastAsia="Arial" w:hAnsi="Arial"/>
                <w:sz w:val="18"/>
                <w:szCs w:val="18"/>
                <w:color w:val="auto"/>
              </w:rPr>
              <w:t>1,094</w:t>
            </w:r>
          </w:p>
        </w:tc>
        <w:tc>
          <w:tcPr>
            <w:tcW w:w="2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300" w:type="dxa"/>
            <w:vAlign w:val="bottom"/>
          </w:tcPr>
          <w:p>
            <w:pPr>
              <w:spacing w:after="0"/>
              <w:rPr>
                <w:sz w:val="18"/>
                <w:szCs w:val="18"/>
                <w:color w:val="auto"/>
              </w:rPr>
            </w:pPr>
          </w:p>
        </w:tc>
        <w:tc>
          <w:tcPr>
            <w:tcW w:w="1600" w:type="dxa"/>
            <w:vAlign w:val="bottom"/>
            <w:shd w:val="clear" w:color="auto" w:fill="CCEEFF"/>
          </w:tcPr>
          <w:p>
            <w:pPr>
              <w:spacing w:after="0"/>
              <w:rPr>
                <w:sz w:val="20"/>
                <w:szCs w:val="20"/>
                <w:color w:val="auto"/>
              </w:rPr>
            </w:pPr>
            <w:r>
              <w:rPr>
                <w:rFonts w:ascii="Arial" w:cs="Arial" w:eastAsia="Arial" w:hAnsi="Arial"/>
                <w:sz w:val="18"/>
                <w:szCs w:val="18"/>
                <w:color w:val="auto"/>
              </w:rPr>
              <w:t>2015</w:t>
            </w:r>
          </w:p>
        </w:tc>
        <w:tc>
          <w:tcPr>
            <w:tcW w:w="30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1,094</w:t>
            </w:r>
          </w:p>
        </w:tc>
        <w:tc>
          <w:tcPr>
            <w:tcW w:w="2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30"/>
        </w:trPr>
        <w:tc>
          <w:tcPr>
            <w:tcW w:w="6900" w:type="dxa"/>
            <w:vAlign w:val="bottom"/>
            <w:gridSpan w:val="3"/>
          </w:tcPr>
          <w:p>
            <w:pPr>
              <w:spacing w:after="0"/>
              <w:rPr>
                <w:sz w:val="20"/>
                <w:szCs w:val="20"/>
                <w:color w:val="auto"/>
              </w:rPr>
            </w:pPr>
            <w:r>
              <w:rPr>
                <w:rFonts w:ascii="Arial" w:cs="Arial" w:eastAsia="Arial" w:hAnsi="Arial"/>
                <w:sz w:val="18"/>
                <w:szCs w:val="18"/>
                <w:b w:val="1"/>
                <w:bCs w:val="1"/>
                <w:color w:val="auto"/>
              </w:rPr>
              <w:t>(8) ACCRUED EXPENSES</w:t>
            </w:r>
          </w:p>
        </w:tc>
        <w:tc>
          <w:tcPr>
            <w:tcW w:w="2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6900" w:type="dxa"/>
            <w:vAlign w:val="bottom"/>
            <w:gridSpan w:val="3"/>
          </w:tcPr>
          <w:p>
            <w:pPr>
              <w:ind w:left="340"/>
              <w:spacing w:after="0"/>
              <w:rPr>
                <w:sz w:val="20"/>
                <w:szCs w:val="20"/>
                <w:color w:val="auto"/>
              </w:rPr>
            </w:pPr>
            <w:r>
              <w:rPr>
                <w:rFonts w:ascii="Arial" w:cs="Arial" w:eastAsia="Arial" w:hAnsi="Arial"/>
                <w:sz w:val="18"/>
                <w:szCs w:val="18"/>
                <w:color w:val="auto"/>
              </w:rPr>
              <w:t>Accrued expenses include the following:</w:t>
            </w:r>
          </w:p>
        </w:tc>
        <w:tc>
          <w:tcPr>
            <w:tcW w:w="2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4"/>
        </w:trPr>
        <w:tc>
          <w:tcPr>
            <w:tcW w:w="230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3000" w:type="dxa"/>
            <w:vAlign w:val="bottom"/>
          </w:tcPr>
          <w:p>
            <w:pPr>
              <w:spacing w:after="0"/>
              <w:rPr>
                <w:sz w:val="24"/>
                <w:szCs w:val="24"/>
                <w:color w:val="auto"/>
              </w:rPr>
            </w:pPr>
          </w:p>
        </w:tc>
        <w:tc>
          <w:tcPr>
            <w:tcW w:w="1040" w:type="dxa"/>
            <w:vAlign w:val="bottom"/>
            <w:gridSpan w:val="3"/>
          </w:tcPr>
          <w:p>
            <w:pPr>
              <w:ind w:left="80"/>
              <w:spacing w:after="0"/>
              <w:rPr>
                <w:sz w:val="20"/>
                <w:szCs w:val="20"/>
                <w:color w:val="auto"/>
              </w:rPr>
            </w:pPr>
            <w:r>
              <w:rPr>
                <w:rFonts w:ascii="Arial" w:cs="Arial" w:eastAsia="Arial" w:hAnsi="Arial"/>
                <w:sz w:val="14"/>
                <w:szCs w:val="14"/>
                <w:b w:val="1"/>
                <w:bCs w:val="1"/>
                <w:color w:val="auto"/>
              </w:rPr>
              <w:t>December 31,</w:t>
            </w:r>
          </w:p>
        </w:tc>
        <w:tc>
          <w:tcPr>
            <w:tcW w:w="80" w:type="dxa"/>
            <w:vAlign w:val="bottom"/>
          </w:tcPr>
          <w:p>
            <w:pPr>
              <w:spacing w:after="0"/>
              <w:rPr>
                <w:sz w:val="24"/>
                <w:szCs w:val="24"/>
                <w:color w:val="auto"/>
              </w:rPr>
            </w:pPr>
          </w:p>
        </w:tc>
        <w:tc>
          <w:tcPr>
            <w:tcW w:w="3400" w:type="dxa"/>
            <w:vAlign w:val="bottom"/>
            <w:gridSpan w:val="4"/>
          </w:tcPr>
          <w:p>
            <w:pPr>
              <w:ind w:left="80"/>
              <w:spacing w:after="0"/>
              <w:rPr>
                <w:sz w:val="20"/>
                <w:szCs w:val="20"/>
                <w:color w:val="auto"/>
              </w:rPr>
            </w:pP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161"/>
        </w:trPr>
        <w:tc>
          <w:tcPr>
            <w:tcW w:w="2300" w:type="dxa"/>
            <w:vAlign w:val="bottom"/>
          </w:tcPr>
          <w:p>
            <w:pPr>
              <w:spacing w:after="0"/>
              <w:rPr>
                <w:sz w:val="14"/>
                <w:szCs w:val="14"/>
                <w:color w:val="auto"/>
              </w:rPr>
            </w:pPr>
          </w:p>
        </w:tc>
        <w:tc>
          <w:tcPr>
            <w:tcW w:w="1600" w:type="dxa"/>
            <w:vAlign w:val="bottom"/>
          </w:tcPr>
          <w:p>
            <w:pPr>
              <w:spacing w:after="0"/>
              <w:rPr>
                <w:sz w:val="14"/>
                <w:szCs w:val="14"/>
                <w:color w:val="auto"/>
              </w:rPr>
            </w:pPr>
          </w:p>
        </w:tc>
        <w:tc>
          <w:tcPr>
            <w:tcW w:w="300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jc w:val="right"/>
              <w:ind w:right="257"/>
              <w:spacing w:after="0"/>
              <w:rPr>
                <w:sz w:val="20"/>
                <w:szCs w:val="20"/>
                <w:color w:val="auto"/>
              </w:rPr>
            </w:pPr>
            <w:r>
              <w:rPr>
                <w:rFonts w:ascii="Arial" w:cs="Arial" w:eastAsia="Arial" w:hAnsi="Arial"/>
                <w:sz w:val="14"/>
                <w:szCs w:val="14"/>
                <w:b w:val="1"/>
                <w:bCs w:val="1"/>
                <w:color w:val="auto"/>
              </w:rPr>
              <w:t>2010</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jc w:val="right"/>
              <w:ind w:right="257"/>
              <w:spacing w:after="0"/>
              <w:rPr>
                <w:sz w:val="20"/>
                <w:szCs w:val="20"/>
                <w:color w:val="auto"/>
              </w:rPr>
            </w:pPr>
            <w:r>
              <w:rPr>
                <w:rFonts w:ascii="Arial" w:cs="Arial" w:eastAsia="Arial" w:hAnsi="Arial"/>
                <w:sz w:val="14"/>
                <w:szCs w:val="14"/>
                <w:b w:val="1"/>
                <w:bCs w:val="1"/>
                <w:color w:val="auto"/>
              </w:rPr>
              <w:t>2009</w:t>
            </w:r>
          </w:p>
        </w:tc>
        <w:tc>
          <w:tcPr>
            <w:tcW w:w="160" w:type="dxa"/>
            <w:vAlign w:val="bottom"/>
          </w:tcPr>
          <w:p>
            <w:pPr>
              <w:spacing w:after="0"/>
              <w:rPr>
                <w:sz w:val="14"/>
                <w:szCs w:val="14"/>
                <w:color w:val="auto"/>
              </w:rPr>
            </w:pPr>
          </w:p>
        </w:tc>
        <w:tc>
          <w:tcPr>
            <w:tcW w:w="22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300" w:type="dxa"/>
            <w:vAlign w:val="bottom"/>
          </w:tcPr>
          <w:p>
            <w:pPr>
              <w:spacing w:after="0"/>
              <w:rPr>
                <w:sz w:val="12"/>
                <w:szCs w:val="12"/>
                <w:color w:val="auto"/>
              </w:rPr>
            </w:pPr>
          </w:p>
        </w:tc>
        <w:tc>
          <w:tcPr>
            <w:tcW w:w="1600" w:type="dxa"/>
            <w:vAlign w:val="bottom"/>
          </w:tcPr>
          <w:p>
            <w:pPr>
              <w:spacing w:after="0"/>
              <w:rPr>
                <w:sz w:val="12"/>
                <w:szCs w:val="12"/>
                <w:color w:val="auto"/>
              </w:rPr>
            </w:pPr>
          </w:p>
        </w:tc>
        <w:tc>
          <w:tcPr>
            <w:tcW w:w="30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40" w:type="dxa"/>
            <w:vAlign w:val="bottom"/>
          </w:tcPr>
          <w:p>
            <w:pPr>
              <w:jc w:val="right"/>
              <w:ind w:right="97"/>
              <w:spacing w:after="0" w:line="142" w:lineRule="exact"/>
              <w:rPr>
                <w:sz w:val="20"/>
                <w:szCs w:val="20"/>
                <w:color w:val="auto"/>
              </w:rPr>
            </w:pPr>
            <w:r>
              <w:rPr>
                <w:rFonts w:ascii="Arial" w:cs="Arial" w:eastAsia="Arial" w:hAnsi="Arial"/>
                <w:sz w:val="14"/>
                <w:szCs w:val="14"/>
                <w:b w:val="1"/>
                <w:bCs w:val="1"/>
                <w:color w:val="auto"/>
              </w:rPr>
              <w:t>(In</w:t>
            </w:r>
          </w:p>
        </w:tc>
        <w:tc>
          <w:tcPr>
            <w:tcW w:w="1120" w:type="dxa"/>
            <w:vAlign w:val="bottom"/>
            <w:gridSpan w:val="4"/>
          </w:tcPr>
          <w:p>
            <w:pPr>
              <w:jc w:val="right"/>
              <w:ind w:right="537"/>
              <w:spacing w:after="0"/>
              <w:rPr>
                <w:sz w:val="20"/>
                <w:szCs w:val="20"/>
                <w:color w:val="auto"/>
              </w:rPr>
            </w:pPr>
            <w:r>
              <w:rPr>
                <w:rFonts w:ascii="Arial" w:cs="Arial" w:eastAsia="Arial" w:hAnsi="Arial"/>
                <w:sz w:val="12"/>
                <w:szCs w:val="12"/>
                <w:b w:val="1"/>
                <w:bCs w:val="1"/>
                <w:color w:val="auto"/>
                <w:w w:val="74"/>
              </w:rPr>
              <w:t>thousands)</w:t>
            </w:r>
          </w:p>
        </w:tc>
        <w:tc>
          <w:tcPr>
            <w:tcW w:w="2440" w:type="dxa"/>
            <w:vAlign w:val="bottom"/>
            <w:gridSpan w:val="2"/>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300" w:type="dxa"/>
            <w:vAlign w:val="bottom"/>
          </w:tcPr>
          <w:p>
            <w:pPr>
              <w:spacing w:after="0"/>
              <w:rPr>
                <w:sz w:val="18"/>
                <w:szCs w:val="18"/>
                <w:color w:val="auto"/>
              </w:rPr>
            </w:pPr>
          </w:p>
        </w:tc>
        <w:tc>
          <w:tcPr>
            <w:tcW w:w="46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Accrued Royalty and License Fees</w:t>
            </w:r>
          </w:p>
        </w:tc>
        <w:tc>
          <w:tcPr>
            <w:tcW w:w="220" w:type="dxa"/>
            <w:vAlign w:val="bottom"/>
            <w:shd w:val="clear" w:color="auto" w:fill="CCEEFF"/>
          </w:tcPr>
          <w:p>
            <w:pPr>
              <w:jc w:val="right"/>
              <w:ind w:right="39"/>
              <w:spacing w:after="0"/>
              <w:rPr>
                <w:sz w:val="20"/>
                <w:szCs w:val="20"/>
                <w:color w:val="auto"/>
              </w:rPr>
            </w:pPr>
            <w:r>
              <w:rPr>
                <w:rFonts w:ascii="Arial" w:cs="Arial" w:eastAsia="Arial" w:hAnsi="Arial"/>
                <w:sz w:val="18"/>
                <w:szCs w:val="18"/>
                <w:color w:val="auto"/>
                <w:w w:val="79"/>
              </w:rPr>
              <w:t>$</w:t>
            </w:r>
          </w:p>
        </w:tc>
        <w:tc>
          <w:tcPr>
            <w:tcW w:w="820" w:type="dxa"/>
            <w:vAlign w:val="bottom"/>
            <w:gridSpan w:val="2"/>
            <w:shd w:val="clear" w:color="auto" w:fill="CCEEFF"/>
          </w:tcPr>
          <w:p>
            <w:pPr>
              <w:jc w:val="right"/>
              <w:ind w:right="18"/>
              <w:spacing w:after="0"/>
              <w:rPr>
                <w:sz w:val="20"/>
                <w:szCs w:val="20"/>
                <w:color w:val="auto"/>
              </w:rPr>
            </w:pPr>
            <w:r>
              <w:rPr>
                <w:rFonts w:ascii="Arial" w:cs="Arial" w:eastAsia="Arial" w:hAnsi="Arial"/>
                <w:sz w:val="18"/>
                <w:szCs w:val="18"/>
                <w:color w:val="auto"/>
              </w:rPr>
              <w:t>826</w:t>
            </w: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1,323</w:t>
            </w:r>
          </w:p>
        </w:tc>
        <w:tc>
          <w:tcPr>
            <w:tcW w:w="2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300" w:type="dxa"/>
            <w:vAlign w:val="bottom"/>
          </w:tcPr>
          <w:p>
            <w:pPr>
              <w:spacing w:after="0"/>
              <w:rPr>
                <w:sz w:val="18"/>
                <w:szCs w:val="18"/>
                <w:color w:val="auto"/>
              </w:rPr>
            </w:pPr>
          </w:p>
        </w:tc>
        <w:tc>
          <w:tcPr>
            <w:tcW w:w="4600" w:type="dxa"/>
            <w:vAlign w:val="bottom"/>
            <w:gridSpan w:val="2"/>
          </w:tcPr>
          <w:p>
            <w:pPr>
              <w:spacing w:after="0"/>
              <w:rPr>
                <w:sz w:val="20"/>
                <w:szCs w:val="20"/>
                <w:color w:val="auto"/>
              </w:rPr>
            </w:pPr>
            <w:r>
              <w:rPr>
                <w:rFonts w:ascii="Arial" w:cs="Arial" w:eastAsia="Arial" w:hAnsi="Arial"/>
                <w:sz w:val="18"/>
                <w:szCs w:val="18"/>
                <w:color w:val="auto"/>
              </w:rPr>
              <w:t>Accrued Payroll and Employee Benefits</w:t>
            </w:r>
          </w:p>
        </w:tc>
        <w:tc>
          <w:tcPr>
            <w:tcW w:w="220" w:type="dxa"/>
            <w:vAlign w:val="bottom"/>
          </w:tcPr>
          <w:p>
            <w:pPr>
              <w:spacing w:after="0"/>
              <w:rPr>
                <w:sz w:val="18"/>
                <w:szCs w:val="18"/>
                <w:color w:val="auto"/>
              </w:rPr>
            </w:pPr>
          </w:p>
        </w:tc>
        <w:tc>
          <w:tcPr>
            <w:tcW w:w="820" w:type="dxa"/>
            <w:vAlign w:val="bottom"/>
            <w:gridSpan w:val="2"/>
          </w:tcPr>
          <w:p>
            <w:pPr>
              <w:jc w:val="right"/>
              <w:ind w:right="18"/>
              <w:spacing w:after="0"/>
              <w:rPr>
                <w:sz w:val="20"/>
                <w:szCs w:val="20"/>
                <w:color w:val="auto"/>
              </w:rPr>
            </w:pPr>
            <w:r>
              <w:rPr>
                <w:rFonts w:ascii="Arial" w:cs="Arial" w:eastAsia="Arial" w:hAnsi="Arial"/>
                <w:sz w:val="18"/>
                <w:szCs w:val="18"/>
                <w:color w:val="auto"/>
              </w:rPr>
              <w:t>1,925</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gridSpan w:val="2"/>
          </w:tcPr>
          <w:p>
            <w:pPr>
              <w:jc w:val="right"/>
              <w:ind w:right="160"/>
              <w:spacing w:after="0"/>
              <w:rPr>
                <w:sz w:val="20"/>
                <w:szCs w:val="20"/>
                <w:color w:val="auto"/>
              </w:rPr>
            </w:pPr>
            <w:r>
              <w:rPr>
                <w:rFonts w:ascii="Arial" w:cs="Arial" w:eastAsia="Arial" w:hAnsi="Arial"/>
                <w:sz w:val="18"/>
                <w:szCs w:val="18"/>
                <w:color w:val="auto"/>
              </w:rPr>
              <w:t>1,915</w:t>
            </w:r>
          </w:p>
        </w:tc>
        <w:tc>
          <w:tcPr>
            <w:tcW w:w="2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300" w:type="dxa"/>
            <w:vAlign w:val="bottom"/>
          </w:tcPr>
          <w:p>
            <w:pPr>
              <w:spacing w:after="0"/>
              <w:rPr>
                <w:sz w:val="18"/>
                <w:szCs w:val="18"/>
                <w:color w:val="auto"/>
              </w:rPr>
            </w:pPr>
          </w:p>
        </w:tc>
        <w:tc>
          <w:tcPr>
            <w:tcW w:w="46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Accrued Research and Development Contract Costs</w:t>
            </w:r>
          </w:p>
        </w:tc>
        <w:tc>
          <w:tcPr>
            <w:tcW w:w="22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8"/>
              <w:spacing w:after="0"/>
              <w:rPr>
                <w:sz w:val="20"/>
                <w:szCs w:val="20"/>
                <w:color w:val="auto"/>
              </w:rPr>
            </w:pPr>
            <w:r>
              <w:rPr>
                <w:rFonts w:ascii="Arial" w:cs="Arial" w:eastAsia="Arial" w:hAnsi="Arial"/>
                <w:sz w:val="18"/>
                <w:szCs w:val="18"/>
                <w:color w:val="auto"/>
              </w:rPr>
              <w:t>1,218</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918</w:t>
            </w:r>
          </w:p>
        </w:tc>
        <w:tc>
          <w:tcPr>
            <w:tcW w:w="2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300" w:type="dxa"/>
            <w:vAlign w:val="bottom"/>
          </w:tcPr>
          <w:p>
            <w:pPr>
              <w:spacing w:after="0"/>
              <w:rPr>
                <w:sz w:val="18"/>
                <w:szCs w:val="18"/>
                <w:color w:val="auto"/>
              </w:rPr>
            </w:pPr>
          </w:p>
        </w:tc>
        <w:tc>
          <w:tcPr>
            <w:tcW w:w="4600" w:type="dxa"/>
            <w:vAlign w:val="bottom"/>
            <w:gridSpan w:val="2"/>
          </w:tcPr>
          <w:p>
            <w:pPr>
              <w:spacing w:after="0"/>
              <w:rPr>
                <w:sz w:val="20"/>
                <w:szCs w:val="20"/>
                <w:color w:val="auto"/>
              </w:rPr>
            </w:pPr>
            <w:r>
              <w:rPr>
                <w:rFonts w:ascii="Arial" w:cs="Arial" w:eastAsia="Arial" w:hAnsi="Arial"/>
                <w:sz w:val="18"/>
                <w:szCs w:val="18"/>
                <w:color w:val="auto"/>
              </w:rPr>
              <w:t>Accrued Professional Fees</w:t>
            </w:r>
          </w:p>
        </w:tc>
        <w:tc>
          <w:tcPr>
            <w:tcW w:w="220" w:type="dxa"/>
            <w:vAlign w:val="bottom"/>
          </w:tcPr>
          <w:p>
            <w:pPr>
              <w:spacing w:after="0"/>
              <w:rPr>
                <w:sz w:val="18"/>
                <w:szCs w:val="18"/>
                <w:color w:val="auto"/>
              </w:rPr>
            </w:pPr>
          </w:p>
        </w:tc>
        <w:tc>
          <w:tcPr>
            <w:tcW w:w="820" w:type="dxa"/>
            <w:vAlign w:val="bottom"/>
            <w:gridSpan w:val="2"/>
          </w:tcPr>
          <w:p>
            <w:pPr>
              <w:jc w:val="right"/>
              <w:ind w:right="18"/>
              <w:spacing w:after="0"/>
              <w:rPr>
                <w:sz w:val="20"/>
                <w:szCs w:val="20"/>
                <w:color w:val="auto"/>
              </w:rPr>
            </w:pPr>
            <w:r>
              <w:rPr>
                <w:rFonts w:ascii="Arial" w:cs="Arial" w:eastAsia="Arial" w:hAnsi="Arial"/>
                <w:sz w:val="18"/>
                <w:szCs w:val="18"/>
                <w:color w:val="auto"/>
              </w:rPr>
              <w:t>449</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gridSpan w:val="2"/>
          </w:tcPr>
          <w:p>
            <w:pPr>
              <w:jc w:val="right"/>
              <w:ind w:right="160"/>
              <w:spacing w:after="0"/>
              <w:rPr>
                <w:sz w:val="20"/>
                <w:szCs w:val="20"/>
                <w:color w:val="auto"/>
              </w:rPr>
            </w:pPr>
            <w:r>
              <w:rPr>
                <w:rFonts w:ascii="Arial" w:cs="Arial" w:eastAsia="Arial" w:hAnsi="Arial"/>
                <w:sz w:val="18"/>
                <w:szCs w:val="18"/>
                <w:color w:val="auto"/>
              </w:rPr>
              <w:t>512</w:t>
            </w:r>
          </w:p>
        </w:tc>
        <w:tc>
          <w:tcPr>
            <w:tcW w:w="2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300" w:type="dxa"/>
            <w:vAlign w:val="bottom"/>
          </w:tcPr>
          <w:p>
            <w:pPr>
              <w:spacing w:after="0"/>
              <w:rPr>
                <w:sz w:val="18"/>
                <w:szCs w:val="18"/>
                <w:color w:val="auto"/>
              </w:rPr>
            </w:pPr>
          </w:p>
        </w:tc>
        <w:tc>
          <w:tcPr>
            <w:tcW w:w="46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Other Accrued Expenses</w:t>
            </w:r>
          </w:p>
        </w:tc>
        <w:tc>
          <w:tcPr>
            <w:tcW w:w="22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8"/>
              <w:spacing w:after="0"/>
              <w:rPr>
                <w:sz w:val="20"/>
                <w:szCs w:val="20"/>
                <w:color w:val="auto"/>
              </w:rPr>
            </w:pPr>
            <w:r>
              <w:rPr>
                <w:rFonts w:ascii="Arial" w:cs="Arial" w:eastAsia="Arial" w:hAnsi="Arial"/>
                <w:sz w:val="18"/>
                <w:szCs w:val="18"/>
                <w:color w:val="auto"/>
              </w:rPr>
              <w:t>518</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947</w:t>
            </w:r>
          </w:p>
        </w:tc>
        <w:tc>
          <w:tcPr>
            <w:tcW w:w="2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300" w:type="dxa"/>
            <w:vAlign w:val="bottom"/>
          </w:tcPr>
          <w:p>
            <w:pPr>
              <w:spacing w:after="0"/>
              <w:rPr>
                <w:sz w:val="2"/>
                <w:szCs w:val="2"/>
                <w:color w:val="auto"/>
              </w:rPr>
            </w:pPr>
          </w:p>
        </w:tc>
        <w:tc>
          <w:tcPr>
            <w:tcW w:w="1600" w:type="dxa"/>
            <w:vAlign w:val="bottom"/>
          </w:tcPr>
          <w:p>
            <w:pPr>
              <w:spacing w:after="0"/>
              <w:rPr>
                <w:sz w:val="2"/>
                <w:szCs w:val="2"/>
                <w:color w:val="auto"/>
              </w:rPr>
            </w:pPr>
          </w:p>
        </w:tc>
        <w:tc>
          <w:tcPr>
            <w:tcW w:w="30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20" w:type="dxa"/>
            <w:vAlign w:val="bottom"/>
            <w:gridSpan w:val="2"/>
          </w:tcPr>
          <w:p>
            <w:pPr>
              <w:spacing w:after="0"/>
              <w:rPr>
                <w:sz w:val="2"/>
                <w:szCs w:val="2"/>
                <w:color w:val="auto"/>
              </w:rPr>
            </w:pPr>
          </w:p>
        </w:tc>
        <w:tc>
          <w:tcPr>
            <w:tcW w:w="200" w:type="dxa"/>
            <w:vAlign w:val="bottom"/>
            <w:gridSpan w:val="2"/>
          </w:tcPr>
          <w:p>
            <w:pPr>
              <w:spacing w:after="0"/>
              <w:rPr>
                <w:sz w:val="2"/>
                <w:szCs w:val="2"/>
                <w:color w:val="auto"/>
              </w:rPr>
            </w:pPr>
          </w:p>
        </w:tc>
        <w:tc>
          <w:tcPr>
            <w:tcW w:w="1000" w:type="dxa"/>
            <w:vAlign w:val="bottom"/>
            <w:gridSpan w:val="2"/>
          </w:tcPr>
          <w:p>
            <w:pPr>
              <w:spacing w:after="0"/>
              <w:rPr>
                <w:sz w:val="2"/>
                <w:szCs w:val="2"/>
                <w:color w:val="auto"/>
              </w:rPr>
            </w:pPr>
          </w:p>
        </w:tc>
        <w:tc>
          <w:tcPr>
            <w:tcW w:w="228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16"/>
        </w:trPr>
        <w:tc>
          <w:tcPr>
            <w:tcW w:w="230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3000" w:type="dxa"/>
            <w:vAlign w:val="bottom"/>
          </w:tcPr>
          <w:p>
            <w:pPr>
              <w:spacing w:after="0"/>
              <w:rPr>
                <w:sz w:val="18"/>
                <w:szCs w:val="18"/>
                <w:color w:val="auto"/>
              </w:rPr>
            </w:pPr>
          </w:p>
        </w:tc>
        <w:tc>
          <w:tcPr>
            <w:tcW w:w="220" w:type="dxa"/>
            <w:vAlign w:val="bottom"/>
            <w:tcBorders>
              <w:top w:val="single" w:sz="8" w:color="auto"/>
            </w:tcBorders>
          </w:tcPr>
          <w:p>
            <w:pPr>
              <w:jc w:val="right"/>
              <w:ind w:right="39"/>
              <w:spacing w:after="0"/>
              <w:rPr>
                <w:sz w:val="20"/>
                <w:szCs w:val="20"/>
                <w:color w:val="auto"/>
              </w:rPr>
            </w:pPr>
            <w:r>
              <w:rPr>
                <w:rFonts w:ascii="Arial" w:cs="Arial" w:eastAsia="Arial" w:hAnsi="Arial"/>
                <w:sz w:val="18"/>
                <w:szCs w:val="18"/>
                <w:color w:val="auto"/>
                <w:w w:val="79"/>
              </w:rPr>
              <w:t>$</w:t>
            </w:r>
          </w:p>
        </w:tc>
        <w:tc>
          <w:tcPr>
            <w:tcW w:w="7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4,936</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5,615</w:t>
            </w:r>
          </w:p>
        </w:tc>
        <w:tc>
          <w:tcPr>
            <w:tcW w:w="160" w:type="dxa"/>
            <w:vAlign w:val="bottom"/>
          </w:tcPr>
          <w:p>
            <w:pPr>
              <w:spacing w:after="0"/>
              <w:rPr>
                <w:sz w:val="18"/>
                <w:szCs w:val="18"/>
                <w:color w:val="auto"/>
              </w:rPr>
            </w:pPr>
          </w:p>
        </w:tc>
        <w:tc>
          <w:tcPr>
            <w:tcW w:w="2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6900" w:type="dxa"/>
            <w:vAlign w:val="bottom"/>
            <w:gridSpan w:val="3"/>
            <w:vMerge w:val="restart"/>
          </w:tcPr>
          <w:p>
            <w:pPr>
              <w:jc w:val="right"/>
              <w:ind w:right="1100"/>
              <w:spacing w:after="0"/>
              <w:rPr>
                <w:sz w:val="20"/>
                <w:szCs w:val="20"/>
                <w:color w:val="auto"/>
              </w:rPr>
            </w:pPr>
            <w:r>
              <w:rPr>
                <w:rFonts w:ascii="Arial" w:cs="Arial" w:eastAsia="Arial" w:hAnsi="Arial"/>
                <w:sz w:val="18"/>
                <w:szCs w:val="18"/>
                <w:color w:val="auto"/>
              </w:rPr>
              <w:t>81</w:t>
            </w:r>
          </w:p>
        </w:tc>
        <w:tc>
          <w:tcPr>
            <w:tcW w:w="2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8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
        </w:trPr>
        <w:tc>
          <w:tcPr>
            <w:tcW w:w="6900" w:type="dxa"/>
            <w:vAlign w:val="bottom"/>
            <w:gridSpan w:val="3"/>
            <w:vMerge w:val="continue"/>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1"/>
        </w:trPr>
        <w:tc>
          <w:tcPr>
            <w:tcW w:w="6900" w:type="dxa"/>
            <w:vAlign w:val="bottom"/>
            <w:gridSpan w:val="3"/>
            <w:vMerge w:val="continue"/>
          </w:tcPr>
          <w:p>
            <w:pPr>
              <w:spacing w:after="0"/>
              <w:rPr>
                <w:sz w:val="24"/>
                <w:szCs w:val="24"/>
                <w:color w:val="auto"/>
              </w:rPr>
            </w:pPr>
          </w:p>
        </w:tc>
        <w:tc>
          <w:tcPr>
            <w:tcW w:w="2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8"/>
        </w:trPr>
        <w:tc>
          <w:tcPr>
            <w:tcW w:w="2300" w:type="dxa"/>
            <w:vAlign w:val="bottom"/>
            <w:tcBorders>
              <w:bottom w:val="single" w:sz="8" w:color="808080"/>
            </w:tcBorders>
          </w:tcPr>
          <w:p>
            <w:pPr>
              <w:spacing w:after="0"/>
              <w:rPr>
                <w:sz w:val="19"/>
                <w:szCs w:val="19"/>
                <w:color w:val="auto"/>
              </w:rPr>
            </w:pPr>
          </w:p>
        </w:tc>
        <w:tc>
          <w:tcPr>
            <w:tcW w:w="1600" w:type="dxa"/>
            <w:vAlign w:val="bottom"/>
            <w:tcBorders>
              <w:bottom w:val="single" w:sz="8" w:color="808080"/>
            </w:tcBorders>
          </w:tcPr>
          <w:p>
            <w:pPr>
              <w:spacing w:after="0"/>
              <w:rPr>
                <w:sz w:val="19"/>
                <w:szCs w:val="19"/>
                <w:color w:val="auto"/>
              </w:rPr>
            </w:pPr>
          </w:p>
        </w:tc>
        <w:tc>
          <w:tcPr>
            <w:tcW w:w="3000" w:type="dxa"/>
            <w:vAlign w:val="bottom"/>
            <w:tcBorders>
              <w:bottom w:val="single" w:sz="8" w:color="808080"/>
            </w:tcBorders>
          </w:tcPr>
          <w:p>
            <w:pPr>
              <w:spacing w:after="0"/>
              <w:rPr>
                <w:sz w:val="19"/>
                <w:szCs w:val="19"/>
                <w:color w:val="auto"/>
              </w:rPr>
            </w:pPr>
          </w:p>
        </w:tc>
        <w:tc>
          <w:tcPr>
            <w:tcW w:w="220" w:type="dxa"/>
            <w:vAlign w:val="bottom"/>
            <w:tcBorders>
              <w:bottom w:val="single" w:sz="8" w:color="808080"/>
            </w:tcBorders>
          </w:tcPr>
          <w:p>
            <w:pPr>
              <w:spacing w:after="0"/>
              <w:rPr>
                <w:sz w:val="19"/>
                <w:szCs w:val="19"/>
                <w:color w:val="auto"/>
              </w:rPr>
            </w:pPr>
          </w:p>
        </w:tc>
        <w:tc>
          <w:tcPr>
            <w:tcW w:w="740" w:type="dxa"/>
            <w:vAlign w:val="bottom"/>
            <w:tcBorders>
              <w:bottom w:val="single" w:sz="8" w:color="808080"/>
            </w:tcBorders>
          </w:tcPr>
          <w:p>
            <w:pPr>
              <w:spacing w:after="0"/>
              <w:rPr>
                <w:sz w:val="19"/>
                <w:szCs w:val="19"/>
                <w:color w:val="auto"/>
              </w:rPr>
            </w:pPr>
          </w:p>
        </w:tc>
        <w:tc>
          <w:tcPr>
            <w:tcW w:w="80" w:type="dxa"/>
            <w:vAlign w:val="bottom"/>
            <w:tcBorders>
              <w:bottom w:val="single" w:sz="8" w:color="808080"/>
            </w:tcBorders>
          </w:tcPr>
          <w:p>
            <w:pPr>
              <w:spacing w:after="0"/>
              <w:rPr>
                <w:sz w:val="19"/>
                <w:szCs w:val="19"/>
                <w:color w:val="auto"/>
              </w:rPr>
            </w:pPr>
          </w:p>
        </w:tc>
        <w:tc>
          <w:tcPr>
            <w:tcW w:w="80" w:type="dxa"/>
            <w:vAlign w:val="bottom"/>
            <w:tcBorders>
              <w:bottom w:val="single" w:sz="8" w:color="808080"/>
            </w:tcBorders>
          </w:tcPr>
          <w:p>
            <w:pPr>
              <w:spacing w:after="0"/>
              <w:rPr>
                <w:sz w:val="19"/>
                <w:szCs w:val="19"/>
                <w:color w:val="auto"/>
              </w:rPr>
            </w:pPr>
          </w:p>
        </w:tc>
        <w:tc>
          <w:tcPr>
            <w:tcW w:w="120" w:type="dxa"/>
            <w:vAlign w:val="bottom"/>
            <w:tcBorders>
              <w:bottom w:val="single" w:sz="8" w:color="808080"/>
            </w:tcBorders>
          </w:tcPr>
          <w:p>
            <w:pPr>
              <w:spacing w:after="0"/>
              <w:rPr>
                <w:sz w:val="19"/>
                <w:szCs w:val="19"/>
                <w:color w:val="auto"/>
              </w:rPr>
            </w:pPr>
          </w:p>
        </w:tc>
        <w:tc>
          <w:tcPr>
            <w:tcW w:w="84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2280" w:type="dxa"/>
            <w:vAlign w:val="bottom"/>
            <w:tcBorders>
              <w:bottom w:val="single" w:sz="8" w:color="808080"/>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87" w:name="page88"/>
    <w:bookmarkEnd w:id="87"/>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CELLDEX THERAPEUTICS, INC.</w:t>
      </w:r>
    </w:p>
    <w:p>
      <w:pPr>
        <w:spacing w:after="0" w:line="225" w:lineRule="exact"/>
        <w:rPr>
          <w:sz w:val="20"/>
          <w:szCs w:val="20"/>
          <w:color w:val="auto"/>
        </w:rPr>
      </w:pPr>
    </w:p>
    <w:p>
      <w:pPr>
        <w:ind w:left="2940"/>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(9) OTHER LONG-TERM LIABILITIES</w:t>
      </w:r>
    </w:p>
    <w:p>
      <w:pPr>
        <w:spacing w:after="0" w:line="231" w:lineRule="exact"/>
        <w:rPr>
          <w:sz w:val="20"/>
          <w:szCs w:val="20"/>
          <w:color w:val="auto"/>
        </w:rPr>
      </w:pPr>
    </w:p>
    <w:p>
      <w:pPr>
        <w:ind w:left="360"/>
        <w:spacing w:after="0"/>
        <w:rPr>
          <w:sz w:val="20"/>
          <w:szCs w:val="20"/>
          <w:color w:val="auto"/>
        </w:rPr>
      </w:pPr>
      <w:r>
        <w:rPr>
          <w:rFonts w:ascii="Arial" w:cs="Arial" w:eastAsia="Arial" w:hAnsi="Arial"/>
          <w:sz w:val="18"/>
          <w:szCs w:val="18"/>
          <w:color w:val="auto"/>
        </w:rPr>
        <w:t>Other long-term liabilities include the following:</w:t>
      </w:r>
    </w:p>
    <w:p>
      <w:pPr>
        <w:spacing w:after="0" w:line="208" w:lineRule="exact"/>
        <w:rPr>
          <w:sz w:val="20"/>
          <w:szCs w:val="20"/>
          <w:color w:val="auto"/>
        </w:rPr>
      </w:pPr>
    </w:p>
    <w:tbl>
      <w:tblPr>
        <w:tblLayout w:type="fixed"/>
        <w:tblInd w:w="2300" w:type="dxa"/>
        <w:tblCellMar>
          <w:top w:w="0" w:type="dxa"/>
          <w:left w:w="0" w:type="dxa"/>
          <w:bottom w:w="0" w:type="dxa"/>
          <w:right w:w="0" w:type="dxa"/>
        </w:tblCellMar>
      </w:tblPr>
      <w:tr>
        <w:trPr>
          <w:trHeight w:val="161"/>
        </w:trPr>
        <w:tc>
          <w:tcPr>
            <w:tcW w:w="4520" w:type="dxa"/>
            <w:vAlign w:val="bottom"/>
          </w:tcPr>
          <w:p>
            <w:pPr>
              <w:spacing w:after="0"/>
              <w:rPr>
                <w:sz w:val="14"/>
                <w:szCs w:val="14"/>
                <w:color w:val="auto"/>
              </w:rPr>
            </w:pPr>
          </w:p>
        </w:tc>
        <w:tc>
          <w:tcPr>
            <w:tcW w:w="1120" w:type="dxa"/>
            <w:vAlign w:val="bottom"/>
            <w:gridSpan w:val="3"/>
          </w:tcPr>
          <w:p>
            <w:pPr>
              <w:ind w:left="100"/>
              <w:spacing w:after="0"/>
              <w:rPr>
                <w:sz w:val="20"/>
                <w:szCs w:val="20"/>
                <w:color w:val="auto"/>
              </w:rPr>
            </w:pPr>
            <w:r>
              <w:rPr>
                <w:rFonts w:ascii="Arial" w:cs="Arial" w:eastAsia="Arial" w:hAnsi="Arial"/>
                <w:sz w:val="14"/>
                <w:szCs w:val="14"/>
                <w:b w:val="1"/>
                <w:bCs w:val="1"/>
                <w:color w:val="auto"/>
              </w:rPr>
              <w:t>December 31,</w:t>
            </w:r>
          </w:p>
        </w:tc>
        <w:tc>
          <w:tcPr>
            <w:tcW w:w="120" w:type="dxa"/>
            <w:vAlign w:val="bottom"/>
          </w:tcPr>
          <w:p>
            <w:pPr>
              <w:spacing w:after="0"/>
              <w:rPr>
                <w:sz w:val="14"/>
                <w:szCs w:val="14"/>
                <w:color w:val="auto"/>
              </w:rPr>
            </w:pPr>
          </w:p>
        </w:tc>
        <w:tc>
          <w:tcPr>
            <w:tcW w:w="1080" w:type="dxa"/>
            <w:vAlign w:val="bottom"/>
            <w:gridSpan w:val="2"/>
          </w:tcPr>
          <w:p>
            <w:pPr>
              <w:jc w:val="right"/>
              <w:ind w:right="280"/>
              <w:spacing w:after="0"/>
              <w:rPr>
                <w:sz w:val="20"/>
                <w:szCs w:val="20"/>
                <w:color w:val="auto"/>
              </w:rPr>
            </w:pPr>
            <w:r>
              <w:rPr>
                <w:rFonts w:ascii="Arial" w:cs="Arial" w:eastAsia="Arial" w:hAnsi="Arial"/>
                <w:sz w:val="14"/>
                <w:szCs w:val="14"/>
                <w:b w:val="1"/>
                <w:bCs w:val="1"/>
                <w:color w:val="auto"/>
                <w:w w:val="85"/>
              </w:rPr>
              <w:t>December 31,</w:t>
            </w:r>
          </w:p>
        </w:tc>
        <w:tc>
          <w:tcPr>
            <w:tcW w:w="0" w:type="dxa"/>
            <w:vAlign w:val="bottom"/>
          </w:tcPr>
          <w:p>
            <w:pPr>
              <w:spacing w:after="0"/>
              <w:rPr>
                <w:sz w:val="1"/>
                <w:szCs w:val="1"/>
                <w:color w:val="auto"/>
              </w:rPr>
            </w:pPr>
          </w:p>
        </w:tc>
      </w:tr>
      <w:tr>
        <w:trPr>
          <w:trHeight w:val="161"/>
        </w:trPr>
        <w:tc>
          <w:tcPr>
            <w:tcW w:w="452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jc w:val="right"/>
              <w:ind w:right="256"/>
              <w:spacing w:after="0"/>
              <w:rPr>
                <w:sz w:val="20"/>
                <w:szCs w:val="20"/>
                <w:color w:val="auto"/>
              </w:rPr>
            </w:pPr>
            <w:r>
              <w:rPr>
                <w:rFonts w:ascii="Arial" w:cs="Arial" w:eastAsia="Arial" w:hAnsi="Arial"/>
                <w:sz w:val="14"/>
                <w:szCs w:val="14"/>
                <w:b w:val="1"/>
                <w:bCs w:val="1"/>
                <w:color w:val="auto"/>
              </w:rPr>
              <w:t>2010</w:t>
            </w:r>
          </w:p>
        </w:tc>
        <w:tc>
          <w:tcPr>
            <w:tcW w:w="16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jc w:val="right"/>
              <w:ind w:right="296"/>
              <w:spacing w:after="0"/>
              <w:rPr>
                <w:sz w:val="20"/>
                <w:szCs w:val="20"/>
                <w:color w:val="auto"/>
              </w:rPr>
            </w:pPr>
            <w:r>
              <w:rPr>
                <w:rFonts w:ascii="Arial" w:cs="Arial" w:eastAsia="Arial" w:hAnsi="Arial"/>
                <w:sz w:val="14"/>
                <w:szCs w:val="14"/>
                <w:b w:val="1"/>
                <w:bCs w:val="1"/>
                <w:color w:val="auto"/>
              </w:rPr>
              <w:t>2009</w:t>
            </w: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45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40" w:type="dxa"/>
            <w:vAlign w:val="bottom"/>
          </w:tcPr>
          <w:p>
            <w:pPr>
              <w:ind w:left="440"/>
              <w:spacing w:after="0" w:line="142" w:lineRule="exact"/>
              <w:rPr>
                <w:sz w:val="20"/>
                <w:szCs w:val="20"/>
                <w:color w:val="auto"/>
              </w:rPr>
            </w:pPr>
            <w:r>
              <w:rPr>
                <w:rFonts w:ascii="Arial" w:cs="Arial" w:eastAsia="Arial" w:hAnsi="Arial"/>
                <w:sz w:val="14"/>
                <w:szCs w:val="14"/>
                <w:b w:val="1"/>
                <w:bCs w:val="1"/>
                <w:color w:val="auto"/>
              </w:rPr>
              <w:t>(In</w:t>
            </w:r>
          </w:p>
        </w:tc>
        <w:tc>
          <w:tcPr>
            <w:tcW w:w="1200" w:type="dxa"/>
            <w:vAlign w:val="bottom"/>
            <w:gridSpan w:val="3"/>
          </w:tcPr>
          <w:p>
            <w:pPr>
              <w:jc w:val="right"/>
              <w:ind w:right="576"/>
              <w:spacing w:after="0"/>
              <w:rPr>
                <w:sz w:val="20"/>
                <w:szCs w:val="20"/>
                <w:color w:val="auto"/>
              </w:rPr>
            </w:pPr>
            <w:r>
              <w:rPr>
                <w:rFonts w:ascii="Arial" w:cs="Arial" w:eastAsia="Arial" w:hAnsi="Arial"/>
                <w:sz w:val="12"/>
                <w:szCs w:val="12"/>
                <w:b w:val="1"/>
                <w:bCs w:val="1"/>
                <w:color w:val="auto"/>
                <w:w w:val="80"/>
              </w:rPr>
              <w:t>thousands)</w:t>
            </w: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4520" w:type="dxa"/>
            <w:vAlign w:val="bottom"/>
            <w:shd w:val="clear" w:color="auto" w:fill="CCEEFF"/>
          </w:tcPr>
          <w:p>
            <w:pPr>
              <w:spacing w:after="0"/>
              <w:rPr>
                <w:sz w:val="20"/>
                <w:szCs w:val="20"/>
                <w:color w:val="auto"/>
              </w:rPr>
            </w:pPr>
            <w:r>
              <w:rPr>
                <w:rFonts w:ascii="Arial" w:cs="Arial" w:eastAsia="Arial" w:hAnsi="Arial"/>
                <w:sz w:val="18"/>
                <w:szCs w:val="18"/>
                <w:color w:val="auto"/>
              </w:rPr>
              <w:t>Deferred Rent</w:t>
            </w:r>
          </w:p>
        </w:tc>
        <w:tc>
          <w:tcPr>
            <w:tcW w:w="220" w:type="dxa"/>
            <w:vAlign w:val="bottom"/>
            <w:shd w:val="clear" w:color="auto" w:fill="CCEEFF"/>
          </w:tcPr>
          <w:p>
            <w:pPr>
              <w:jc w:val="right"/>
              <w:ind w:right="39"/>
              <w:spacing w:after="0"/>
              <w:rPr>
                <w:sz w:val="20"/>
                <w:szCs w:val="20"/>
                <w:color w:val="auto"/>
              </w:rPr>
            </w:pPr>
            <w:r>
              <w:rPr>
                <w:rFonts w:ascii="Arial" w:cs="Arial" w:eastAsia="Arial" w:hAnsi="Arial"/>
                <w:sz w:val="18"/>
                <w:szCs w:val="18"/>
                <w:color w:val="auto"/>
                <w:w w:val="79"/>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450</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377</w:t>
            </w:r>
          </w:p>
        </w:tc>
        <w:tc>
          <w:tcPr>
            <w:tcW w:w="0" w:type="dxa"/>
            <w:vAlign w:val="bottom"/>
          </w:tcPr>
          <w:p>
            <w:pPr>
              <w:spacing w:after="0"/>
              <w:rPr>
                <w:sz w:val="1"/>
                <w:szCs w:val="1"/>
                <w:color w:val="auto"/>
              </w:rPr>
            </w:pPr>
          </w:p>
        </w:tc>
      </w:tr>
      <w:tr>
        <w:trPr>
          <w:trHeight w:val="216"/>
        </w:trPr>
        <w:tc>
          <w:tcPr>
            <w:tcW w:w="4520" w:type="dxa"/>
            <w:vAlign w:val="bottom"/>
          </w:tcPr>
          <w:p>
            <w:pPr>
              <w:spacing w:after="0"/>
              <w:rPr>
                <w:sz w:val="20"/>
                <w:szCs w:val="20"/>
                <w:color w:val="auto"/>
              </w:rPr>
            </w:pPr>
            <w:r>
              <w:rPr>
                <w:rFonts w:ascii="Arial" w:cs="Arial" w:eastAsia="Arial" w:hAnsi="Arial"/>
                <w:sz w:val="18"/>
                <w:szCs w:val="18"/>
                <w:color w:val="auto"/>
              </w:rPr>
              <w:t>CuraGen Severance</w:t>
            </w:r>
          </w:p>
        </w:tc>
        <w:tc>
          <w:tcPr>
            <w:tcW w:w="2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685</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80" w:type="dxa"/>
            <w:vAlign w:val="bottom"/>
            <w:gridSpan w:val="2"/>
          </w:tcPr>
          <w:p>
            <w:pPr>
              <w:jc w:val="right"/>
              <w:ind w:right="160"/>
              <w:spacing w:after="0"/>
              <w:rPr>
                <w:sz w:val="20"/>
                <w:szCs w:val="20"/>
                <w:color w:val="auto"/>
              </w:rPr>
            </w:pPr>
            <w:r>
              <w:rPr>
                <w:rFonts w:ascii="Arial" w:cs="Arial" w:eastAsia="Arial" w:hAnsi="Arial"/>
                <w:sz w:val="18"/>
                <w:szCs w:val="18"/>
                <w:color w:val="auto"/>
              </w:rPr>
              <w:t>2,623</w:t>
            </w:r>
          </w:p>
        </w:tc>
        <w:tc>
          <w:tcPr>
            <w:tcW w:w="0" w:type="dxa"/>
            <w:vAlign w:val="bottom"/>
          </w:tcPr>
          <w:p>
            <w:pPr>
              <w:spacing w:after="0"/>
              <w:rPr>
                <w:sz w:val="1"/>
                <w:szCs w:val="1"/>
                <w:color w:val="auto"/>
              </w:rPr>
            </w:pPr>
          </w:p>
        </w:tc>
      </w:tr>
      <w:tr>
        <w:trPr>
          <w:trHeight w:val="216"/>
        </w:trPr>
        <w:tc>
          <w:tcPr>
            <w:tcW w:w="4520" w:type="dxa"/>
            <w:vAlign w:val="bottom"/>
            <w:shd w:val="clear" w:color="auto" w:fill="CCEEFF"/>
          </w:tcPr>
          <w:p>
            <w:pPr>
              <w:spacing w:after="0"/>
              <w:rPr>
                <w:sz w:val="20"/>
                <w:szCs w:val="20"/>
                <w:color w:val="auto"/>
              </w:rPr>
            </w:pPr>
            <w:r>
              <w:rPr>
                <w:rFonts w:ascii="Arial" w:cs="Arial" w:eastAsia="Arial" w:hAnsi="Arial"/>
                <w:sz w:val="18"/>
                <w:szCs w:val="18"/>
                <w:color w:val="auto"/>
              </w:rPr>
              <w:t>Net Deferred Tax Liability</w:t>
            </w:r>
          </w:p>
        </w:tc>
        <w:tc>
          <w:tcPr>
            <w:tcW w:w="22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4,661</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4,661</w:t>
            </w:r>
          </w:p>
        </w:tc>
        <w:tc>
          <w:tcPr>
            <w:tcW w:w="0" w:type="dxa"/>
            <w:vAlign w:val="bottom"/>
          </w:tcPr>
          <w:p>
            <w:pPr>
              <w:spacing w:after="0"/>
              <w:rPr>
                <w:sz w:val="1"/>
                <w:szCs w:val="1"/>
                <w:color w:val="auto"/>
              </w:rPr>
            </w:pPr>
          </w:p>
        </w:tc>
      </w:tr>
      <w:tr>
        <w:trPr>
          <w:trHeight w:val="216"/>
        </w:trPr>
        <w:tc>
          <w:tcPr>
            <w:tcW w:w="4520" w:type="dxa"/>
            <w:vAlign w:val="bottom"/>
          </w:tcPr>
          <w:p>
            <w:pPr>
              <w:spacing w:after="0"/>
              <w:rPr>
                <w:sz w:val="20"/>
                <w:szCs w:val="20"/>
                <w:color w:val="auto"/>
              </w:rPr>
            </w:pPr>
            <w:r>
              <w:rPr>
                <w:rFonts w:ascii="Arial" w:cs="Arial" w:eastAsia="Arial" w:hAnsi="Arial"/>
                <w:sz w:val="18"/>
                <w:szCs w:val="18"/>
                <w:color w:val="auto"/>
              </w:rPr>
              <w:t>Loan Payable</w:t>
            </w:r>
          </w:p>
        </w:tc>
        <w:tc>
          <w:tcPr>
            <w:tcW w:w="2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581</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80" w:type="dxa"/>
            <w:vAlign w:val="bottom"/>
            <w:gridSpan w:val="2"/>
          </w:tcPr>
          <w:p>
            <w:pPr>
              <w:jc w:val="right"/>
              <w:ind w:right="160"/>
              <w:spacing w:after="0"/>
              <w:rPr>
                <w:sz w:val="20"/>
                <w:szCs w:val="20"/>
                <w:color w:val="auto"/>
              </w:rPr>
            </w:pPr>
            <w:r>
              <w:rPr>
                <w:rFonts w:ascii="Arial" w:cs="Arial" w:eastAsia="Arial" w:hAnsi="Arial"/>
                <w:sz w:val="18"/>
                <w:szCs w:val="18"/>
                <w:color w:val="auto"/>
              </w:rPr>
              <w:t>632</w:t>
            </w:r>
          </w:p>
        </w:tc>
        <w:tc>
          <w:tcPr>
            <w:tcW w:w="0" w:type="dxa"/>
            <w:vAlign w:val="bottom"/>
          </w:tcPr>
          <w:p>
            <w:pPr>
              <w:spacing w:after="0"/>
              <w:rPr>
                <w:sz w:val="1"/>
                <w:szCs w:val="1"/>
                <w:color w:val="auto"/>
              </w:rPr>
            </w:pPr>
          </w:p>
        </w:tc>
      </w:tr>
      <w:tr>
        <w:trPr>
          <w:trHeight w:val="216"/>
        </w:trPr>
        <w:tc>
          <w:tcPr>
            <w:tcW w:w="4520" w:type="dxa"/>
            <w:vAlign w:val="bottom"/>
            <w:shd w:val="clear" w:color="auto" w:fill="CCEEFF"/>
          </w:tcPr>
          <w:p>
            <w:pPr>
              <w:spacing w:after="0"/>
              <w:rPr>
                <w:sz w:val="20"/>
                <w:szCs w:val="20"/>
                <w:color w:val="auto"/>
              </w:rPr>
            </w:pPr>
            <w:r>
              <w:rPr>
                <w:rFonts w:ascii="Arial" w:cs="Arial" w:eastAsia="Arial" w:hAnsi="Arial"/>
                <w:sz w:val="18"/>
                <w:szCs w:val="18"/>
                <w:color w:val="auto"/>
              </w:rPr>
              <w:t>Note Payable</w:t>
            </w:r>
          </w:p>
        </w:tc>
        <w:tc>
          <w:tcPr>
            <w:tcW w:w="22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178</w:t>
            </w:r>
          </w:p>
        </w:tc>
        <w:tc>
          <w:tcPr>
            <w:tcW w:w="0" w:type="dxa"/>
            <w:vAlign w:val="bottom"/>
          </w:tcPr>
          <w:p>
            <w:pPr>
              <w:spacing w:after="0"/>
              <w:rPr>
                <w:sz w:val="1"/>
                <w:szCs w:val="1"/>
                <w:color w:val="auto"/>
              </w:rPr>
            </w:pPr>
          </w:p>
        </w:tc>
      </w:tr>
      <w:tr>
        <w:trPr>
          <w:trHeight w:val="27"/>
        </w:trPr>
        <w:tc>
          <w:tcPr>
            <w:tcW w:w="4520" w:type="dxa"/>
            <w:vAlign w:val="bottom"/>
            <w:vMerge w:val="restart"/>
          </w:tcPr>
          <w:p>
            <w:pPr>
              <w:ind w:left="120"/>
              <w:spacing w:after="0"/>
              <w:rPr>
                <w:sz w:val="20"/>
                <w:szCs w:val="20"/>
                <w:color w:val="auto"/>
              </w:rPr>
            </w:pPr>
            <w:r>
              <w:rPr>
                <w:rFonts w:ascii="Arial" w:cs="Arial" w:eastAsia="Arial" w:hAnsi="Arial"/>
                <w:sz w:val="18"/>
                <w:szCs w:val="18"/>
                <w:color w:val="auto"/>
              </w:rPr>
              <w:t>Total</w:t>
            </w:r>
          </w:p>
        </w:tc>
        <w:tc>
          <w:tcPr>
            <w:tcW w:w="220" w:type="dxa"/>
            <w:vAlign w:val="bottom"/>
          </w:tcPr>
          <w:p>
            <w:pPr>
              <w:spacing w:after="0"/>
              <w:rPr>
                <w:sz w:val="2"/>
                <w:szCs w:val="2"/>
                <w:color w:val="auto"/>
              </w:rPr>
            </w:pPr>
          </w:p>
        </w:tc>
        <w:tc>
          <w:tcPr>
            <w:tcW w:w="7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80" w:type="dxa"/>
            <w:vAlign w:val="bottom"/>
            <w:gridSpan w:val="2"/>
          </w:tcPr>
          <w:p>
            <w:pPr>
              <w:spacing w:after="0"/>
              <w:rPr>
                <w:sz w:val="2"/>
                <w:szCs w:val="2"/>
                <w:color w:val="auto"/>
              </w:rPr>
            </w:pPr>
          </w:p>
        </w:tc>
        <w:tc>
          <w:tcPr>
            <w:tcW w:w="0" w:type="dxa"/>
            <w:vAlign w:val="bottom"/>
          </w:tcPr>
          <w:p>
            <w:pPr>
              <w:spacing w:after="0"/>
              <w:rPr>
                <w:sz w:val="1"/>
                <w:szCs w:val="1"/>
                <w:color w:val="auto"/>
              </w:rPr>
            </w:pPr>
          </w:p>
        </w:tc>
      </w:tr>
      <w:tr>
        <w:trPr>
          <w:trHeight w:val="210"/>
        </w:trPr>
        <w:tc>
          <w:tcPr>
            <w:tcW w:w="4520" w:type="dxa"/>
            <w:vAlign w:val="bottom"/>
            <w:vMerge w:val="continue"/>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7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6,409</w:t>
            </w:r>
          </w:p>
        </w:tc>
        <w:tc>
          <w:tcPr>
            <w:tcW w:w="16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8,471</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520" w:type="dxa"/>
            <w:vAlign w:val="bottom"/>
            <w:shd w:val="clear" w:color="auto" w:fill="CCEEFF"/>
          </w:tcPr>
          <w:p>
            <w:pPr>
              <w:spacing w:after="0"/>
              <w:rPr>
                <w:sz w:val="20"/>
                <w:szCs w:val="20"/>
                <w:color w:val="auto"/>
              </w:rPr>
            </w:pPr>
            <w:r>
              <w:rPr>
                <w:rFonts w:ascii="Arial" w:cs="Arial" w:eastAsia="Arial" w:hAnsi="Arial"/>
                <w:sz w:val="18"/>
                <w:szCs w:val="18"/>
                <w:color w:val="auto"/>
              </w:rPr>
              <w:t>Less Current Portion</w:t>
            </w:r>
          </w:p>
        </w:tc>
        <w:tc>
          <w:tcPr>
            <w:tcW w:w="2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(818)</w:t>
            </w:r>
          </w:p>
        </w:tc>
        <w:tc>
          <w:tcPr>
            <w:tcW w:w="12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(2,156)</w:t>
            </w:r>
          </w:p>
        </w:tc>
        <w:tc>
          <w:tcPr>
            <w:tcW w:w="0" w:type="dxa"/>
            <w:vAlign w:val="bottom"/>
          </w:tcPr>
          <w:p>
            <w:pPr>
              <w:spacing w:after="0"/>
              <w:rPr>
                <w:sz w:val="1"/>
                <w:szCs w:val="1"/>
                <w:color w:val="auto"/>
              </w:rPr>
            </w:pPr>
          </w:p>
        </w:tc>
      </w:tr>
      <w:tr>
        <w:trPr>
          <w:trHeight w:val="27"/>
        </w:trPr>
        <w:tc>
          <w:tcPr>
            <w:tcW w:w="4520" w:type="dxa"/>
            <w:vAlign w:val="bottom"/>
            <w:vMerge w:val="restart"/>
          </w:tcPr>
          <w:p>
            <w:pPr>
              <w:spacing w:after="0"/>
              <w:rPr>
                <w:sz w:val="20"/>
                <w:szCs w:val="20"/>
                <w:color w:val="auto"/>
              </w:rPr>
            </w:pPr>
            <w:r>
              <w:rPr>
                <w:rFonts w:ascii="Arial" w:cs="Arial" w:eastAsia="Arial" w:hAnsi="Arial"/>
                <w:sz w:val="18"/>
                <w:szCs w:val="18"/>
                <w:color w:val="auto"/>
              </w:rPr>
              <w:t>Long-Term Portion</w:t>
            </w:r>
          </w:p>
        </w:tc>
        <w:tc>
          <w:tcPr>
            <w:tcW w:w="220" w:type="dxa"/>
            <w:vAlign w:val="bottom"/>
          </w:tcPr>
          <w:p>
            <w:pPr>
              <w:spacing w:after="0"/>
              <w:rPr>
                <w:sz w:val="2"/>
                <w:szCs w:val="2"/>
                <w:color w:val="auto"/>
              </w:rPr>
            </w:pPr>
          </w:p>
        </w:tc>
        <w:tc>
          <w:tcPr>
            <w:tcW w:w="7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80" w:type="dxa"/>
            <w:vAlign w:val="bottom"/>
            <w:gridSpan w:val="2"/>
          </w:tcPr>
          <w:p>
            <w:pPr>
              <w:spacing w:after="0"/>
              <w:rPr>
                <w:sz w:val="2"/>
                <w:szCs w:val="2"/>
                <w:color w:val="auto"/>
              </w:rPr>
            </w:pPr>
          </w:p>
        </w:tc>
        <w:tc>
          <w:tcPr>
            <w:tcW w:w="0" w:type="dxa"/>
            <w:vAlign w:val="bottom"/>
          </w:tcPr>
          <w:p>
            <w:pPr>
              <w:spacing w:after="0"/>
              <w:rPr>
                <w:sz w:val="1"/>
                <w:szCs w:val="1"/>
                <w:color w:val="auto"/>
              </w:rPr>
            </w:pPr>
          </w:p>
        </w:tc>
      </w:tr>
      <w:tr>
        <w:trPr>
          <w:trHeight w:val="216"/>
        </w:trPr>
        <w:tc>
          <w:tcPr>
            <w:tcW w:w="4520" w:type="dxa"/>
            <w:vAlign w:val="bottom"/>
            <w:vMerge w:val="continue"/>
          </w:tcPr>
          <w:p>
            <w:pPr>
              <w:spacing w:after="0"/>
              <w:rPr>
                <w:sz w:val="18"/>
                <w:szCs w:val="18"/>
                <w:color w:val="auto"/>
              </w:rPr>
            </w:pPr>
          </w:p>
        </w:tc>
        <w:tc>
          <w:tcPr>
            <w:tcW w:w="220" w:type="dxa"/>
            <w:vAlign w:val="bottom"/>
            <w:tcBorders>
              <w:top w:val="single" w:sz="8" w:color="auto"/>
            </w:tcBorders>
          </w:tcPr>
          <w:p>
            <w:pPr>
              <w:jc w:val="right"/>
              <w:ind w:right="39"/>
              <w:spacing w:after="0"/>
              <w:rPr>
                <w:sz w:val="20"/>
                <w:szCs w:val="20"/>
                <w:color w:val="auto"/>
              </w:rPr>
            </w:pPr>
            <w:r>
              <w:rPr>
                <w:rFonts w:ascii="Arial" w:cs="Arial" w:eastAsia="Arial" w:hAnsi="Arial"/>
                <w:sz w:val="18"/>
                <w:szCs w:val="18"/>
                <w:color w:val="auto"/>
                <w:w w:val="79"/>
              </w:rPr>
              <w:t>$</w:t>
            </w:r>
          </w:p>
        </w:tc>
        <w:tc>
          <w:tcPr>
            <w:tcW w:w="7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5,591</w:t>
            </w:r>
          </w:p>
        </w:tc>
        <w:tc>
          <w:tcPr>
            <w:tcW w:w="160" w:type="dxa"/>
            <w:vAlign w:val="bottom"/>
          </w:tcPr>
          <w:p>
            <w:pPr>
              <w:spacing w:after="0"/>
              <w:rPr>
                <w:sz w:val="18"/>
                <w:szCs w:val="18"/>
                <w:color w:val="auto"/>
              </w:rPr>
            </w:pP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6,315</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45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
        </w:trPr>
        <w:tc>
          <w:tcPr>
            <w:tcW w:w="45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CuraGen Severance</w:t>
      </w:r>
    </w:p>
    <w:p>
      <w:pPr>
        <w:spacing w:after="0" w:line="225" w:lineRule="exact"/>
        <w:rPr>
          <w:sz w:val="20"/>
          <w:szCs w:val="20"/>
          <w:color w:val="auto"/>
        </w:rPr>
      </w:pPr>
    </w:p>
    <w:p>
      <w:pPr>
        <w:ind w:firstLine="351"/>
        <w:spacing w:after="0" w:line="254" w:lineRule="auto"/>
        <w:rPr>
          <w:sz w:val="20"/>
          <w:szCs w:val="20"/>
          <w:color w:val="auto"/>
        </w:rPr>
      </w:pPr>
      <w:r>
        <w:rPr>
          <w:rFonts w:ascii="Arial" w:cs="Arial" w:eastAsia="Arial" w:hAnsi="Arial"/>
          <w:sz w:val="18"/>
          <w:szCs w:val="18"/>
          <w:color w:val="auto"/>
        </w:rPr>
        <w:t>CuraGen employees who did not receive offers of employment were terminated upon the consummation of the CuraGen Merger. These employees were eligible for severance payments ("CuraGen Severance") upon termination of employment under certain circumstances, including following the CuraGen Merger. U.S. GAAP requires severance obligations that are incurred by the acquiree for the benefit of the acquirer to be recognized as an expense in the post-combination period. Because the offer of employment was at the option of the Company, the Company has deemed the CuraGen Severance to be at its benefit. On October 1, 2009, the Company recorded severance expense of $3.3 million and $0.9 million to general and administrative and research and development, respectively, related to the CuraGen Severance.</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Loan Payable and Note Payable</w:t>
      </w:r>
    </w:p>
    <w:p>
      <w:pPr>
        <w:spacing w:after="0" w:line="225" w:lineRule="exact"/>
        <w:rPr>
          <w:sz w:val="20"/>
          <w:szCs w:val="20"/>
          <w:color w:val="auto"/>
        </w:rPr>
      </w:pPr>
    </w:p>
    <w:p>
      <w:pPr>
        <w:ind w:right="60" w:firstLine="351"/>
        <w:spacing w:after="0" w:line="294" w:lineRule="auto"/>
        <w:rPr>
          <w:sz w:val="20"/>
          <w:szCs w:val="20"/>
          <w:color w:val="auto"/>
        </w:rPr>
      </w:pPr>
      <w:r>
        <w:rPr>
          <w:rFonts w:ascii="Arial" w:cs="Arial" w:eastAsia="Arial" w:hAnsi="Arial"/>
          <w:sz w:val="16"/>
          <w:szCs w:val="16"/>
          <w:color w:val="auto"/>
        </w:rPr>
        <w:t>In December 2003, the Company entered into a Lease Agreement (the "Lease Agreement"), a Secured Promissory Note: Equipment Loan (the "Note Payable") and a Security Agreement with the Massachusetts Development Finance Agency ("MassDevelopment"). The Note Payable accrues interest at a rate of 5.5% per annum, matures in April 2011 and is collateralized by equipment with a net book value at December 31, 2010 of $0.2 million. Under the Lease Agreement, the Company also received a loan ("Loan Payable") that accrues interest at a rate of 5.5% per annum to finance the build-out of its manufacturing facility in Fall River, Massachusetts. Principal and interest payments on the Loan Payable are due monthly using an amortization period of 15 years.</w:t>
      </w:r>
    </w:p>
    <w:p>
      <w:pPr>
        <w:spacing w:after="0" w:line="170"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60"/>
          </w:cols>
          <w:pgMar w:left="240" w:top="131" w:right="299" w:bottom="1440" w:gutter="0" w:footer="0" w:header="0"/>
        </w:sectPr>
      </w:pPr>
    </w:p>
    <w:bookmarkStart w:id="88" w:name="page89"/>
    <w:bookmarkEnd w:id="88"/>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CELLDEX THERAPEUTICS, INC.</w:t>
      </w:r>
    </w:p>
    <w:p>
      <w:pPr>
        <w:spacing w:after="0" w:line="225" w:lineRule="exact"/>
        <w:rPr>
          <w:sz w:val="20"/>
          <w:szCs w:val="20"/>
          <w:color w:val="auto"/>
        </w:rPr>
      </w:pPr>
    </w:p>
    <w:p>
      <w:pPr>
        <w:ind w:left="2940"/>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(9) OTHER LONG-TERM LIABILITIES (Continued)</w:t>
      </w:r>
    </w:p>
    <w:p>
      <w:pPr>
        <w:spacing w:after="0" w:line="231" w:lineRule="exact"/>
        <w:rPr>
          <w:sz w:val="20"/>
          <w:szCs w:val="20"/>
          <w:color w:val="auto"/>
        </w:rPr>
      </w:pPr>
    </w:p>
    <w:p>
      <w:pPr>
        <w:ind w:left="360"/>
        <w:spacing w:after="0"/>
        <w:rPr>
          <w:sz w:val="20"/>
          <w:szCs w:val="20"/>
          <w:color w:val="auto"/>
        </w:rPr>
      </w:pPr>
      <w:r>
        <w:rPr>
          <w:rFonts w:ascii="Arial" w:cs="Arial" w:eastAsia="Arial" w:hAnsi="Arial"/>
          <w:sz w:val="16"/>
          <w:szCs w:val="16"/>
          <w:color w:val="auto"/>
        </w:rPr>
        <w:t>The Company is obligated to repay the following principal amounts for the Loan Payable and Note Payable over the next five years and thereafter:</w:t>
      </w:r>
    </w:p>
    <w:p>
      <w:pPr>
        <w:spacing w:after="0" w:line="298" w:lineRule="exact"/>
        <w:rPr>
          <w:sz w:val="20"/>
          <w:szCs w:val="20"/>
          <w:color w:val="auto"/>
        </w:rPr>
      </w:pPr>
    </w:p>
    <w:tbl>
      <w:tblPr>
        <w:tblLayout w:type="fixed"/>
        <w:tblInd w:w="2300" w:type="dxa"/>
        <w:tblCellMar>
          <w:top w:w="0" w:type="dxa"/>
          <w:left w:w="0" w:type="dxa"/>
          <w:bottom w:w="0" w:type="dxa"/>
          <w:right w:w="0" w:type="dxa"/>
        </w:tblCellMar>
      </w:tblPr>
      <w:tr>
        <w:trPr>
          <w:trHeight w:val="161"/>
        </w:trPr>
        <w:tc>
          <w:tcPr>
            <w:tcW w:w="4640" w:type="dxa"/>
            <w:vAlign w:val="bottom"/>
          </w:tcPr>
          <w:p>
            <w:pPr>
              <w:spacing w:after="0"/>
              <w:rPr>
                <w:sz w:val="14"/>
                <w:szCs w:val="14"/>
                <w:color w:val="auto"/>
              </w:rPr>
            </w:pPr>
          </w:p>
        </w:tc>
        <w:tc>
          <w:tcPr>
            <w:tcW w:w="96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w w:val="95"/>
              </w:rPr>
              <w:t>Loan Payable</w:t>
            </w:r>
          </w:p>
        </w:tc>
        <w:tc>
          <w:tcPr>
            <w:tcW w:w="160" w:type="dxa"/>
            <w:vAlign w:val="bottom"/>
          </w:tcPr>
          <w:p>
            <w:pPr>
              <w:spacing w:after="0"/>
              <w:rPr>
                <w:sz w:val="14"/>
                <w:szCs w:val="14"/>
                <w:color w:val="auto"/>
              </w:rPr>
            </w:pPr>
          </w:p>
        </w:tc>
        <w:tc>
          <w:tcPr>
            <w:tcW w:w="92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w w:val="93"/>
              </w:rPr>
              <w:t>Note Payable</w:t>
            </w:r>
          </w:p>
        </w:tc>
        <w:tc>
          <w:tcPr>
            <w:tcW w:w="160" w:type="dxa"/>
            <w:vAlign w:val="bottom"/>
          </w:tcPr>
          <w:p>
            <w:pPr>
              <w:spacing w:after="0"/>
              <w:rPr>
                <w:sz w:val="14"/>
                <w:szCs w:val="14"/>
                <w:color w:val="auto"/>
              </w:rPr>
            </w:pPr>
          </w:p>
        </w:tc>
      </w:tr>
      <w:tr>
        <w:trPr>
          <w:trHeight w:val="142"/>
        </w:trPr>
        <w:tc>
          <w:tcPr>
            <w:tcW w:w="46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620" w:type="dxa"/>
            <w:vAlign w:val="bottom"/>
          </w:tcPr>
          <w:p>
            <w:pPr>
              <w:jc w:val="right"/>
              <w:ind w:right="95"/>
              <w:spacing w:after="0" w:line="142" w:lineRule="exact"/>
              <w:rPr>
                <w:sz w:val="20"/>
                <w:szCs w:val="20"/>
                <w:color w:val="auto"/>
              </w:rPr>
            </w:pPr>
            <w:r>
              <w:rPr>
                <w:rFonts w:ascii="Arial" w:cs="Arial" w:eastAsia="Arial" w:hAnsi="Arial"/>
                <w:sz w:val="14"/>
                <w:szCs w:val="14"/>
                <w:b w:val="1"/>
                <w:bCs w:val="1"/>
                <w:color w:val="auto"/>
              </w:rPr>
              <w:t>(In</w:t>
            </w:r>
          </w:p>
        </w:tc>
        <w:tc>
          <w:tcPr>
            <w:tcW w:w="680" w:type="dxa"/>
            <w:vAlign w:val="bottom"/>
            <w:gridSpan w:val="2"/>
          </w:tcPr>
          <w:p>
            <w:pPr>
              <w:jc w:val="right"/>
              <w:ind w:right="132"/>
              <w:spacing w:after="0"/>
              <w:rPr>
                <w:sz w:val="20"/>
                <w:szCs w:val="20"/>
                <w:color w:val="auto"/>
              </w:rPr>
            </w:pPr>
            <w:r>
              <w:rPr>
                <w:rFonts w:ascii="Arial" w:cs="Arial" w:eastAsia="Arial" w:hAnsi="Arial"/>
                <w:sz w:val="12"/>
                <w:szCs w:val="12"/>
                <w:b w:val="1"/>
                <w:bCs w:val="1"/>
                <w:color w:val="auto"/>
                <w:w w:val="71"/>
              </w:rPr>
              <w:t>thousands)</w:t>
            </w:r>
          </w:p>
        </w:tc>
        <w:tc>
          <w:tcPr>
            <w:tcW w:w="400" w:type="dxa"/>
            <w:vAlign w:val="bottom"/>
          </w:tcPr>
          <w:p>
            <w:pPr>
              <w:spacing w:after="0"/>
              <w:rPr>
                <w:sz w:val="12"/>
                <w:szCs w:val="12"/>
                <w:color w:val="auto"/>
              </w:rPr>
            </w:pPr>
          </w:p>
        </w:tc>
        <w:tc>
          <w:tcPr>
            <w:tcW w:w="160" w:type="dxa"/>
            <w:vAlign w:val="bottom"/>
          </w:tcPr>
          <w:p>
            <w:pPr>
              <w:spacing w:after="0"/>
              <w:rPr>
                <w:sz w:val="12"/>
                <w:szCs w:val="12"/>
                <w:color w:val="auto"/>
              </w:rPr>
            </w:pPr>
          </w:p>
        </w:tc>
      </w:tr>
      <w:tr>
        <w:trPr>
          <w:trHeight w:val="216"/>
        </w:trPr>
        <w:tc>
          <w:tcPr>
            <w:tcW w:w="4640" w:type="dxa"/>
            <w:vAlign w:val="bottom"/>
            <w:shd w:val="clear" w:color="auto" w:fill="CCEEFF"/>
          </w:tcPr>
          <w:p>
            <w:pPr>
              <w:spacing w:after="0"/>
              <w:rPr>
                <w:sz w:val="20"/>
                <w:szCs w:val="20"/>
                <w:color w:val="auto"/>
              </w:rPr>
            </w:pPr>
            <w:r>
              <w:rPr>
                <w:rFonts w:ascii="Arial" w:cs="Arial" w:eastAsia="Arial" w:hAnsi="Arial"/>
                <w:sz w:val="18"/>
                <w:szCs w:val="18"/>
                <w:color w:val="auto"/>
              </w:rPr>
              <w:t>2011</w:t>
            </w:r>
          </w:p>
        </w:tc>
        <w:tc>
          <w:tcPr>
            <w:tcW w:w="340" w:type="dxa"/>
            <w:vAlign w:val="bottom"/>
            <w:shd w:val="clear" w:color="auto" w:fill="CCEEFF"/>
          </w:tcPr>
          <w:p>
            <w:pPr>
              <w:jc w:val="right"/>
              <w:ind w:right="159"/>
              <w:spacing w:after="0"/>
              <w:rPr>
                <w:sz w:val="20"/>
                <w:szCs w:val="20"/>
                <w:color w:val="auto"/>
              </w:rPr>
            </w:pPr>
            <w:r>
              <w:rPr>
                <w:rFonts w:ascii="Arial" w:cs="Arial" w:eastAsia="Arial" w:hAnsi="Arial"/>
                <w:sz w:val="18"/>
                <w:szCs w:val="18"/>
                <w:color w:val="auto"/>
                <w:w w:val="79"/>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w:t>
            </w:r>
          </w:p>
        </w:tc>
        <w:tc>
          <w:tcPr>
            <w:tcW w:w="680" w:type="dxa"/>
            <w:vAlign w:val="bottom"/>
            <w:gridSpan w:val="2"/>
            <w:shd w:val="clear" w:color="auto" w:fill="CCEEFF"/>
          </w:tcPr>
          <w:p>
            <w:pPr>
              <w:jc w:val="right"/>
              <w:ind w:right="352"/>
              <w:spacing w:after="0"/>
              <w:rPr>
                <w:sz w:val="20"/>
                <w:szCs w:val="20"/>
                <w:color w:val="auto"/>
              </w:rPr>
            </w:pPr>
            <w:r>
              <w:rPr>
                <w:rFonts w:ascii="Arial" w:cs="Arial" w:eastAsia="Arial" w:hAnsi="Arial"/>
                <w:sz w:val="18"/>
                <w:szCs w:val="18"/>
                <w:color w:val="auto"/>
              </w:rPr>
              <w:t>$</w:t>
            </w:r>
          </w:p>
        </w:tc>
        <w:tc>
          <w:tcPr>
            <w:tcW w:w="5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32</w:t>
            </w:r>
          </w:p>
        </w:tc>
      </w:tr>
      <w:tr>
        <w:trPr>
          <w:trHeight w:val="216"/>
        </w:trPr>
        <w:tc>
          <w:tcPr>
            <w:tcW w:w="4640" w:type="dxa"/>
            <w:vAlign w:val="bottom"/>
          </w:tcPr>
          <w:p>
            <w:pPr>
              <w:spacing w:after="0"/>
              <w:rPr>
                <w:sz w:val="20"/>
                <w:szCs w:val="20"/>
                <w:color w:val="auto"/>
              </w:rPr>
            </w:pPr>
            <w:r>
              <w:rPr>
                <w:rFonts w:ascii="Arial" w:cs="Arial" w:eastAsia="Arial" w:hAnsi="Arial"/>
                <w:sz w:val="18"/>
                <w:szCs w:val="18"/>
                <w:color w:val="auto"/>
              </w:rPr>
              <w:t>2012</w:t>
            </w:r>
          </w:p>
        </w:tc>
        <w:tc>
          <w:tcPr>
            <w:tcW w:w="34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55</w:t>
            </w:r>
          </w:p>
        </w:tc>
        <w:tc>
          <w:tcPr>
            <w:tcW w:w="1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5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r>
      <w:tr>
        <w:trPr>
          <w:trHeight w:val="216"/>
        </w:trPr>
        <w:tc>
          <w:tcPr>
            <w:tcW w:w="4640" w:type="dxa"/>
            <w:vAlign w:val="bottom"/>
            <w:shd w:val="clear" w:color="auto" w:fill="CCEEFF"/>
          </w:tcPr>
          <w:p>
            <w:pPr>
              <w:spacing w:after="0"/>
              <w:rPr>
                <w:sz w:val="20"/>
                <w:szCs w:val="20"/>
                <w:color w:val="auto"/>
              </w:rPr>
            </w:pPr>
            <w:r>
              <w:rPr>
                <w:rFonts w:ascii="Arial" w:cs="Arial" w:eastAsia="Arial" w:hAnsi="Arial"/>
                <w:sz w:val="18"/>
                <w:szCs w:val="18"/>
                <w:color w:val="auto"/>
              </w:rPr>
              <w:t>2013</w:t>
            </w:r>
          </w:p>
        </w:tc>
        <w:tc>
          <w:tcPr>
            <w:tcW w:w="34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w:t>
            </w:r>
          </w:p>
        </w:tc>
        <w:tc>
          <w:tcPr>
            <w:tcW w:w="16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r>
      <w:tr>
        <w:trPr>
          <w:trHeight w:val="216"/>
        </w:trPr>
        <w:tc>
          <w:tcPr>
            <w:tcW w:w="4640" w:type="dxa"/>
            <w:vAlign w:val="bottom"/>
          </w:tcPr>
          <w:p>
            <w:pPr>
              <w:spacing w:after="0"/>
              <w:rPr>
                <w:sz w:val="20"/>
                <w:szCs w:val="20"/>
                <w:color w:val="auto"/>
              </w:rPr>
            </w:pPr>
            <w:r>
              <w:rPr>
                <w:rFonts w:ascii="Arial" w:cs="Arial" w:eastAsia="Arial" w:hAnsi="Arial"/>
                <w:sz w:val="18"/>
                <w:szCs w:val="18"/>
                <w:color w:val="auto"/>
              </w:rPr>
              <w:t>2014</w:t>
            </w:r>
          </w:p>
        </w:tc>
        <w:tc>
          <w:tcPr>
            <w:tcW w:w="34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60</w:t>
            </w:r>
          </w:p>
        </w:tc>
        <w:tc>
          <w:tcPr>
            <w:tcW w:w="1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5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r>
      <w:tr>
        <w:trPr>
          <w:trHeight w:val="216"/>
        </w:trPr>
        <w:tc>
          <w:tcPr>
            <w:tcW w:w="4640" w:type="dxa"/>
            <w:vAlign w:val="bottom"/>
            <w:shd w:val="clear" w:color="auto" w:fill="CCEEFF"/>
          </w:tcPr>
          <w:p>
            <w:pPr>
              <w:spacing w:after="0"/>
              <w:rPr>
                <w:sz w:val="20"/>
                <w:szCs w:val="20"/>
                <w:color w:val="auto"/>
              </w:rPr>
            </w:pPr>
            <w:r>
              <w:rPr>
                <w:rFonts w:ascii="Arial" w:cs="Arial" w:eastAsia="Arial" w:hAnsi="Arial"/>
                <w:sz w:val="18"/>
                <w:szCs w:val="18"/>
                <w:color w:val="auto"/>
              </w:rPr>
              <w:t>2015</w:t>
            </w:r>
          </w:p>
        </w:tc>
        <w:tc>
          <w:tcPr>
            <w:tcW w:w="34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w:t>
            </w:r>
          </w:p>
        </w:tc>
        <w:tc>
          <w:tcPr>
            <w:tcW w:w="16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r>
      <w:tr>
        <w:trPr>
          <w:trHeight w:val="222"/>
        </w:trPr>
        <w:tc>
          <w:tcPr>
            <w:tcW w:w="4640" w:type="dxa"/>
            <w:vAlign w:val="bottom"/>
          </w:tcPr>
          <w:p>
            <w:pPr>
              <w:spacing w:after="0"/>
              <w:rPr>
                <w:sz w:val="20"/>
                <w:szCs w:val="20"/>
                <w:color w:val="auto"/>
              </w:rPr>
            </w:pPr>
            <w:r>
              <w:rPr>
                <w:rFonts w:ascii="Arial" w:cs="Arial" w:eastAsia="Arial" w:hAnsi="Arial"/>
                <w:sz w:val="18"/>
                <w:szCs w:val="18"/>
                <w:color w:val="auto"/>
              </w:rPr>
              <w:t>Thereafter</w:t>
            </w:r>
          </w:p>
        </w:tc>
        <w:tc>
          <w:tcPr>
            <w:tcW w:w="34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296</w:t>
            </w:r>
          </w:p>
        </w:tc>
        <w:tc>
          <w:tcPr>
            <w:tcW w:w="16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5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r>
      <w:tr>
        <w:trPr>
          <w:trHeight w:val="21"/>
        </w:trPr>
        <w:tc>
          <w:tcPr>
            <w:tcW w:w="464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210"/>
        </w:trPr>
        <w:tc>
          <w:tcPr>
            <w:tcW w:w="4640" w:type="dxa"/>
            <w:vAlign w:val="bottom"/>
            <w:shd w:val="clear" w:color="auto" w:fill="CCEEFF"/>
          </w:tcPr>
          <w:p>
            <w:pPr>
              <w:spacing w:after="0"/>
              <w:rPr>
                <w:sz w:val="20"/>
                <w:szCs w:val="20"/>
                <w:color w:val="auto"/>
              </w:rPr>
            </w:pPr>
            <w:r>
              <w:rPr>
                <w:rFonts w:ascii="Arial" w:cs="Arial" w:eastAsia="Arial" w:hAnsi="Arial"/>
                <w:sz w:val="18"/>
                <w:szCs w:val="18"/>
                <w:color w:val="auto"/>
              </w:rPr>
              <w:t>Total</w:t>
            </w:r>
          </w:p>
        </w:tc>
        <w:tc>
          <w:tcPr>
            <w:tcW w:w="340" w:type="dxa"/>
            <w:vAlign w:val="bottom"/>
            <w:shd w:val="clear" w:color="auto" w:fill="CCEEFF"/>
          </w:tcPr>
          <w:p>
            <w:pPr>
              <w:jc w:val="right"/>
              <w:ind w:right="159"/>
              <w:spacing w:after="0"/>
              <w:rPr>
                <w:sz w:val="20"/>
                <w:szCs w:val="20"/>
                <w:color w:val="auto"/>
              </w:rPr>
            </w:pPr>
            <w:r>
              <w:rPr>
                <w:rFonts w:ascii="Arial" w:cs="Arial" w:eastAsia="Arial" w:hAnsi="Arial"/>
                <w:sz w:val="18"/>
                <w:szCs w:val="18"/>
                <w:color w:val="auto"/>
                <w:w w:val="79"/>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581</w:t>
            </w:r>
          </w:p>
        </w:tc>
        <w:tc>
          <w:tcPr>
            <w:tcW w:w="680" w:type="dxa"/>
            <w:vAlign w:val="bottom"/>
            <w:gridSpan w:val="2"/>
            <w:shd w:val="clear" w:color="auto" w:fill="CCEEFF"/>
          </w:tcPr>
          <w:p>
            <w:pPr>
              <w:jc w:val="right"/>
              <w:ind w:right="352"/>
              <w:spacing w:after="0"/>
              <w:rPr>
                <w:sz w:val="20"/>
                <w:szCs w:val="20"/>
                <w:color w:val="auto"/>
              </w:rPr>
            </w:pPr>
            <w:r>
              <w:rPr>
                <w:rFonts w:ascii="Arial" w:cs="Arial" w:eastAsia="Arial" w:hAnsi="Arial"/>
                <w:sz w:val="18"/>
                <w:szCs w:val="18"/>
                <w:color w:val="auto"/>
              </w:rPr>
              <w:t>$</w:t>
            </w:r>
          </w:p>
        </w:tc>
        <w:tc>
          <w:tcPr>
            <w:tcW w:w="5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32</w:t>
            </w:r>
          </w:p>
        </w:tc>
      </w:tr>
      <w:tr>
        <w:trPr>
          <w:trHeight w:val="27"/>
        </w:trPr>
        <w:tc>
          <w:tcPr>
            <w:tcW w:w="464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r>
      <w:tr>
        <w:trPr>
          <w:trHeight w:val="20"/>
        </w:trPr>
        <w:tc>
          <w:tcPr>
            <w:tcW w:w="464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(10) TERM LOAN</w:t>
      </w:r>
    </w:p>
    <w:p>
      <w:pPr>
        <w:spacing w:after="0" w:line="231" w:lineRule="exact"/>
        <w:rPr>
          <w:sz w:val="20"/>
          <w:szCs w:val="20"/>
          <w:color w:val="auto"/>
        </w:rPr>
      </w:pPr>
    </w:p>
    <w:p>
      <w:pPr>
        <w:ind w:firstLine="351"/>
        <w:spacing w:after="0" w:line="289" w:lineRule="auto"/>
        <w:rPr>
          <w:sz w:val="20"/>
          <w:szCs w:val="20"/>
          <w:color w:val="auto"/>
        </w:rPr>
      </w:pPr>
      <w:r>
        <w:rPr>
          <w:rFonts w:ascii="Arial" w:cs="Arial" w:eastAsia="Arial" w:hAnsi="Arial"/>
          <w:sz w:val="16"/>
          <w:szCs w:val="16"/>
          <w:color w:val="auto"/>
        </w:rPr>
        <w:t>On December 30, 2010, the Company entered into a Loan and Security Agreement (the "Loan Agreement") with MidCap Financial, LLC ("MidCap") pursuant to which the Company borrowed $10 million (the "Term Loan") from MidCap. In March 2011, the Company amended the Loan Agreement and borrowed an additional $5 million from General Electric Capital Corporation ("GECC") (collectively with MidCap, the "Lenders") to increase the amount owed under the Term Loan to $15 million. No additional advances are available under the Loan Agreement. The Term Loan accrues interest at a fixed annual interest rate equal to the greater of (i) the sum of (A) the LIBOR Rate (as defined in the Loan Agreement) plus (B) 6.25%; or (ii) a minimum rate of 9.50%. The Company must make monthly interest payments commencing on February 1, 2011 and must repay the principal amount of the Term Loan in 27 equal consecutive monthly installments commencing on October 1, 2011. Notwithstanding the foregoing, all unpaid principal and accrued interest with respect to the Term Loan is due and payable on the earlier of (A) December 30, 2013 or (B) the date that the Term Loan otherwise becomes due and payable under the terms of the Loan Agreement.</w:t>
      </w:r>
    </w:p>
    <w:p>
      <w:pPr>
        <w:spacing w:after="0" w:line="172" w:lineRule="exact"/>
        <w:rPr>
          <w:sz w:val="20"/>
          <w:szCs w:val="20"/>
          <w:color w:val="auto"/>
        </w:rPr>
      </w:pPr>
    </w:p>
    <w:p>
      <w:pPr>
        <w:jc w:val="both"/>
        <w:ind w:right="40" w:firstLine="351"/>
        <w:spacing w:after="0" w:line="259" w:lineRule="auto"/>
        <w:rPr>
          <w:sz w:val="20"/>
          <w:szCs w:val="20"/>
          <w:color w:val="auto"/>
        </w:rPr>
      </w:pPr>
      <w:r>
        <w:rPr>
          <w:rFonts w:ascii="Arial" w:cs="Arial" w:eastAsia="Arial" w:hAnsi="Arial"/>
          <w:sz w:val="18"/>
          <w:szCs w:val="18"/>
          <w:color w:val="auto"/>
        </w:rPr>
        <w:t>Upon repayment of the Term Loan in full, the Company is also obligated to make a final payment fee of $0.5 million ("Final Payment") which the Company is accreting ratably over the term of the Term Loan. The Company may prepay all, but not less than all, of the Term Loan subject to a prepayment premium of 1% in year three, 2% in year two, and 4% in year one of the original principal amount of the Term Loan.</w:t>
      </w:r>
    </w:p>
    <w:p>
      <w:pPr>
        <w:spacing w:after="0" w:line="194" w:lineRule="exact"/>
        <w:rPr>
          <w:sz w:val="20"/>
          <w:szCs w:val="20"/>
          <w:color w:val="auto"/>
        </w:rPr>
      </w:pPr>
    </w:p>
    <w:p>
      <w:pPr>
        <w:ind w:right="20" w:firstLine="348"/>
        <w:spacing w:after="0" w:line="318" w:lineRule="auto"/>
        <w:rPr>
          <w:sz w:val="20"/>
          <w:szCs w:val="20"/>
          <w:color w:val="auto"/>
        </w:rPr>
      </w:pPr>
      <w:r>
        <w:rPr>
          <w:rFonts w:ascii="Arial" w:cs="Arial" w:eastAsia="Arial" w:hAnsi="Arial"/>
          <w:sz w:val="15"/>
          <w:szCs w:val="15"/>
          <w:color w:val="auto"/>
        </w:rPr>
        <w:t>The obligations of the Company under the Loan Agreement are secured by a first priority lien upon and security interest in substantially all of the Company's existing and after-acquired assets, excluding its intellectual property assets. Under the Loan Agreement, the Company is subject to specified affirmative and negative covenants customary for financings of this type. The Loan Agreement provides that, upon the occurrence of certain specified events of default customary for financings of this type, the Company's obligations under the Loan Agreement may be automatically accelerated, whereupon the Company's obligations under the Loan Agreement shall be immediately due and payable. At December 31, 2010, the Company believes it is in compliance with the Loan Agreement.</w:t>
      </w:r>
    </w:p>
    <w:p>
      <w:pPr>
        <w:spacing w:after="0" w:line="154" w:lineRule="exact"/>
        <w:rPr>
          <w:sz w:val="20"/>
          <w:szCs w:val="20"/>
          <w:color w:val="auto"/>
        </w:rPr>
      </w:pPr>
    </w:p>
    <w:p>
      <w:pPr>
        <w:ind w:right="220" w:firstLine="341"/>
        <w:spacing w:after="0" w:line="268" w:lineRule="auto"/>
        <w:rPr>
          <w:sz w:val="20"/>
          <w:szCs w:val="20"/>
          <w:color w:val="auto"/>
        </w:rPr>
      </w:pPr>
      <w:r>
        <w:rPr>
          <w:rFonts w:ascii="Arial" w:cs="Arial" w:eastAsia="Arial" w:hAnsi="Arial"/>
          <w:sz w:val="18"/>
          <w:szCs w:val="18"/>
          <w:color w:val="auto"/>
        </w:rPr>
        <w:t>At December 31, 2010, the Company had $0.2 million in capitalized deferred financing costs incurred in connection with the Term Loan and is amortizing these costs to interest expense over the</w:t>
      </w:r>
    </w:p>
    <w:p>
      <w:pPr>
        <w:spacing w:after="0" w:line="18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89" w:name="page90"/>
    <w:bookmarkEnd w:id="89"/>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CELLDEX THERAPEUTICS, INC.</w:t>
      </w:r>
    </w:p>
    <w:p>
      <w:pPr>
        <w:spacing w:after="0" w:line="225"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(10) TERM LOAN (Continued)</w:t>
      </w: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spacing w:after="0"/>
        <w:rPr>
          <w:sz w:val="20"/>
          <w:szCs w:val="20"/>
          <w:color w:val="auto"/>
        </w:rPr>
      </w:pPr>
      <w:r>
        <w:rPr>
          <w:rFonts w:ascii="Arial" w:cs="Arial" w:eastAsia="Arial" w:hAnsi="Arial"/>
          <w:sz w:val="18"/>
          <w:szCs w:val="18"/>
          <w:color w:val="auto"/>
        </w:rPr>
        <w:t>term of the loan. The Company is also accreting the Final Payment to interest expense over the term of the loan.</w:t>
      </w:r>
    </w:p>
    <w:p>
      <w:pPr>
        <w:spacing w:after="0" w:line="225" w:lineRule="exact"/>
        <w:rPr>
          <w:sz w:val="20"/>
          <w:szCs w:val="20"/>
          <w:color w:val="auto"/>
        </w:rPr>
      </w:pPr>
    </w:p>
    <w:p>
      <w:pPr>
        <w:ind w:right="60" w:firstLine="348"/>
        <w:spacing w:after="0" w:line="268" w:lineRule="auto"/>
        <w:rPr>
          <w:sz w:val="20"/>
          <w:szCs w:val="20"/>
          <w:color w:val="auto"/>
        </w:rPr>
      </w:pPr>
      <w:r>
        <w:rPr>
          <w:rFonts w:ascii="Arial" w:cs="Arial" w:eastAsia="Arial" w:hAnsi="Arial"/>
          <w:sz w:val="18"/>
          <w:szCs w:val="18"/>
          <w:color w:val="auto"/>
        </w:rPr>
        <w:t>The Company is obligated to repay the following principal amounts for the Term Loan (including Final Payment) over the next five years and thereafter (in thousands):</w:t>
      </w:r>
    </w:p>
    <w:p>
      <w:pPr>
        <w:spacing w:after="0" w:line="194" w:lineRule="exact"/>
        <w:rPr>
          <w:sz w:val="20"/>
          <w:szCs w:val="20"/>
          <w:color w:val="auto"/>
        </w:rPr>
      </w:pPr>
    </w:p>
    <w:tbl>
      <w:tblPr>
        <w:tblLayout w:type="fixed"/>
        <w:tblInd w:w="2300" w:type="dxa"/>
        <w:tblCellMar>
          <w:top w:w="0" w:type="dxa"/>
          <w:left w:w="0" w:type="dxa"/>
          <w:bottom w:w="0" w:type="dxa"/>
          <w:right w:w="0" w:type="dxa"/>
        </w:tblCellMar>
      </w:tblPr>
      <w:tr>
        <w:trPr>
          <w:trHeight w:val="216"/>
        </w:trPr>
        <w:tc>
          <w:tcPr>
            <w:tcW w:w="5980" w:type="dxa"/>
            <w:vAlign w:val="bottom"/>
            <w:shd w:val="clear" w:color="auto" w:fill="CCEEFF"/>
          </w:tcPr>
          <w:p>
            <w:pPr>
              <w:spacing w:after="0"/>
              <w:rPr>
                <w:sz w:val="20"/>
                <w:szCs w:val="20"/>
                <w:color w:val="auto"/>
              </w:rPr>
            </w:pPr>
            <w:r>
              <w:rPr>
                <w:rFonts w:ascii="Arial" w:cs="Arial" w:eastAsia="Arial" w:hAnsi="Arial"/>
                <w:sz w:val="18"/>
                <w:szCs w:val="18"/>
                <w:color w:val="auto"/>
              </w:rPr>
              <w:t>2011</w:t>
            </w:r>
          </w:p>
        </w:tc>
        <w:tc>
          <w:tcPr>
            <w:tcW w:w="160" w:type="dxa"/>
            <w:vAlign w:val="bottom"/>
            <w:shd w:val="clear" w:color="auto" w:fill="CCEEFF"/>
          </w:tcPr>
          <w:p>
            <w:pPr>
              <w:jc w:val="right"/>
              <w:ind w:right="3"/>
              <w:spacing w:after="0"/>
              <w:rPr>
                <w:sz w:val="20"/>
                <w:szCs w:val="20"/>
                <w:color w:val="auto"/>
              </w:rPr>
            </w:pPr>
            <w:r>
              <w:rPr>
                <w:rFonts w:ascii="Arial" w:cs="Arial" w:eastAsia="Arial" w:hAnsi="Arial"/>
                <w:sz w:val="15"/>
                <w:szCs w:val="15"/>
                <w:color w:val="auto"/>
                <w:w w:val="71"/>
              </w:rPr>
              <w:t>$</w:t>
            </w:r>
          </w:p>
        </w:tc>
        <w:tc>
          <w:tcPr>
            <w:tcW w:w="7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1,111</w:t>
            </w:r>
          </w:p>
        </w:tc>
      </w:tr>
      <w:tr>
        <w:trPr>
          <w:trHeight w:val="216"/>
        </w:trPr>
        <w:tc>
          <w:tcPr>
            <w:tcW w:w="5980" w:type="dxa"/>
            <w:vAlign w:val="bottom"/>
          </w:tcPr>
          <w:p>
            <w:pPr>
              <w:spacing w:after="0"/>
              <w:rPr>
                <w:sz w:val="20"/>
                <w:szCs w:val="20"/>
                <w:color w:val="auto"/>
              </w:rPr>
            </w:pPr>
            <w:r>
              <w:rPr>
                <w:rFonts w:ascii="Arial" w:cs="Arial" w:eastAsia="Arial" w:hAnsi="Arial"/>
                <w:sz w:val="18"/>
                <w:szCs w:val="18"/>
                <w:color w:val="auto"/>
              </w:rPr>
              <w:t>2012</w:t>
            </w:r>
          </w:p>
        </w:tc>
        <w:tc>
          <w:tcPr>
            <w:tcW w:w="160" w:type="dxa"/>
            <w:vAlign w:val="bottom"/>
          </w:tcPr>
          <w:p>
            <w:pPr>
              <w:spacing w:after="0"/>
              <w:rPr>
                <w:sz w:val="18"/>
                <w:szCs w:val="18"/>
                <w:color w:val="auto"/>
              </w:rPr>
            </w:pPr>
          </w:p>
        </w:tc>
        <w:tc>
          <w:tcPr>
            <w:tcW w:w="700" w:type="dxa"/>
            <w:vAlign w:val="bottom"/>
            <w:gridSpan w:val="2"/>
          </w:tcPr>
          <w:p>
            <w:pPr>
              <w:jc w:val="right"/>
              <w:ind w:right="160"/>
              <w:spacing w:after="0"/>
              <w:rPr>
                <w:sz w:val="20"/>
                <w:szCs w:val="20"/>
                <w:color w:val="auto"/>
              </w:rPr>
            </w:pPr>
            <w:r>
              <w:rPr>
                <w:rFonts w:ascii="Arial" w:cs="Arial" w:eastAsia="Arial" w:hAnsi="Arial"/>
                <w:sz w:val="18"/>
                <w:szCs w:val="18"/>
                <w:color w:val="auto"/>
              </w:rPr>
              <w:t>4,444</w:t>
            </w:r>
          </w:p>
        </w:tc>
      </w:tr>
      <w:tr>
        <w:trPr>
          <w:trHeight w:val="216"/>
        </w:trPr>
        <w:tc>
          <w:tcPr>
            <w:tcW w:w="5980" w:type="dxa"/>
            <w:vAlign w:val="bottom"/>
            <w:shd w:val="clear" w:color="auto" w:fill="CCEEFF"/>
          </w:tcPr>
          <w:p>
            <w:pPr>
              <w:spacing w:after="0"/>
              <w:rPr>
                <w:sz w:val="20"/>
                <w:szCs w:val="20"/>
                <w:color w:val="auto"/>
              </w:rPr>
            </w:pPr>
            <w:r>
              <w:rPr>
                <w:rFonts w:ascii="Arial" w:cs="Arial" w:eastAsia="Arial" w:hAnsi="Arial"/>
                <w:sz w:val="18"/>
                <w:szCs w:val="18"/>
                <w:color w:val="auto"/>
              </w:rPr>
              <w:t>2013</w:t>
            </w:r>
          </w:p>
        </w:tc>
        <w:tc>
          <w:tcPr>
            <w:tcW w:w="16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4,745</w:t>
            </w:r>
          </w:p>
        </w:tc>
      </w:tr>
      <w:tr>
        <w:trPr>
          <w:trHeight w:val="216"/>
        </w:trPr>
        <w:tc>
          <w:tcPr>
            <w:tcW w:w="5980" w:type="dxa"/>
            <w:vAlign w:val="bottom"/>
          </w:tcPr>
          <w:p>
            <w:pPr>
              <w:spacing w:after="0"/>
              <w:rPr>
                <w:sz w:val="20"/>
                <w:szCs w:val="20"/>
                <w:color w:val="auto"/>
              </w:rPr>
            </w:pPr>
            <w:r>
              <w:rPr>
                <w:rFonts w:ascii="Arial" w:cs="Arial" w:eastAsia="Arial" w:hAnsi="Arial"/>
                <w:sz w:val="18"/>
                <w:szCs w:val="18"/>
                <w:color w:val="auto"/>
              </w:rPr>
              <w:t>2014</w:t>
            </w:r>
          </w:p>
        </w:tc>
        <w:tc>
          <w:tcPr>
            <w:tcW w:w="160" w:type="dxa"/>
            <w:vAlign w:val="bottom"/>
          </w:tcPr>
          <w:p>
            <w:pPr>
              <w:spacing w:after="0"/>
              <w:rPr>
                <w:sz w:val="18"/>
                <w:szCs w:val="18"/>
                <w:color w:val="auto"/>
              </w:rPr>
            </w:pPr>
          </w:p>
        </w:tc>
        <w:tc>
          <w:tcPr>
            <w:tcW w:w="7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r>
      <w:tr>
        <w:trPr>
          <w:trHeight w:val="216"/>
        </w:trPr>
        <w:tc>
          <w:tcPr>
            <w:tcW w:w="5980" w:type="dxa"/>
            <w:vAlign w:val="bottom"/>
            <w:shd w:val="clear" w:color="auto" w:fill="CCEEFF"/>
          </w:tcPr>
          <w:p>
            <w:pPr>
              <w:spacing w:after="0"/>
              <w:rPr>
                <w:sz w:val="20"/>
                <w:szCs w:val="20"/>
                <w:color w:val="auto"/>
              </w:rPr>
            </w:pPr>
            <w:r>
              <w:rPr>
                <w:rFonts w:ascii="Arial" w:cs="Arial" w:eastAsia="Arial" w:hAnsi="Arial"/>
                <w:sz w:val="18"/>
                <w:szCs w:val="18"/>
                <w:color w:val="auto"/>
              </w:rPr>
              <w:t>2015</w:t>
            </w:r>
          </w:p>
        </w:tc>
        <w:tc>
          <w:tcPr>
            <w:tcW w:w="16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r>
      <w:tr>
        <w:trPr>
          <w:trHeight w:val="222"/>
        </w:trPr>
        <w:tc>
          <w:tcPr>
            <w:tcW w:w="5980" w:type="dxa"/>
            <w:vAlign w:val="bottom"/>
          </w:tcPr>
          <w:p>
            <w:pPr>
              <w:spacing w:after="0"/>
              <w:rPr>
                <w:sz w:val="20"/>
                <w:szCs w:val="20"/>
                <w:color w:val="auto"/>
              </w:rPr>
            </w:pPr>
            <w:r>
              <w:rPr>
                <w:rFonts w:ascii="Arial" w:cs="Arial" w:eastAsia="Arial" w:hAnsi="Arial"/>
                <w:sz w:val="18"/>
                <w:szCs w:val="18"/>
                <w:color w:val="auto"/>
              </w:rPr>
              <w:t>Thereafter</w:t>
            </w:r>
          </w:p>
        </w:tc>
        <w:tc>
          <w:tcPr>
            <w:tcW w:w="160" w:type="dxa"/>
            <w:vAlign w:val="bottom"/>
          </w:tcPr>
          <w:p>
            <w:pPr>
              <w:spacing w:after="0"/>
              <w:rPr>
                <w:sz w:val="19"/>
                <w:szCs w:val="19"/>
                <w:color w:val="auto"/>
              </w:rPr>
            </w:pPr>
          </w:p>
        </w:tc>
        <w:tc>
          <w:tcPr>
            <w:tcW w:w="7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r>
      <w:tr>
        <w:trPr>
          <w:trHeight w:val="21"/>
        </w:trPr>
        <w:tc>
          <w:tcPr>
            <w:tcW w:w="59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210"/>
        </w:trPr>
        <w:tc>
          <w:tcPr>
            <w:tcW w:w="5980" w:type="dxa"/>
            <w:vAlign w:val="bottom"/>
            <w:shd w:val="clear" w:color="auto" w:fill="CCEEFF"/>
          </w:tcPr>
          <w:p>
            <w:pPr>
              <w:spacing w:after="0"/>
              <w:rPr>
                <w:sz w:val="20"/>
                <w:szCs w:val="20"/>
                <w:color w:val="auto"/>
              </w:rPr>
            </w:pPr>
            <w:r>
              <w:rPr>
                <w:rFonts w:ascii="Arial" w:cs="Arial" w:eastAsia="Arial" w:hAnsi="Arial"/>
                <w:sz w:val="18"/>
                <w:szCs w:val="18"/>
                <w:color w:val="auto"/>
              </w:rPr>
              <w:t>Total</w:t>
            </w:r>
          </w:p>
        </w:tc>
        <w:tc>
          <w:tcPr>
            <w:tcW w:w="160" w:type="dxa"/>
            <w:vAlign w:val="bottom"/>
            <w:shd w:val="clear" w:color="auto" w:fill="CCEEFF"/>
          </w:tcPr>
          <w:p>
            <w:pPr>
              <w:jc w:val="right"/>
              <w:ind w:right="3"/>
              <w:spacing w:after="0"/>
              <w:rPr>
                <w:sz w:val="20"/>
                <w:szCs w:val="20"/>
                <w:color w:val="auto"/>
              </w:rPr>
            </w:pPr>
            <w:r>
              <w:rPr>
                <w:rFonts w:ascii="Arial" w:cs="Arial" w:eastAsia="Arial" w:hAnsi="Arial"/>
                <w:sz w:val="15"/>
                <w:szCs w:val="15"/>
                <w:color w:val="auto"/>
                <w:w w:val="71"/>
              </w:rPr>
              <w:t>$</w:t>
            </w:r>
          </w:p>
        </w:tc>
        <w:tc>
          <w:tcPr>
            <w:tcW w:w="7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94"/>
              </w:rPr>
              <w:t>10,300</w:t>
            </w:r>
          </w:p>
        </w:tc>
      </w:tr>
      <w:tr>
        <w:trPr>
          <w:trHeight w:val="27"/>
        </w:trPr>
        <w:tc>
          <w:tcPr>
            <w:tcW w:w="598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r>
      <w:tr>
        <w:trPr>
          <w:trHeight w:val="20"/>
        </w:trPr>
        <w:tc>
          <w:tcPr>
            <w:tcW w:w="59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(11) STOCKHOLDERS' EQUITY</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Common Stock</w:t>
      </w:r>
    </w:p>
    <w:p>
      <w:pPr>
        <w:spacing w:after="0" w:line="225" w:lineRule="exact"/>
        <w:rPr>
          <w:sz w:val="20"/>
          <w:szCs w:val="20"/>
          <w:color w:val="auto"/>
        </w:rPr>
      </w:pPr>
    </w:p>
    <w:p>
      <w:pPr>
        <w:jc w:val="both"/>
        <w:ind w:right="120" w:firstLine="348"/>
        <w:spacing w:after="0" w:line="259" w:lineRule="auto"/>
        <w:rPr>
          <w:sz w:val="20"/>
          <w:szCs w:val="20"/>
          <w:color w:val="auto"/>
        </w:rPr>
      </w:pPr>
      <w:r>
        <w:rPr>
          <w:rFonts w:ascii="Arial" w:cs="Arial" w:eastAsia="Arial" w:hAnsi="Arial"/>
          <w:sz w:val="18"/>
          <w:szCs w:val="18"/>
          <w:color w:val="auto"/>
        </w:rPr>
        <w:t>The Company implemented a 1-for-12 reverse stock split of the Company's common stock on March 7, 2008, as approved by the Company's stockholders. The Company has retroactively applied the reverse stock split to all of the share and per share amounts for all periods presented in these consolidated financial statements.</w:t>
      </w:r>
    </w:p>
    <w:p>
      <w:pPr>
        <w:spacing w:after="0" w:line="194" w:lineRule="exact"/>
        <w:rPr>
          <w:sz w:val="20"/>
          <w:szCs w:val="20"/>
          <w:color w:val="auto"/>
        </w:rPr>
      </w:pPr>
    </w:p>
    <w:p>
      <w:pPr>
        <w:ind w:right="120" w:firstLine="351"/>
        <w:spacing w:after="0" w:line="259" w:lineRule="auto"/>
        <w:rPr>
          <w:sz w:val="20"/>
          <w:szCs w:val="20"/>
          <w:color w:val="auto"/>
        </w:rPr>
      </w:pPr>
      <w:r>
        <w:rPr>
          <w:rFonts w:ascii="Arial" w:cs="Arial" w:eastAsia="Arial" w:hAnsi="Arial"/>
          <w:sz w:val="18"/>
          <w:szCs w:val="18"/>
          <w:color w:val="auto"/>
        </w:rPr>
        <w:t>In April 2010, the Company filed a shelf registration statement with the Securities and Exchange Commission to register for sale any combination of the types of securities described in the filing up to a dollar amount of $150 million. The shelf registration went effective on April 22, 2010. No securities have been sold by the Company from this shelf registration.</w:t>
      </w:r>
    </w:p>
    <w:p>
      <w:pPr>
        <w:spacing w:after="0" w:line="194" w:lineRule="exact"/>
        <w:rPr>
          <w:sz w:val="20"/>
          <w:szCs w:val="20"/>
          <w:color w:val="auto"/>
        </w:rPr>
      </w:pPr>
    </w:p>
    <w:p>
      <w:pPr>
        <w:ind w:firstLine="351"/>
        <w:spacing w:after="0" w:line="298" w:lineRule="auto"/>
        <w:rPr>
          <w:sz w:val="20"/>
          <w:szCs w:val="20"/>
          <w:color w:val="auto"/>
        </w:rPr>
      </w:pPr>
      <w:r>
        <w:rPr>
          <w:rFonts w:ascii="Arial" w:cs="Arial" w:eastAsia="Arial" w:hAnsi="Arial"/>
          <w:sz w:val="16"/>
          <w:szCs w:val="16"/>
          <w:color w:val="auto"/>
        </w:rPr>
        <w:t>On January 6, 2011, the Company entered into a controlled equity offering sales agreement (the "Cantor Agreement") with Cantor Fitzgerald &amp; Co. ("Cantor") pursuant to which the Company may issue and sell up to 5,000,000 shares of its common stock from time to time through Cantor, acting as agent. The Company agreed to pay Cantor a commission up to 5% of the gross proceeds from each sale and to reimburse Cantor for certain expenses incurred in connection with entering into the Cantor Agreement. As of March 2, 2011, the Company had not sold any shares of common stock under the Cantor Agreement.</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Convertible Preferred Stock</w:t>
      </w:r>
    </w:p>
    <w:p>
      <w:pPr>
        <w:spacing w:after="0" w:line="225" w:lineRule="exact"/>
        <w:rPr>
          <w:sz w:val="20"/>
          <w:szCs w:val="20"/>
          <w:color w:val="auto"/>
        </w:rPr>
      </w:pPr>
    </w:p>
    <w:p>
      <w:pPr>
        <w:ind w:right="600" w:firstLine="341"/>
        <w:spacing w:after="0" w:line="370" w:lineRule="auto"/>
        <w:rPr>
          <w:sz w:val="20"/>
          <w:szCs w:val="20"/>
          <w:color w:val="auto"/>
        </w:rPr>
      </w:pPr>
      <w:r>
        <w:rPr>
          <w:rFonts w:ascii="Arial" w:cs="Arial" w:eastAsia="Arial" w:hAnsi="Arial"/>
          <w:sz w:val="15"/>
          <w:szCs w:val="15"/>
          <w:color w:val="auto"/>
        </w:rPr>
        <w:t>At December 31, 2010, the Company had authorized 3,000,000 shares of preferred stock all of which have been designated Class C Preferred Stock including 350,000 shares which have been designated Series C-1 Junior Participating Cumulative Preferred Stock (the "Series C-1 Preferred Stock")."</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Shareholder Rights Plan</w:t>
      </w:r>
    </w:p>
    <w:p>
      <w:pPr>
        <w:spacing w:after="0" w:line="225" w:lineRule="exact"/>
        <w:rPr>
          <w:sz w:val="20"/>
          <w:szCs w:val="20"/>
          <w:color w:val="auto"/>
        </w:rPr>
      </w:pPr>
    </w:p>
    <w:p>
      <w:pPr>
        <w:ind w:right="280" w:firstLine="348"/>
        <w:spacing w:after="0" w:line="332" w:lineRule="auto"/>
        <w:rPr>
          <w:sz w:val="20"/>
          <w:szCs w:val="20"/>
          <w:color w:val="auto"/>
        </w:rPr>
      </w:pPr>
      <w:r>
        <w:rPr>
          <w:rFonts w:ascii="Arial" w:cs="Arial" w:eastAsia="Arial" w:hAnsi="Arial"/>
          <w:sz w:val="16"/>
          <w:szCs w:val="16"/>
          <w:color w:val="auto"/>
        </w:rPr>
        <w:t>The Company's Board has adopted a Shareholder Rights Plan, as set forth in the Shareholder Rights Agreement, as amended, between the Company and Computershare Trust Company, N.A., as Rights Agent (the "Rights Agreement"). Pursuant to the terms of the Rights Agreement, the Board</w:t>
      </w:r>
    </w:p>
    <w:p>
      <w:pPr>
        <w:spacing w:after="0" w:line="139"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40"/>
          </w:cols>
          <w:pgMar w:left="240" w:top="131" w:right="319" w:bottom="1440" w:gutter="0" w:footer="0" w:header="0"/>
        </w:sectPr>
      </w:pPr>
    </w:p>
    <w:bookmarkStart w:id="90" w:name="page91"/>
    <w:bookmarkEnd w:id="90"/>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CELLDEX THERAPEUTICS, INC.</w:t>
      </w:r>
    </w:p>
    <w:p>
      <w:pPr>
        <w:spacing w:after="0" w:line="225" w:lineRule="exact"/>
        <w:rPr>
          <w:sz w:val="20"/>
          <w:szCs w:val="20"/>
          <w:color w:val="auto"/>
        </w:rPr>
      </w:pPr>
    </w:p>
    <w:p>
      <w:pPr>
        <w:ind w:left="2940"/>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(11) STOCKHOLDERS' EQUITY (Continued)</w:t>
      </w: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spacing w:after="0" w:line="287" w:lineRule="auto"/>
        <w:rPr>
          <w:sz w:val="20"/>
          <w:szCs w:val="20"/>
          <w:color w:val="auto"/>
        </w:rPr>
      </w:pPr>
      <w:r>
        <w:rPr>
          <w:rFonts w:ascii="Arial" w:cs="Arial" w:eastAsia="Arial" w:hAnsi="Arial"/>
          <w:sz w:val="16"/>
          <w:szCs w:val="16"/>
          <w:color w:val="auto"/>
        </w:rPr>
        <w:t>declared a dividend distribution of one Preferred Stock Purchase Right ("Right") for each outstanding share of the Company's common stock. Each Right, which expires in November 2014, entitles their holder to purchase from the Company one ten-thousandth of a share (a "Unit") of Series C-1 Preferred Stock at a cash exercise price of $35.00 per Unit, subject to adjustment. The Rights will trade separately from the common stock and will become exercisable only when a person or group has acquired 15% or more of the outstanding common stock or upon the commencement by a person or group of a tender offer that would result in such person or group acquiring 15% or more of the outstanding common stock other than as a result of repurchases of stock by the Company or certain inadvertent actions by a shareholder. In the event a person or group acquires 15% or more of the outstanding common stock each holder of a Right (except for any such person or group) would be entitled to receive upon exercise sufficient Units of Series C-1 Preferred Stock to equal a value of two times the exercise price of the Right. In the event the Company is acquired in a merger or other business combination transaction or if 50% or more of the Company's assets or earning power is sold, each holder of a Right (except for any such person or group described above) would receive upon exercise common stock of the acquiring company with a value equal to two times the exercise price of the Right.</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(12) STOCK-BASED COMPENSATION</w:t>
      </w:r>
    </w:p>
    <w:p>
      <w:pPr>
        <w:spacing w:after="0" w:line="231" w:lineRule="exact"/>
        <w:rPr>
          <w:sz w:val="20"/>
          <w:szCs w:val="20"/>
          <w:color w:val="auto"/>
        </w:rPr>
      </w:pPr>
    </w:p>
    <w:p>
      <w:pPr>
        <w:ind w:right="160" w:firstLine="348"/>
        <w:spacing w:after="0" w:line="256" w:lineRule="auto"/>
        <w:rPr>
          <w:sz w:val="20"/>
          <w:szCs w:val="20"/>
          <w:color w:val="auto"/>
        </w:rPr>
      </w:pPr>
      <w:r>
        <w:rPr>
          <w:rFonts w:ascii="Arial" w:cs="Arial" w:eastAsia="Arial" w:hAnsi="Arial"/>
          <w:sz w:val="18"/>
          <w:szCs w:val="18"/>
          <w:color w:val="auto"/>
        </w:rPr>
        <w:t>The Company has the following stock-based compensation plans: the 2004 Employee Stock Purchase Plan (the "2004 ESPP Plan"), the 2008 Stock Option and Incentive Plan (the "2008 Plan"), Celldex Research's 2005 Equity Incentive Plan (the "Celldex Research 2005 Plan") and the CuraGen 2007 Plan. The Company assumed the obligations under the Celldex Research 2005 Plan and CuraGen 2007 Plan in connection with the AVANT Merger and CuraGen Merger, respectively, and there are no shares available for future grant under either plan.</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Employee Stock Purchase Plan</w:t>
      </w:r>
    </w:p>
    <w:p>
      <w:pPr>
        <w:spacing w:after="0" w:line="225" w:lineRule="exact"/>
        <w:rPr>
          <w:sz w:val="20"/>
          <w:szCs w:val="20"/>
          <w:color w:val="auto"/>
        </w:rPr>
      </w:pPr>
    </w:p>
    <w:p>
      <w:pPr>
        <w:ind w:right="20" w:firstLine="341"/>
        <w:spacing w:after="0" w:line="255" w:lineRule="auto"/>
        <w:rPr>
          <w:sz w:val="20"/>
          <w:szCs w:val="20"/>
          <w:color w:val="auto"/>
        </w:rPr>
      </w:pPr>
      <w:r>
        <w:rPr>
          <w:rFonts w:ascii="Arial" w:cs="Arial" w:eastAsia="Arial" w:hAnsi="Arial"/>
          <w:sz w:val="18"/>
          <w:szCs w:val="18"/>
          <w:color w:val="auto"/>
        </w:rPr>
        <w:t>At December 31, 2010, a total of 62,500 shares of common stock are reserved for issuance under the 2004 ESPP Plan. Under the 2004 ESPP Plan, each participating employee may purchase up to 250 shares of common stock per year, through payroll deductions, at a purchase price equal to 85% of the lower of the fair market value of the common stock at either the beginning of the offering period or the applicable exercise date. During the year ended December 31, 2010 and 2009, the Company issued 5,897 shares and 2,979 shares under the 2004 ESPP Plan, respectively. At December 31, 2010, 51,009 shares were available for issuance under the 2004 ESPP Plan.</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Employee Stock Option and Incentive Plan</w:t>
      </w:r>
    </w:p>
    <w:p>
      <w:pPr>
        <w:spacing w:after="0" w:line="225" w:lineRule="exact"/>
        <w:rPr>
          <w:sz w:val="20"/>
          <w:szCs w:val="20"/>
          <w:color w:val="auto"/>
        </w:rPr>
      </w:pPr>
    </w:p>
    <w:p>
      <w:pPr>
        <w:jc w:val="both"/>
        <w:ind w:right="340" w:firstLine="348"/>
        <w:spacing w:after="0" w:line="259" w:lineRule="auto"/>
        <w:rPr>
          <w:sz w:val="20"/>
          <w:szCs w:val="20"/>
          <w:color w:val="auto"/>
        </w:rPr>
      </w:pPr>
      <w:r>
        <w:rPr>
          <w:rFonts w:ascii="Arial" w:cs="Arial" w:eastAsia="Arial" w:hAnsi="Arial"/>
          <w:sz w:val="18"/>
          <w:szCs w:val="18"/>
          <w:color w:val="auto"/>
        </w:rPr>
        <w:t>The 2008 Plan permits the granting of incentive stock options (intended to qualify as such under Section 422A of the Internal Revenue Code of 1986, as amended), non-qualified stock options, stock appreciation rights, performance share units, restricted stock and other awards of restricted stock in lieu of cash bonuses to employees, consultants and outside directors.</w:t>
      </w:r>
    </w:p>
    <w:p>
      <w:pPr>
        <w:spacing w:after="0" w:line="194" w:lineRule="exact"/>
        <w:rPr>
          <w:sz w:val="20"/>
          <w:szCs w:val="20"/>
          <w:color w:val="auto"/>
        </w:rPr>
      </w:pPr>
    </w:p>
    <w:p>
      <w:pPr>
        <w:jc w:val="both"/>
        <w:ind w:right="20" w:firstLine="341"/>
        <w:spacing w:after="0" w:line="259" w:lineRule="auto"/>
        <w:rPr>
          <w:sz w:val="20"/>
          <w:szCs w:val="20"/>
          <w:color w:val="auto"/>
        </w:rPr>
      </w:pPr>
      <w:r>
        <w:rPr>
          <w:rFonts w:ascii="Arial" w:cs="Arial" w:eastAsia="Arial" w:hAnsi="Arial"/>
          <w:sz w:val="18"/>
          <w:szCs w:val="18"/>
          <w:color w:val="auto"/>
        </w:rPr>
        <w:t>At December 31, 2010, the 2008 Plan allowed for a maximum of 3,900,000 shares of common stock to be issued prior to October 19, 2017. The Company's board of directors determines the term of each option, option price, and number of shares for which each option is granted and the rate at which each option vests. Options generally vest over a period not to exceed four years. The term of each option</w:t>
      </w:r>
    </w:p>
    <w:p>
      <w:pPr>
        <w:spacing w:after="0" w:line="19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91" w:name="page92"/>
    <w:bookmarkEnd w:id="91"/>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CELLDEX THERAPEUTICS, INC.</w:t>
      </w:r>
    </w:p>
    <w:p>
      <w:pPr>
        <w:spacing w:after="0" w:line="225" w:lineRule="exact"/>
        <w:rPr>
          <w:sz w:val="20"/>
          <w:szCs w:val="20"/>
          <w:color w:val="auto"/>
        </w:rPr>
      </w:pPr>
    </w:p>
    <w:p>
      <w:pPr>
        <w:ind w:left="2940"/>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(12) STOCK-BASED COMPENSATION (Continued)</w:t>
      </w: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ind w:right="180"/>
        <w:spacing w:after="0" w:line="323" w:lineRule="auto"/>
        <w:rPr>
          <w:sz w:val="20"/>
          <w:szCs w:val="20"/>
          <w:color w:val="auto"/>
        </w:rPr>
      </w:pPr>
      <w:r>
        <w:rPr>
          <w:rFonts w:ascii="Arial" w:cs="Arial" w:eastAsia="Arial" w:hAnsi="Arial"/>
          <w:sz w:val="15"/>
          <w:szCs w:val="15"/>
          <w:color w:val="auto"/>
        </w:rPr>
        <w:t>cannot exceed ten years (five years for options granted to holders of more than 10% of the voting stock of the Company) and the exercise price of stock options cannot be less than the fair market value of the common stock at the date of grant (110% of fair market value for incentive stock options granted to holders of more than 10% of the voting stock of the Company). The 2008 Plan also provides for discretionary grants of non-qualified stock options to non-employee directors. Vesting of all employee and non-employee director stock option awards is accelerated upon a change in control as defined in the 2008 Plan.</w:t>
      </w:r>
    </w:p>
    <w:p>
      <w:pPr>
        <w:spacing w:after="0" w:line="152" w:lineRule="exact"/>
        <w:rPr>
          <w:sz w:val="20"/>
          <w:szCs w:val="20"/>
          <w:color w:val="auto"/>
        </w:rPr>
      </w:pPr>
    </w:p>
    <w:p>
      <w:pPr>
        <w:ind w:left="340"/>
        <w:spacing w:after="0"/>
        <w:rPr>
          <w:sz w:val="20"/>
          <w:szCs w:val="20"/>
          <w:color w:val="auto"/>
        </w:rPr>
      </w:pPr>
      <w:r>
        <w:rPr>
          <w:rFonts w:ascii="Arial" w:cs="Arial" w:eastAsia="Arial" w:hAnsi="Arial"/>
          <w:sz w:val="18"/>
          <w:szCs w:val="18"/>
          <w:color w:val="auto"/>
        </w:rPr>
        <w:t>A summary of stock option activity for the year ended December 31, 2010 is as follows:</w:t>
      </w:r>
    </w:p>
    <w:p>
      <w:pPr>
        <w:spacing w:after="0" w:line="208" w:lineRule="exact"/>
        <w:rPr>
          <w:sz w:val="20"/>
          <w:szCs w:val="20"/>
          <w:color w:val="auto"/>
        </w:rPr>
      </w:pPr>
    </w:p>
    <w:tbl>
      <w:tblPr>
        <w:tblLayout w:type="fixed"/>
        <w:tblInd w:w="2300" w:type="dxa"/>
        <w:tblCellMar>
          <w:top w:w="0" w:type="dxa"/>
          <w:left w:w="0" w:type="dxa"/>
          <w:bottom w:w="0" w:type="dxa"/>
          <w:right w:w="0" w:type="dxa"/>
        </w:tblCellMar>
      </w:tblPr>
      <w:tr>
        <w:trPr>
          <w:trHeight w:val="161"/>
        </w:trPr>
        <w:tc>
          <w:tcPr>
            <w:tcW w:w="37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80" w:type="dxa"/>
            <w:vAlign w:val="bottom"/>
            <w:gridSpan w:val="3"/>
          </w:tcPr>
          <w:p>
            <w:pPr>
              <w:jc w:val="center"/>
              <w:ind w:right="180"/>
              <w:spacing w:after="0"/>
              <w:rPr>
                <w:sz w:val="20"/>
                <w:szCs w:val="20"/>
                <w:color w:val="auto"/>
              </w:rPr>
            </w:pPr>
            <w:r>
              <w:rPr>
                <w:rFonts w:ascii="Arial" w:cs="Arial" w:eastAsia="Arial" w:hAnsi="Arial"/>
                <w:sz w:val="14"/>
                <w:szCs w:val="14"/>
                <w:b w:val="1"/>
                <w:bCs w:val="1"/>
                <w:color w:val="auto"/>
                <w:w w:val="85"/>
              </w:rPr>
              <w:t>Weighted</w:t>
            </w:r>
          </w:p>
        </w:tc>
        <w:tc>
          <w:tcPr>
            <w:tcW w:w="126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85"/>
              </w:rPr>
              <w:t>Weighted</w:t>
            </w:r>
          </w:p>
        </w:tc>
        <w:tc>
          <w:tcPr>
            <w:tcW w:w="0" w:type="dxa"/>
            <w:vAlign w:val="bottom"/>
          </w:tcPr>
          <w:p>
            <w:pPr>
              <w:spacing w:after="0"/>
              <w:rPr>
                <w:sz w:val="1"/>
                <w:szCs w:val="1"/>
                <w:color w:val="auto"/>
              </w:rPr>
            </w:pPr>
          </w:p>
        </w:tc>
      </w:tr>
      <w:tr>
        <w:trPr>
          <w:trHeight w:val="149"/>
        </w:trPr>
        <w:tc>
          <w:tcPr>
            <w:tcW w:w="37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86"/>
              </w:rPr>
              <w:t>Average</w:t>
            </w:r>
          </w:p>
        </w:tc>
        <w:tc>
          <w:tcPr>
            <w:tcW w:w="1260" w:type="dxa"/>
            <w:vAlign w:val="bottom"/>
            <w:gridSpan w:val="2"/>
          </w:tcPr>
          <w:p>
            <w:pPr>
              <w:jc w:val="center"/>
              <w:ind w:right="160"/>
              <w:spacing w:after="0" w:line="149" w:lineRule="exact"/>
              <w:rPr>
                <w:sz w:val="20"/>
                <w:szCs w:val="20"/>
                <w:color w:val="auto"/>
              </w:rPr>
            </w:pPr>
            <w:r>
              <w:rPr>
                <w:rFonts w:ascii="Arial" w:cs="Arial" w:eastAsia="Arial" w:hAnsi="Arial"/>
                <w:sz w:val="14"/>
                <w:szCs w:val="14"/>
                <w:b w:val="1"/>
                <w:bCs w:val="1"/>
                <w:color w:val="auto"/>
                <w:w w:val="83"/>
              </w:rPr>
              <w:t>Average</w:t>
            </w:r>
          </w:p>
        </w:tc>
        <w:tc>
          <w:tcPr>
            <w:tcW w:w="0" w:type="dxa"/>
            <w:vAlign w:val="bottom"/>
          </w:tcPr>
          <w:p>
            <w:pPr>
              <w:spacing w:after="0"/>
              <w:rPr>
                <w:sz w:val="1"/>
                <w:szCs w:val="1"/>
                <w:color w:val="auto"/>
              </w:rPr>
            </w:pPr>
          </w:p>
        </w:tc>
      </w:tr>
      <w:tr>
        <w:trPr>
          <w:trHeight w:val="149"/>
        </w:trPr>
        <w:tc>
          <w:tcPr>
            <w:tcW w:w="37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83"/>
              </w:rPr>
              <w:t>Exercise</w:t>
            </w:r>
          </w:p>
        </w:tc>
        <w:tc>
          <w:tcPr>
            <w:tcW w:w="1260" w:type="dxa"/>
            <w:vAlign w:val="bottom"/>
            <w:gridSpan w:val="2"/>
          </w:tcPr>
          <w:p>
            <w:pPr>
              <w:jc w:val="center"/>
              <w:ind w:right="160"/>
              <w:spacing w:after="0" w:line="149" w:lineRule="exact"/>
              <w:rPr>
                <w:sz w:val="20"/>
                <w:szCs w:val="20"/>
                <w:color w:val="auto"/>
              </w:rPr>
            </w:pPr>
            <w:r>
              <w:rPr>
                <w:rFonts w:ascii="Arial" w:cs="Arial" w:eastAsia="Arial" w:hAnsi="Arial"/>
                <w:sz w:val="14"/>
                <w:szCs w:val="14"/>
                <w:b w:val="1"/>
                <w:bCs w:val="1"/>
                <w:color w:val="auto"/>
                <w:w w:val="86"/>
              </w:rPr>
              <w:t>Remaining</w:t>
            </w:r>
          </w:p>
        </w:tc>
        <w:tc>
          <w:tcPr>
            <w:tcW w:w="0" w:type="dxa"/>
            <w:vAlign w:val="bottom"/>
          </w:tcPr>
          <w:p>
            <w:pPr>
              <w:spacing w:after="0"/>
              <w:rPr>
                <w:sz w:val="1"/>
                <w:szCs w:val="1"/>
                <w:color w:val="auto"/>
              </w:rPr>
            </w:pPr>
          </w:p>
        </w:tc>
      </w:tr>
      <w:tr>
        <w:trPr>
          <w:trHeight w:val="149"/>
        </w:trPr>
        <w:tc>
          <w:tcPr>
            <w:tcW w:w="37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87"/>
              </w:rPr>
              <w:t>Price</w:t>
            </w:r>
          </w:p>
        </w:tc>
        <w:tc>
          <w:tcPr>
            <w:tcW w:w="1260" w:type="dxa"/>
            <w:vAlign w:val="bottom"/>
            <w:gridSpan w:val="2"/>
          </w:tcPr>
          <w:p>
            <w:pPr>
              <w:jc w:val="center"/>
              <w:ind w:right="160"/>
              <w:spacing w:after="0" w:line="149" w:lineRule="exact"/>
              <w:rPr>
                <w:sz w:val="20"/>
                <w:szCs w:val="20"/>
                <w:color w:val="auto"/>
              </w:rPr>
            </w:pPr>
            <w:r>
              <w:rPr>
                <w:rFonts w:ascii="Arial" w:cs="Arial" w:eastAsia="Arial" w:hAnsi="Arial"/>
                <w:sz w:val="14"/>
                <w:szCs w:val="14"/>
                <w:b w:val="1"/>
                <w:bCs w:val="1"/>
                <w:color w:val="auto"/>
                <w:w w:val="89"/>
              </w:rPr>
              <w:t>Contractual</w:t>
            </w:r>
          </w:p>
        </w:tc>
        <w:tc>
          <w:tcPr>
            <w:tcW w:w="0" w:type="dxa"/>
            <w:vAlign w:val="bottom"/>
          </w:tcPr>
          <w:p>
            <w:pPr>
              <w:spacing w:after="0"/>
              <w:rPr>
                <w:sz w:val="1"/>
                <w:szCs w:val="1"/>
                <w:color w:val="auto"/>
              </w:rPr>
            </w:pPr>
          </w:p>
        </w:tc>
      </w:tr>
      <w:tr>
        <w:trPr>
          <w:trHeight w:val="161"/>
        </w:trPr>
        <w:tc>
          <w:tcPr>
            <w:tcW w:w="3700" w:type="dxa"/>
            <w:vAlign w:val="bottom"/>
          </w:tcPr>
          <w:p>
            <w:pPr>
              <w:spacing w:after="0"/>
              <w:rPr>
                <w:sz w:val="14"/>
                <w:szCs w:val="14"/>
                <w:color w:val="auto"/>
              </w:rPr>
            </w:pPr>
          </w:p>
        </w:tc>
        <w:tc>
          <w:tcPr>
            <w:tcW w:w="820" w:type="dxa"/>
            <w:vAlign w:val="bottom"/>
            <w:tcBorders>
              <w:bottom w:val="single" w:sz="8" w:color="auto"/>
            </w:tcBorders>
          </w:tcPr>
          <w:p>
            <w:pPr>
              <w:ind w:left="220"/>
              <w:spacing w:after="0"/>
              <w:rPr>
                <w:sz w:val="20"/>
                <w:szCs w:val="20"/>
                <w:color w:val="auto"/>
              </w:rPr>
            </w:pPr>
            <w:r>
              <w:rPr>
                <w:rFonts w:ascii="Arial" w:cs="Arial" w:eastAsia="Arial" w:hAnsi="Arial"/>
                <w:sz w:val="14"/>
                <w:szCs w:val="14"/>
                <w:b w:val="1"/>
                <w:bCs w:val="1"/>
                <w:color w:val="auto"/>
              </w:rPr>
              <w:t>Shares</w:t>
            </w:r>
          </w:p>
        </w:tc>
        <w:tc>
          <w:tcPr>
            <w:tcW w:w="180" w:type="dxa"/>
            <w:vAlign w:val="bottom"/>
          </w:tcPr>
          <w:p>
            <w:pPr>
              <w:spacing w:after="0"/>
              <w:rPr>
                <w:sz w:val="14"/>
                <w:szCs w:val="14"/>
                <w:color w:val="auto"/>
              </w:rPr>
            </w:pPr>
          </w:p>
        </w:tc>
        <w:tc>
          <w:tcPr>
            <w:tcW w:w="72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w w:val="88"/>
              </w:rPr>
              <w:t>Per Share</w:t>
            </w:r>
          </w:p>
        </w:tc>
        <w:tc>
          <w:tcPr>
            <w:tcW w:w="160" w:type="dxa"/>
            <w:vAlign w:val="bottom"/>
          </w:tcPr>
          <w:p>
            <w:pPr>
              <w:spacing w:after="0"/>
              <w:rPr>
                <w:sz w:val="14"/>
                <w:szCs w:val="14"/>
                <w:color w:val="auto"/>
              </w:rPr>
            </w:pPr>
          </w:p>
        </w:tc>
        <w:tc>
          <w:tcPr>
            <w:tcW w:w="11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0"/>
              </w:rPr>
              <w:t>Term (In Years)</w:t>
            </w: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3700" w:type="dxa"/>
            <w:vAlign w:val="bottom"/>
            <w:shd w:val="clear" w:color="auto" w:fill="CCEEFF"/>
          </w:tcPr>
          <w:p>
            <w:pPr>
              <w:spacing w:after="0"/>
              <w:rPr>
                <w:sz w:val="20"/>
                <w:szCs w:val="20"/>
                <w:color w:val="auto"/>
              </w:rPr>
            </w:pPr>
            <w:r>
              <w:rPr>
                <w:rFonts w:ascii="Arial" w:cs="Arial" w:eastAsia="Arial" w:hAnsi="Arial"/>
                <w:sz w:val="18"/>
                <w:szCs w:val="18"/>
                <w:color w:val="auto"/>
              </w:rPr>
              <w:t>Options Outstanding at December 31, 2009</w:t>
            </w:r>
          </w:p>
        </w:tc>
        <w:tc>
          <w:tcPr>
            <w:tcW w:w="10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w w:val="99"/>
              </w:rPr>
              <w:t>3,576,159</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7.10</w:t>
            </w:r>
          </w:p>
        </w:tc>
        <w:tc>
          <w:tcPr>
            <w:tcW w:w="12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6.6</w:t>
            </w:r>
          </w:p>
        </w:tc>
        <w:tc>
          <w:tcPr>
            <w:tcW w:w="0" w:type="dxa"/>
            <w:vAlign w:val="bottom"/>
          </w:tcPr>
          <w:p>
            <w:pPr>
              <w:spacing w:after="0"/>
              <w:rPr>
                <w:sz w:val="1"/>
                <w:szCs w:val="1"/>
                <w:color w:val="auto"/>
              </w:rPr>
            </w:pPr>
          </w:p>
        </w:tc>
      </w:tr>
      <w:tr>
        <w:trPr>
          <w:trHeight w:val="216"/>
        </w:trPr>
        <w:tc>
          <w:tcPr>
            <w:tcW w:w="3700" w:type="dxa"/>
            <w:vAlign w:val="bottom"/>
          </w:tcPr>
          <w:p>
            <w:pPr>
              <w:spacing w:after="0"/>
              <w:rPr>
                <w:sz w:val="20"/>
                <w:szCs w:val="20"/>
                <w:color w:val="auto"/>
              </w:rPr>
            </w:pPr>
            <w:r>
              <w:rPr>
                <w:rFonts w:ascii="Arial" w:cs="Arial" w:eastAsia="Arial" w:hAnsi="Arial"/>
                <w:sz w:val="18"/>
                <w:szCs w:val="18"/>
                <w:color w:val="auto"/>
              </w:rPr>
              <w:t>Granted</w:t>
            </w:r>
          </w:p>
        </w:tc>
        <w:tc>
          <w:tcPr>
            <w:tcW w:w="1000" w:type="dxa"/>
            <w:vAlign w:val="bottom"/>
            <w:gridSpan w:val="2"/>
          </w:tcPr>
          <w:p>
            <w:pPr>
              <w:jc w:val="right"/>
              <w:ind w:right="180"/>
              <w:spacing w:after="0"/>
              <w:rPr>
                <w:sz w:val="20"/>
                <w:szCs w:val="20"/>
                <w:color w:val="auto"/>
              </w:rPr>
            </w:pPr>
            <w:r>
              <w:rPr>
                <w:rFonts w:ascii="Arial" w:cs="Arial" w:eastAsia="Arial" w:hAnsi="Arial"/>
                <w:sz w:val="18"/>
                <w:szCs w:val="18"/>
                <w:color w:val="auto"/>
              </w:rPr>
              <w:t>849,922</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gridSpan w:val="2"/>
          </w:tcPr>
          <w:p>
            <w:pPr>
              <w:jc w:val="right"/>
              <w:ind w:right="160"/>
              <w:spacing w:after="0"/>
              <w:rPr>
                <w:sz w:val="20"/>
                <w:szCs w:val="20"/>
                <w:color w:val="auto"/>
              </w:rPr>
            </w:pPr>
            <w:r>
              <w:rPr>
                <w:rFonts w:ascii="Arial" w:cs="Arial" w:eastAsia="Arial" w:hAnsi="Arial"/>
                <w:sz w:val="18"/>
                <w:szCs w:val="18"/>
                <w:color w:val="auto"/>
              </w:rPr>
              <w:t>4.52</w:t>
            </w:r>
          </w:p>
        </w:tc>
        <w:tc>
          <w:tcPr>
            <w:tcW w:w="1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700" w:type="dxa"/>
            <w:vAlign w:val="bottom"/>
            <w:shd w:val="clear" w:color="auto" w:fill="CCEEFF"/>
          </w:tcPr>
          <w:p>
            <w:pPr>
              <w:spacing w:after="0"/>
              <w:rPr>
                <w:sz w:val="20"/>
                <w:szCs w:val="20"/>
                <w:color w:val="auto"/>
              </w:rPr>
            </w:pPr>
            <w:r>
              <w:rPr>
                <w:rFonts w:ascii="Arial" w:cs="Arial" w:eastAsia="Arial" w:hAnsi="Arial"/>
                <w:sz w:val="18"/>
                <w:szCs w:val="18"/>
                <w:color w:val="auto"/>
              </w:rPr>
              <w:t>Exercised</w:t>
            </w:r>
          </w:p>
        </w:tc>
        <w:tc>
          <w:tcPr>
            <w:tcW w:w="10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(350,424)</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2.83</w:t>
            </w:r>
          </w:p>
        </w:tc>
        <w:tc>
          <w:tcPr>
            <w:tcW w:w="1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3700" w:type="dxa"/>
            <w:vAlign w:val="bottom"/>
          </w:tcPr>
          <w:p>
            <w:pPr>
              <w:spacing w:after="0"/>
              <w:rPr>
                <w:sz w:val="20"/>
                <w:szCs w:val="20"/>
                <w:color w:val="auto"/>
              </w:rPr>
            </w:pPr>
            <w:r>
              <w:rPr>
                <w:rFonts w:ascii="Arial" w:cs="Arial" w:eastAsia="Arial" w:hAnsi="Arial"/>
                <w:sz w:val="18"/>
                <w:szCs w:val="18"/>
                <w:color w:val="auto"/>
              </w:rPr>
              <w:t>Canceled</w:t>
            </w:r>
          </w:p>
        </w:tc>
        <w:tc>
          <w:tcPr>
            <w:tcW w:w="1000" w:type="dxa"/>
            <w:vAlign w:val="bottom"/>
            <w:gridSpan w:val="2"/>
          </w:tcPr>
          <w:p>
            <w:pPr>
              <w:jc w:val="right"/>
              <w:ind w:right="120"/>
              <w:spacing w:after="0"/>
              <w:rPr>
                <w:sz w:val="20"/>
                <w:szCs w:val="20"/>
                <w:color w:val="auto"/>
              </w:rPr>
            </w:pPr>
            <w:r>
              <w:rPr>
                <w:rFonts w:ascii="Arial" w:cs="Arial" w:eastAsia="Arial" w:hAnsi="Arial"/>
                <w:sz w:val="18"/>
                <w:szCs w:val="18"/>
                <w:color w:val="auto"/>
              </w:rPr>
              <w:t>(55,675)</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gridSpan w:val="2"/>
          </w:tcPr>
          <w:p>
            <w:pPr>
              <w:jc w:val="right"/>
              <w:ind w:right="160"/>
              <w:spacing w:after="0"/>
              <w:rPr>
                <w:sz w:val="20"/>
                <w:szCs w:val="20"/>
                <w:color w:val="auto"/>
              </w:rPr>
            </w:pPr>
            <w:r>
              <w:rPr>
                <w:rFonts w:ascii="Arial" w:cs="Arial" w:eastAsia="Arial" w:hAnsi="Arial"/>
                <w:sz w:val="18"/>
                <w:szCs w:val="18"/>
                <w:color w:val="auto"/>
              </w:rPr>
              <w:t>7.08</w:t>
            </w:r>
          </w:p>
        </w:tc>
        <w:tc>
          <w:tcPr>
            <w:tcW w:w="1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
        </w:trPr>
        <w:tc>
          <w:tcPr>
            <w:tcW w:w="370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3700" w:type="dxa"/>
            <w:vAlign w:val="bottom"/>
            <w:shd w:val="clear" w:color="auto" w:fill="CCEEFF"/>
          </w:tcPr>
          <w:p>
            <w:pPr>
              <w:spacing w:after="0"/>
              <w:rPr>
                <w:sz w:val="20"/>
                <w:szCs w:val="20"/>
                <w:color w:val="auto"/>
              </w:rPr>
            </w:pPr>
            <w:r>
              <w:rPr>
                <w:rFonts w:ascii="Arial" w:cs="Arial" w:eastAsia="Arial" w:hAnsi="Arial"/>
                <w:sz w:val="18"/>
                <w:szCs w:val="18"/>
                <w:color w:val="auto"/>
              </w:rPr>
              <w:t>Options Outstanding at December 31, 2010</w:t>
            </w:r>
          </w:p>
        </w:tc>
        <w:tc>
          <w:tcPr>
            <w:tcW w:w="10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w w:val="99"/>
              </w:rPr>
              <w:t>4,019,982</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6.93</w:t>
            </w:r>
          </w:p>
        </w:tc>
        <w:tc>
          <w:tcPr>
            <w:tcW w:w="12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6.6</w:t>
            </w:r>
          </w:p>
        </w:tc>
        <w:tc>
          <w:tcPr>
            <w:tcW w:w="0" w:type="dxa"/>
            <w:vAlign w:val="bottom"/>
          </w:tcPr>
          <w:p>
            <w:pPr>
              <w:spacing w:after="0"/>
              <w:rPr>
                <w:sz w:val="1"/>
                <w:szCs w:val="1"/>
                <w:color w:val="auto"/>
              </w:rPr>
            </w:pPr>
          </w:p>
        </w:tc>
      </w:tr>
      <w:tr>
        <w:trPr>
          <w:trHeight w:val="27"/>
        </w:trPr>
        <w:tc>
          <w:tcPr>
            <w:tcW w:w="3700" w:type="dxa"/>
            <w:vAlign w:val="bottom"/>
            <w:vMerge w:val="restart"/>
          </w:tcPr>
          <w:p>
            <w:pPr>
              <w:spacing w:after="0"/>
              <w:rPr>
                <w:sz w:val="20"/>
                <w:szCs w:val="20"/>
                <w:color w:val="auto"/>
              </w:rPr>
            </w:pPr>
            <w:r>
              <w:rPr>
                <w:rFonts w:ascii="Arial" w:cs="Arial" w:eastAsia="Arial" w:hAnsi="Arial"/>
                <w:sz w:val="18"/>
                <w:szCs w:val="18"/>
                <w:color w:val="auto"/>
              </w:rPr>
              <w:t>Options Vested and Expected to Vest at</w:t>
            </w:r>
          </w:p>
        </w:tc>
        <w:tc>
          <w:tcPr>
            <w:tcW w:w="820" w:type="dxa"/>
            <w:vAlign w:val="bottom"/>
            <w:tcBorders>
              <w:bottom w:val="single" w:sz="8" w:color="auto"/>
            </w:tcBorders>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6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3700" w:type="dxa"/>
            <w:vAlign w:val="bottom"/>
            <w:vMerge w:val="continue"/>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8"/>
        </w:trPr>
        <w:tc>
          <w:tcPr>
            <w:tcW w:w="3700" w:type="dxa"/>
            <w:vAlign w:val="bottom"/>
            <w:vMerge w:val="continue"/>
          </w:tcPr>
          <w:p>
            <w:pPr>
              <w:spacing w:after="0"/>
              <w:rPr>
                <w:sz w:val="16"/>
                <w:szCs w:val="16"/>
                <w:color w:val="auto"/>
              </w:rPr>
            </w:pPr>
          </w:p>
        </w:tc>
        <w:tc>
          <w:tcPr>
            <w:tcW w:w="8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2"/>
        </w:trPr>
        <w:tc>
          <w:tcPr>
            <w:tcW w:w="3700" w:type="dxa"/>
            <w:vAlign w:val="bottom"/>
          </w:tcPr>
          <w:p>
            <w:pPr>
              <w:ind w:left="180"/>
              <w:spacing w:after="0"/>
              <w:rPr>
                <w:sz w:val="20"/>
                <w:szCs w:val="20"/>
                <w:color w:val="auto"/>
              </w:rPr>
            </w:pPr>
            <w:r>
              <w:rPr>
                <w:rFonts w:ascii="Arial" w:cs="Arial" w:eastAsia="Arial" w:hAnsi="Arial"/>
                <w:sz w:val="18"/>
                <w:szCs w:val="18"/>
                <w:color w:val="auto"/>
              </w:rPr>
              <w:t>December 31, 2010</w:t>
            </w:r>
          </w:p>
        </w:tc>
        <w:tc>
          <w:tcPr>
            <w:tcW w:w="1000" w:type="dxa"/>
            <w:vAlign w:val="bottom"/>
            <w:gridSpan w:val="2"/>
          </w:tcPr>
          <w:p>
            <w:pPr>
              <w:jc w:val="right"/>
              <w:ind w:right="180"/>
              <w:spacing w:after="0"/>
              <w:rPr>
                <w:sz w:val="20"/>
                <w:szCs w:val="20"/>
                <w:color w:val="auto"/>
              </w:rPr>
            </w:pPr>
            <w:r>
              <w:rPr>
                <w:rFonts w:ascii="Arial" w:cs="Arial" w:eastAsia="Arial" w:hAnsi="Arial"/>
                <w:sz w:val="18"/>
                <w:szCs w:val="18"/>
                <w:color w:val="auto"/>
                <w:w w:val="99"/>
              </w:rPr>
              <w:t>3,976,739</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gridSpan w:val="2"/>
          </w:tcPr>
          <w:p>
            <w:pPr>
              <w:jc w:val="right"/>
              <w:ind w:right="160"/>
              <w:spacing w:after="0"/>
              <w:rPr>
                <w:sz w:val="20"/>
                <w:szCs w:val="20"/>
                <w:color w:val="auto"/>
              </w:rPr>
            </w:pPr>
            <w:r>
              <w:rPr>
                <w:rFonts w:ascii="Arial" w:cs="Arial" w:eastAsia="Arial" w:hAnsi="Arial"/>
                <w:sz w:val="18"/>
                <w:szCs w:val="18"/>
                <w:color w:val="auto"/>
              </w:rPr>
              <w:t>6.94</w:t>
            </w:r>
          </w:p>
        </w:tc>
        <w:tc>
          <w:tcPr>
            <w:tcW w:w="1260" w:type="dxa"/>
            <w:vAlign w:val="bottom"/>
            <w:gridSpan w:val="2"/>
          </w:tcPr>
          <w:p>
            <w:pPr>
              <w:jc w:val="right"/>
              <w:ind w:right="160"/>
              <w:spacing w:after="0"/>
              <w:rPr>
                <w:sz w:val="20"/>
                <w:szCs w:val="20"/>
                <w:color w:val="auto"/>
              </w:rPr>
            </w:pPr>
            <w:r>
              <w:rPr>
                <w:rFonts w:ascii="Arial" w:cs="Arial" w:eastAsia="Arial" w:hAnsi="Arial"/>
                <w:sz w:val="18"/>
                <w:szCs w:val="18"/>
                <w:color w:val="auto"/>
              </w:rPr>
              <w:t>6.6</w:t>
            </w:r>
          </w:p>
        </w:tc>
        <w:tc>
          <w:tcPr>
            <w:tcW w:w="0" w:type="dxa"/>
            <w:vAlign w:val="bottom"/>
          </w:tcPr>
          <w:p>
            <w:pPr>
              <w:spacing w:after="0"/>
              <w:rPr>
                <w:sz w:val="1"/>
                <w:szCs w:val="1"/>
                <w:color w:val="auto"/>
              </w:rPr>
            </w:pPr>
          </w:p>
        </w:tc>
      </w:tr>
      <w:tr>
        <w:trPr>
          <w:trHeight w:val="218"/>
        </w:trPr>
        <w:tc>
          <w:tcPr>
            <w:tcW w:w="3700" w:type="dxa"/>
            <w:vAlign w:val="bottom"/>
            <w:shd w:val="clear" w:color="auto" w:fill="CCEEFF"/>
          </w:tcPr>
          <w:p>
            <w:pPr>
              <w:spacing w:after="0"/>
              <w:rPr>
                <w:sz w:val="20"/>
                <w:szCs w:val="20"/>
                <w:color w:val="auto"/>
              </w:rPr>
            </w:pPr>
            <w:r>
              <w:rPr>
                <w:rFonts w:ascii="Arial" w:cs="Arial" w:eastAsia="Arial" w:hAnsi="Arial"/>
                <w:sz w:val="18"/>
                <w:szCs w:val="18"/>
                <w:color w:val="auto"/>
              </w:rPr>
              <w:t>Options Exercisable at December 31, 2010</w:t>
            </w:r>
          </w:p>
        </w:tc>
        <w:tc>
          <w:tcPr>
            <w:tcW w:w="10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w w:val="99"/>
              </w:rPr>
              <w:t>2,599,650</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7.41</w:t>
            </w:r>
          </w:p>
        </w:tc>
        <w:tc>
          <w:tcPr>
            <w:tcW w:w="12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5.8</w:t>
            </w:r>
          </w:p>
        </w:tc>
        <w:tc>
          <w:tcPr>
            <w:tcW w:w="0" w:type="dxa"/>
            <w:vAlign w:val="bottom"/>
          </w:tcPr>
          <w:p>
            <w:pPr>
              <w:spacing w:after="0"/>
              <w:rPr>
                <w:sz w:val="1"/>
                <w:szCs w:val="1"/>
                <w:color w:val="auto"/>
              </w:rPr>
            </w:pPr>
          </w:p>
        </w:tc>
      </w:tr>
      <w:tr>
        <w:trPr>
          <w:trHeight w:val="222"/>
        </w:trPr>
        <w:tc>
          <w:tcPr>
            <w:tcW w:w="3700" w:type="dxa"/>
            <w:vAlign w:val="bottom"/>
          </w:tcPr>
          <w:p>
            <w:pPr>
              <w:spacing w:after="0"/>
              <w:rPr>
                <w:sz w:val="20"/>
                <w:szCs w:val="20"/>
                <w:color w:val="auto"/>
              </w:rPr>
            </w:pPr>
            <w:r>
              <w:rPr>
                <w:rFonts w:ascii="Arial" w:cs="Arial" w:eastAsia="Arial" w:hAnsi="Arial"/>
                <w:sz w:val="18"/>
                <w:szCs w:val="18"/>
                <w:color w:val="auto"/>
                <w:w w:val="97"/>
              </w:rPr>
              <w:t>Shares Available for Grant under the 2008 Plan</w:t>
            </w:r>
          </w:p>
        </w:tc>
        <w:tc>
          <w:tcPr>
            <w:tcW w:w="1000" w:type="dxa"/>
            <w:vAlign w:val="bottom"/>
            <w:gridSpan w:val="2"/>
          </w:tcPr>
          <w:p>
            <w:pPr>
              <w:jc w:val="right"/>
              <w:ind w:right="180"/>
              <w:spacing w:after="0"/>
              <w:rPr>
                <w:sz w:val="20"/>
                <w:szCs w:val="20"/>
                <w:color w:val="auto"/>
              </w:rPr>
            </w:pPr>
            <w:r>
              <w:rPr>
                <w:rFonts w:ascii="Arial" w:cs="Arial" w:eastAsia="Arial" w:hAnsi="Arial"/>
                <w:sz w:val="18"/>
                <w:szCs w:val="18"/>
                <w:color w:val="auto"/>
                <w:w w:val="99"/>
              </w:rPr>
              <w:t>1,654,250</w:t>
            </w:r>
          </w:p>
        </w:tc>
        <w:tc>
          <w:tcPr>
            <w:tcW w:w="1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01" w:lineRule="exact"/>
        <w:rPr>
          <w:sz w:val="20"/>
          <w:szCs w:val="20"/>
          <w:color w:val="auto"/>
        </w:rPr>
      </w:pPr>
    </w:p>
    <w:p>
      <w:pPr>
        <w:ind w:right="100" w:firstLine="348"/>
        <w:spacing w:after="0" w:line="298" w:lineRule="auto"/>
        <w:rPr>
          <w:sz w:val="20"/>
          <w:szCs w:val="20"/>
          <w:color w:val="auto"/>
        </w:rPr>
      </w:pPr>
      <w:r>
        <w:rPr>
          <w:rFonts w:ascii="Arial" w:cs="Arial" w:eastAsia="Arial" w:hAnsi="Arial"/>
          <w:sz w:val="16"/>
          <w:szCs w:val="16"/>
          <w:color w:val="auto"/>
        </w:rPr>
        <w:t>The total intrinsic value of stock options exercised during the years ended December 31, 2010 and 2009 was $1.0 million and $0.3 million, respectively. No stock options were exercised during the year ended December 31, 2008. The weighted average grant-date fair value of stock options granted during the years ended December 31, 2010, 2009 and 2008 was $2.82, $5.29 and $4.37, respectively. The total fair value of stock options vested during the years ended December 31, 2010, 2009 and 2008 was $2.5 million, $2.6 million and $2.8 million, respectively.</w:t>
      </w:r>
    </w:p>
    <w:p>
      <w:pPr>
        <w:spacing w:after="0" w:line="167" w:lineRule="exact"/>
        <w:rPr>
          <w:sz w:val="20"/>
          <w:szCs w:val="20"/>
          <w:color w:val="auto"/>
        </w:rPr>
      </w:pPr>
    </w:p>
    <w:p>
      <w:pPr>
        <w:ind w:right="80" w:firstLine="348"/>
        <w:spacing w:after="0" w:line="256" w:lineRule="auto"/>
        <w:rPr>
          <w:sz w:val="20"/>
          <w:szCs w:val="20"/>
          <w:color w:val="auto"/>
        </w:rPr>
      </w:pPr>
      <w:r>
        <w:rPr>
          <w:rFonts w:ascii="Arial" w:cs="Arial" w:eastAsia="Arial" w:hAnsi="Arial"/>
          <w:sz w:val="18"/>
          <w:szCs w:val="18"/>
          <w:color w:val="auto"/>
        </w:rPr>
        <w:t>The aggregate intrinsic value of stock options outstanding at December 31, 2010 was $0.6 million. The aggregate intrinsic value of stock options vested and expected to vest at December 31, 2010 was $0.6 million. As of December 31, 2010, total compensation cost related to non-vested employee and non-employee director stock options not yet recognized was approximately $4.0 million, net of estimated forfeitures, which is expected to be recognized as expense over a weighted average period of 2.5 years.</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Shares Issued to Executive Officers</w:t>
      </w:r>
    </w:p>
    <w:p>
      <w:pPr>
        <w:spacing w:after="0" w:line="225" w:lineRule="exact"/>
        <w:rPr>
          <w:sz w:val="20"/>
          <w:szCs w:val="20"/>
          <w:color w:val="auto"/>
        </w:rPr>
      </w:pPr>
    </w:p>
    <w:p>
      <w:pPr>
        <w:ind w:firstLine="351"/>
        <w:spacing w:after="0" w:line="268" w:lineRule="auto"/>
        <w:rPr>
          <w:sz w:val="20"/>
          <w:szCs w:val="20"/>
          <w:color w:val="auto"/>
        </w:rPr>
      </w:pPr>
      <w:r>
        <w:rPr>
          <w:rFonts w:ascii="Arial" w:cs="Arial" w:eastAsia="Arial" w:hAnsi="Arial"/>
          <w:sz w:val="18"/>
          <w:szCs w:val="18"/>
          <w:color w:val="auto"/>
        </w:rPr>
        <w:t>In January 2009, the Company granted 29,340 shares of common stock from the 2008 Plan to its executive officers. The value of these shares of $0.3 million was expensed during the year ended December 31, 2008.</w:t>
      </w:r>
    </w:p>
    <w:p>
      <w:pPr>
        <w:spacing w:after="0" w:line="18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92" w:name="page93"/>
    <w:bookmarkEnd w:id="92"/>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CELLDEX THERAPEUTICS, INC.</w:t>
      </w:r>
    </w:p>
    <w:p>
      <w:pPr>
        <w:spacing w:after="0" w:line="225" w:lineRule="exact"/>
        <w:rPr>
          <w:sz w:val="20"/>
          <w:szCs w:val="20"/>
          <w:color w:val="auto"/>
        </w:rPr>
      </w:pPr>
    </w:p>
    <w:p>
      <w:pPr>
        <w:ind w:left="2940"/>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(12) STOCK-BASED COMPENSATION (Continued)</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Restricted Stock</w:t>
      </w:r>
    </w:p>
    <w:p>
      <w:pPr>
        <w:spacing w:after="0" w:line="22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A summary of restricted stock activity under the 2008 Plan for the year ended December 31, 2010 is as follows:</w:t>
      </w:r>
    </w:p>
    <w:p>
      <w:pPr>
        <w:spacing w:after="0" w:line="208" w:lineRule="exact"/>
        <w:rPr>
          <w:sz w:val="20"/>
          <w:szCs w:val="20"/>
          <w:color w:val="auto"/>
        </w:rPr>
      </w:pPr>
    </w:p>
    <w:tbl>
      <w:tblPr>
        <w:tblLayout w:type="fixed"/>
        <w:tblInd w:w="2300" w:type="dxa"/>
        <w:tblCellMar>
          <w:top w:w="0" w:type="dxa"/>
          <w:left w:w="0" w:type="dxa"/>
          <w:bottom w:w="0" w:type="dxa"/>
          <w:right w:w="0" w:type="dxa"/>
        </w:tblCellMar>
      </w:tblPr>
      <w:tr>
        <w:trPr>
          <w:trHeight w:val="161"/>
        </w:trPr>
        <w:tc>
          <w:tcPr>
            <w:tcW w:w="48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88"/>
              </w:rPr>
              <w:t>Weighted</w:t>
            </w:r>
          </w:p>
        </w:tc>
      </w:tr>
      <w:tr>
        <w:trPr>
          <w:trHeight w:val="149"/>
        </w:trPr>
        <w:tc>
          <w:tcPr>
            <w:tcW w:w="48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86"/>
              </w:rPr>
              <w:t>Average</w:t>
            </w:r>
          </w:p>
        </w:tc>
      </w:tr>
      <w:tr>
        <w:trPr>
          <w:trHeight w:val="149"/>
        </w:trPr>
        <w:tc>
          <w:tcPr>
            <w:tcW w:w="48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92"/>
              </w:rPr>
              <w:t>Grant Date</w:t>
            </w:r>
          </w:p>
        </w:tc>
      </w:tr>
      <w:tr>
        <w:trPr>
          <w:trHeight w:val="149"/>
        </w:trPr>
        <w:tc>
          <w:tcPr>
            <w:tcW w:w="48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89"/>
              </w:rPr>
              <w:t>Fair Value</w:t>
            </w:r>
          </w:p>
        </w:tc>
      </w:tr>
      <w:tr>
        <w:trPr>
          <w:trHeight w:val="161"/>
        </w:trPr>
        <w:tc>
          <w:tcPr>
            <w:tcW w:w="4880" w:type="dxa"/>
            <w:vAlign w:val="bottom"/>
          </w:tcPr>
          <w:p>
            <w:pPr>
              <w:spacing w:after="0"/>
              <w:rPr>
                <w:sz w:val="14"/>
                <w:szCs w:val="14"/>
                <w:color w:val="auto"/>
              </w:rPr>
            </w:pPr>
          </w:p>
        </w:tc>
        <w:tc>
          <w:tcPr>
            <w:tcW w:w="680" w:type="dxa"/>
            <w:vAlign w:val="bottom"/>
            <w:tcBorders>
              <w:bottom w:val="single" w:sz="8" w:color="auto"/>
            </w:tcBorders>
          </w:tcPr>
          <w:p>
            <w:pPr>
              <w:jc w:val="right"/>
              <w:ind w:right="56"/>
              <w:spacing w:after="0"/>
              <w:rPr>
                <w:sz w:val="20"/>
                <w:szCs w:val="20"/>
                <w:color w:val="auto"/>
              </w:rPr>
            </w:pPr>
            <w:r>
              <w:rPr>
                <w:rFonts w:ascii="Arial" w:cs="Arial" w:eastAsia="Arial" w:hAnsi="Arial"/>
                <w:sz w:val="14"/>
                <w:szCs w:val="14"/>
                <w:b w:val="1"/>
                <w:bCs w:val="1"/>
                <w:color w:val="auto"/>
              </w:rPr>
              <w:t>Shares</w:t>
            </w:r>
          </w:p>
        </w:tc>
        <w:tc>
          <w:tcPr>
            <w:tcW w:w="18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jc w:val="center"/>
              <w:ind w:right="42"/>
              <w:spacing w:after="0"/>
              <w:rPr>
                <w:sz w:val="20"/>
                <w:szCs w:val="20"/>
                <w:color w:val="auto"/>
              </w:rPr>
            </w:pPr>
            <w:r>
              <w:rPr>
                <w:rFonts w:ascii="Arial" w:cs="Arial" w:eastAsia="Arial" w:hAnsi="Arial"/>
                <w:sz w:val="14"/>
                <w:szCs w:val="14"/>
                <w:b w:val="1"/>
                <w:bCs w:val="1"/>
                <w:color w:val="auto"/>
                <w:w w:val="88"/>
              </w:rPr>
              <w:t>(per share)</w:t>
            </w:r>
          </w:p>
        </w:tc>
        <w:tc>
          <w:tcPr>
            <w:tcW w:w="160" w:type="dxa"/>
            <w:vAlign w:val="bottom"/>
          </w:tcPr>
          <w:p>
            <w:pPr>
              <w:spacing w:after="0"/>
              <w:rPr>
                <w:sz w:val="14"/>
                <w:szCs w:val="14"/>
                <w:color w:val="auto"/>
              </w:rPr>
            </w:pPr>
          </w:p>
        </w:tc>
      </w:tr>
      <w:tr>
        <w:trPr>
          <w:trHeight w:val="210"/>
        </w:trPr>
        <w:tc>
          <w:tcPr>
            <w:tcW w:w="4880" w:type="dxa"/>
            <w:vAlign w:val="bottom"/>
            <w:shd w:val="clear" w:color="auto" w:fill="CCEEFF"/>
          </w:tcPr>
          <w:p>
            <w:pPr>
              <w:spacing w:after="0"/>
              <w:rPr>
                <w:sz w:val="20"/>
                <w:szCs w:val="20"/>
                <w:color w:val="auto"/>
              </w:rPr>
            </w:pPr>
            <w:r>
              <w:rPr>
                <w:rFonts w:ascii="Arial" w:cs="Arial" w:eastAsia="Arial" w:hAnsi="Arial"/>
                <w:sz w:val="18"/>
                <w:szCs w:val="18"/>
                <w:color w:val="auto"/>
              </w:rPr>
              <w:t>Outstanding and unvested at December 31, 2009</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16,000</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4.48</w:t>
            </w:r>
          </w:p>
        </w:tc>
      </w:tr>
      <w:tr>
        <w:trPr>
          <w:trHeight w:val="216"/>
        </w:trPr>
        <w:tc>
          <w:tcPr>
            <w:tcW w:w="4880" w:type="dxa"/>
            <w:vAlign w:val="bottom"/>
          </w:tcPr>
          <w:p>
            <w:pPr>
              <w:spacing w:after="0"/>
              <w:rPr>
                <w:sz w:val="20"/>
                <w:szCs w:val="20"/>
                <w:color w:val="auto"/>
              </w:rPr>
            </w:pPr>
            <w:r>
              <w:rPr>
                <w:rFonts w:ascii="Arial" w:cs="Arial" w:eastAsia="Arial" w:hAnsi="Arial"/>
                <w:sz w:val="18"/>
                <w:szCs w:val="18"/>
                <w:color w:val="auto"/>
              </w:rPr>
              <w:t>Granted</w:t>
            </w:r>
          </w:p>
        </w:tc>
        <w:tc>
          <w:tcPr>
            <w:tcW w:w="680" w:type="dxa"/>
            <w:vAlign w:val="bottom"/>
          </w:tcPr>
          <w:p>
            <w:pPr>
              <w:jc w:val="right"/>
              <w:spacing w:after="0"/>
              <w:rPr>
                <w:sz w:val="20"/>
                <w:szCs w:val="20"/>
                <w:color w:val="auto"/>
              </w:rPr>
            </w:pPr>
            <w:r>
              <w:rPr>
                <w:rFonts w:ascii="Arial" w:cs="Arial" w:eastAsia="Arial" w:hAnsi="Arial"/>
                <w:sz w:val="18"/>
                <w:szCs w:val="18"/>
                <w:color w:val="auto"/>
              </w:rPr>
              <w:t>14,000</w:t>
            </w:r>
          </w:p>
        </w:tc>
        <w:tc>
          <w:tcPr>
            <w:tcW w:w="18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gridSpan w:val="2"/>
          </w:tcPr>
          <w:p>
            <w:pPr>
              <w:jc w:val="right"/>
              <w:ind w:right="160"/>
              <w:spacing w:after="0"/>
              <w:rPr>
                <w:sz w:val="20"/>
                <w:szCs w:val="20"/>
                <w:color w:val="auto"/>
              </w:rPr>
            </w:pPr>
            <w:r>
              <w:rPr>
                <w:rFonts w:ascii="Arial" w:cs="Arial" w:eastAsia="Arial" w:hAnsi="Arial"/>
                <w:sz w:val="18"/>
                <w:szCs w:val="18"/>
                <w:color w:val="auto"/>
              </w:rPr>
              <w:t>3.96</w:t>
            </w:r>
          </w:p>
        </w:tc>
      </w:tr>
      <w:tr>
        <w:trPr>
          <w:trHeight w:val="216"/>
        </w:trPr>
        <w:tc>
          <w:tcPr>
            <w:tcW w:w="4880" w:type="dxa"/>
            <w:vAlign w:val="bottom"/>
            <w:shd w:val="clear" w:color="auto" w:fill="CCEEFF"/>
          </w:tcPr>
          <w:p>
            <w:pPr>
              <w:spacing w:after="0"/>
              <w:rPr>
                <w:sz w:val="20"/>
                <w:szCs w:val="20"/>
                <w:color w:val="auto"/>
              </w:rPr>
            </w:pPr>
            <w:r>
              <w:rPr>
                <w:rFonts w:ascii="Arial" w:cs="Arial" w:eastAsia="Arial" w:hAnsi="Arial"/>
                <w:sz w:val="18"/>
                <w:szCs w:val="18"/>
                <w:color w:val="auto"/>
              </w:rPr>
              <w:t>Vested</w:t>
            </w:r>
          </w:p>
        </w:tc>
        <w:tc>
          <w:tcPr>
            <w:tcW w:w="8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(20,662)</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4.36</w:t>
            </w:r>
          </w:p>
        </w:tc>
      </w:tr>
      <w:tr>
        <w:trPr>
          <w:trHeight w:val="222"/>
        </w:trPr>
        <w:tc>
          <w:tcPr>
            <w:tcW w:w="4880" w:type="dxa"/>
            <w:vAlign w:val="bottom"/>
          </w:tcPr>
          <w:p>
            <w:pPr>
              <w:spacing w:after="0"/>
              <w:rPr>
                <w:sz w:val="20"/>
                <w:szCs w:val="20"/>
                <w:color w:val="auto"/>
              </w:rPr>
            </w:pPr>
            <w:r>
              <w:rPr>
                <w:rFonts w:ascii="Arial" w:cs="Arial" w:eastAsia="Arial" w:hAnsi="Arial"/>
                <w:sz w:val="18"/>
                <w:szCs w:val="18"/>
                <w:color w:val="auto"/>
              </w:rPr>
              <w:t>Canceled</w:t>
            </w:r>
          </w:p>
        </w:tc>
        <w:tc>
          <w:tcPr>
            <w:tcW w:w="8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10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r>
      <w:tr>
        <w:trPr>
          <w:trHeight w:val="21"/>
        </w:trPr>
        <w:tc>
          <w:tcPr>
            <w:tcW w:w="488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210"/>
        </w:trPr>
        <w:tc>
          <w:tcPr>
            <w:tcW w:w="4880" w:type="dxa"/>
            <w:vAlign w:val="bottom"/>
            <w:shd w:val="clear" w:color="auto" w:fill="CCEEFF"/>
          </w:tcPr>
          <w:p>
            <w:pPr>
              <w:spacing w:after="0"/>
              <w:rPr>
                <w:sz w:val="20"/>
                <w:szCs w:val="20"/>
                <w:color w:val="auto"/>
              </w:rPr>
            </w:pPr>
            <w:r>
              <w:rPr>
                <w:rFonts w:ascii="Arial" w:cs="Arial" w:eastAsia="Arial" w:hAnsi="Arial"/>
                <w:sz w:val="18"/>
                <w:szCs w:val="18"/>
                <w:color w:val="auto"/>
              </w:rPr>
              <w:t>Outstanding and unvested at December 31, 2010</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9,338</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3.96</w:t>
            </w:r>
          </w:p>
        </w:tc>
      </w:tr>
      <w:tr>
        <w:trPr>
          <w:trHeight w:val="27"/>
        </w:trPr>
        <w:tc>
          <w:tcPr>
            <w:tcW w:w="4880" w:type="dxa"/>
            <w:vAlign w:val="bottom"/>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840" w:type="dxa"/>
            <w:vAlign w:val="bottom"/>
          </w:tcPr>
          <w:p>
            <w:pPr>
              <w:spacing w:after="0"/>
              <w:rPr>
                <w:sz w:val="2"/>
                <w:szCs w:val="2"/>
                <w:color w:val="auto"/>
              </w:rPr>
            </w:pPr>
          </w:p>
        </w:tc>
        <w:tc>
          <w:tcPr>
            <w:tcW w:w="160" w:type="dxa"/>
            <w:vAlign w:val="bottom"/>
          </w:tcPr>
          <w:p>
            <w:pPr>
              <w:spacing w:after="0"/>
              <w:rPr>
                <w:sz w:val="2"/>
                <w:szCs w:val="2"/>
                <w:color w:val="auto"/>
              </w:rPr>
            </w:pPr>
          </w:p>
        </w:tc>
      </w:tr>
      <w:tr>
        <w:trPr>
          <w:trHeight w:val="20"/>
        </w:trPr>
        <w:tc>
          <w:tcPr>
            <w:tcW w:w="488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bl>
    <w:p>
      <w:pPr>
        <w:spacing w:after="0" w:line="20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Valuation and Expenses Information</w:t>
      </w:r>
    </w:p>
    <w:p>
      <w:pPr>
        <w:spacing w:after="0" w:line="225" w:lineRule="exact"/>
        <w:rPr>
          <w:sz w:val="20"/>
          <w:szCs w:val="20"/>
          <w:color w:val="auto"/>
        </w:rPr>
      </w:pPr>
    </w:p>
    <w:p>
      <w:pPr>
        <w:ind w:left="360"/>
        <w:spacing w:after="0"/>
        <w:rPr>
          <w:sz w:val="20"/>
          <w:szCs w:val="20"/>
          <w:color w:val="auto"/>
        </w:rPr>
      </w:pPr>
      <w:r>
        <w:rPr>
          <w:rFonts w:ascii="Arial" w:cs="Arial" w:eastAsia="Arial" w:hAnsi="Arial"/>
          <w:sz w:val="15"/>
          <w:szCs w:val="15"/>
          <w:color w:val="auto"/>
        </w:rPr>
        <w:t>Stock-based compensation expense related to employee and non-employee stock options, restricted stock and employee stock purchases for the years ended</w:t>
      </w:r>
    </w:p>
    <w:p>
      <w:pPr>
        <w:spacing w:after="0" w:line="50" w:lineRule="exact"/>
        <w:rPr>
          <w:sz w:val="20"/>
          <w:szCs w:val="20"/>
          <w:color w:val="auto"/>
        </w:rPr>
      </w:pPr>
    </w:p>
    <w:p>
      <w:pPr>
        <w:spacing w:after="0"/>
        <w:rPr>
          <w:sz w:val="20"/>
          <w:szCs w:val="20"/>
          <w:color w:val="auto"/>
        </w:rPr>
      </w:pPr>
      <w:r>
        <w:rPr>
          <w:rFonts w:ascii="Arial" w:cs="Arial" w:eastAsia="Arial" w:hAnsi="Arial"/>
          <w:sz w:val="18"/>
          <w:szCs w:val="18"/>
          <w:color w:val="auto"/>
        </w:rPr>
        <w:t>December 31, 2010, 2009 and 2008 was recorded as follows:</w:t>
      </w:r>
    </w:p>
    <w:p>
      <w:pPr>
        <w:spacing w:after="0" w:line="268" w:lineRule="exact"/>
        <w:rPr>
          <w:sz w:val="20"/>
          <w:szCs w:val="20"/>
          <w:color w:val="auto"/>
        </w:rPr>
      </w:pPr>
    </w:p>
    <w:tbl>
      <w:tblPr>
        <w:tblLayout w:type="fixed"/>
        <w:tblInd w:w="2300" w:type="dxa"/>
        <w:tblCellMar>
          <w:top w:w="0" w:type="dxa"/>
          <w:left w:w="0" w:type="dxa"/>
          <w:bottom w:w="0" w:type="dxa"/>
          <w:right w:w="0" w:type="dxa"/>
        </w:tblCellMar>
      </w:tblPr>
      <w:tr>
        <w:trPr>
          <w:trHeight w:val="161"/>
        </w:trPr>
        <w:tc>
          <w:tcPr>
            <w:tcW w:w="448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jc w:val="right"/>
              <w:ind w:right="77"/>
              <w:spacing w:after="0"/>
              <w:rPr>
                <w:sz w:val="20"/>
                <w:szCs w:val="20"/>
                <w:color w:val="auto"/>
              </w:rPr>
            </w:pPr>
            <w:r>
              <w:rPr>
                <w:rFonts w:ascii="Arial" w:cs="Arial" w:eastAsia="Arial" w:hAnsi="Arial"/>
                <w:sz w:val="14"/>
                <w:szCs w:val="14"/>
                <w:b w:val="1"/>
                <w:bCs w:val="1"/>
                <w:color w:val="auto"/>
                <w:w w:val="96"/>
              </w:rPr>
              <w:t>2010</w:t>
            </w:r>
          </w:p>
        </w:tc>
        <w:tc>
          <w:tcPr>
            <w:tcW w:w="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jc w:val="right"/>
              <w:ind w:right="97"/>
              <w:spacing w:after="0"/>
              <w:rPr>
                <w:sz w:val="20"/>
                <w:szCs w:val="20"/>
                <w:color w:val="auto"/>
              </w:rPr>
            </w:pPr>
            <w:r>
              <w:rPr>
                <w:rFonts w:ascii="Arial" w:cs="Arial" w:eastAsia="Arial" w:hAnsi="Arial"/>
                <w:sz w:val="14"/>
                <w:szCs w:val="14"/>
                <w:b w:val="1"/>
                <w:bCs w:val="1"/>
                <w:color w:val="auto"/>
                <w:w w:val="96"/>
              </w:rPr>
              <w:t>2009</w:t>
            </w:r>
          </w:p>
        </w:tc>
        <w:tc>
          <w:tcPr>
            <w:tcW w:w="16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jc w:val="right"/>
              <w:ind w:right="97"/>
              <w:spacing w:after="0"/>
              <w:rPr>
                <w:sz w:val="20"/>
                <w:szCs w:val="20"/>
                <w:color w:val="auto"/>
              </w:rPr>
            </w:pPr>
            <w:r>
              <w:rPr>
                <w:rFonts w:ascii="Arial" w:cs="Arial" w:eastAsia="Arial" w:hAnsi="Arial"/>
                <w:sz w:val="14"/>
                <w:szCs w:val="14"/>
                <w:b w:val="1"/>
                <w:bCs w:val="1"/>
                <w:color w:val="auto"/>
                <w:w w:val="96"/>
              </w:rPr>
              <w:t>2008</w:t>
            </w:r>
          </w:p>
        </w:tc>
        <w:tc>
          <w:tcPr>
            <w:tcW w:w="160" w:type="dxa"/>
            <w:vAlign w:val="bottom"/>
          </w:tcPr>
          <w:p>
            <w:pPr>
              <w:spacing w:after="0"/>
              <w:rPr>
                <w:sz w:val="14"/>
                <w:szCs w:val="14"/>
                <w:color w:val="auto"/>
              </w:rPr>
            </w:pPr>
          </w:p>
        </w:tc>
      </w:tr>
      <w:tr>
        <w:trPr>
          <w:trHeight w:val="142"/>
        </w:trPr>
        <w:tc>
          <w:tcPr>
            <w:tcW w:w="44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760" w:type="dxa"/>
            <w:vAlign w:val="bottom"/>
            <w:gridSpan w:val="3"/>
          </w:tcPr>
          <w:p>
            <w:pPr>
              <w:jc w:val="right"/>
              <w:spacing w:after="0" w:line="142" w:lineRule="exact"/>
              <w:rPr>
                <w:sz w:val="20"/>
                <w:szCs w:val="20"/>
                <w:color w:val="auto"/>
              </w:rPr>
            </w:pPr>
            <w:r>
              <w:rPr>
                <w:rFonts w:ascii="Arial" w:cs="Arial" w:eastAsia="Arial" w:hAnsi="Arial"/>
                <w:sz w:val="14"/>
                <w:szCs w:val="14"/>
                <w:b w:val="1"/>
                <w:bCs w:val="1"/>
                <w:color w:val="auto"/>
                <w:w w:val="76"/>
              </w:rPr>
              <w:t>(In thousands)</w:t>
            </w: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60" w:type="dxa"/>
            <w:vAlign w:val="bottom"/>
          </w:tcPr>
          <w:p>
            <w:pPr>
              <w:spacing w:after="0"/>
              <w:rPr>
                <w:sz w:val="12"/>
                <w:szCs w:val="12"/>
                <w:color w:val="auto"/>
              </w:rPr>
            </w:pPr>
          </w:p>
        </w:tc>
      </w:tr>
      <w:tr>
        <w:trPr>
          <w:trHeight w:val="216"/>
        </w:trPr>
        <w:tc>
          <w:tcPr>
            <w:tcW w:w="4480" w:type="dxa"/>
            <w:vAlign w:val="bottom"/>
            <w:shd w:val="clear" w:color="auto" w:fill="CCEEFF"/>
          </w:tcPr>
          <w:p>
            <w:pPr>
              <w:spacing w:after="0"/>
              <w:rPr>
                <w:sz w:val="20"/>
                <w:szCs w:val="20"/>
                <w:color w:val="auto"/>
              </w:rPr>
            </w:pPr>
            <w:r>
              <w:rPr>
                <w:rFonts w:ascii="Arial" w:cs="Arial" w:eastAsia="Arial" w:hAnsi="Arial"/>
                <w:sz w:val="18"/>
                <w:szCs w:val="18"/>
                <w:color w:val="auto"/>
              </w:rPr>
              <w:t>Research and development</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1,625</w:t>
            </w:r>
          </w:p>
        </w:tc>
        <w:tc>
          <w:tcPr>
            <w:tcW w:w="2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1,383</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2,035</w:t>
            </w:r>
          </w:p>
        </w:tc>
      </w:tr>
      <w:tr>
        <w:trPr>
          <w:trHeight w:val="222"/>
        </w:trPr>
        <w:tc>
          <w:tcPr>
            <w:tcW w:w="4480" w:type="dxa"/>
            <w:vAlign w:val="bottom"/>
          </w:tcPr>
          <w:p>
            <w:pPr>
              <w:spacing w:after="0"/>
              <w:rPr>
                <w:sz w:val="20"/>
                <w:szCs w:val="20"/>
                <w:color w:val="auto"/>
              </w:rPr>
            </w:pPr>
            <w:r>
              <w:rPr>
                <w:rFonts w:ascii="Arial" w:cs="Arial" w:eastAsia="Arial" w:hAnsi="Arial"/>
                <w:sz w:val="18"/>
                <w:szCs w:val="18"/>
                <w:color w:val="auto"/>
              </w:rPr>
              <w:t>General and administrative</w:t>
            </w:r>
          </w:p>
        </w:tc>
        <w:tc>
          <w:tcPr>
            <w:tcW w:w="140" w:type="dxa"/>
            <w:vAlign w:val="bottom"/>
          </w:tcPr>
          <w:p>
            <w:pPr>
              <w:spacing w:after="0"/>
              <w:rPr>
                <w:sz w:val="19"/>
                <w:szCs w:val="19"/>
                <w:color w:val="auto"/>
              </w:rPr>
            </w:pPr>
          </w:p>
        </w:tc>
        <w:tc>
          <w:tcPr>
            <w:tcW w:w="520" w:type="dxa"/>
            <w:vAlign w:val="bottom"/>
            <w:gridSpan w:val="2"/>
          </w:tcPr>
          <w:p>
            <w:pPr>
              <w:jc w:val="right"/>
              <w:ind w:right="40"/>
              <w:spacing w:after="0"/>
              <w:rPr>
                <w:sz w:val="20"/>
                <w:szCs w:val="20"/>
                <w:color w:val="auto"/>
              </w:rPr>
            </w:pPr>
            <w:r>
              <w:rPr>
                <w:rFonts w:ascii="Arial" w:cs="Arial" w:eastAsia="Arial" w:hAnsi="Arial"/>
                <w:sz w:val="18"/>
                <w:szCs w:val="18"/>
                <w:color w:val="auto"/>
              </w:rPr>
              <w:t>1,177</w:t>
            </w:r>
          </w:p>
        </w:tc>
        <w:tc>
          <w:tcPr>
            <w:tcW w:w="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1,675</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60" w:type="dxa"/>
            <w:vAlign w:val="bottom"/>
            <w:gridSpan w:val="2"/>
          </w:tcPr>
          <w:p>
            <w:pPr>
              <w:jc w:val="right"/>
              <w:ind w:right="160"/>
              <w:spacing w:after="0"/>
              <w:rPr>
                <w:sz w:val="20"/>
                <w:szCs w:val="20"/>
                <w:color w:val="auto"/>
              </w:rPr>
            </w:pPr>
            <w:r>
              <w:rPr>
                <w:rFonts w:ascii="Arial" w:cs="Arial" w:eastAsia="Arial" w:hAnsi="Arial"/>
                <w:sz w:val="18"/>
                <w:szCs w:val="18"/>
                <w:color w:val="auto"/>
              </w:rPr>
              <w:t>2,781</w:t>
            </w:r>
          </w:p>
        </w:tc>
      </w:tr>
      <w:tr>
        <w:trPr>
          <w:trHeight w:val="21"/>
        </w:trPr>
        <w:tc>
          <w:tcPr>
            <w:tcW w:w="44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210"/>
        </w:trPr>
        <w:tc>
          <w:tcPr>
            <w:tcW w:w="4480" w:type="dxa"/>
            <w:vAlign w:val="bottom"/>
            <w:shd w:val="clear" w:color="auto" w:fill="CCEEFF"/>
          </w:tcPr>
          <w:p>
            <w:pPr>
              <w:spacing w:after="0"/>
              <w:rPr>
                <w:sz w:val="20"/>
                <w:szCs w:val="20"/>
                <w:color w:val="auto"/>
              </w:rPr>
            </w:pPr>
            <w:r>
              <w:rPr>
                <w:rFonts w:ascii="Arial" w:cs="Arial" w:eastAsia="Arial" w:hAnsi="Arial"/>
                <w:sz w:val="18"/>
                <w:szCs w:val="18"/>
                <w:color w:val="auto"/>
              </w:rPr>
              <w:t>Total stock-based compensation expense</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2,802</w:t>
            </w:r>
          </w:p>
        </w:tc>
        <w:tc>
          <w:tcPr>
            <w:tcW w:w="2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3,058</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4,816</w:t>
            </w:r>
          </w:p>
        </w:tc>
      </w:tr>
      <w:tr>
        <w:trPr>
          <w:trHeight w:val="27"/>
        </w:trPr>
        <w:tc>
          <w:tcPr>
            <w:tcW w:w="448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r>
      <w:tr>
        <w:trPr>
          <w:trHeight w:val="20"/>
        </w:trPr>
        <w:tc>
          <w:tcPr>
            <w:tcW w:w="44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bl>
    <w:p>
      <w:pPr>
        <w:spacing w:after="0" w:line="208" w:lineRule="exact"/>
        <w:rPr>
          <w:sz w:val="20"/>
          <w:szCs w:val="20"/>
          <w:color w:val="auto"/>
        </w:rPr>
      </w:pPr>
    </w:p>
    <w:p>
      <w:pPr>
        <w:ind w:right="340" w:firstLine="348"/>
        <w:spacing w:after="0" w:line="268" w:lineRule="auto"/>
        <w:rPr>
          <w:sz w:val="20"/>
          <w:szCs w:val="20"/>
          <w:color w:val="auto"/>
        </w:rPr>
      </w:pPr>
      <w:r>
        <w:rPr>
          <w:rFonts w:ascii="Arial" w:cs="Arial" w:eastAsia="Arial" w:hAnsi="Arial"/>
          <w:sz w:val="18"/>
          <w:szCs w:val="18"/>
          <w:color w:val="auto"/>
        </w:rPr>
        <w:t>The fair values of employee and non-employee director stock options and employee stock purchases granted during the years ended December 31, 2010, 2009 and 2008 were valued using the Black-Scholes option-pricing model with the following assumptions:</w:t>
      </w:r>
    </w:p>
    <w:p>
      <w:pPr>
        <w:spacing w:after="0" w:line="16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160" w:type="dxa"/>
            <w:vAlign w:val="bottom"/>
          </w:tcPr>
          <w:p>
            <w:pPr>
              <w:spacing w:after="0"/>
              <w:rPr>
                <w:sz w:val="14"/>
                <w:szCs w:val="14"/>
                <w:color w:val="auto"/>
              </w:rPr>
            </w:pPr>
          </w:p>
        </w:tc>
        <w:tc>
          <w:tcPr>
            <w:tcW w:w="37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500" w:type="dxa"/>
            <w:vAlign w:val="bottom"/>
            <w:gridSpan w:val="2"/>
          </w:tcPr>
          <w:p>
            <w:pPr>
              <w:jc w:val="right"/>
              <w:ind w:right="520"/>
              <w:spacing w:after="0"/>
              <w:rPr>
                <w:sz w:val="20"/>
                <w:szCs w:val="20"/>
                <w:color w:val="auto"/>
              </w:rPr>
            </w:pPr>
            <w:r>
              <w:rPr>
                <w:rFonts w:ascii="Arial" w:cs="Arial" w:eastAsia="Arial" w:hAnsi="Arial"/>
                <w:sz w:val="14"/>
                <w:szCs w:val="14"/>
                <w:b w:val="1"/>
                <w:bCs w:val="1"/>
                <w:color w:val="auto"/>
              </w:rPr>
              <w:t>Year Ended</w:t>
            </w:r>
          </w:p>
        </w:tc>
        <w:tc>
          <w:tcPr>
            <w:tcW w:w="1500" w:type="dxa"/>
            <w:vAlign w:val="bottom"/>
            <w:gridSpan w:val="2"/>
          </w:tcPr>
          <w:p>
            <w:pPr>
              <w:jc w:val="right"/>
              <w:ind w:right="520"/>
              <w:spacing w:after="0"/>
              <w:rPr>
                <w:sz w:val="20"/>
                <w:szCs w:val="20"/>
                <w:color w:val="auto"/>
              </w:rPr>
            </w:pPr>
            <w:r>
              <w:rPr>
                <w:rFonts w:ascii="Arial" w:cs="Arial" w:eastAsia="Arial" w:hAnsi="Arial"/>
                <w:sz w:val="14"/>
                <w:szCs w:val="14"/>
                <w:b w:val="1"/>
                <w:bCs w:val="1"/>
                <w:color w:val="auto"/>
              </w:rPr>
              <w:t>Year Ended</w:t>
            </w:r>
          </w:p>
        </w:tc>
        <w:tc>
          <w:tcPr>
            <w:tcW w:w="2580" w:type="dxa"/>
            <w:vAlign w:val="bottom"/>
            <w:gridSpan w:val="3"/>
          </w:tcPr>
          <w:p>
            <w:pPr>
              <w:ind w:left="300"/>
              <w:spacing w:after="0"/>
              <w:rPr>
                <w:sz w:val="20"/>
                <w:szCs w:val="20"/>
                <w:color w:val="auto"/>
              </w:rPr>
            </w:pPr>
            <w:r>
              <w:rPr>
                <w:rFonts w:ascii="Arial" w:cs="Arial" w:eastAsia="Arial" w:hAnsi="Arial"/>
                <w:sz w:val="14"/>
                <w:szCs w:val="14"/>
                <w:b w:val="1"/>
                <w:bCs w:val="1"/>
                <w:color w:val="auto"/>
              </w:rPr>
              <w:t>Year Ended</w:t>
            </w:r>
          </w:p>
        </w:tc>
      </w:tr>
      <w:tr>
        <w:trPr>
          <w:trHeight w:val="161"/>
        </w:trPr>
        <w:tc>
          <w:tcPr>
            <w:tcW w:w="1160" w:type="dxa"/>
            <w:vAlign w:val="bottom"/>
          </w:tcPr>
          <w:p>
            <w:pPr>
              <w:spacing w:after="0"/>
              <w:rPr>
                <w:sz w:val="14"/>
                <w:szCs w:val="14"/>
                <w:color w:val="auto"/>
              </w:rPr>
            </w:pPr>
          </w:p>
        </w:tc>
        <w:tc>
          <w:tcPr>
            <w:tcW w:w="37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280" w:type="dxa"/>
            <w:vAlign w:val="bottom"/>
            <w:tcBorders>
              <w:bottom w:val="single" w:sz="8" w:color="auto"/>
            </w:tcBorders>
          </w:tcPr>
          <w:p>
            <w:pPr>
              <w:jc w:val="right"/>
              <w:ind w:right="20"/>
              <w:spacing w:after="0"/>
              <w:rPr>
                <w:sz w:val="20"/>
                <w:szCs w:val="20"/>
                <w:color w:val="auto"/>
              </w:rPr>
            </w:pPr>
            <w:r>
              <w:rPr>
                <w:rFonts w:ascii="Arial" w:cs="Arial" w:eastAsia="Arial" w:hAnsi="Arial"/>
                <w:sz w:val="14"/>
                <w:szCs w:val="14"/>
                <w:b w:val="1"/>
                <w:bCs w:val="1"/>
                <w:color w:val="auto"/>
                <w:w w:val="91"/>
              </w:rPr>
              <w:t>December 31, 2010</w:t>
            </w:r>
          </w:p>
        </w:tc>
        <w:tc>
          <w:tcPr>
            <w:tcW w:w="220" w:type="dxa"/>
            <w:vAlign w:val="bottom"/>
          </w:tcPr>
          <w:p>
            <w:pPr>
              <w:spacing w:after="0"/>
              <w:rPr>
                <w:sz w:val="14"/>
                <w:szCs w:val="14"/>
                <w:color w:val="auto"/>
              </w:rPr>
            </w:pPr>
          </w:p>
        </w:tc>
        <w:tc>
          <w:tcPr>
            <w:tcW w:w="1280" w:type="dxa"/>
            <w:vAlign w:val="bottom"/>
            <w:tcBorders>
              <w:bottom w:val="single" w:sz="8" w:color="auto"/>
            </w:tcBorders>
          </w:tcPr>
          <w:p>
            <w:pPr>
              <w:jc w:val="right"/>
              <w:ind w:right="17"/>
              <w:spacing w:after="0"/>
              <w:rPr>
                <w:sz w:val="20"/>
                <w:szCs w:val="20"/>
                <w:color w:val="auto"/>
              </w:rPr>
            </w:pPr>
            <w:r>
              <w:rPr>
                <w:rFonts w:ascii="Arial" w:cs="Arial" w:eastAsia="Arial" w:hAnsi="Arial"/>
                <w:sz w:val="14"/>
                <w:szCs w:val="14"/>
                <w:b w:val="1"/>
                <w:bCs w:val="1"/>
                <w:color w:val="auto"/>
                <w:w w:val="91"/>
              </w:rPr>
              <w:t>December 31, 2009</w:t>
            </w:r>
          </w:p>
        </w:tc>
        <w:tc>
          <w:tcPr>
            <w:tcW w:w="220" w:type="dxa"/>
            <w:vAlign w:val="bottom"/>
          </w:tcPr>
          <w:p>
            <w:pPr>
              <w:spacing w:after="0"/>
              <w:rPr>
                <w:sz w:val="14"/>
                <w:szCs w:val="14"/>
                <w:color w:val="auto"/>
              </w:rPr>
            </w:pPr>
          </w:p>
        </w:tc>
        <w:tc>
          <w:tcPr>
            <w:tcW w:w="1280" w:type="dxa"/>
            <w:vAlign w:val="bottom"/>
            <w:tcBorders>
              <w:bottom w:val="single" w:sz="8" w:color="auto"/>
            </w:tcBorders>
          </w:tcPr>
          <w:p>
            <w:pPr>
              <w:jc w:val="right"/>
              <w:ind w:right="17"/>
              <w:spacing w:after="0"/>
              <w:rPr>
                <w:sz w:val="20"/>
                <w:szCs w:val="20"/>
                <w:color w:val="auto"/>
              </w:rPr>
            </w:pPr>
            <w:r>
              <w:rPr>
                <w:rFonts w:ascii="Arial" w:cs="Arial" w:eastAsia="Arial" w:hAnsi="Arial"/>
                <w:sz w:val="14"/>
                <w:szCs w:val="14"/>
                <w:b w:val="1"/>
                <w:bCs w:val="1"/>
                <w:color w:val="auto"/>
                <w:w w:val="91"/>
              </w:rPr>
              <w:t>December 31, 2008</w:t>
            </w:r>
          </w:p>
        </w:tc>
        <w:tc>
          <w:tcPr>
            <w:tcW w:w="1300" w:type="dxa"/>
            <w:vAlign w:val="bottom"/>
            <w:gridSpan w:val="2"/>
          </w:tcPr>
          <w:p>
            <w:pPr>
              <w:spacing w:after="0"/>
              <w:rPr>
                <w:sz w:val="14"/>
                <w:szCs w:val="14"/>
                <w:color w:val="auto"/>
              </w:rPr>
            </w:pPr>
          </w:p>
        </w:tc>
      </w:tr>
      <w:tr>
        <w:trPr>
          <w:trHeight w:val="210"/>
        </w:trPr>
        <w:tc>
          <w:tcPr>
            <w:tcW w:w="1160" w:type="dxa"/>
            <w:vAlign w:val="bottom"/>
          </w:tcPr>
          <w:p>
            <w:pPr>
              <w:spacing w:after="0"/>
              <w:rPr>
                <w:sz w:val="18"/>
                <w:szCs w:val="18"/>
                <w:color w:val="auto"/>
              </w:rPr>
            </w:pPr>
          </w:p>
        </w:tc>
        <w:tc>
          <w:tcPr>
            <w:tcW w:w="3780" w:type="dxa"/>
            <w:vAlign w:val="bottom"/>
            <w:shd w:val="clear" w:color="auto" w:fill="CCEEFF"/>
          </w:tcPr>
          <w:p>
            <w:pPr>
              <w:spacing w:after="0"/>
              <w:rPr>
                <w:sz w:val="20"/>
                <w:szCs w:val="20"/>
                <w:color w:val="auto"/>
              </w:rPr>
            </w:pPr>
            <w:r>
              <w:rPr>
                <w:rFonts w:ascii="Arial" w:cs="Arial" w:eastAsia="Arial" w:hAnsi="Arial"/>
                <w:sz w:val="18"/>
                <w:szCs w:val="18"/>
                <w:color w:val="auto"/>
              </w:rPr>
              <w:t>Expected stock price volatility (options)</w:t>
            </w:r>
          </w:p>
        </w:tc>
        <w:tc>
          <w:tcPr>
            <w:tcW w:w="240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65 - 67%</w:t>
            </w:r>
          </w:p>
        </w:tc>
        <w:tc>
          <w:tcPr>
            <w:tcW w:w="15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65 - 68%</w:t>
            </w:r>
          </w:p>
        </w:tc>
        <w:tc>
          <w:tcPr>
            <w:tcW w:w="14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55 - 67%</w:t>
            </w:r>
          </w:p>
        </w:tc>
        <w:tc>
          <w:tcPr>
            <w:tcW w:w="1140" w:type="dxa"/>
            <w:vAlign w:val="bottom"/>
          </w:tcPr>
          <w:p>
            <w:pPr>
              <w:spacing w:after="0"/>
              <w:rPr>
                <w:sz w:val="18"/>
                <w:szCs w:val="18"/>
                <w:color w:val="auto"/>
              </w:rPr>
            </w:pPr>
          </w:p>
        </w:tc>
      </w:tr>
      <w:tr>
        <w:trPr>
          <w:trHeight w:val="216"/>
        </w:trPr>
        <w:tc>
          <w:tcPr>
            <w:tcW w:w="1160" w:type="dxa"/>
            <w:vAlign w:val="bottom"/>
          </w:tcPr>
          <w:p>
            <w:pPr>
              <w:spacing w:after="0"/>
              <w:rPr>
                <w:sz w:val="18"/>
                <w:szCs w:val="18"/>
                <w:color w:val="auto"/>
              </w:rPr>
            </w:pPr>
          </w:p>
        </w:tc>
        <w:tc>
          <w:tcPr>
            <w:tcW w:w="3780" w:type="dxa"/>
            <w:vAlign w:val="bottom"/>
          </w:tcPr>
          <w:p>
            <w:pPr>
              <w:spacing w:after="0"/>
              <w:rPr>
                <w:sz w:val="20"/>
                <w:szCs w:val="20"/>
                <w:color w:val="auto"/>
              </w:rPr>
            </w:pPr>
            <w:r>
              <w:rPr>
                <w:rFonts w:ascii="Arial" w:cs="Arial" w:eastAsia="Arial" w:hAnsi="Arial"/>
                <w:sz w:val="18"/>
                <w:szCs w:val="18"/>
                <w:color w:val="auto"/>
              </w:rPr>
              <w:t>Expected stock price volatility (2004 ESPP)</w:t>
            </w:r>
          </w:p>
        </w:tc>
        <w:tc>
          <w:tcPr>
            <w:tcW w:w="2400" w:type="dxa"/>
            <w:vAlign w:val="bottom"/>
            <w:gridSpan w:val="3"/>
          </w:tcPr>
          <w:p>
            <w:pPr>
              <w:jc w:val="right"/>
              <w:ind w:right="80"/>
              <w:spacing w:after="0"/>
              <w:rPr>
                <w:sz w:val="20"/>
                <w:szCs w:val="20"/>
                <w:color w:val="auto"/>
              </w:rPr>
            </w:pPr>
            <w:r>
              <w:rPr>
                <w:rFonts w:ascii="Arial" w:cs="Arial" w:eastAsia="Arial" w:hAnsi="Arial"/>
                <w:sz w:val="18"/>
                <w:szCs w:val="18"/>
                <w:color w:val="auto"/>
              </w:rPr>
              <w:t>51 - 70%</w:t>
            </w:r>
          </w:p>
        </w:tc>
        <w:tc>
          <w:tcPr>
            <w:tcW w:w="1500" w:type="dxa"/>
            <w:vAlign w:val="bottom"/>
            <w:gridSpan w:val="2"/>
          </w:tcPr>
          <w:p>
            <w:pPr>
              <w:jc w:val="right"/>
              <w:ind w:right="80"/>
              <w:spacing w:after="0"/>
              <w:rPr>
                <w:sz w:val="20"/>
                <w:szCs w:val="20"/>
                <w:color w:val="auto"/>
              </w:rPr>
            </w:pPr>
            <w:r>
              <w:rPr>
                <w:rFonts w:ascii="Arial" w:cs="Arial" w:eastAsia="Arial" w:hAnsi="Arial"/>
                <w:sz w:val="18"/>
                <w:szCs w:val="18"/>
                <w:color w:val="auto"/>
              </w:rPr>
              <w:t>90 - 98%</w:t>
            </w:r>
          </w:p>
        </w:tc>
        <w:tc>
          <w:tcPr>
            <w:tcW w:w="1440" w:type="dxa"/>
            <w:vAlign w:val="bottom"/>
            <w:gridSpan w:val="2"/>
          </w:tcPr>
          <w:p>
            <w:pPr>
              <w:jc w:val="right"/>
              <w:ind w:right="20"/>
              <w:spacing w:after="0"/>
              <w:rPr>
                <w:sz w:val="20"/>
                <w:szCs w:val="20"/>
                <w:color w:val="auto"/>
              </w:rPr>
            </w:pPr>
            <w:r>
              <w:rPr>
                <w:rFonts w:ascii="Arial" w:cs="Arial" w:eastAsia="Arial" w:hAnsi="Arial"/>
                <w:sz w:val="18"/>
                <w:szCs w:val="18"/>
                <w:color w:val="auto"/>
              </w:rPr>
              <w:t>98%</w:t>
            </w:r>
          </w:p>
        </w:tc>
        <w:tc>
          <w:tcPr>
            <w:tcW w:w="1140" w:type="dxa"/>
            <w:vAlign w:val="bottom"/>
          </w:tcPr>
          <w:p>
            <w:pPr>
              <w:spacing w:after="0"/>
              <w:rPr>
                <w:sz w:val="18"/>
                <w:szCs w:val="18"/>
                <w:color w:val="auto"/>
              </w:rPr>
            </w:pPr>
          </w:p>
        </w:tc>
      </w:tr>
      <w:tr>
        <w:trPr>
          <w:trHeight w:val="216"/>
        </w:trPr>
        <w:tc>
          <w:tcPr>
            <w:tcW w:w="1160" w:type="dxa"/>
            <w:vAlign w:val="bottom"/>
          </w:tcPr>
          <w:p>
            <w:pPr>
              <w:spacing w:after="0"/>
              <w:rPr>
                <w:sz w:val="18"/>
                <w:szCs w:val="18"/>
                <w:color w:val="auto"/>
              </w:rPr>
            </w:pPr>
          </w:p>
        </w:tc>
        <w:tc>
          <w:tcPr>
            <w:tcW w:w="3780" w:type="dxa"/>
            <w:vAlign w:val="bottom"/>
            <w:shd w:val="clear" w:color="auto" w:fill="CCEEFF"/>
          </w:tcPr>
          <w:p>
            <w:pPr>
              <w:spacing w:after="0"/>
              <w:rPr>
                <w:sz w:val="20"/>
                <w:szCs w:val="20"/>
                <w:color w:val="auto"/>
              </w:rPr>
            </w:pPr>
            <w:r>
              <w:rPr>
                <w:rFonts w:ascii="Arial" w:cs="Arial" w:eastAsia="Arial" w:hAnsi="Arial"/>
                <w:sz w:val="18"/>
                <w:szCs w:val="18"/>
                <w:color w:val="auto"/>
              </w:rPr>
              <w:t>Expected option term (options)</w:t>
            </w:r>
          </w:p>
        </w:tc>
        <w:tc>
          <w:tcPr>
            <w:tcW w:w="90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6.2 Years</w:t>
            </w:r>
          </w:p>
        </w:tc>
        <w:tc>
          <w:tcPr>
            <w:tcW w:w="15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5.5 - 6.3 Years</w:t>
            </w:r>
          </w:p>
        </w:tc>
        <w:tc>
          <w:tcPr>
            <w:tcW w:w="14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3 - 6.3 Years</w:t>
            </w:r>
          </w:p>
        </w:tc>
        <w:tc>
          <w:tcPr>
            <w:tcW w:w="1140" w:type="dxa"/>
            <w:vAlign w:val="bottom"/>
          </w:tcPr>
          <w:p>
            <w:pPr>
              <w:spacing w:after="0"/>
              <w:rPr>
                <w:sz w:val="18"/>
                <w:szCs w:val="18"/>
                <w:color w:val="auto"/>
              </w:rPr>
            </w:pPr>
          </w:p>
        </w:tc>
      </w:tr>
      <w:tr>
        <w:trPr>
          <w:trHeight w:val="216"/>
        </w:trPr>
        <w:tc>
          <w:tcPr>
            <w:tcW w:w="1160" w:type="dxa"/>
            <w:vAlign w:val="bottom"/>
          </w:tcPr>
          <w:p>
            <w:pPr>
              <w:spacing w:after="0"/>
              <w:rPr>
                <w:sz w:val="18"/>
                <w:szCs w:val="18"/>
                <w:color w:val="auto"/>
              </w:rPr>
            </w:pPr>
          </w:p>
        </w:tc>
        <w:tc>
          <w:tcPr>
            <w:tcW w:w="3780" w:type="dxa"/>
            <w:vAlign w:val="bottom"/>
          </w:tcPr>
          <w:p>
            <w:pPr>
              <w:spacing w:after="0"/>
              <w:rPr>
                <w:sz w:val="20"/>
                <w:szCs w:val="20"/>
                <w:color w:val="auto"/>
              </w:rPr>
            </w:pPr>
            <w:r>
              <w:rPr>
                <w:rFonts w:ascii="Arial" w:cs="Arial" w:eastAsia="Arial" w:hAnsi="Arial"/>
                <w:sz w:val="18"/>
                <w:szCs w:val="18"/>
                <w:color w:val="auto"/>
              </w:rPr>
              <w:t>Expected option term (2004 ESPP)</w:t>
            </w:r>
          </w:p>
        </w:tc>
        <w:tc>
          <w:tcPr>
            <w:tcW w:w="900" w:type="dxa"/>
            <w:vAlign w:val="bottom"/>
          </w:tcPr>
          <w:p>
            <w:pPr>
              <w:spacing w:after="0"/>
              <w:rPr>
                <w:sz w:val="18"/>
                <w:szCs w:val="18"/>
                <w:color w:val="auto"/>
              </w:rPr>
            </w:pPr>
          </w:p>
        </w:tc>
        <w:tc>
          <w:tcPr>
            <w:tcW w:w="1500" w:type="dxa"/>
            <w:vAlign w:val="bottom"/>
            <w:gridSpan w:val="2"/>
          </w:tcPr>
          <w:p>
            <w:pPr>
              <w:jc w:val="right"/>
              <w:ind w:right="220"/>
              <w:spacing w:after="0"/>
              <w:rPr>
                <w:sz w:val="20"/>
                <w:szCs w:val="20"/>
                <w:color w:val="auto"/>
              </w:rPr>
            </w:pPr>
            <w:r>
              <w:rPr>
                <w:rFonts w:ascii="Arial" w:cs="Arial" w:eastAsia="Arial" w:hAnsi="Arial"/>
                <w:sz w:val="18"/>
                <w:szCs w:val="18"/>
                <w:color w:val="auto"/>
              </w:rPr>
              <w:t>.5 Years</w:t>
            </w:r>
          </w:p>
        </w:tc>
        <w:tc>
          <w:tcPr>
            <w:tcW w:w="1500" w:type="dxa"/>
            <w:vAlign w:val="bottom"/>
            <w:gridSpan w:val="2"/>
          </w:tcPr>
          <w:p>
            <w:pPr>
              <w:jc w:val="right"/>
              <w:ind w:right="220"/>
              <w:spacing w:after="0"/>
              <w:rPr>
                <w:sz w:val="20"/>
                <w:szCs w:val="20"/>
                <w:color w:val="auto"/>
              </w:rPr>
            </w:pPr>
            <w:r>
              <w:rPr>
                <w:rFonts w:ascii="Arial" w:cs="Arial" w:eastAsia="Arial" w:hAnsi="Arial"/>
                <w:sz w:val="18"/>
                <w:szCs w:val="18"/>
                <w:color w:val="auto"/>
              </w:rPr>
              <w:t>.5 Years</w:t>
            </w:r>
          </w:p>
        </w:tc>
        <w:tc>
          <w:tcPr>
            <w:tcW w:w="1440" w:type="dxa"/>
            <w:vAlign w:val="bottom"/>
            <w:gridSpan w:val="2"/>
          </w:tcPr>
          <w:p>
            <w:pPr>
              <w:jc w:val="right"/>
              <w:ind w:right="160"/>
              <w:spacing w:after="0"/>
              <w:rPr>
                <w:sz w:val="20"/>
                <w:szCs w:val="20"/>
                <w:color w:val="auto"/>
              </w:rPr>
            </w:pPr>
            <w:r>
              <w:rPr>
                <w:rFonts w:ascii="Arial" w:cs="Arial" w:eastAsia="Arial" w:hAnsi="Arial"/>
                <w:sz w:val="18"/>
                <w:szCs w:val="18"/>
                <w:color w:val="auto"/>
              </w:rPr>
              <w:t>.5 Years</w:t>
            </w:r>
          </w:p>
        </w:tc>
        <w:tc>
          <w:tcPr>
            <w:tcW w:w="1140" w:type="dxa"/>
            <w:vAlign w:val="bottom"/>
          </w:tcPr>
          <w:p>
            <w:pPr>
              <w:spacing w:after="0"/>
              <w:rPr>
                <w:sz w:val="18"/>
                <w:szCs w:val="18"/>
                <w:color w:val="auto"/>
              </w:rPr>
            </w:pPr>
          </w:p>
        </w:tc>
      </w:tr>
      <w:tr>
        <w:trPr>
          <w:trHeight w:val="216"/>
        </w:trPr>
        <w:tc>
          <w:tcPr>
            <w:tcW w:w="1160" w:type="dxa"/>
            <w:vAlign w:val="bottom"/>
          </w:tcPr>
          <w:p>
            <w:pPr>
              <w:spacing w:after="0"/>
              <w:rPr>
                <w:sz w:val="18"/>
                <w:szCs w:val="18"/>
                <w:color w:val="auto"/>
              </w:rPr>
            </w:pPr>
          </w:p>
        </w:tc>
        <w:tc>
          <w:tcPr>
            <w:tcW w:w="3780" w:type="dxa"/>
            <w:vAlign w:val="bottom"/>
            <w:shd w:val="clear" w:color="auto" w:fill="CCEEFF"/>
          </w:tcPr>
          <w:p>
            <w:pPr>
              <w:spacing w:after="0"/>
              <w:rPr>
                <w:sz w:val="20"/>
                <w:szCs w:val="20"/>
                <w:color w:val="auto"/>
              </w:rPr>
            </w:pPr>
            <w:r>
              <w:rPr>
                <w:rFonts w:ascii="Arial" w:cs="Arial" w:eastAsia="Arial" w:hAnsi="Arial"/>
                <w:sz w:val="18"/>
                <w:szCs w:val="18"/>
                <w:color w:val="auto"/>
              </w:rPr>
              <w:t>Risk-free interest rate (options)</w:t>
            </w:r>
          </w:p>
        </w:tc>
        <w:tc>
          <w:tcPr>
            <w:tcW w:w="240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1.8 - 3.2%</w:t>
            </w:r>
          </w:p>
        </w:tc>
        <w:tc>
          <w:tcPr>
            <w:tcW w:w="15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1.8 - 3.4%</w:t>
            </w:r>
          </w:p>
        </w:tc>
        <w:tc>
          <w:tcPr>
            <w:tcW w:w="14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1.8 - 3.3%</w:t>
            </w:r>
          </w:p>
        </w:tc>
        <w:tc>
          <w:tcPr>
            <w:tcW w:w="1140" w:type="dxa"/>
            <w:vAlign w:val="bottom"/>
          </w:tcPr>
          <w:p>
            <w:pPr>
              <w:spacing w:after="0"/>
              <w:rPr>
                <w:sz w:val="18"/>
                <w:szCs w:val="18"/>
                <w:color w:val="auto"/>
              </w:rPr>
            </w:pPr>
          </w:p>
        </w:tc>
      </w:tr>
      <w:tr>
        <w:trPr>
          <w:trHeight w:val="216"/>
        </w:trPr>
        <w:tc>
          <w:tcPr>
            <w:tcW w:w="1160" w:type="dxa"/>
            <w:vAlign w:val="bottom"/>
          </w:tcPr>
          <w:p>
            <w:pPr>
              <w:spacing w:after="0"/>
              <w:rPr>
                <w:sz w:val="18"/>
                <w:szCs w:val="18"/>
                <w:color w:val="auto"/>
              </w:rPr>
            </w:pPr>
          </w:p>
        </w:tc>
        <w:tc>
          <w:tcPr>
            <w:tcW w:w="3780" w:type="dxa"/>
            <w:vAlign w:val="bottom"/>
          </w:tcPr>
          <w:p>
            <w:pPr>
              <w:spacing w:after="0"/>
              <w:rPr>
                <w:sz w:val="20"/>
                <w:szCs w:val="20"/>
                <w:color w:val="auto"/>
              </w:rPr>
            </w:pPr>
            <w:r>
              <w:rPr>
                <w:rFonts w:ascii="Arial" w:cs="Arial" w:eastAsia="Arial" w:hAnsi="Arial"/>
                <w:sz w:val="18"/>
                <w:szCs w:val="18"/>
                <w:color w:val="auto"/>
              </w:rPr>
              <w:t>Risk-free interest rate (2004 ESPP)</w:t>
            </w:r>
          </w:p>
        </w:tc>
        <w:tc>
          <w:tcPr>
            <w:tcW w:w="2400" w:type="dxa"/>
            <w:vAlign w:val="bottom"/>
            <w:gridSpan w:val="3"/>
          </w:tcPr>
          <w:p>
            <w:pPr>
              <w:jc w:val="right"/>
              <w:ind w:right="80"/>
              <w:spacing w:after="0"/>
              <w:rPr>
                <w:sz w:val="20"/>
                <w:szCs w:val="20"/>
                <w:color w:val="auto"/>
              </w:rPr>
            </w:pPr>
            <w:r>
              <w:rPr>
                <w:rFonts w:ascii="Arial" w:cs="Arial" w:eastAsia="Arial" w:hAnsi="Arial"/>
                <w:sz w:val="18"/>
                <w:szCs w:val="18"/>
                <w:color w:val="auto"/>
              </w:rPr>
              <w:t>0.2%</w:t>
            </w:r>
          </w:p>
        </w:tc>
        <w:tc>
          <w:tcPr>
            <w:tcW w:w="1500" w:type="dxa"/>
            <w:vAlign w:val="bottom"/>
            <w:gridSpan w:val="2"/>
          </w:tcPr>
          <w:p>
            <w:pPr>
              <w:jc w:val="right"/>
              <w:ind w:right="80"/>
              <w:spacing w:after="0"/>
              <w:rPr>
                <w:sz w:val="20"/>
                <w:szCs w:val="20"/>
                <w:color w:val="auto"/>
              </w:rPr>
            </w:pPr>
            <w:r>
              <w:rPr>
                <w:rFonts w:ascii="Arial" w:cs="Arial" w:eastAsia="Arial" w:hAnsi="Arial"/>
                <w:sz w:val="18"/>
                <w:szCs w:val="18"/>
                <w:color w:val="auto"/>
              </w:rPr>
              <w:t>0.3%</w:t>
            </w:r>
          </w:p>
        </w:tc>
        <w:tc>
          <w:tcPr>
            <w:tcW w:w="1440" w:type="dxa"/>
            <w:vAlign w:val="bottom"/>
            <w:gridSpan w:val="2"/>
          </w:tcPr>
          <w:p>
            <w:pPr>
              <w:jc w:val="right"/>
              <w:ind w:right="20"/>
              <w:spacing w:after="0"/>
              <w:rPr>
                <w:sz w:val="20"/>
                <w:szCs w:val="20"/>
                <w:color w:val="auto"/>
              </w:rPr>
            </w:pPr>
            <w:r>
              <w:rPr>
                <w:rFonts w:ascii="Arial" w:cs="Arial" w:eastAsia="Arial" w:hAnsi="Arial"/>
                <w:sz w:val="18"/>
                <w:szCs w:val="18"/>
                <w:color w:val="auto"/>
              </w:rPr>
              <w:t>0.3%</w:t>
            </w:r>
          </w:p>
        </w:tc>
        <w:tc>
          <w:tcPr>
            <w:tcW w:w="1140" w:type="dxa"/>
            <w:vAlign w:val="bottom"/>
          </w:tcPr>
          <w:p>
            <w:pPr>
              <w:spacing w:after="0"/>
              <w:rPr>
                <w:sz w:val="18"/>
                <w:szCs w:val="18"/>
                <w:color w:val="auto"/>
              </w:rPr>
            </w:pPr>
          </w:p>
        </w:tc>
      </w:tr>
      <w:tr>
        <w:trPr>
          <w:trHeight w:val="216"/>
        </w:trPr>
        <w:tc>
          <w:tcPr>
            <w:tcW w:w="1160" w:type="dxa"/>
            <w:vAlign w:val="bottom"/>
          </w:tcPr>
          <w:p>
            <w:pPr>
              <w:spacing w:after="0"/>
              <w:rPr>
                <w:sz w:val="18"/>
                <w:szCs w:val="18"/>
                <w:color w:val="auto"/>
              </w:rPr>
            </w:pPr>
          </w:p>
        </w:tc>
        <w:tc>
          <w:tcPr>
            <w:tcW w:w="3780" w:type="dxa"/>
            <w:vAlign w:val="bottom"/>
            <w:shd w:val="clear" w:color="auto" w:fill="CCEEFF"/>
          </w:tcPr>
          <w:p>
            <w:pPr>
              <w:spacing w:after="0"/>
              <w:rPr>
                <w:sz w:val="20"/>
                <w:szCs w:val="20"/>
                <w:color w:val="auto"/>
              </w:rPr>
            </w:pPr>
            <w:r>
              <w:rPr>
                <w:rFonts w:ascii="Arial" w:cs="Arial" w:eastAsia="Arial" w:hAnsi="Arial"/>
                <w:sz w:val="18"/>
                <w:szCs w:val="18"/>
                <w:color w:val="auto"/>
              </w:rPr>
              <w:t>Expected dividend yield</w:t>
            </w:r>
          </w:p>
        </w:tc>
        <w:tc>
          <w:tcPr>
            <w:tcW w:w="90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None</w:t>
            </w:r>
          </w:p>
        </w:tc>
        <w:tc>
          <w:tcPr>
            <w:tcW w:w="15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None</w:t>
            </w:r>
          </w:p>
        </w:tc>
        <w:tc>
          <w:tcPr>
            <w:tcW w:w="14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None</w:t>
            </w:r>
          </w:p>
        </w:tc>
        <w:tc>
          <w:tcPr>
            <w:tcW w:w="1140" w:type="dxa"/>
            <w:vAlign w:val="bottom"/>
          </w:tcPr>
          <w:p>
            <w:pPr>
              <w:spacing w:after="0"/>
              <w:rPr>
                <w:sz w:val="18"/>
                <w:szCs w:val="18"/>
                <w:color w:val="auto"/>
              </w:rPr>
            </w:pPr>
          </w:p>
        </w:tc>
      </w:tr>
      <w:tr>
        <w:trPr>
          <w:trHeight w:val="430"/>
        </w:trPr>
        <w:tc>
          <w:tcPr>
            <w:tcW w:w="1160" w:type="dxa"/>
            <w:vAlign w:val="bottom"/>
          </w:tcPr>
          <w:p>
            <w:pPr>
              <w:spacing w:after="0"/>
              <w:rPr>
                <w:sz w:val="24"/>
                <w:szCs w:val="24"/>
                <w:color w:val="auto"/>
              </w:rPr>
            </w:pPr>
          </w:p>
        </w:tc>
        <w:tc>
          <w:tcPr>
            <w:tcW w:w="378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87</w:t>
            </w:r>
          </w:p>
        </w:tc>
        <w:tc>
          <w:tcPr>
            <w:tcW w:w="12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40" w:type="dxa"/>
            <w:vAlign w:val="bottom"/>
          </w:tcPr>
          <w:p>
            <w:pPr>
              <w:spacing w:after="0"/>
              <w:rPr>
                <w:sz w:val="24"/>
                <w:szCs w:val="24"/>
                <w:color w:val="auto"/>
              </w:rPr>
            </w:pPr>
          </w:p>
        </w:tc>
      </w:tr>
      <w:tr>
        <w:trPr>
          <w:trHeight w:val="228"/>
        </w:trPr>
        <w:tc>
          <w:tcPr>
            <w:tcW w:w="1160" w:type="dxa"/>
            <w:vAlign w:val="bottom"/>
            <w:tcBorders>
              <w:bottom w:val="single" w:sz="8" w:color="808080"/>
            </w:tcBorders>
          </w:tcPr>
          <w:p>
            <w:pPr>
              <w:spacing w:after="0"/>
              <w:rPr>
                <w:sz w:val="19"/>
                <w:szCs w:val="19"/>
                <w:color w:val="auto"/>
              </w:rPr>
            </w:pPr>
          </w:p>
        </w:tc>
        <w:tc>
          <w:tcPr>
            <w:tcW w:w="3780" w:type="dxa"/>
            <w:vAlign w:val="bottom"/>
            <w:tcBorders>
              <w:bottom w:val="single" w:sz="8" w:color="808080"/>
            </w:tcBorders>
          </w:tcPr>
          <w:p>
            <w:pPr>
              <w:spacing w:after="0"/>
              <w:rPr>
                <w:sz w:val="19"/>
                <w:szCs w:val="19"/>
                <w:color w:val="auto"/>
              </w:rPr>
            </w:pPr>
          </w:p>
        </w:tc>
        <w:tc>
          <w:tcPr>
            <w:tcW w:w="900" w:type="dxa"/>
            <w:vAlign w:val="bottom"/>
            <w:tcBorders>
              <w:bottom w:val="single" w:sz="8" w:color="808080"/>
            </w:tcBorders>
          </w:tcPr>
          <w:p>
            <w:pPr>
              <w:spacing w:after="0"/>
              <w:rPr>
                <w:sz w:val="19"/>
                <w:szCs w:val="19"/>
                <w:color w:val="auto"/>
              </w:rPr>
            </w:pPr>
          </w:p>
        </w:tc>
        <w:tc>
          <w:tcPr>
            <w:tcW w:w="1280" w:type="dxa"/>
            <w:vAlign w:val="bottom"/>
            <w:tcBorders>
              <w:bottom w:val="single" w:sz="8" w:color="808080"/>
            </w:tcBorders>
          </w:tcPr>
          <w:p>
            <w:pPr>
              <w:spacing w:after="0"/>
              <w:rPr>
                <w:sz w:val="19"/>
                <w:szCs w:val="19"/>
                <w:color w:val="auto"/>
              </w:rPr>
            </w:pPr>
          </w:p>
        </w:tc>
        <w:tc>
          <w:tcPr>
            <w:tcW w:w="220" w:type="dxa"/>
            <w:vAlign w:val="bottom"/>
            <w:tcBorders>
              <w:bottom w:val="single" w:sz="8" w:color="808080"/>
            </w:tcBorders>
          </w:tcPr>
          <w:p>
            <w:pPr>
              <w:spacing w:after="0"/>
              <w:rPr>
                <w:sz w:val="19"/>
                <w:szCs w:val="19"/>
                <w:color w:val="auto"/>
              </w:rPr>
            </w:pPr>
          </w:p>
        </w:tc>
        <w:tc>
          <w:tcPr>
            <w:tcW w:w="1280" w:type="dxa"/>
            <w:vAlign w:val="bottom"/>
            <w:tcBorders>
              <w:bottom w:val="single" w:sz="8" w:color="808080"/>
            </w:tcBorders>
          </w:tcPr>
          <w:p>
            <w:pPr>
              <w:spacing w:after="0"/>
              <w:rPr>
                <w:sz w:val="19"/>
                <w:szCs w:val="19"/>
                <w:color w:val="auto"/>
              </w:rPr>
            </w:pPr>
          </w:p>
        </w:tc>
        <w:tc>
          <w:tcPr>
            <w:tcW w:w="220" w:type="dxa"/>
            <w:vAlign w:val="bottom"/>
            <w:tcBorders>
              <w:bottom w:val="single" w:sz="8" w:color="808080"/>
            </w:tcBorders>
          </w:tcPr>
          <w:p>
            <w:pPr>
              <w:spacing w:after="0"/>
              <w:rPr>
                <w:sz w:val="19"/>
                <w:szCs w:val="19"/>
                <w:color w:val="auto"/>
              </w:rPr>
            </w:pPr>
          </w:p>
        </w:tc>
        <w:tc>
          <w:tcPr>
            <w:tcW w:w="128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1140" w:type="dxa"/>
            <w:vAlign w:val="bottom"/>
            <w:tcBorders>
              <w:bottom w:val="single" w:sz="8" w:color="808080"/>
            </w:tcBorders>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93" w:name="page94"/>
    <w:bookmarkEnd w:id="93"/>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CELLDEX THERAPEUTICS, INC.</w:t>
      </w:r>
    </w:p>
    <w:p>
      <w:pPr>
        <w:spacing w:after="0" w:line="225" w:lineRule="exact"/>
        <w:rPr>
          <w:sz w:val="20"/>
          <w:szCs w:val="20"/>
          <w:color w:val="auto"/>
        </w:rPr>
      </w:pPr>
    </w:p>
    <w:p>
      <w:pPr>
        <w:ind w:left="2940"/>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(12) STOCK-BASED COMPENSATION (Continued)</w:t>
      </w:r>
    </w:p>
    <w:p>
      <w:pPr>
        <w:spacing w:after="0" w:line="231" w:lineRule="exact"/>
        <w:rPr>
          <w:sz w:val="20"/>
          <w:szCs w:val="20"/>
          <w:color w:val="auto"/>
        </w:rPr>
      </w:pPr>
    </w:p>
    <w:p>
      <w:pPr>
        <w:ind w:right="80" w:firstLine="351"/>
        <w:spacing w:after="0" w:line="290" w:lineRule="auto"/>
        <w:rPr>
          <w:sz w:val="20"/>
          <w:szCs w:val="20"/>
          <w:color w:val="auto"/>
        </w:rPr>
      </w:pPr>
      <w:r>
        <w:rPr>
          <w:rFonts w:ascii="Arial" w:cs="Arial" w:eastAsia="Arial" w:hAnsi="Arial"/>
          <w:sz w:val="16"/>
          <w:szCs w:val="16"/>
          <w:color w:val="auto"/>
        </w:rPr>
        <w:t>Prior to January 1, 2010, the Company used the simplified method of estimating the expected term for share-based compensation. Starting January 1, 2010, the Company ceased using the simplified method, and now uses the average of expected terms for industry peers. Due to the AVANT Merger and the CuraGen Merger, historical exercise patterns do not provide a reasonable basis to estimate expected term of current option grants. Industry peers consist of several public companies that are similar in size in the biopharmaceutical industry. The Company uses its historical stock price volatility consistent with the expected term of grant as the basis for its expected volatility assumption. The risk-free interest rate is based upon the yield of U.S. Treasury securities consistent with the expected term of the option. The dividend yield assumption is based on the Company's history of zero dividend payouts and expectation that no dividends will be paid in the foreseeable future.</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(13) SIGNIFICANT REVENUE ARRANGEMENTS</w:t>
      </w:r>
    </w:p>
    <w:p>
      <w:pPr>
        <w:spacing w:after="0" w:line="231" w:lineRule="exact"/>
        <w:rPr>
          <w:sz w:val="20"/>
          <w:szCs w:val="20"/>
          <w:color w:val="auto"/>
        </w:rPr>
      </w:pPr>
    </w:p>
    <w:p>
      <w:pPr>
        <w:ind w:left="340"/>
        <w:spacing w:after="0"/>
        <w:rPr>
          <w:sz w:val="20"/>
          <w:szCs w:val="20"/>
          <w:color w:val="auto"/>
        </w:rPr>
      </w:pPr>
      <w:r>
        <w:rPr>
          <w:rFonts w:ascii="Arial" w:cs="Arial" w:eastAsia="Arial" w:hAnsi="Arial"/>
          <w:sz w:val="18"/>
          <w:szCs w:val="18"/>
          <w:color w:val="auto"/>
        </w:rPr>
        <w:t>A summary of the Company's significant revenue contracts and arrangements follows: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GlaxoSmithKline plc ("Glaxo") and Paul Royalty Fund II, L.P. ("PRF")</w:t>
      </w:r>
    </w:p>
    <w:p>
      <w:pPr>
        <w:spacing w:after="0" w:line="225" w:lineRule="exact"/>
        <w:rPr>
          <w:sz w:val="20"/>
          <w:szCs w:val="20"/>
          <w:color w:val="auto"/>
        </w:rPr>
      </w:pPr>
    </w:p>
    <w:p>
      <w:pPr>
        <w:ind w:firstLine="351"/>
        <w:spacing w:after="0" w:line="291" w:lineRule="auto"/>
        <w:rPr>
          <w:sz w:val="20"/>
          <w:szCs w:val="20"/>
          <w:color w:val="auto"/>
        </w:rPr>
      </w:pPr>
      <w:r>
        <w:rPr>
          <w:rFonts w:ascii="Arial" w:cs="Arial" w:eastAsia="Arial" w:hAnsi="Arial"/>
          <w:sz w:val="16"/>
          <w:szCs w:val="16"/>
          <w:color w:val="auto"/>
        </w:rPr>
        <w:t>In 1997, the Company entered into an agreement with Glaxo to collaborate on the development and commercialization of the Company's oral rotavirus strain and Glaxo assumed responsibility for all subsequent clinical trials and all other development activities. The Company's licensed-in the rotavirus strain that was used to develop Glaxo's Rotarix® rotavirus vaccine in 1995 and owes a license fee of 30% to Cincinnati Children's Hospital Medical Center ("CCH") on net royalties received from Glaxo. The Company is obligated to maintain a license with CCH with respect to the Glaxo agreement. The term of the Glaxo agreement is through the expiration of the last of the relevant patents covered by the agreement, although Glaxo may terminate the agreement upon 90 days prior written notice. The last relevant patent is scheduled to expire in December 2012. No additional milestone payments are due from Glaxo under the agreement.</w:t>
      </w:r>
    </w:p>
    <w:p>
      <w:pPr>
        <w:spacing w:after="0" w:line="174" w:lineRule="exact"/>
        <w:rPr>
          <w:sz w:val="20"/>
          <w:szCs w:val="20"/>
          <w:color w:val="auto"/>
        </w:rPr>
      </w:pPr>
    </w:p>
    <w:p>
      <w:pPr>
        <w:ind w:right="100" w:firstLine="351"/>
        <w:spacing w:after="0" w:line="291" w:lineRule="auto"/>
        <w:rPr>
          <w:sz w:val="20"/>
          <w:szCs w:val="20"/>
          <w:color w:val="auto"/>
        </w:rPr>
      </w:pPr>
      <w:r>
        <w:rPr>
          <w:rFonts w:ascii="Arial" w:cs="Arial" w:eastAsia="Arial" w:hAnsi="Arial"/>
          <w:sz w:val="16"/>
          <w:szCs w:val="16"/>
          <w:color w:val="auto"/>
        </w:rPr>
        <w:t>In May 2005, the Company entered into an agreement whereby an affiliate of PRF purchased a 70% interest in the milestone payments and net royalties the Company will receive on worldwide sales of Rotarix®. We have received a total of $60 million in milestone payments under the PRF agreement. No additional milestone payments are due from PRF under the agreement. The PRF agreement terminates on December 12, 2012, unless otherwise extended. The Company's retained interests in Rotarix® net royalties which were not sold to PRF are recorded as product royalty revenue and a corresponding amount that is payable to CCH is recorded as royalty expense. Product royalty revenue and royalty expense related to the Company's retained interest in Rotarix® was $6.4 million, $7.7 million and $3.0 million for the years ended December 31, 2010, 2009 and 2008, respectively.</w:t>
      </w:r>
    </w:p>
    <w:p>
      <w:pPr>
        <w:spacing w:after="0" w:line="174" w:lineRule="exact"/>
        <w:rPr>
          <w:sz w:val="20"/>
          <w:szCs w:val="20"/>
          <w:color w:val="auto"/>
        </w:rPr>
      </w:pPr>
    </w:p>
    <w:p>
      <w:pPr>
        <w:ind w:firstLine="351"/>
        <w:spacing w:after="0" w:line="291" w:lineRule="auto"/>
        <w:rPr>
          <w:sz w:val="20"/>
          <w:szCs w:val="20"/>
          <w:color w:val="auto"/>
        </w:rPr>
      </w:pPr>
      <w:r>
        <w:rPr>
          <w:rFonts w:ascii="Arial" w:cs="Arial" w:eastAsia="Arial" w:hAnsi="Arial"/>
          <w:sz w:val="16"/>
          <w:szCs w:val="16"/>
          <w:color w:val="auto"/>
        </w:rPr>
        <w:t>Royalty rates on Rotarix® escalate from 7% to 10% based on net product sales in countries that have valid patent protection. These royalty rates are discounted by 30% for "non-patent" countries (primarily international markets). In September 2006, the Company received notice from Glaxo that Glaxo would begin paying royalties on sales of Rotarix® at the lower of the two royalty rates under their 1997 license agreement. Glaxo's decision to pay the lower royalty rate (which is 70% of the full rate) is based upon Glaxo's assertion that Rotarix® is not covered by the patents Glaxo licensed from the Company in Australia and certain European countries. If Glaxo's position stands, the royalties to which PRF is entitled will no longer be limited by a $27.5 million annual threshold. With respect to the $27.5 million annual threshold, if worldwide net royalties on sales of Rotarix® exceed $27.5 million in</w:t>
      </w:r>
    </w:p>
    <w:p>
      <w:pPr>
        <w:spacing w:after="0" w:line="17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88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94" w:name="page95"/>
    <w:bookmarkEnd w:id="94"/>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CELLDEX THERAPEUTICS, INC.</w:t>
      </w:r>
    </w:p>
    <w:p>
      <w:pPr>
        <w:spacing w:after="0" w:line="225" w:lineRule="exact"/>
        <w:rPr>
          <w:sz w:val="20"/>
          <w:szCs w:val="20"/>
          <w:color w:val="auto"/>
        </w:rPr>
      </w:pPr>
    </w:p>
    <w:p>
      <w:pPr>
        <w:ind w:left="2940"/>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(13) SIGNIFICANT REVENUE ARRANGEMENTS (Continued)</w:t>
      </w: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ind w:right="60"/>
        <w:spacing w:after="0" w:line="255" w:lineRule="auto"/>
        <w:rPr>
          <w:sz w:val="20"/>
          <w:szCs w:val="20"/>
          <w:color w:val="auto"/>
        </w:rPr>
      </w:pPr>
      <w:r>
        <w:rPr>
          <w:rFonts w:ascii="Arial" w:cs="Arial" w:eastAsia="Arial" w:hAnsi="Arial"/>
          <w:sz w:val="18"/>
          <w:szCs w:val="18"/>
          <w:color w:val="auto"/>
        </w:rPr>
        <w:t>any year, we would retain approximately 65% of all royalties in excess of $27.5 million. Irrespective of Glaxo's position, the Company will still retain approximately 65% of the royalties on worldwide sales of Rotarix® once PRF receives 2.45 times the aggregate cash payments of $60 million it made to the Company, though the potential amount of such residual royalties will be lower if Glaxo's position stands. In late March 2010, the FDA temporarily suspended the use of Rotarix® in the United States as a precautionary measure following the discovery of PCV-1 DNA material in the vaccine. In May 2010, the FDA determined that healthcare practitioners could resume the use of Rotarix®.</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Pfizer Inc ("Pfizer")</w:t>
      </w:r>
    </w:p>
    <w:p>
      <w:pPr>
        <w:spacing w:after="0" w:line="225" w:lineRule="exact"/>
        <w:rPr>
          <w:sz w:val="20"/>
          <w:szCs w:val="20"/>
          <w:color w:val="auto"/>
        </w:rPr>
      </w:pPr>
    </w:p>
    <w:p>
      <w:pPr>
        <w:ind w:firstLine="351"/>
        <w:spacing w:after="0" w:line="289" w:lineRule="auto"/>
        <w:rPr>
          <w:sz w:val="20"/>
          <w:szCs w:val="20"/>
          <w:color w:val="auto"/>
        </w:rPr>
      </w:pPr>
      <w:r>
        <w:rPr>
          <w:rFonts w:ascii="Arial" w:cs="Arial" w:eastAsia="Arial" w:hAnsi="Arial"/>
          <w:sz w:val="16"/>
          <w:szCs w:val="16"/>
          <w:color w:val="auto"/>
        </w:rPr>
        <w:t>On April 16, 2008, the Company and Pfizer entered into a License and Development Agreement (the "Pfizer Agreement") under which Pfizer was granted an exclusive worldwide license to a therapeutic cancer vaccine candidate, rindopepimut (CDX-110), in Phase 2b development for the treatment of glioblastoma multiforme. The Pfizer Agreement also gave Pfizer exclusive rights to the use of EGFRvIII vaccines in other potential indications. Under the Pfizer Agreement, Pfizer made an upfront payment to the Company of $40 million and made a $10 million equity investment in the Company. On May 27, 2008, the Company received $10 million from Pfizer in exchange for 781,250 shares of the Company's common stock having a fair value of $10.9 million, or $13.91 per share, on that date. The $0.9 million over the amount received from Pfizer was recorded as a reduction to deferred revenue of the $40 million upfront payment received from Pfizer on June 18, 2008. The Pfizer Agreement also provided for reimbursement by Pfizer of all costs incurred by the Company in connection with the collaboration since the effective date.</w:t>
      </w:r>
    </w:p>
    <w:p>
      <w:pPr>
        <w:spacing w:after="0" w:line="172" w:lineRule="exact"/>
        <w:rPr>
          <w:sz w:val="20"/>
          <w:szCs w:val="20"/>
          <w:color w:val="auto"/>
        </w:rPr>
      </w:pPr>
    </w:p>
    <w:p>
      <w:pPr>
        <w:ind w:right="20" w:firstLine="348"/>
        <w:spacing w:after="0" w:line="290" w:lineRule="auto"/>
        <w:rPr>
          <w:sz w:val="20"/>
          <w:szCs w:val="20"/>
          <w:color w:val="auto"/>
        </w:rPr>
      </w:pPr>
      <w:r>
        <w:rPr>
          <w:rFonts w:ascii="Arial" w:cs="Arial" w:eastAsia="Arial" w:hAnsi="Arial"/>
          <w:sz w:val="16"/>
          <w:szCs w:val="16"/>
          <w:color w:val="auto"/>
        </w:rPr>
        <w:t>The Company had determined that its performance obligations under this collaboration should be accounted for as a single unit of accounting. The Company's deliverables under this collaboration primarily included an exclusive license to its rindopepimut product candidate and its EGFRvIII technologies, research and development services as required under the collaboration and participation in the joint clinical development committee. The Company had estimated that its expected performance period under the collaboration would be 9.5 years based on an assessment of the period over which the Company would have met its performance obligations under the collaboration. The $40 million up-front payment, less the $0.9 million in excess fair value for the Company's common stock discussed above, and research and development reimbursements, were initially recorded as deferred revenue and recognized as revenue on a straight-line basis over this 9.5 year period using the Contingency Adjusted Performance Model ("CAPM").</w:t>
      </w:r>
    </w:p>
    <w:p>
      <w:pPr>
        <w:spacing w:after="0" w:line="172" w:lineRule="exact"/>
        <w:rPr>
          <w:sz w:val="20"/>
          <w:szCs w:val="20"/>
          <w:color w:val="auto"/>
        </w:rPr>
      </w:pPr>
    </w:p>
    <w:p>
      <w:pPr>
        <w:ind w:firstLine="351"/>
        <w:spacing w:after="0" w:line="294" w:lineRule="auto"/>
        <w:rPr>
          <w:sz w:val="20"/>
          <w:szCs w:val="20"/>
          <w:color w:val="auto"/>
        </w:rPr>
      </w:pPr>
      <w:r>
        <w:rPr>
          <w:rFonts w:ascii="Arial" w:cs="Arial" w:eastAsia="Arial" w:hAnsi="Arial"/>
          <w:sz w:val="16"/>
          <w:szCs w:val="16"/>
          <w:color w:val="auto"/>
        </w:rPr>
        <w:t>On September 1, 2010, the Company received written notice (the "Pfizer Notice") from Pfizer of termination with respect to the Pfizer Agreement. The Pfizer Notice was given under a provision of the Pfizer Agreement which permitted termination at any time and for any reason, upon 60-days' written notice to the Company. The Pfizer Notice did not state a reason for termination. In November 2010, the Pfizer Agreement was terminated (the "Pfizer Termination") and all rights to rindopepimut were returned to the Company. As a result of the Pfizer Termination, during three months ended December 31, 2010, the Company recognized the remaining deferred revenue related to the Pfizer Agreement to product development and licensing agreement revenue.</w:t>
      </w:r>
    </w:p>
    <w:p>
      <w:pPr>
        <w:spacing w:after="0" w:line="170" w:lineRule="exact"/>
        <w:rPr>
          <w:sz w:val="20"/>
          <w:szCs w:val="20"/>
          <w:color w:val="auto"/>
        </w:rPr>
      </w:pPr>
    </w:p>
    <w:p>
      <w:pPr>
        <w:ind w:right="120" w:firstLine="348"/>
        <w:spacing w:after="0" w:line="268" w:lineRule="auto"/>
        <w:rPr>
          <w:sz w:val="20"/>
          <w:szCs w:val="20"/>
          <w:color w:val="auto"/>
        </w:rPr>
      </w:pPr>
      <w:r>
        <w:rPr>
          <w:rFonts w:ascii="Arial" w:cs="Arial" w:eastAsia="Arial" w:hAnsi="Arial"/>
          <w:sz w:val="18"/>
          <w:szCs w:val="18"/>
          <w:color w:val="auto"/>
        </w:rPr>
        <w:t>The Company incurred and invoiced Pfizer reimbursable costs related to the Pfizer collaboration of $0.8 million, $3.2 million and $4.9 million for the years ended December 31, 2010, 2009 and 2008,</w:t>
      </w:r>
    </w:p>
    <w:p>
      <w:pPr>
        <w:spacing w:after="0" w:line="1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95" w:name="page96"/>
    <w:bookmarkEnd w:id="95"/>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CELLDEX THERAPEUTICS, INC.</w:t>
      </w:r>
    </w:p>
    <w:p>
      <w:pPr>
        <w:spacing w:after="0" w:line="225" w:lineRule="exact"/>
        <w:rPr>
          <w:sz w:val="20"/>
          <w:szCs w:val="20"/>
          <w:color w:val="auto"/>
        </w:rPr>
      </w:pPr>
    </w:p>
    <w:p>
      <w:pPr>
        <w:ind w:left="2940"/>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(13) SIGNIFICANT REVENUE ARRANGEMENTS (Continued)</w:t>
      </w: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spacing w:after="0"/>
        <w:rPr>
          <w:sz w:val="20"/>
          <w:szCs w:val="20"/>
          <w:color w:val="auto"/>
        </w:rPr>
      </w:pPr>
      <w:r>
        <w:rPr>
          <w:rFonts w:ascii="Arial" w:cs="Arial" w:eastAsia="Arial" w:hAnsi="Arial"/>
          <w:sz w:val="18"/>
          <w:szCs w:val="18"/>
          <w:color w:val="auto"/>
        </w:rPr>
        <w:t>respectively. Effective with the Pfizer Termination, Pfizer is no longer funding the development of rindopepimut.</w:t>
      </w:r>
    </w:p>
    <w:p>
      <w:pPr>
        <w:spacing w:after="0" w:line="225"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The Company recorded product development and licensing agreement revenue under the Pfizer Agreement as follows:</w:t>
      </w:r>
    </w:p>
    <w:p>
      <w:pPr>
        <w:spacing w:after="0" w:line="275" w:lineRule="exact"/>
        <w:rPr>
          <w:sz w:val="20"/>
          <w:szCs w:val="20"/>
          <w:color w:val="auto"/>
        </w:rPr>
      </w:pPr>
    </w:p>
    <w:p>
      <w:pPr>
        <w:ind w:left="7100"/>
        <w:spacing w:after="0"/>
        <w:rPr>
          <w:sz w:val="20"/>
          <w:szCs w:val="20"/>
          <w:color w:val="auto"/>
        </w:rPr>
      </w:pPr>
      <w:r>
        <w:rPr>
          <w:rFonts w:ascii="Arial" w:cs="Arial" w:eastAsia="Arial" w:hAnsi="Arial"/>
          <w:sz w:val="14"/>
          <w:szCs w:val="14"/>
          <w:b w:val="1"/>
          <w:bCs w:val="1"/>
          <w:color w:val="auto"/>
        </w:rPr>
        <w:t>Year Ended 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4258945</wp:posOffset>
            </wp:positionH>
            <wp:positionV relativeFrom="paragraph">
              <wp:posOffset>0</wp:posOffset>
            </wp:positionV>
            <wp:extent cx="1440815" cy="889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1440815" cy="8890"/>
                    </a:xfrm>
                    <a:prstGeom prst="rect">
                      <a:avLst/>
                    </a:prstGeom>
                    <a:noFill/>
                  </pic:spPr>
                </pic:pic>
              </a:graphicData>
            </a:graphic>
          </wp:anchor>
        </w:drawing>
      </w:r>
    </w:p>
    <w:p>
      <w:pPr>
        <w:jc w:val="center"/>
        <w:ind w:left="4300"/>
        <w:spacing w:after="0"/>
        <w:tabs>
          <w:tab w:leader="none" w:pos="520" w:val="left"/>
          <w:tab w:leader="none" w:pos="480" w:val="left"/>
        </w:tabs>
        <w:rPr>
          <w:sz w:val="20"/>
          <w:szCs w:val="20"/>
          <w:color w:val="auto"/>
        </w:rPr>
      </w:pPr>
      <w:r>
        <w:rPr>
          <w:rFonts w:ascii="Arial" w:cs="Arial" w:eastAsia="Arial" w:hAnsi="Arial"/>
          <w:sz w:val="14"/>
          <w:szCs w:val="14"/>
          <w:b w:val="1"/>
          <w:bCs w:val="1"/>
          <w:color w:val="auto"/>
        </w:rPr>
        <w:t>2010</w:t>
      </w:r>
      <w:r>
        <w:rPr>
          <w:sz w:val="20"/>
          <w:szCs w:val="20"/>
          <w:color w:val="auto"/>
        </w:rPr>
        <w:tab/>
      </w:r>
      <w:r>
        <w:rPr>
          <w:rFonts w:ascii="Arial" w:cs="Arial" w:eastAsia="Arial" w:hAnsi="Arial"/>
          <w:sz w:val="14"/>
          <w:szCs w:val="14"/>
          <w:b w:val="1"/>
          <w:bCs w:val="1"/>
          <w:color w:val="auto"/>
        </w:rPr>
        <w:t>2009</w:t>
      </w:r>
      <w:r>
        <w:rPr>
          <w:sz w:val="20"/>
          <w:szCs w:val="20"/>
          <w:color w:val="auto"/>
        </w:rPr>
        <w:tab/>
      </w:r>
      <w:r>
        <w:rPr>
          <w:rFonts w:ascii="Arial" w:cs="Arial" w:eastAsia="Arial" w:hAnsi="Arial"/>
          <w:sz w:val="12"/>
          <w:szCs w:val="12"/>
          <w:b w:val="1"/>
          <w:bCs w:val="1"/>
          <w:color w:val="auto"/>
        </w:rPr>
        <w:t>2008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4258945</wp:posOffset>
            </wp:positionH>
            <wp:positionV relativeFrom="paragraph">
              <wp:posOffset>-6985</wp:posOffset>
            </wp:positionV>
            <wp:extent cx="1440815" cy="889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1440815" cy="8890"/>
                    </a:xfrm>
                    <a:prstGeom prst="rect">
                      <a:avLst/>
                    </a:prstGeom>
                    <a:noFill/>
                  </pic:spPr>
                </pic:pic>
              </a:graphicData>
            </a:graphic>
          </wp:anchor>
        </w:drawing>
      </w:r>
    </w:p>
    <w:p>
      <w:pPr>
        <w:jc w:val="center"/>
        <w:ind w:left="4260"/>
        <w:spacing w:after="0" w:line="223" w:lineRule="auto"/>
        <w:rPr>
          <w:sz w:val="20"/>
          <w:szCs w:val="20"/>
          <w:color w:val="auto"/>
        </w:rPr>
      </w:pPr>
      <w:r>
        <w:rPr>
          <w:rFonts w:ascii="Arial" w:cs="Arial" w:eastAsia="Arial" w:hAnsi="Arial"/>
          <w:sz w:val="14"/>
          <w:szCs w:val="14"/>
          <w:b w:val="1"/>
          <w:bCs w:val="1"/>
          <w:color w:val="auto"/>
        </w:rPr>
        <w:t>(In thousands)</w:t>
      </w:r>
    </w:p>
    <w:p>
      <w:pPr>
        <w:spacing w:after="0" w:line="10" w:lineRule="exact"/>
        <w:rPr>
          <w:sz w:val="20"/>
          <w:szCs w:val="20"/>
          <w:color w:val="auto"/>
        </w:rPr>
      </w:pPr>
    </w:p>
    <w:tbl>
      <w:tblPr>
        <w:tblLayout w:type="fixed"/>
        <w:tblInd w:w="2300" w:type="dxa"/>
        <w:tblCellMar>
          <w:top w:w="0" w:type="dxa"/>
          <w:left w:w="0" w:type="dxa"/>
          <w:bottom w:w="0" w:type="dxa"/>
          <w:right w:w="0" w:type="dxa"/>
        </w:tblCellMar>
      </w:tblPr>
      <w:tr>
        <w:trPr>
          <w:trHeight w:val="207"/>
        </w:trPr>
        <w:tc>
          <w:tcPr>
            <w:tcW w:w="4400" w:type="dxa"/>
            <w:vAlign w:val="bottom"/>
            <w:shd w:val="clear" w:color="auto" w:fill="CCEEFF"/>
          </w:tcPr>
          <w:p>
            <w:pPr>
              <w:spacing w:after="0"/>
              <w:rPr>
                <w:sz w:val="20"/>
                <w:szCs w:val="20"/>
                <w:color w:val="auto"/>
              </w:rPr>
            </w:pPr>
            <w:r>
              <w:rPr>
                <w:rFonts w:ascii="Arial" w:cs="Arial" w:eastAsia="Arial" w:hAnsi="Arial"/>
                <w:sz w:val="18"/>
                <w:szCs w:val="18"/>
                <w:color w:val="auto"/>
              </w:rPr>
              <w:t>Up-front portion</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w w:val="94"/>
              </w:rPr>
              <w:t>32,462</w:t>
            </w:r>
          </w:p>
        </w:tc>
        <w:tc>
          <w:tcPr>
            <w:tcW w:w="160" w:type="dxa"/>
            <w:vAlign w:val="bottom"/>
            <w:shd w:val="clear" w:color="auto" w:fill="CCEEFF"/>
          </w:tcPr>
          <w:p>
            <w:pPr>
              <w:jc w:val="right"/>
              <w:ind w:right="3"/>
              <w:spacing w:after="0"/>
              <w:rPr>
                <w:sz w:val="20"/>
                <w:szCs w:val="20"/>
                <w:color w:val="auto"/>
              </w:rPr>
            </w:pPr>
            <w:r>
              <w:rPr>
                <w:rFonts w:ascii="Arial" w:cs="Arial" w:eastAsia="Arial" w:hAnsi="Arial"/>
                <w:sz w:val="15"/>
                <w:szCs w:val="15"/>
                <w:color w:val="auto"/>
                <w:w w:val="71"/>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4,119</w:t>
            </w:r>
          </w:p>
        </w:tc>
        <w:tc>
          <w:tcPr>
            <w:tcW w:w="3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6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97"/>
              </w:rPr>
              <w:t>2,551</w:t>
            </w:r>
          </w:p>
        </w:tc>
      </w:tr>
      <w:tr>
        <w:trPr>
          <w:trHeight w:val="222"/>
        </w:trPr>
        <w:tc>
          <w:tcPr>
            <w:tcW w:w="4400" w:type="dxa"/>
            <w:vAlign w:val="bottom"/>
          </w:tcPr>
          <w:p>
            <w:pPr>
              <w:spacing w:after="0"/>
              <w:rPr>
                <w:sz w:val="20"/>
                <w:szCs w:val="20"/>
                <w:color w:val="auto"/>
              </w:rPr>
            </w:pPr>
            <w:r>
              <w:rPr>
                <w:rFonts w:ascii="Arial" w:cs="Arial" w:eastAsia="Arial" w:hAnsi="Arial"/>
                <w:sz w:val="18"/>
                <w:szCs w:val="18"/>
                <w:color w:val="auto"/>
              </w:rPr>
              <w:t>Reimbursable costs portion</w:t>
            </w:r>
          </w:p>
        </w:tc>
        <w:tc>
          <w:tcPr>
            <w:tcW w:w="160" w:type="dxa"/>
            <w:vAlign w:val="bottom"/>
          </w:tcPr>
          <w:p>
            <w:pPr>
              <w:spacing w:after="0"/>
              <w:rPr>
                <w:sz w:val="19"/>
                <w:szCs w:val="19"/>
                <w:color w:val="auto"/>
              </w:rPr>
            </w:pPr>
          </w:p>
        </w:tc>
        <w:tc>
          <w:tcPr>
            <w:tcW w:w="720" w:type="dxa"/>
            <w:vAlign w:val="bottom"/>
            <w:gridSpan w:val="2"/>
          </w:tcPr>
          <w:p>
            <w:pPr>
              <w:jc w:val="right"/>
              <w:ind w:right="180"/>
              <w:spacing w:after="0"/>
              <w:rPr>
                <w:sz w:val="20"/>
                <w:szCs w:val="20"/>
                <w:color w:val="auto"/>
              </w:rPr>
            </w:pPr>
            <w:r>
              <w:rPr>
                <w:rFonts w:ascii="Arial" w:cs="Arial" w:eastAsia="Arial" w:hAnsi="Arial"/>
                <w:sz w:val="18"/>
                <w:szCs w:val="18"/>
                <w:color w:val="auto"/>
              </w:rPr>
              <w:t>7,475</w:t>
            </w:r>
          </w:p>
        </w:tc>
        <w:tc>
          <w:tcPr>
            <w:tcW w:w="160" w:type="dxa"/>
            <w:vAlign w:val="bottom"/>
          </w:tcPr>
          <w:p>
            <w:pPr>
              <w:spacing w:after="0"/>
              <w:rPr>
                <w:sz w:val="19"/>
                <w:szCs w:val="19"/>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w w:val="97"/>
              </w:rPr>
              <w:t>1,063</w:t>
            </w:r>
          </w:p>
        </w:tc>
        <w:tc>
          <w:tcPr>
            <w:tcW w:w="1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20" w:type="dxa"/>
            <w:vAlign w:val="bottom"/>
            <w:gridSpan w:val="2"/>
          </w:tcPr>
          <w:p>
            <w:pPr>
              <w:jc w:val="right"/>
              <w:ind w:right="160"/>
              <w:spacing w:after="0"/>
              <w:rPr>
                <w:sz w:val="20"/>
                <w:szCs w:val="20"/>
                <w:color w:val="auto"/>
              </w:rPr>
            </w:pPr>
            <w:r>
              <w:rPr>
                <w:rFonts w:ascii="Arial" w:cs="Arial" w:eastAsia="Arial" w:hAnsi="Arial"/>
                <w:sz w:val="18"/>
                <w:szCs w:val="18"/>
                <w:color w:val="auto"/>
              </w:rPr>
              <w:t>319</w:t>
            </w:r>
          </w:p>
        </w:tc>
      </w:tr>
      <w:tr>
        <w:trPr>
          <w:trHeight w:val="21"/>
        </w:trPr>
        <w:tc>
          <w:tcPr>
            <w:tcW w:w="44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210"/>
        </w:trPr>
        <w:tc>
          <w:tcPr>
            <w:tcW w:w="440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w w:val="94"/>
              </w:rPr>
              <w:t>39,937</w:t>
            </w:r>
          </w:p>
        </w:tc>
        <w:tc>
          <w:tcPr>
            <w:tcW w:w="160" w:type="dxa"/>
            <w:vAlign w:val="bottom"/>
            <w:shd w:val="clear" w:color="auto" w:fill="CCEEFF"/>
          </w:tcPr>
          <w:p>
            <w:pPr>
              <w:jc w:val="right"/>
              <w:ind w:right="3"/>
              <w:spacing w:after="0"/>
              <w:rPr>
                <w:sz w:val="20"/>
                <w:szCs w:val="20"/>
                <w:color w:val="auto"/>
              </w:rPr>
            </w:pPr>
            <w:r>
              <w:rPr>
                <w:rFonts w:ascii="Arial" w:cs="Arial" w:eastAsia="Arial" w:hAnsi="Arial"/>
                <w:sz w:val="15"/>
                <w:szCs w:val="15"/>
                <w:color w:val="auto"/>
                <w:w w:val="71"/>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5,182</w:t>
            </w:r>
          </w:p>
        </w:tc>
        <w:tc>
          <w:tcPr>
            <w:tcW w:w="3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6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97"/>
              </w:rPr>
              <w:t>2,870</w:t>
            </w:r>
          </w:p>
        </w:tc>
      </w:tr>
      <w:tr>
        <w:trPr>
          <w:trHeight w:val="27"/>
        </w:trPr>
        <w:tc>
          <w:tcPr>
            <w:tcW w:w="44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8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r>
      <w:tr>
        <w:trPr>
          <w:trHeight w:val="20"/>
        </w:trPr>
        <w:tc>
          <w:tcPr>
            <w:tcW w:w="44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bl>
    <w:p>
      <w:pPr>
        <w:spacing w:after="0" w:line="208" w:lineRule="exact"/>
        <w:rPr>
          <w:sz w:val="20"/>
          <w:szCs w:val="20"/>
          <w:color w:val="auto"/>
        </w:rPr>
      </w:pPr>
    </w:p>
    <w:p>
      <w:pPr>
        <w:ind w:right="60" w:firstLine="351"/>
        <w:spacing w:after="0" w:line="294" w:lineRule="auto"/>
        <w:rPr>
          <w:sz w:val="20"/>
          <w:szCs w:val="20"/>
          <w:color w:val="auto"/>
        </w:rPr>
      </w:pPr>
      <w:r>
        <w:rPr>
          <w:rFonts w:ascii="Arial" w:cs="Arial" w:eastAsia="Arial" w:hAnsi="Arial"/>
          <w:sz w:val="16"/>
          <w:szCs w:val="16"/>
          <w:color w:val="auto"/>
        </w:rPr>
        <w:t>In connection with the Pfizer Agreement, the Company paid a total of $6.9 million in sublicense fees to Duke University and Thomas Jefferson University. The Company recorded these deferred sublicense fees to other assets in the consolidated balance sheets and was amortizing them to royalty expense over the 9.5-year performance period. As a result of the Pfizer Termination, during three months ended December 31, 2010, the Company recognized the remaining deferred costs related to the Pfizer Agreement to royalty expense. The Company recorded $5.7 million, $0.7 million and $0.5 million in royalty expense related to these deferred sublicense fees during the years ended December 31, 2010, 2009 and 2008, respectively.</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Rockefeller University ("Rockefeller")</w:t>
      </w:r>
    </w:p>
    <w:p>
      <w:pPr>
        <w:spacing w:after="0" w:line="225" w:lineRule="exact"/>
        <w:rPr>
          <w:sz w:val="20"/>
          <w:szCs w:val="20"/>
          <w:color w:val="auto"/>
        </w:rPr>
      </w:pPr>
    </w:p>
    <w:p>
      <w:pPr>
        <w:ind w:firstLine="348"/>
        <w:spacing w:after="0" w:line="256" w:lineRule="auto"/>
        <w:rPr>
          <w:sz w:val="20"/>
          <w:szCs w:val="20"/>
          <w:color w:val="auto"/>
        </w:rPr>
      </w:pPr>
      <w:r>
        <w:rPr>
          <w:rFonts w:ascii="Arial" w:cs="Arial" w:eastAsia="Arial" w:hAnsi="Arial"/>
          <w:sz w:val="18"/>
          <w:szCs w:val="18"/>
          <w:color w:val="auto"/>
        </w:rPr>
        <w:t>The Company has provided research and development support to Rockefeller on the development of their vaccine, DCVax-001, which the Company refers to as CDX-2401, aimed at providing protection from infection with HIV, the virus known to cause AIDS. Payments to the Company are made on a time and materials basis. The Company recorded grant revenue from Rockefeller of $0.2 million, $1.8 million and $0.4 million for the years ended December 31, 2010, 2009 and 2008, respectively.</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(14) COLLABORATION AGREEMENTS</w:t>
      </w:r>
    </w:p>
    <w:p>
      <w:pPr>
        <w:spacing w:after="0" w:line="231" w:lineRule="exact"/>
        <w:rPr>
          <w:sz w:val="20"/>
          <w:szCs w:val="20"/>
          <w:color w:val="auto"/>
        </w:rPr>
      </w:pPr>
    </w:p>
    <w:p>
      <w:pPr>
        <w:ind w:right="40" w:firstLine="348"/>
        <w:spacing w:after="0" w:line="294" w:lineRule="auto"/>
        <w:rPr>
          <w:sz w:val="20"/>
          <w:szCs w:val="20"/>
          <w:color w:val="auto"/>
        </w:rPr>
      </w:pPr>
      <w:r>
        <w:rPr>
          <w:rFonts w:ascii="Arial" w:cs="Arial" w:eastAsia="Arial" w:hAnsi="Arial"/>
          <w:sz w:val="16"/>
          <w:szCs w:val="16"/>
          <w:color w:val="auto"/>
        </w:rPr>
        <w:t>The Company has entered into license agreements whereby the Company has received licenses or options to license technology, specified patents or patent applications. The Company's licensing and development collaboration agreements generally provide for royalty payments equal to specified percentages of product sales, annual license maintenance fees, continuing patent prosecution costs and potential future milestone payments to third parties upon the achievement of certain developmental, regulatory and/or commercial milestones. Nonrefundable license fee expense was $1.0 million, $0.7 million and $0.8 million for the years ended December 31, 2010, 2009 and 2008, respectively.</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96" w:name="page97"/>
    <w:bookmarkEnd w:id="96"/>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CELLDEX THERAPEUTICS, INC.</w:t>
      </w:r>
    </w:p>
    <w:p>
      <w:pPr>
        <w:spacing w:after="0" w:line="225" w:lineRule="exact"/>
        <w:rPr>
          <w:sz w:val="20"/>
          <w:szCs w:val="20"/>
          <w:color w:val="auto"/>
        </w:rPr>
      </w:pPr>
    </w:p>
    <w:p>
      <w:pPr>
        <w:ind w:left="2940"/>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(14) COLLABORATION AGREEMENTS (Continued)</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Medarex, Inc., a subsidiary of Bristol-Myers Squibb ("Medarex")</w:t>
      </w:r>
    </w:p>
    <w:p>
      <w:pPr>
        <w:spacing w:after="0" w:line="225" w:lineRule="exact"/>
        <w:rPr>
          <w:sz w:val="20"/>
          <w:szCs w:val="20"/>
          <w:color w:val="auto"/>
        </w:rPr>
      </w:pPr>
    </w:p>
    <w:p>
      <w:pPr>
        <w:ind w:right="40" w:firstLine="351"/>
        <w:spacing w:after="0" w:line="268" w:lineRule="auto"/>
        <w:rPr>
          <w:sz w:val="20"/>
          <w:szCs w:val="20"/>
          <w:color w:val="auto"/>
        </w:rPr>
      </w:pPr>
      <w:r>
        <w:rPr>
          <w:rFonts w:ascii="Arial" w:cs="Arial" w:eastAsia="Arial" w:hAnsi="Arial"/>
          <w:sz w:val="18"/>
          <w:szCs w:val="18"/>
          <w:color w:val="auto"/>
        </w:rPr>
        <w:t>Medarex, a former related party, and the Company have entered into the following agreements, each of which was approved by a majority of its independent directors who did not have an interest in the transaction. These agreements include:</w:t>
      </w:r>
    </w:p>
    <w:p>
      <w:pPr>
        <w:spacing w:after="0" w:line="199" w:lineRule="exact"/>
        <w:rPr>
          <w:sz w:val="20"/>
          <w:szCs w:val="20"/>
          <w:color w:val="auto"/>
        </w:rPr>
      </w:pPr>
    </w:p>
    <w:p>
      <w:pPr>
        <w:jc w:val="both"/>
        <w:ind w:left="1080" w:right="180" w:hanging="532"/>
        <w:spacing w:after="0" w:line="259" w:lineRule="auto"/>
        <w:tabs>
          <w:tab w:leader="none" w:pos="1080" w:val="left"/>
        </w:tabs>
        <w:numPr>
          <w:ilvl w:val="0"/>
          <w:numId w:val="27"/>
        </w:numPr>
        <w:rPr>
          <w:rFonts w:ascii="Arial" w:cs="Arial" w:eastAsia="Arial" w:hAnsi="Arial"/>
          <w:sz w:val="18"/>
          <w:szCs w:val="18"/>
          <w:color w:val="auto"/>
        </w:rPr>
      </w:pPr>
      <w:r>
        <w:rPr>
          <w:rFonts w:ascii="Arial" w:cs="Arial" w:eastAsia="Arial" w:hAnsi="Arial"/>
          <w:sz w:val="18"/>
          <w:szCs w:val="18"/>
          <w:color w:val="auto"/>
        </w:rPr>
        <w:t>An Assignment and License Agreement, as amended, ("Assignment and License Agreement") that provides for the assignment of certain patent and other intellectual property rights and a license to certain Medarex technology related to the Company's APC Targeting Technology™ and an anti-mannose receptor product; and</w:t>
      </w:r>
    </w:p>
    <w:p>
      <w:pPr>
        <w:spacing w:after="0" w:line="221" w:lineRule="exact"/>
        <w:rPr>
          <w:rFonts w:ascii="Arial" w:cs="Arial" w:eastAsia="Arial" w:hAnsi="Arial"/>
          <w:sz w:val="18"/>
          <w:szCs w:val="18"/>
          <w:color w:val="auto"/>
        </w:rPr>
      </w:pPr>
    </w:p>
    <w:p>
      <w:pPr>
        <w:ind w:left="1080" w:right="200" w:hanging="532"/>
        <w:spacing w:after="0" w:line="259" w:lineRule="auto"/>
        <w:tabs>
          <w:tab w:leader="none" w:pos="1080" w:val="left"/>
        </w:tabs>
        <w:numPr>
          <w:ilvl w:val="0"/>
          <w:numId w:val="27"/>
        </w:numPr>
        <w:rPr>
          <w:rFonts w:ascii="Arial" w:cs="Arial" w:eastAsia="Arial" w:hAnsi="Arial"/>
          <w:sz w:val="18"/>
          <w:szCs w:val="18"/>
          <w:color w:val="auto"/>
        </w:rPr>
      </w:pPr>
      <w:r>
        <w:rPr>
          <w:rFonts w:ascii="Arial" w:cs="Arial" w:eastAsia="Arial" w:hAnsi="Arial"/>
          <w:sz w:val="18"/>
          <w:szCs w:val="18"/>
          <w:color w:val="auto"/>
        </w:rPr>
        <w:t>A Research and Commercialization Agreement, as amended, ("Research and Commercialization Agreement") that provides the Company with certain rights to obtain exclusive commercial licenses to proprietary monoclonal antibodies raised against certain antigens utilizing the Medarex UltiMAb® technology platform for generating antibodies.</w:t>
      </w:r>
    </w:p>
    <w:p>
      <w:pPr>
        <w:spacing w:after="0" w:line="194" w:lineRule="exact"/>
        <w:rPr>
          <w:sz w:val="20"/>
          <w:szCs w:val="20"/>
          <w:color w:val="auto"/>
        </w:rPr>
      </w:pPr>
    </w:p>
    <w:p>
      <w:pPr>
        <w:ind w:firstLine="351"/>
        <w:spacing w:after="0" w:line="289" w:lineRule="auto"/>
        <w:rPr>
          <w:sz w:val="20"/>
          <w:szCs w:val="20"/>
          <w:color w:val="auto"/>
        </w:rPr>
      </w:pPr>
      <w:r>
        <w:rPr>
          <w:rFonts w:ascii="Arial" w:cs="Arial" w:eastAsia="Arial" w:hAnsi="Arial"/>
          <w:sz w:val="16"/>
          <w:szCs w:val="16"/>
          <w:color w:val="auto"/>
        </w:rPr>
        <w:t>Under the terms of the Assignment and License Agreement, the Company may be required to pay royalties in the low-single digits on any net product sale of a Licensed Royalty-Bearing Product or Anti-Mannose Product to Medarex until the later of (i) the expiration of the last to expire applicable patent and (ii) the tenth anniversary of the first commercial sale of such licensed product. Under the terms of the Research and Commercialization Agreement, the Company may be required to pay milestones of up to $7.0 million upon obtaining first approval for commercial sale in a first indication of a product containing a licensed antibody and royalty payments in the low- to mid-single digits on any net product sales to Medarex with respect to the development of any products containing such licensed antibodies until the later of (i) the expiration of the last to expire applicable patent and (ii) the tenth anniversary of the first commercial sale of such licensed product. In September 2010, the Company exercised an option under the Research and Commercialization Agreement, whereby it obtained a commercial license to the human antibody technology specifically for CDX-1127, the Company's CD27 antibody.</w:t>
      </w:r>
    </w:p>
    <w:p>
      <w:pPr>
        <w:spacing w:after="0" w:line="172" w:lineRule="exact"/>
        <w:rPr>
          <w:sz w:val="20"/>
          <w:szCs w:val="20"/>
          <w:color w:val="auto"/>
        </w:rPr>
      </w:pPr>
    </w:p>
    <w:p>
      <w:pPr>
        <w:ind w:right="80" w:firstLine="351"/>
        <w:spacing w:after="0" w:line="256" w:lineRule="auto"/>
        <w:rPr>
          <w:sz w:val="20"/>
          <w:szCs w:val="20"/>
          <w:color w:val="auto"/>
        </w:rPr>
      </w:pPr>
      <w:r>
        <w:rPr>
          <w:rFonts w:ascii="Arial" w:cs="Arial" w:eastAsia="Arial" w:hAnsi="Arial"/>
          <w:sz w:val="18"/>
          <w:szCs w:val="18"/>
          <w:color w:val="auto"/>
        </w:rPr>
        <w:t>In October 2007, the Company and Medarex entered into a settlement and mutual release agreement with settled disputed amounts the Company owed Medarex. The Company issued to Medarex 351,692 shares of the Company's common stock equal in value to $3.0 million, based on the per share price of $8.64 set on the second trading day prior to the closing date of the AVANT Merger and exchanged releases. In October 2009, the Company paid Medarex an additional $3.0 million owed under the Master Services Agreement.</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Rockefeller University ("Rockefeller")</w:t>
      </w:r>
    </w:p>
    <w:p>
      <w:pPr>
        <w:spacing w:after="0" w:line="225" w:lineRule="exact"/>
        <w:rPr>
          <w:sz w:val="20"/>
          <w:szCs w:val="20"/>
          <w:color w:val="auto"/>
        </w:rPr>
      </w:pPr>
    </w:p>
    <w:p>
      <w:pPr>
        <w:ind w:firstLine="351"/>
        <w:spacing w:after="0" w:line="294" w:lineRule="auto"/>
        <w:rPr>
          <w:sz w:val="20"/>
          <w:szCs w:val="20"/>
          <w:color w:val="auto"/>
        </w:rPr>
      </w:pPr>
      <w:r>
        <w:rPr>
          <w:rFonts w:ascii="Arial" w:cs="Arial" w:eastAsia="Arial" w:hAnsi="Arial"/>
          <w:sz w:val="16"/>
          <w:szCs w:val="16"/>
          <w:color w:val="auto"/>
        </w:rPr>
        <w:t>In November 2005, the Company and Rockefeller entered into a license agreement for the exclusive worldwide rights to human DEC-205 receptor, with the right to sublicense the technology. The license grant is exclusive except that Rockefeller may use and permit other nonprofit organizations to use the human DEC-205 receptor patent rights for educational and research purposes. The Company may be required to pay milestones of up to $3.9 million upon obtaining first approval for commercial sale in a first indication of a product targeting the licensed receptor and royalty payments in the low- to mid-single digits on any net product sales to Rockefeller with respect to development and commercialization of the human DEC-205 receptor.</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97" w:name="page98"/>
    <w:bookmarkEnd w:id="97"/>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CELLDEX THERAPEUTICS, INC.</w:t>
      </w:r>
    </w:p>
    <w:p>
      <w:pPr>
        <w:spacing w:after="0" w:line="225" w:lineRule="exact"/>
        <w:rPr>
          <w:sz w:val="20"/>
          <w:szCs w:val="20"/>
          <w:color w:val="auto"/>
        </w:rPr>
      </w:pPr>
    </w:p>
    <w:p>
      <w:pPr>
        <w:ind w:left="2940"/>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(14) COLLABORATION AGREEMENTS (Continued)</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Duke University Brain Tumor Cancer Center ("Duke")</w:t>
      </w:r>
    </w:p>
    <w:p>
      <w:pPr>
        <w:spacing w:after="0" w:line="225" w:lineRule="exact"/>
        <w:rPr>
          <w:sz w:val="20"/>
          <w:szCs w:val="20"/>
          <w:color w:val="auto"/>
        </w:rPr>
      </w:pPr>
    </w:p>
    <w:p>
      <w:pPr>
        <w:ind w:firstLine="351"/>
        <w:spacing w:after="0" w:line="291" w:lineRule="auto"/>
        <w:rPr>
          <w:sz w:val="20"/>
          <w:szCs w:val="20"/>
          <w:color w:val="auto"/>
        </w:rPr>
      </w:pPr>
      <w:r>
        <w:rPr>
          <w:rFonts w:ascii="Arial" w:cs="Arial" w:eastAsia="Arial" w:hAnsi="Arial"/>
          <w:sz w:val="16"/>
          <w:szCs w:val="16"/>
          <w:color w:val="auto"/>
        </w:rPr>
        <w:t>In September 2006, the Company and Duke entered into a license agreement that gave the Company access and reference to the clinical data generated by Duke and its collaborators in order for the Company to generate its own filing with the FDA relating to its CDX-110 product. The Company may be required to pay milestone of up to $1.0 million upon obtaining first approval for commercial sale in a first indication and royalty payments in the low-single digits on any net product sales to Duke with respect to development and commercialization of the CDX-110 product. In connection with the Pfizer Agreement, the Company determined that $2.4 million was payable to Duke as a sublicense fee. As provided for under the Duke license, the Company paid 50% of this amount to Duke in the form of 81,512 shares of the Company's common stock in October 2008.</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Ludwig Institute for Cancer Research ("Ludwig")</w:t>
      </w:r>
    </w:p>
    <w:p>
      <w:pPr>
        <w:spacing w:after="0" w:line="225" w:lineRule="exact"/>
        <w:rPr>
          <w:sz w:val="20"/>
          <w:szCs w:val="20"/>
          <w:color w:val="auto"/>
        </w:rPr>
      </w:pPr>
    </w:p>
    <w:p>
      <w:pPr>
        <w:ind w:right="20" w:firstLine="351"/>
        <w:spacing w:after="0" w:line="256" w:lineRule="auto"/>
        <w:rPr>
          <w:sz w:val="20"/>
          <w:szCs w:val="20"/>
          <w:color w:val="auto"/>
        </w:rPr>
      </w:pPr>
      <w:r>
        <w:rPr>
          <w:rFonts w:ascii="Arial" w:cs="Arial" w:eastAsia="Arial" w:hAnsi="Arial"/>
          <w:sz w:val="18"/>
          <w:szCs w:val="18"/>
          <w:color w:val="auto"/>
        </w:rPr>
        <w:t>In October 2006, the Company and Ludwig entered into an agreement for the nonexclusive rights to certain cancer tumor targets for use in combination with the Company's APC Targeting Technology. The term of the agreement is for ten years. The Company may be required to pay milestones of up to $1.0 million upon obtaining first approval for commercial sale in a first indication and royalty payments in the low-single digits on any net product sales to Ludwig with respect to development and commercialization of the technology licensed from Ludwig.</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Alteris Therapeutics, Inc. ("Alteris")</w:t>
      </w:r>
    </w:p>
    <w:p>
      <w:pPr>
        <w:spacing w:after="0" w:line="225" w:lineRule="exact"/>
        <w:rPr>
          <w:sz w:val="20"/>
          <w:szCs w:val="20"/>
          <w:color w:val="auto"/>
        </w:rPr>
      </w:pPr>
    </w:p>
    <w:p>
      <w:pPr>
        <w:ind w:right="180" w:firstLine="351"/>
        <w:spacing w:after="0" w:line="332" w:lineRule="auto"/>
        <w:rPr>
          <w:sz w:val="20"/>
          <w:szCs w:val="20"/>
          <w:color w:val="auto"/>
        </w:rPr>
      </w:pPr>
      <w:r>
        <w:rPr>
          <w:rFonts w:ascii="Arial" w:cs="Arial" w:eastAsia="Arial" w:hAnsi="Arial"/>
          <w:sz w:val="16"/>
          <w:szCs w:val="16"/>
          <w:color w:val="auto"/>
        </w:rPr>
        <w:t>In October 2005, the Company completed the acquisition of the assets of Alteris, including the EGFRvIII molecule. The Company may be required to pay Alteris up to $5.0 million upon obtaining the first approval for commercial sale of a product containing EGFRvIII, including CDX-110.</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Thomas Jefferson University ("TJU")</w:t>
      </w:r>
    </w:p>
    <w:p>
      <w:pPr>
        <w:spacing w:after="0" w:line="225" w:lineRule="exact"/>
        <w:rPr>
          <w:sz w:val="20"/>
          <w:szCs w:val="20"/>
          <w:color w:val="auto"/>
        </w:rPr>
      </w:pPr>
    </w:p>
    <w:p>
      <w:pPr>
        <w:ind w:right="240" w:firstLine="351"/>
        <w:spacing w:after="0" w:line="298" w:lineRule="auto"/>
        <w:rPr>
          <w:sz w:val="20"/>
          <w:szCs w:val="20"/>
          <w:color w:val="auto"/>
        </w:rPr>
      </w:pPr>
      <w:r>
        <w:rPr>
          <w:rFonts w:ascii="Arial" w:cs="Arial" w:eastAsia="Arial" w:hAnsi="Arial"/>
          <w:sz w:val="16"/>
          <w:szCs w:val="16"/>
          <w:color w:val="auto"/>
        </w:rPr>
        <w:t>In February 2003, the Company entered into two exclusive license agreements with TJU. Under these licenses, the Company may be required to pay milestones of up to $3.0 million upon obtaining first approval for commercial sale in a first indication and royalty payments in the low-single digits on any net product sales to TJU with respect to development and commercialization of the technology licensed from TJU. In connection with the Pfizer Agreement, the Company amended its licenses with TJU to add additional sublicensing rights and paid $4.5 million in sublicense fees to TJU in 2008.</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3M Company</w:t>
      </w:r>
    </w:p>
    <w:p>
      <w:pPr>
        <w:spacing w:after="0" w:line="225" w:lineRule="exact"/>
        <w:rPr>
          <w:sz w:val="20"/>
          <w:szCs w:val="20"/>
          <w:color w:val="auto"/>
        </w:rPr>
      </w:pPr>
    </w:p>
    <w:p>
      <w:pPr>
        <w:ind w:left="360"/>
        <w:spacing w:after="0"/>
        <w:rPr>
          <w:sz w:val="20"/>
          <w:szCs w:val="20"/>
          <w:color w:val="auto"/>
        </w:rPr>
      </w:pPr>
      <w:r>
        <w:rPr>
          <w:rFonts w:ascii="Arial" w:cs="Arial" w:eastAsia="Arial" w:hAnsi="Arial"/>
          <w:sz w:val="16"/>
          <w:szCs w:val="16"/>
          <w:color w:val="auto"/>
        </w:rPr>
        <w:t>In June 2008, the Company and 3M Company entered into a license agreement for the exclusive worldwide rights to access 3M Company's proprietary</w:t>
      </w:r>
    </w:p>
    <w:p>
      <w:pPr>
        <w:spacing w:after="0" w:line="38" w:lineRule="exact"/>
        <w:rPr>
          <w:sz w:val="20"/>
          <w:szCs w:val="20"/>
          <w:color w:val="auto"/>
        </w:rPr>
      </w:pPr>
    </w:p>
    <w:p>
      <w:pPr>
        <w:spacing w:after="0"/>
        <w:rPr>
          <w:sz w:val="20"/>
          <w:szCs w:val="20"/>
          <w:color w:val="auto"/>
        </w:rPr>
      </w:pPr>
      <w:r>
        <w:rPr>
          <w:rFonts w:ascii="Arial" w:cs="Arial" w:eastAsia="Arial" w:hAnsi="Arial"/>
          <w:sz w:val="16"/>
          <w:szCs w:val="16"/>
          <w:color w:val="auto"/>
        </w:rPr>
        <w:t>Immune Response Modifier, Resiquimod™, (and additional Toll-Like Receptor 7/8 agonists ("TLR")) for clinical study with the Company's proprietary APC</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Targeting Technology, for use as vaccine adjuvants, with the right to sublicense the technology. The Company may be required to pay milestones of up to</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$3.8 million upon obtaining first approval for commercial sale of each product using this vaccine adjuvant and royalty payments in the low-single digits on any</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net product sales to 3M Company with respect to development and commercialization of the technology licensed from 3M Company.</w:t>
      </w:r>
    </w:p>
    <w:p>
      <w:pPr>
        <w:spacing w:after="0" w:line="219"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131" w:right="279" w:bottom="1440" w:gutter="0" w:footer="0" w:header="0"/>
        </w:sectPr>
      </w:pPr>
    </w:p>
    <w:bookmarkStart w:id="98" w:name="page99"/>
    <w:bookmarkEnd w:id="98"/>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CELLDEX THERAPEUTICS, INC.</w:t>
      </w:r>
    </w:p>
    <w:p>
      <w:pPr>
        <w:spacing w:after="0" w:line="225" w:lineRule="exact"/>
        <w:rPr>
          <w:sz w:val="20"/>
          <w:szCs w:val="20"/>
          <w:color w:val="auto"/>
        </w:rPr>
      </w:pPr>
    </w:p>
    <w:p>
      <w:pPr>
        <w:ind w:left="2940"/>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(14) COLLABORATION AGREEMENTS (Continued)</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University of Southampton, UK ("Southampton")</w:t>
      </w:r>
    </w:p>
    <w:p>
      <w:pPr>
        <w:spacing w:after="0" w:line="225" w:lineRule="exact"/>
        <w:rPr>
          <w:sz w:val="20"/>
          <w:szCs w:val="20"/>
          <w:color w:val="auto"/>
        </w:rPr>
      </w:pPr>
    </w:p>
    <w:p>
      <w:pPr>
        <w:ind w:right="100" w:firstLine="351"/>
        <w:spacing w:after="0" w:line="291" w:lineRule="auto"/>
        <w:rPr>
          <w:sz w:val="20"/>
          <w:szCs w:val="20"/>
          <w:color w:val="auto"/>
        </w:rPr>
      </w:pPr>
      <w:r>
        <w:rPr>
          <w:rFonts w:ascii="Arial" w:cs="Arial" w:eastAsia="Arial" w:hAnsi="Arial"/>
          <w:sz w:val="16"/>
          <w:szCs w:val="16"/>
          <w:color w:val="auto"/>
        </w:rPr>
        <w:t>In November 2008, the Company entered into a license agreement with Southampton to develop human antibodies towards CD27, a potentially important target for immunotherapy of various cancers. CD27 is a critical molecule in the activation pathway of lymphocytes, is downstream from CD40, and may provide a novel way to regulate the immune responses. In preclinical models, antibodies to CD27 have been shown to mediate anti-tumor effects alone, and may be particularly effective in combination with the Company's other immunotherapies. The Company may be required to pay milestones of up to approximately $1.4 million upon obtaining first approval for commercial sale in a first indication and royalty payments in the low-single digits on any net product sales to Southampton with respect to development and commercialization of the technology licensed from Southampton.</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Amgen Inc. ("Amgen")</w:t>
      </w:r>
    </w:p>
    <w:p>
      <w:pPr>
        <w:spacing w:after="0" w:line="225" w:lineRule="exact"/>
        <w:rPr>
          <w:sz w:val="20"/>
          <w:szCs w:val="20"/>
          <w:color w:val="auto"/>
        </w:rPr>
      </w:pPr>
    </w:p>
    <w:p>
      <w:pPr>
        <w:ind w:firstLine="351"/>
        <w:spacing w:after="0" w:line="255" w:lineRule="auto"/>
        <w:rPr>
          <w:sz w:val="20"/>
          <w:szCs w:val="20"/>
          <w:color w:val="auto"/>
        </w:rPr>
      </w:pPr>
      <w:r>
        <w:rPr>
          <w:rFonts w:ascii="Arial" w:cs="Arial" w:eastAsia="Arial" w:hAnsi="Arial"/>
          <w:sz w:val="18"/>
          <w:szCs w:val="18"/>
          <w:color w:val="auto"/>
        </w:rPr>
        <w:t>In March 2009, the Company entered into a license agreement with Amgen to expand its Precision Targeted Immunotherapy Platform by acquiring exclusive rights to CDX-301 and CD40 ligand (CD40L). CDX-301 and CD40L are immune modulating molecules that increase the numbers and activity of immune cells that control immune responses. The Company may be required to pay milestones of up to $1.3 million upon obtaining first approval for commercial sale in a first indication and royalty payments in the low-single digits on any net product sales to Amgen with respect to development and commercialization of this technology licensed from Amgen.</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Seattle Genetics, Inc. ("Seattle Genetics")</w:t>
      </w:r>
    </w:p>
    <w:p>
      <w:pPr>
        <w:spacing w:after="0" w:line="225" w:lineRule="exact"/>
        <w:rPr>
          <w:sz w:val="20"/>
          <w:szCs w:val="20"/>
          <w:color w:val="auto"/>
        </w:rPr>
      </w:pPr>
    </w:p>
    <w:p>
      <w:pPr>
        <w:ind w:firstLine="351"/>
        <w:spacing w:after="0" w:line="298" w:lineRule="auto"/>
        <w:rPr>
          <w:sz w:val="20"/>
          <w:szCs w:val="20"/>
          <w:color w:val="auto"/>
        </w:rPr>
      </w:pPr>
      <w:r>
        <w:rPr>
          <w:rFonts w:ascii="Arial" w:cs="Arial" w:eastAsia="Arial" w:hAnsi="Arial"/>
          <w:sz w:val="16"/>
          <w:szCs w:val="16"/>
          <w:color w:val="auto"/>
        </w:rPr>
        <w:t>In connection with the CuraGen Merger, the Company assumed the license agreement between CuraGen and Seattle Genetics whereby CuraGen acquired the rights to proprietary antibody-drug conjugate ("ADC") technology for use with the Company's proprietary antibodies for the potential treatment of cancer. The Company may be required to pay milestones of up to $7.5 million upon obtaining first approval for commercial sale in a first indication and royalty payments in the mid-single digits on any net product sales to Seattle Genetics with respect to development and commercialization of the ADC technology.</w:t>
      </w:r>
    </w:p>
    <w:p>
      <w:pPr>
        <w:spacing w:after="0" w:line="16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99" w:name="page100"/>
    <w:bookmarkEnd w:id="99"/>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CELLDEX THERAPEUTICS, INC.</w:t>
      </w:r>
    </w:p>
    <w:p>
      <w:pPr>
        <w:spacing w:after="0" w:line="225"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25" w:lineRule="exact"/>
        <w:rPr>
          <w:sz w:val="20"/>
          <w:szCs w:val="20"/>
          <w:color w:val="auto"/>
        </w:rPr>
      </w:pPr>
    </w:p>
    <w:p>
      <w:pPr>
        <w:ind w:left="340" w:hanging="332"/>
        <w:spacing w:after="0"/>
        <w:tabs>
          <w:tab w:leader="none" w:pos="340" w:val="left"/>
        </w:tabs>
        <w:numPr>
          <w:ilvl w:val="0"/>
          <w:numId w:val="28"/>
        </w:numPr>
        <w:rPr>
          <w:rFonts w:ascii="Arial" w:cs="Arial" w:eastAsia="Arial" w:hAnsi="Arial"/>
          <w:sz w:val="18"/>
          <w:szCs w:val="18"/>
          <w:b w:val="1"/>
          <w:bCs w:val="1"/>
          <w:color w:val="auto"/>
        </w:rPr>
      </w:pPr>
      <w:r>
        <w:rPr>
          <w:rFonts w:ascii="Arial" w:cs="Arial" w:eastAsia="Arial" w:hAnsi="Arial"/>
          <w:sz w:val="18"/>
          <w:szCs w:val="18"/>
          <w:b w:val="1"/>
          <w:bCs w:val="1"/>
          <w:color w:val="auto"/>
        </w:rPr>
        <w:t>INCOME TAXES</w:t>
      </w:r>
    </w:p>
    <w:p>
      <w:pPr>
        <w:spacing w:after="0" w:line="231" w:lineRule="exact"/>
        <w:rPr>
          <w:rFonts w:ascii="Arial" w:cs="Arial" w:eastAsia="Arial" w:hAnsi="Arial"/>
          <w:sz w:val="18"/>
          <w:szCs w:val="18"/>
          <w:b w:val="1"/>
          <w:bCs w:val="1"/>
          <w:color w:val="auto"/>
        </w:rPr>
      </w:pPr>
    </w:p>
    <w:p>
      <w:pPr>
        <w:ind w:left="360"/>
        <w:spacing w:after="0"/>
        <w:rPr>
          <w:rFonts w:ascii="Arial" w:cs="Arial" w:eastAsia="Arial" w:hAnsi="Arial"/>
          <w:sz w:val="18"/>
          <w:szCs w:val="18"/>
          <w:b w:val="1"/>
          <w:bCs w:val="1"/>
          <w:color w:val="auto"/>
        </w:rPr>
      </w:pPr>
      <w:r>
        <w:rPr>
          <w:rFonts w:ascii="Arial" w:cs="Arial" w:eastAsia="Arial" w:hAnsi="Arial"/>
          <w:sz w:val="18"/>
          <w:szCs w:val="18"/>
          <w:color w:val="auto"/>
        </w:rPr>
        <w:t>The components of income tax expense attributable to continuing operations consist of the following:</w:t>
      </w:r>
    </w:p>
    <w:p>
      <w:pPr>
        <w:spacing w:after="0" w:line="275" w:lineRule="exact"/>
        <w:rPr>
          <w:sz w:val="20"/>
          <w:szCs w:val="20"/>
          <w:color w:val="auto"/>
        </w:rPr>
      </w:pPr>
    </w:p>
    <w:tbl>
      <w:tblPr>
        <w:tblLayout w:type="fixed"/>
        <w:tblInd w:w="2300" w:type="dxa"/>
        <w:tblCellMar>
          <w:top w:w="0" w:type="dxa"/>
          <w:left w:w="0" w:type="dxa"/>
          <w:bottom w:w="0" w:type="dxa"/>
          <w:right w:w="0" w:type="dxa"/>
        </w:tblCellMar>
      </w:tblPr>
      <w:tr>
        <w:trPr>
          <w:trHeight w:val="161"/>
        </w:trPr>
        <w:tc>
          <w:tcPr>
            <w:tcW w:w="4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560" w:type="dxa"/>
            <w:vAlign w:val="bottom"/>
            <w:gridSpan w:val="10"/>
          </w:tcPr>
          <w:p>
            <w:pPr>
              <w:jc w:val="right"/>
              <w:ind w:right="700"/>
              <w:spacing w:after="0"/>
              <w:rPr>
                <w:sz w:val="20"/>
                <w:szCs w:val="20"/>
                <w:color w:val="auto"/>
              </w:rPr>
            </w:pPr>
            <w:r>
              <w:rPr>
                <w:rFonts w:ascii="Arial" w:cs="Arial" w:eastAsia="Arial" w:hAnsi="Arial"/>
                <w:sz w:val="14"/>
                <w:szCs w:val="14"/>
                <w:b w:val="1"/>
                <w:bCs w:val="1"/>
                <w:color w:val="auto"/>
              </w:rPr>
              <w:t>Year Ended December 31,</w:t>
            </w:r>
          </w:p>
        </w:tc>
      </w:tr>
      <w:tr>
        <w:trPr>
          <w:trHeight w:val="142"/>
        </w:trPr>
        <w:tc>
          <w:tcPr>
            <w:tcW w:w="4100" w:type="dxa"/>
            <w:vAlign w:val="bottom"/>
          </w:tcPr>
          <w:p>
            <w:pPr>
              <w:spacing w:after="0"/>
              <w:rPr>
                <w:sz w:val="12"/>
                <w:szCs w:val="12"/>
                <w:color w:val="auto"/>
              </w:rPr>
            </w:pPr>
          </w:p>
        </w:tc>
        <w:tc>
          <w:tcPr>
            <w:tcW w:w="180" w:type="dxa"/>
            <w:vAlign w:val="bottom"/>
            <w:tcBorders>
              <w:top w:val="single" w:sz="8" w:color="auto"/>
              <w:bottom w:val="single" w:sz="8" w:color="auto"/>
            </w:tcBorders>
          </w:tcPr>
          <w:p>
            <w:pPr>
              <w:spacing w:after="0"/>
              <w:rPr>
                <w:sz w:val="12"/>
                <w:szCs w:val="12"/>
                <w:color w:val="auto"/>
              </w:rPr>
            </w:pPr>
          </w:p>
        </w:tc>
        <w:tc>
          <w:tcPr>
            <w:tcW w:w="600" w:type="dxa"/>
            <w:vAlign w:val="bottom"/>
            <w:tcBorders>
              <w:top w:val="single" w:sz="8" w:color="auto"/>
              <w:bottom w:val="single" w:sz="8" w:color="auto"/>
            </w:tcBorders>
          </w:tcPr>
          <w:p>
            <w:pPr>
              <w:jc w:val="right"/>
              <w:ind w:right="177"/>
              <w:spacing w:after="0" w:line="142" w:lineRule="exact"/>
              <w:rPr>
                <w:sz w:val="20"/>
                <w:szCs w:val="20"/>
                <w:color w:val="auto"/>
              </w:rPr>
            </w:pPr>
            <w:r>
              <w:rPr>
                <w:rFonts w:ascii="Arial" w:cs="Arial" w:eastAsia="Arial" w:hAnsi="Arial"/>
                <w:sz w:val="14"/>
                <w:szCs w:val="14"/>
                <w:b w:val="1"/>
                <w:bCs w:val="1"/>
                <w:color w:val="auto"/>
              </w:rPr>
              <w:t>2010</w:t>
            </w:r>
          </w:p>
        </w:tc>
        <w:tc>
          <w:tcPr>
            <w:tcW w:w="20" w:type="dxa"/>
            <w:vAlign w:val="bottom"/>
            <w:tcBorders>
              <w:top w:val="single" w:sz="8" w:color="auto"/>
            </w:tcBorders>
          </w:tcPr>
          <w:p>
            <w:pPr>
              <w:spacing w:after="0"/>
              <w:rPr>
                <w:sz w:val="12"/>
                <w:szCs w:val="12"/>
                <w:color w:val="auto"/>
              </w:rPr>
            </w:pPr>
          </w:p>
        </w:tc>
        <w:tc>
          <w:tcPr>
            <w:tcW w:w="60" w:type="dxa"/>
            <w:vAlign w:val="bottom"/>
            <w:tcBorders>
              <w:top w:val="single" w:sz="8" w:color="auto"/>
            </w:tcBorders>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160" w:type="dxa"/>
            <w:vAlign w:val="bottom"/>
            <w:tcBorders>
              <w:top w:val="single" w:sz="8" w:color="auto"/>
              <w:bottom w:val="single" w:sz="8" w:color="auto"/>
            </w:tcBorders>
          </w:tcPr>
          <w:p>
            <w:pPr>
              <w:spacing w:after="0"/>
              <w:rPr>
                <w:sz w:val="12"/>
                <w:szCs w:val="12"/>
                <w:color w:val="auto"/>
              </w:rPr>
            </w:pPr>
          </w:p>
        </w:tc>
        <w:tc>
          <w:tcPr>
            <w:tcW w:w="540" w:type="dxa"/>
            <w:vAlign w:val="bottom"/>
            <w:tcBorders>
              <w:top w:val="single" w:sz="8" w:color="auto"/>
              <w:bottom w:val="single" w:sz="8" w:color="auto"/>
            </w:tcBorders>
          </w:tcPr>
          <w:p>
            <w:pPr>
              <w:jc w:val="right"/>
              <w:ind w:right="135"/>
              <w:spacing w:after="0" w:line="142" w:lineRule="exact"/>
              <w:rPr>
                <w:sz w:val="20"/>
                <w:szCs w:val="20"/>
                <w:color w:val="auto"/>
              </w:rPr>
            </w:pPr>
            <w:r>
              <w:rPr>
                <w:rFonts w:ascii="Arial" w:cs="Arial" w:eastAsia="Arial" w:hAnsi="Arial"/>
                <w:sz w:val="14"/>
                <w:szCs w:val="14"/>
                <w:b w:val="1"/>
                <w:bCs w:val="1"/>
                <w:color w:val="auto"/>
                <w:w w:val="96"/>
              </w:rPr>
              <w:t>2009</w:t>
            </w:r>
          </w:p>
        </w:tc>
        <w:tc>
          <w:tcPr>
            <w:tcW w:w="160" w:type="dxa"/>
            <w:vAlign w:val="bottom"/>
            <w:tcBorders>
              <w:top w:val="single" w:sz="8" w:color="auto"/>
            </w:tcBorders>
          </w:tcPr>
          <w:p>
            <w:pPr>
              <w:spacing w:after="0"/>
              <w:rPr>
                <w:sz w:val="12"/>
                <w:szCs w:val="12"/>
                <w:color w:val="auto"/>
              </w:rPr>
            </w:pPr>
          </w:p>
        </w:tc>
        <w:tc>
          <w:tcPr>
            <w:tcW w:w="160" w:type="dxa"/>
            <w:vAlign w:val="bottom"/>
            <w:tcBorders>
              <w:top w:val="single" w:sz="8" w:color="auto"/>
              <w:bottom w:val="single" w:sz="8" w:color="auto"/>
            </w:tcBorders>
          </w:tcPr>
          <w:p>
            <w:pPr>
              <w:spacing w:after="0"/>
              <w:rPr>
                <w:sz w:val="12"/>
                <w:szCs w:val="12"/>
                <w:color w:val="auto"/>
              </w:rPr>
            </w:pPr>
          </w:p>
        </w:tc>
        <w:tc>
          <w:tcPr>
            <w:tcW w:w="620" w:type="dxa"/>
            <w:vAlign w:val="bottom"/>
            <w:tcBorders>
              <w:top w:val="single" w:sz="8" w:color="auto"/>
              <w:bottom w:val="single" w:sz="8" w:color="auto"/>
            </w:tcBorders>
          </w:tcPr>
          <w:p>
            <w:pPr>
              <w:jc w:val="right"/>
              <w:ind w:right="175"/>
              <w:spacing w:after="0" w:line="142" w:lineRule="exact"/>
              <w:rPr>
                <w:sz w:val="20"/>
                <w:szCs w:val="20"/>
                <w:color w:val="auto"/>
              </w:rPr>
            </w:pPr>
            <w:r>
              <w:rPr>
                <w:rFonts w:ascii="Arial" w:cs="Arial" w:eastAsia="Arial" w:hAnsi="Arial"/>
                <w:sz w:val="14"/>
                <w:szCs w:val="14"/>
                <w:b w:val="1"/>
                <w:bCs w:val="1"/>
                <w:color w:val="auto"/>
              </w:rPr>
              <w:t>2008</w:t>
            </w:r>
          </w:p>
        </w:tc>
        <w:tc>
          <w:tcPr>
            <w:tcW w:w="160" w:type="dxa"/>
            <w:vAlign w:val="bottom"/>
          </w:tcPr>
          <w:p>
            <w:pPr>
              <w:spacing w:after="0"/>
              <w:rPr>
                <w:sz w:val="12"/>
                <w:szCs w:val="12"/>
                <w:color w:val="auto"/>
              </w:rPr>
            </w:pPr>
          </w:p>
        </w:tc>
      </w:tr>
      <w:tr>
        <w:trPr>
          <w:trHeight w:val="142"/>
        </w:trPr>
        <w:tc>
          <w:tcPr>
            <w:tcW w:w="4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80" w:type="dxa"/>
            <w:vAlign w:val="bottom"/>
            <w:gridSpan w:val="3"/>
          </w:tcPr>
          <w:p>
            <w:pPr>
              <w:jc w:val="right"/>
              <w:spacing w:after="0" w:line="142" w:lineRule="exact"/>
              <w:rPr>
                <w:sz w:val="20"/>
                <w:szCs w:val="20"/>
                <w:color w:val="auto"/>
              </w:rPr>
            </w:pPr>
            <w:r>
              <w:rPr>
                <w:rFonts w:ascii="Arial" w:cs="Arial" w:eastAsia="Arial" w:hAnsi="Arial"/>
                <w:sz w:val="14"/>
                <w:szCs w:val="14"/>
                <w:b w:val="1"/>
                <w:bCs w:val="1"/>
                <w:color w:val="auto"/>
                <w:w w:val="78"/>
              </w:rPr>
              <w:t>(In thousands)</w:t>
            </w:r>
          </w:p>
        </w:tc>
        <w:tc>
          <w:tcPr>
            <w:tcW w:w="1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60" w:type="dxa"/>
            <w:vAlign w:val="bottom"/>
          </w:tcPr>
          <w:p>
            <w:pPr>
              <w:spacing w:after="0"/>
              <w:rPr>
                <w:sz w:val="12"/>
                <w:szCs w:val="12"/>
                <w:color w:val="auto"/>
              </w:rPr>
            </w:pPr>
          </w:p>
        </w:tc>
      </w:tr>
      <w:tr>
        <w:trPr>
          <w:trHeight w:val="216"/>
        </w:trPr>
        <w:tc>
          <w:tcPr>
            <w:tcW w:w="4100" w:type="dxa"/>
            <w:vAlign w:val="bottom"/>
            <w:shd w:val="clear" w:color="auto" w:fill="CCEEFF"/>
          </w:tcPr>
          <w:p>
            <w:pPr>
              <w:spacing w:after="0"/>
              <w:rPr>
                <w:sz w:val="20"/>
                <w:szCs w:val="20"/>
                <w:color w:val="auto"/>
              </w:rPr>
            </w:pPr>
            <w:r>
              <w:rPr>
                <w:rFonts w:ascii="Arial" w:cs="Arial" w:eastAsia="Arial" w:hAnsi="Arial"/>
                <w:sz w:val="18"/>
                <w:szCs w:val="18"/>
                <w:color w:val="auto"/>
              </w:rPr>
              <w:t>Income tax benefit (provision):</w:t>
            </w:r>
          </w:p>
        </w:tc>
        <w:tc>
          <w:tcPr>
            <w:tcW w:w="1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r>
      <w:tr>
        <w:trPr>
          <w:trHeight w:val="216"/>
        </w:trPr>
        <w:tc>
          <w:tcPr>
            <w:tcW w:w="4100" w:type="dxa"/>
            <w:vAlign w:val="bottom"/>
          </w:tcPr>
          <w:p>
            <w:pPr>
              <w:ind w:left="120"/>
              <w:spacing w:after="0"/>
              <w:rPr>
                <w:sz w:val="20"/>
                <w:szCs w:val="20"/>
                <w:color w:val="auto"/>
              </w:rPr>
            </w:pPr>
            <w:r>
              <w:rPr>
                <w:rFonts w:ascii="Arial" w:cs="Arial" w:eastAsia="Arial" w:hAnsi="Arial"/>
                <w:sz w:val="18"/>
                <w:szCs w:val="18"/>
                <w:color w:val="auto"/>
              </w:rPr>
              <w:t>Federal</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620" w:type="dxa"/>
            <w:vAlign w:val="bottom"/>
            <w:gridSpan w:val="2"/>
          </w:tcPr>
          <w:p>
            <w:pPr>
              <w:jc w:val="right"/>
              <w:ind w:right="20"/>
              <w:spacing w:after="0"/>
              <w:rPr>
                <w:sz w:val="20"/>
                <w:szCs w:val="20"/>
                <w:color w:val="auto"/>
              </w:rPr>
            </w:pPr>
            <w:r>
              <w:rPr>
                <w:rFonts w:ascii="Arial" w:cs="Arial" w:eastAsia="Arial" w:hAnsi="Arial"/>
                <w:sz w:val="18"/>
                <w:szCs w:val="18"/>
                <w:color w:val="auto"/>
              </w:rPr>
              <w:t>1,512</w:t>
            </w:r>
          </w:p>
        </w:tc>
        <w:tc>
          <w:tcPr>
            <w:tcW w:w="60" w:type="dxa"/>
            <w:vAlign w:val="bottom"/>
          </w:tcPr>
          <w:p>
            <w:pPr>
              <w:spacing w:after="0"/>
              <w:rPr>
                <w:sz w:val="18"/>
                <w:szCs w:val="18"/>
                <w:color w:val="auto"/>
              </w:rPr>
            </w:pP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40" w:type="dxa"/>
            <w:vAlign w:val="bottom"/>
          </w:tcPr>
          <w:p>
            <w:pPr>
              <w:jc w:val="right"/>
              <w:spacing w:after="0"/>
              <w:rPr>
                <w:sz w:val="20"/>
                <w:szCs w:val="20"/>
                <w:color w:val="auto"/>
              </w:rPr>
            </w:pPr>
            <w:r>
              <w:rPr>
                <w:rFonts w:ascii="Arial" w:cs="Arial" w:eastAsia="Arial" w:hAnsi="Arial"/>
                <w:sz w:val="18"/>
                <w:szCs w:val="18"/>
                <w:color w:val="auto"/>
                <w:w w:val="94"/>
              </w:rPr>
              <w:t>12,750</w:t>
            </w:r>
          </w:p>
        </w:tc>
        <w:tc>
          <w:tcPr>
            <w:tcW w:w="16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gridSpan w:val="2"/>
          </w:tcPr>
          <w:p>
            <w:pPr>
              <w:jc w:val="right"/>
              <w:ind w:right="160"/>
              <w:spacing w:after="0"/>
              <w:rPr>
                <w:sz w:val="20"/>
                <w:szCs w:val="20"/>
                <w:color w:val="auto"/>
              </w:rPr>
            </w:pPr>
            <w:r>
              <w:rPr>
                <w:rFonts w:ascii="Arial" w:cs="Arial" w:eastAsia="Arial" w:hAnsi="Arial"/>
                <w:sz w:val="18"/>
                <w:szCs w:val="18"/>
                <w:color w:val="auto"/>
              </w:rPr>
              <w:t>10,198</w:t>
            </w:r>
          </w:p>
        </w:tc>
      </w:tr>
      <w:tr>
        <w:trPr>
          <w:trHeight w:val="216"/>
        </w:trPr>
        <w:tc>
          <w:tcPr>
            <w:tcW w:w="4100" w:type="dxa"/>
            <w:vAlign w:val="bottom"/>
            <w:shd w:val="clear" w:color="auto" w:fill="CCEEFF"/>
          </w:tcPr>
          <w:p>
            <w:pPr>
              <w:ind w:left="120"/>
              <w:spacing w:after="0"/>
              <w:rPr>
                <w:sz w:val="20"/>
                <w:szCs w:val="20"/>
                <w:color w:val="auto"/>
              </w:rPr>
            </w:pPr>
            <w:r>
              <w:rPr>
                <w:rFonts w:ascii="Arial" w:cs="Arial" w:eastAsia="Arial" w:hAnsi="Arial"/>
                <w:sz w:val="18"/>
                <w:szCs w:val="18"/>
                <w:color w:val="auto"/>
              </w:rPr>
              <w:t>State</w:t>
            </w:r>
          </w:p>
        </w:tc>
        <w:tc>
          <w:tcPr>
            <w:tcW w:w="18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779</w:t>
            </w: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(1,757)</w:t>
            </w:r>
          </w:p>
        </w:tc>
        <w:tc>
          <w:tcPr>
            <w:tcW w:w="16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6,958</w:t>
            </w:r>
          </w:p>
        </w:tc>
      </w:tr>
      <w:tr>
        <w:trPr>
          <w:trHeight w:val="216"/>
        </w:trPr>
        <w:tc>
          <w:tcPr>
            <w:tcW w:w="4100" w:type="dxa"/>
            <w:vAlign w:val="bottom"/>
          </w:tcPr>
          <w:p>
            <w:pPr>
              <w:ind w:left="120"/>
              <w:spacing w:after="0"/>
              <w:rPr>
                <w:sz w:val="20"/>
                <w:szCs w:val="20"/>
                <w:color w:val="auto"/>
              </w:rPr>
            </w:pPr>
            <w:r>
              <w:rPr>
                <w:rFonts w:ascii="Arial" w:cs="Arial" w:eastAsia="Arial" w:hAnsi="Arial"/>
                <w:sz w:val="18"/>
                <w:szCs w:val="18"/>
                <w:color w:val="auto"/>
              </w:rPr>
              <w:t>Foreign</w:t>
            </w:r>
          </w:p>
        </w:tc>
        <w:tc>
          <w:tcPr>
            <w:tcW w:w="180" w:type="dxa"/>
            <w:vAlign w:val="bottom"/>
          </w:tcPr>
          <w:p>
            <w:pPr>
              <w:spacing w:after="0"/>
              <w:rPr>
                <w:sz w:val="18"/>
                <w:szCs w:val="18"/>
                <w:color w:val="auto"/>
              </w:rPr>
            </w:pPr>
          </w:p>
        </w:tc>
        <w:tc>
          <w:tcPr>
            <w:tcW w:w="620" w:type="dxa"/>
            <w:vAlign w:val="bottom"/>
            <w:gridSpan w:val="2"/>
          </w:tcPr>
          <w:p>
            <w:pPr>
              <w:jc w:val="right"/>
              <w:ind w:right="20"/>
              <w:spacing w:after="0"/>
              <w:rPr>
                <w:sz w:val="20"/>
                <w:szCs w:val="20"/>
                <w:color w:val="auto"/>
              </w:rPr>
            </w:pPr>
            <w:r>
              <w:rPr>
                <w:rFonts w:ascii="Arial" w:cs="Arial" w:eastAsia="Arial" w:hAnsi="Arial"/>
                <w:sz w:val="18"/>
                <w:szCs w:val="18"/>
                <w:color w:val="auto"/>
              </w:rPr>
              <w:t>107</w:t>
            </w: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126</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gridSpan w:val="2"/>
          </w:tcPr>
          <w:p>
            <w:pPr>
              <w:jc w:val="right"/>
              <w:ind w:right="160"/>
              <w:spacing w:after="0"/>
              <w:rPr>
                <w:sz w:val="20"/>
                <w:szCs w:val="20"/>
                <w:color w:val="auto"/>
              </w:rPr>
            </w:pPr>
            <w:r>
              <w:rPr>
                <w:rFonts w:ascii="Arial" w:cs="Arial" w:eastAsia="Arial" w:hAnsi="Arial"/>
                <w:sz w:val="18"/>
                <w:szCs w:val="18"/>
                <w:color w:val="auto"/>
              </w:rPr>
              <w:t>193</w:t>
            </w:r>
          </w:p>
        </w:tc>
      </w:tr>
      <w:tr>
        <w:trPr>
          <w:trHeight w:val="208"/>
        </w:trPr>
        <w:tc>
          <w:tcPr>
            <w:tcW w:w="4100" w:type="dxa"/>
            <w:vAlign w:val="bottom"/>
            <w:shd w:val="clear" w:color="auto" w:fill="CCEEFF"/>
          </w:tcPr>
          <w:p>
            <w:pPr>
              <w:ind w:left="120"/>
              <w:spacing w:after="0"/>
              <w:rPr>
                <w:sz w:val="20"/>
                <w:szCs w:val="20"/>
                <w:color w:val="auto"/>
              </w:rPr>
            </w:pPr>
            <w:r>
              <w:rPr>
                <w:rFonts w:ascii="Arial" w:cs="Arial" w:eastAsia="Arial" w:hAnsi="Arial"/>
                <w:sz w:val="18"/>
                <w:szCs w:val="18"/>
                <w:color w:val="auto"/>
                <w:w w:val="95"/>
              </w:rPr>
              <w:t>Expiration of Net Operating Losses and Research &amp;</w:t>
            </w:r>
          </w:p>
        </w:tc>
        <w:tc>
          <w:tcPr>
            <w:tcW w:w="1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r>
      <w:tr>
        <w:trPr>
          <w:trHeight w:val="224"/>
        </w:trPr>
        <w:tc>
          <w:tcPr>
            <w:tcW w:w="4100" w:type="dxa"/>
            <w:vAlign w:val="bottom"/>
            <w:shd w:val="clear" w:color="auto" w:fill="CCEEFF"/>
          </w:tcPr>
          <w:p>
            <w:pPr>
              <w:ind w:left="300"/>
              <w:spacing w:after="0"/>
              <w:rPr>
                <w:sz w:val="20"/>
                <w:szCs w:val="20"/>
                <w:color w:val="auto"/>
              </w:rPr>
            </w:pPr>
            <w:r>
              <w:rPr>
                <w:rFonts w:ascii="Arial" w:cs="Arial" w:eastAsia="Arial" w:hAnsi="Arial"/>
                <w:sz w:val="18"/>
                <w:szCs w:val="18"/>
                <w:color w:val="auto"/>
              </w:rPr>
              <w:t>Development Tax Credits</w:t>
            </w:r>
          </w:p>
        </w:tc>
        <w:tc>
          <w:tcPr>
            <w:tcW w:w="180" w:type="dxa"/>
            <w:vAlign w:val="bottom"/>
            <w:shd w:val="clear" w:color="auto" w:fill="CCEEFF"/>
          </w:tcPr>
          <w:p>
            <w:pPr>
              <w:spacing w:after="0"/>
              <w:rPr>
                <w:sz w:val="19"/>
                <w:szCs w:val="19"/>
                <w:color w:val="auto"/>
              </w:rPr>
            </w:pPr>
          </w:p>
        </w:tc>
        <w:tc>
          <w:tcPr>
            <w:tcW w:w="68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w w:val="95"/>
              </w:rPr>
              <w:t>(13,924)</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(3,992)</w:t>
            </w:r>
          </w:p>
        </w:tc>
        <w:tc>
          <w:tcPr>
            <w:tcW w:w="160" w:type="dxa"/>
            <w:vAlign w:val="bottom"/>
            <w:shd w:val="clear" w:color="auto" w:fill="CCEEFF"/>
          </w:tcPr>
          <w:p>
            <w:pPr>
              <w:spacing w:after="0"/>
              <w:rPr>
                <w:sz w:val="19"/>
                <w:szCs w:val="19"/>
                <w:color w:val="auto"/>
              </w:rPr>
            </w:pP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(1,306)</w:t>
            </w:r>
          </w:p>
        </w:tc>
      </w:tr>
      <w:tr>
        <w:trPr>
          <w:trHeight w:val="27"/>
        </w:trPr>
        <w:tc>
          <w:tcPr>
            <w:tcW w:w="4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620" w:type="dxa"/>
            <w:vAlign w:val="bottom"/>
            <w:gridSpan w:val="2"/>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Pr>
          <w:p>
            <w:pPr>
              <w:spacing w:after="0"/>
              <w:rPr>
                <w:sz w:val="2"/>
                <w:szCs w:val="2"/>
                <w:color w:val="auto"/>
              </w:rPr>
            </w:pPr>
          </w:p>
        </w:tc>
        <w:tc>
          <w:tcPr>
            <w:tcW w:w="5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60" w:type="dxa"/>
            <w:vAlign w:val="bottom"/>
          </w:tcPr>
          <w:p>
            <w:pPr>
              <w:spacing w:after="0"/>
              <w:rPr>
                <w:sz w:val="2"/>
                <w:szCs w:val="2"/>
                <w:color w:val="auto"/>
              </w:rPr>
            </w:pPr>
          </w:p>
        </w:tc>
        <w:tc>
          <w:tcPr>
            <w:tcW w:w="780" w:type="dxa"/>
            <w:vAlign w:val="bottom"/>
            <w:gridSpan w:val="2"/>
          </w:tcPr>
          <w:p>
            <w:pPr>
              <w:spacing w:after="0"/>
              <w:rPr>
                <w:sz w:val="2"/>
                <w:szCs w:val="2"/>
                <w:color w:val="auto"/>
              </w:rPr>
            </w:pPr>
          </w:p>
        </w:tc>
      </w:tr>
      <w:tr>
        <w:trPr>
          <w:trHeight w:val="210"/>
        </w:trPr>
        <w:tc>
          <w:tcPr>
            <w:tcW w:w="410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6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6"/>
              </w:rPr>
              <w:t>(11,526)</w:t>
            </w: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5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7,127</w:t>
            </w:r>
          </w:p>
        </w:tc>
        <w:tc>
          <w:tcPr>
            <w:tcW w:w="16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6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16,043</w:t>
            </w:r>
          </w:p>
        </w:tc>
        <w:tc>
          <w:tcPr>
            <w:tcW w:w="160" w:type="dxa"/>
            <w:vAlign w:val="bottom"/>
          </w:tcPr>
          <w:p>
            <w:pPr>
              <w:spacing w:after="0"/>
              <w:rPr>
                <w:sz w:val="18"/>
                <w:szCs w:val="18"/>
                <w:color w:val="auto"/>
              </w:rPr>
            </w:pPr>
          </w:p>
        </w:tc>
      </w:tr>
      <w:tr>
        <w:trPr>
          <w:trHeight w:val="216"/>
        </w:trPr>
        <w:tc>
          <w:tcPr>
            <w:tcW w:w="4100" w:type="dxa"/>
            <w:vAlign w:val="bottom"/>
            <w:shd w:val="clear" w:color="auto" w:fill="CCEEFF"/>
          </w:tcPr>
          <w:p>
            <w:pPr>
              <w:spacing w:after="0"/>
              <w:rPr>
                <w:sz w:val="20"/>
                <w:szCs w:val="20"/>
                <w:color w:val="auto"/>
              </w:rPr>
            </w:pPr>
            <w:r>
              <w:rPr>
                <w:rFonts w:ascii="Arial" w:cs="Arial" w:eastAsia="Arial" w:hAnsi="Arial"/>
                <w:sz w:val="18"/>
                <w:szCs w:val="18"/>
                <w:color w:val="auto"/>
              </w:rPr>
              <w:t>Deferred tax valuation allowance</w:t>
            </w:r>
          </w:p>
        </w:tc>
        <w:tc>
          <w:tcPr>
            <w:tcW w:w="18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11,526</w:t>
            </w: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(6,598)</w:t>
            </w:r>
          </w:p>
        </w:tc>
        <w:tc>
          <w:tcPr>
            <w:tcW w:w="16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8"/>
              </w:rPr>
              <w:t>(16,043)</w:t>
            </w:r>
          </w:p>
        </w:tc>
      </w:tr>
      <w:tr>
        <w:trPr>
          <w:trHeight w:val="27"/>
        </w:trPr>
        <w:tc>
          <w:tcPr>
            <w:tcW w:w="4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620" w:type="dxa"/>
            <w:vAlign w:val="bottom"/>
            <w:gridSpan w:val="2"/>
          </w:tcPr>
          <w:p>
            <w:pPr>
              <w:spacing w:after="0"/>
              <w:rPr>
                <w:sz w:val="2"/>
                <w:szCs w:val="2"/>
                <w:color w:val="auto"/>
              </w:rPr>
            </w:pPr>
          </w:p>
        </w:tc>
        <w:tc>
          <w:tcPr>
            <w:tcW w:w="60" w:type="dxa"/>
            <w:vAlign w:val="bottom"/>
          </w:tcPr>
          <w:p>
            <w:pPr>
              <w:spacing w:after="0"/>
              <w:rPr>
                <w:sz w:val="2"/>
                <w:szCs w:val="2"/>
                <w:color w:val="auto"/>
              </w:rPr>
            </w:pPr>
          </w:p>
        </w:tc>
        <w:tc>
          <w:tcPr>
            <w:tcW w:w="240" w:type="dxa"/>
            <w:vAlign w:val="bottom"/>
            <w:gridSpan w:val="2"/>
          </w:tcPr>
          <w:p>
            <w:pPr>
              <w:spacing w:after="0"/>
              <w:rPr>
                <w:sz w:val="2"/>
                <w:szCs w:val="2"/>
                <w:color w:val="auto"/>
              </w:rPr>
            </w:pPr>
          </w:p>
        </w:tc>
        <w:tc>
          <w:tcPr>
            <w:tcW w:w="5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60" w:type="dxa"/>
            <w:vAlign w:val="bottom"/>
          </w:tcPr>
          <w:p>
            <w:pPr>
              <w:spacing w:after="0"/>
              <w:rPr>
                <w:sz w:val="2"/>
                <w:szCs w:val="2"/>
                <w:color w:val="auto"/>
              </w:rPr>
            </w:pPr>
          </w:p>
        </w:tc>
        <w:tc>
          <w:tcPr>
            <w:tcW w:w="780" w:type="dxa"/>
            <w:vAlign w:val="bottom"/>
            <w:gridSpan w:val="2"/>
          </w:tcPr>
          <w:p>
            <w:pPr>
              <w:spacing w:after="0"/>
              <w:rPr>
                <w:sz w:val="2"/>
                <w:szCs w:val="2"/>
                <w:color w:val="auto"/>
              </w:rPr>
            </w:pPr>
          </w:p>
        </w:tc>
      </w:tr>
      <w:tr>
        <w:trPr>
          <w:trHeight w:val="216"/>
        </w:trPr>
        <w:tc>
          <w:tcPr>
            <w:tcW w:w="4100" w:type="dxa"/>
            <w:vAlign w:val="bottom"/>
          </w:tcPr>
          <w:p>
            <w:pPr>
              <w:spacing w:after="0"/>
              <w:rPr>
                <w:sz w:val="18"/>
                <w:szCs w:val="18"/>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6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5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529</w:t>
            </w:r>
          </w:p>
        </w:tc>
        <w:tc>
          <w:tcPr>
            <w:tcW w:w="160" w:type="dxa"/>
            <w:vAlign w:val="bottom"/>
          </w:tcPr>
          <w:p>
            <w:pPr>
              <w:spacing w:after="0"/>
              <w:rPr>
                <w:sz w:val="18"/>
                <w:szCs w:val="18"/>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6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r>
      <w:tr>
        <w:trPr>
          <w:trHeight w:val="21"/>
        </w:trPr>
        <w:tc>
          <w:tcPr>
            <w:tcW w:w="4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20"/>
        </w:trPr>
        <w:tc>
          <w:tcPr>
            <w:tcW w:w="4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bl>
    <w:p>
      <w:pPr>
        <w:spacing w:after="0" w:line="208" w:lineRule="exact"/>
        <w:rPr>
          <w:sz w:val="20"/>
          <w:szCs w:val="20"/>
          <w:color w:val="auto"/>
        </w:rPr>
      </w:pPr>
    </w:p>
    <w:p>
      <w:pPr>
        <w:jc w:val="both"/>
        <w:ind w:firstLine="351"/>
        <w:spacing w:after="0" w:line="268" w:lineRule="auto"/>
        <w:rPr>
          <w:sz w:val="20"/>
          <w:szCs w:val="20"/>
          <w:color w:val="auto"/>
        </w:rPr>
      </w:pPr>
      <w:r>
        <w:rPr>
          <w:rFonts w:ascii="Arial" w:cs="Arial" w:eastAsia="Arial" w:hAnsi="Arial"/>
          <w:sz w:val="18"/>
          <w:szCs w:val="18"/>
          <w:color w:val="auto"/>
        </w:rPr>
        <w:t>Included in the state tax provision above for the year ended December 31, 2009 is the effect of a rate decrease on the deferred tax asset and liabilities offset by a $0.5 million tax benefit due to non-cash tax consequences of the CuraGen Merger.</w:t>
      </w:r>
    </w:p>
    <w:p>
      <w:pPr>
        <w:spacing w:after="0" w:line="186" w:lineRule="exact"/>
        <w:rPr>
          <w:sz w:val="20"/>
          <w:szCs w:val="20"/>
          <w:color w:val="auto"/>
        </w:rPr>
      </w:pPr>
    </w:p>
    <w:p>
      <w:pPr>
        <w:ind w:left="340"/>
        <w:spacing w:after="0"/>
        <w:rPr>
          <w:sz w:val="20"/>
          <w:szCs w:val="20"/>
          <w:color w:val="auto"/>
        </w:rPr>
      </w:pPr>
      <w:r>
        <w:rPr>
          <w:rFonts w:ascii="Arial" w:cs="Arial" w:eastAsia="Arial" w:hAnsi="Arial"/>
          <w:sz w:val="18"/>
          <w:szCs w:val="18"/>
          <w:color w:val="auto"/>
        </w:rPr>
        <w:t>A reconciliation between the amount of reported income tax and the amount computed using the U.S. Statutory rate of 34% follows:</w:t>
      </w:r>
    </w:p>
    <w:p>
      <w:pPr>
        <w:spacing w:after="0" w:line="275" w:lineRule="exact"/>
        <w:rPr>
          <w:sz w:val="20"/>
          <w:szCs w:val="20"/>
          <w:color w:val="auto"/>
        </w:rPr>
      </w:pPr>
    </w:p>
    <w:tbl>
      <w:tblPr>
        <w:tblLayout w:type="fixed"/>
        <w:tblInd w:w="2300" w:type="dxa"/>
        <w:tblCellMar>
          <w:top w:w="0" w:type="dxa"/>
          <w:left w:w="0" w:type="dxa"/>
          <w:bottom w:w="0" w:type="dxa"/>
          <w:right w:w="0" w:type="dxa"/>
        </w:tblCellMar>
      </w:tblPr>
      <w:tr>
        <w:trPr>
          <w:trHeight w:val="161"/>
        </w:trPr>
        <w:tc>
          <w:tcPr>
            <w:tcW w:w="404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jc w:val="right"/>
              <w:ind w:right="174"/>
              <w:spacing w:after="0"/>
              <w:rPr>
                <w:sz w:val="20"/>
                <w:szCs w:val="20"/>
                <w:color w:val="auto"/>
              </w:rPr>
            </w:pPr>
            <w:r>
              <w:rPr>
                <w:rFonts w:ascii="Arial" w:cs="Arial" w:eastAsia="Arial" w:hAnsi="Arial"/>
                <w:sz w:val="14"/>
                <w:szCs w:val="14"/>
                <w:b w:val="1"/>
                <w:bCs w:val="1"/>
                <w:color w:val="auto"/>
              </w:rPr>
              <w:t>2010</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jc w:val="right"/>
              <w:ind w:right="154"/>
              <w:spacing w:after="0"/>
              <w:rPr>
                <w:sz w:val="20"/>
                <w:szCs w:val="20"/>
                <w:color w:val="auto"/>
              </w:rPr>
            </w:pPr>
            <w:r>
              <w:rPr>
                <w:rFonts w:ascii="Arial" w:cs="Arial" w:eastAsia="Arial" w:hAnsi="Arial"/>
                <w:sz w:val="14"/>
                <w:szCs w:val="14"/>
                <w:b w:val="1"/>
                <w:bCs w:val="1"/>
                <w:color w:val="auto"/>
              </w:rPr>
              <w:t>2009</w:t>
            </w:r>
          </w:p>
        </w:tc>
        <w:tc>
          <w:tcPr>
            <w:tcW w:w="16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jc w:val="right"/>
              <w:ind w:right="174"/>
              <w:spacing w:after="0"/>
              <w:rPr>
                <w:sz w:val="20"/>
                <w:szCs w:val="20"/>
                <w:color w:val="auto"/>
              </w:rPr>
            </w:pPr>
            <w:r>
              <w:rPr>
                <w:rFonts w:ascii="Arial" w:cs="Arial" w:eastAsia="Arial" w:hAnsi="Arial"/>
                <w:sz w:val="14"/>
                <w:szCs w:val="14"/>
                <w:b w:val="1"/>
                <w:bCs w:val="1"/>
                <w:color w:val="auto"/>
              </w:rPr>
              <w:t>2008</w:t>
            </w: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40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60" w:type="dxa"/>
            <w:vAlign w:val="bottom"/>
            <w:gridSpan w:val="2"/>
          </w:tcPr>
          <w:p>
            <w:pPr>
              <w:spacing w:after="0" w:line="142" w:lineRule="exact"/>
              <w:rPr>
                <w:sz w:val="20"/>
                <w:szCs w:val="20"/>
                <w:color w:val="auto"/>
              </w:rPr>
            </w:pPr>
            <w:r>
              <w:rPr>
                <w:rFonts w:ascii="Arial" w:cs="Arial" w:eastAsia="Arial" w:hAnsi="Arial"/>
                <w:sz w:val="14"/>
                <w:szCs w:val="14"/>
                <w:b w:val="1"/>
                <w:bCs w:val="1"/>
                <w:color w:val="auto"/>
                <w:w w:val="76"/>
              </w:rPr>
              <w:t>(In thousands)</w:t>
            </w:r>
          </w:p>
        </w:tc>
        <w:tc>
          <w:tcPr>
            <w:tcW w:w="1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4040" w:type="dxa"/>
            <w:vAlign w:val="bottom"/>
            <w:shd w:val="clear" w:color="auto" w:fill="CCEEFF"/>
          </w:tcPr>
          <w:p>
            <w:pPr>
              <w:spacing w:after="0"/>
              <w:rPr>
                <w:sz w:val="20"/>
                <w:szCs w:val="20"/>
                <w:color w:val="auto"/>
              </w:rPr>
            </w:pPr>
            <w:r>
              <w:rPr>
                <w:rFonts w:ascii="Arial" w:cs="Arial" w:eastAsia="Arial" w:hAnsi="Arial"/>
                <w:sz w:val="18"/>
                <w:szCs w:val="18"/>
                <w:color w:val="auto"/>
              </w:rPr>
              <w:t>Pre-tax book income (loss)</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(2,533)</w:t>
            </w:r>
          </w:p>
        </w:tc>
        <w:tc>
          <w:tcPr>
            <w:tcW w:w="24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rPr>
              <w:t>$</w:t>
            </w: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5"/>
              </w:rPr>
              <w:t>(37,054)</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8"/>
              </w:rPr>
              <w:t>(47,501)</w:t>
            </w:r>
          </w:p>
        </w:tc>
        <w:tc>
          <w:tcPr>
            <w:tcW w:w="0" w:type="dxa"/>
            <w:vAlign w:val="bottom"/>
          </w:tcPr>
          <w:p>
            <w:pPr>
              <w:spacing w:after="0"/>
              <w:rPr>
                <w:sz w:val="1"/>
                <w:szCs w:val="1"/>
                <w:color w:val="auto"/>
              </w:rPr>
            </w:pPr>
          </w:p>
        </w:tc>
      </w:tr>
      <w:tr>
        <w:trPr>
          <w:trHeight w:val="27"/>
        </w:trPr>
        <w:tc>
          <w:tcPr>
            <w:tcW w:w="4040" w:type="dxa"/>
            <w:vAlign w:val="bottom"/>
            <w:vMerge w:val="restart"/>
          </w:tcPr>
          <w:p>
            <w:pPr>
              <w:spacing w:after="0"/>
              <w:rPr>
                <w:sz w:val="20"/>
                <w:szCs w:val="20"/>
                <w:color w:val="auto"/>
              </w:rPr>
            </w:pPr>
            <w:r>
              <w:rPr>
                <w:rFonts w:ascii="Arial" w:cs="Arial" w:eastAsia="Arial" w:hAnsi="Arial"/>
                <w:sz w:val="18"/>
                <w:szCs w:val="18"/>
                <w:color w:val="auto"/>
              </w:rPr>
              <w:t>Loss at Statutory Rates</w:t>
            </w:r>
          </w:p>
        </w:tc>
        <w:tc>
          <w:tcPr>
            <w:tcW w:w="16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4040" w:type="dxa"/>
            <w:vAlign w:val="bottom"/>
            <w:vMerge w:val="continue"/>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0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6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8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4040" w:type="dxa"/>
            <w:vAlign w:val="bottom"/>
            <w:vMerge w:val="continue"/>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620" w:type="dxa"/>
            <w:vAlign w:val="bottom"/>
            <w:tcBorders>
              <w:top w:val="single" w:sz="8" w:color="auto"/>
            </w:tcBorders>
          </w:tcPr>
          <w:p>
            <w:pPr>
              <w:jc w:val="right"/>
              <w:spacing w:after="0" w:line="196" w:lineRule="exact"/>
              <w:rPr>
                <w:sz w:val="20"/>
                <w:szCs w:val="20"/>
                <w:color w:val="auto"/>
              </w:rPr>
            </w:pPr>
            <w:r>
              <w:rPr>
                <w:rFonts w:ascii="Arial" w:cs="Arial" w:eastAsia="Arial" w:hAnsi="Arial"/>
                <w:sz w:val="18"/>
                <w:szCs w:val="18"/>
                <w:color w:val="auto"/>
              </w:rPr>
              <w:t>(838)</w:t>
            </w: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600" w:type="dxa"/>
            <w:vAlign w:val="bottom"/>
            <w:tcBorders>
              <w:top w:val="single" w:sz="8" w:color="auto"/>
            </w:tcBorders>
          </w:tcPr>
          <w:p>
            <w:pPr>
              <w:jc w:val="right"/>
              <w:spacing w:after="0" w:line="196" w:lineRule="exact"/>
              <w:rPr>
                <w:sz w:val="20"/>
                <w:szCs w:val="20"/>
                <w:color w:val="auto"/>
              </w:rPr>
            </w:pPr>
            <w:r>
              <w:rPr>
                <w:rFonts w:ascii="Arial" w:cs="Arial" w:eastAsia="Arial" w:hAnsi="Arial"/>
                <w:sz w:val="18"/>
                <w:szCs w:val="18"/>
                <w:color w:val="auto"/>
                <w:w w:val="86"/>
              </w:rPr>
              <w:t>(12,571)</w:t>
            </w:r>
          </w:p>
        </w:tc>
        <w:tc>
          <w:tcPr>
            <w:tcW w:w="160" w:type="dxa"/>
            <w:vAlign w:val="bottom"/>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620" w:type="dxa"/>
            <w:vAlign w:val="bottom"/>
            <w:tcBorders>
              <w:top w:val="single" w:sz="8" w:color="auto"/>
            </w:tcBorders>
          </w:tcPr>
          <w:p>
            <w:pPr>
              <w:jc w:val="right"/>
              <w:spacing w:after="0" w:line="196" w:lineRule="exact"/>
              <w:rPr>
                <w:sz w:val="20"/>
                <w:szCs w:val="20"/>
                <w:color w:val="auto"/>
              </w:rPr>
            </w:pPr>
            <w:r>
              <w:rPr>
                <w:rFonts w:ascii="Arial" w:cs="Arial" w:eastAsia="Arial" w:hAnsi="Arial"/>
                <w:sz w:val="18"/>
                <w:szCs w:val="18"/>
                <w:color w:val="auto"/>
                <w:w w:val="89"/>
              </w:rPr>
              <w:t>(16,109)</w:t>
            </w: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040" w:type="dxa"/>
            <w:vAlign w:val="bottom"/>
            <w:shd w:val="clear" w:color="auto" w:fill="CCEEFF"/>
          </w:tcPr>
          <w:p>
            <w:pPr>
              <w:spacing w:after="0"/>
              <w:rPr>
                <w:sz w:val="20"/>
                <w:szCs w:val="20"/>
                <w:color w:val="auto"/>
              </w:rPr>
            </w:pPr>
            <w:r>
              <w:rPr>
                <w:rFonts w:ascii="Arial" w:cs="Arial" w:eastAsia="Arial" w:hAnsi="Arial"/>
                <w:sz w:val="18"/>
                <w:szCs w:val="18"/>
                <w:color w:val="auto"/>
              </w:rPr>
              <w:t>Research and Development Credits</w:t>
            </w:r>
          </w:p>
        </w:tc>
        <w:tc>
          <w:tcPr>
            <w:tcW w:w="16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(1,498)</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(1,456)</w:t>
            </w:r>
          </w:p>
        </w:tc>
        <w:tc>
          <w:tcPr>
            <w:tcW w:w="16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(1,325)</w:t>
            </w:r>
          </w:p>
        </w:tc>
        <w:tc>
          <w:tcPr>
            <w:tcW w:w="0" w:type="dxa"/>
            <w:vAlign w:val="bottom"/>
          </w:tcPr>
          <w:p>
            <w:pPr>
              <w:spacing w:after="0"/>
              <w:rPr>
                <w:sz w:val="1"/>
                <w:szCs w:val="1"/>
                <w:color w:val="auto"/>
              </w:rPr>
            </w:pPr>
          </w:p>
        </w:tc>
      </w:tr>
      <w:tr>
        <w:trPr>
          <w:trHeight w:val="216"/>
        </w:trPr>
        <w:tc>
          <w:tcPr>
            <w:tcW w:w="4040" w:type="dxa"/>
            <w:vAlign w:val="bottom"/>
          </w:tcPr>
          <w:p>
            <w:pPr>
              <w:spacing w:after="0"/>
              <w:rPr>
                <w:sz w:val="20"/>
                <w:szCs w:val="20"/>
                <w:color w:val="auto"/>
              </w:rPr>
            </w:pPr>
            <w:r>
              <w:rPr>
                <w:rFonts w:ascii="Arial" w:cs="Arial" w:eastAsia="Arial" w:hAnsi="Arial"/>
                <w:sz w:val="18"/>
                <w:szCs w:val="18"/>
                <w:color w:val="auto"/>
              </w:rPr>
              <w:t>State Taxes</w:t>
            </w:r>
          </w:p>
        </w:tc>
        <w:tc>
          <w:tcPr>
            <w:tcW w:w="160" w:type="dxa"/>
            <w:vAlign w:val="bottom"/>
          </w:tcPr>
          <w:p>
            <w:pPr>
              <w:spacing w:after="0"/>
              <w:rPr>
                <w:sz w:val="18"/>
                <w:szCs w:val="18"/>
                <w:color w:val="auto"/>
              </w:rPr>
            </w:pPr>
          </w:p>
        </w:tc>
        <w:tc>
          <w:tcPr>
            <w:tcW w:w="700" w:type="dxa"/>
            <w:vAlign w:val="bottom"/>
            <w:gridSpan w:val="2"/>
          </w:tcPr>
          <w:p>
            <w:pPr>
              <w:jc w:val="right"/>
              <w:ind w:right="20"/>
              <w:spacing w:after="0"/>
              <w:rPr>
                <w:sz w:val="20"/>
                <w:szCs w:val="20"/>
                <w:color w:val="auto"/>
              </w:rPr>
            </w:pPr>
            <w:r>
              <w:rPr>
                <w:rFonts w:ascii="Arial" w:cs="Arial" w:eastAsia="Arial" w:hAnsi="Arial"/>
                <w:sz w:val="18"/>
                <w:szCs w:val="18"/>
                <w:color w:val="auto"/>
              </w:rPr>
              <w:t>(779)</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1,757</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rPr>
              <w:t>(6,958)</w:t>
            </w:r>
          </w:p>
        </w:tc>
        <w:tc>
          <w:tcPr>
            <w:tcW w:w="0" w:type="dxa"/>
            <w:vAlign w:val="bottom"/>
          </w:tcPr>
          <w:p>
            <w:pPr>
              <w:spacing w:after="0"/>
              <w:rPr>
                <w:sz w:val="1"/>
                <w:szCs w:val="1"/>
                <w:color w:val="auto"/>
              </w:rPr>
            </w:pPr>
          </w:p>
        </w:tc>
      </w:tr>
      <w:tr>
        <w:trPr>
          <w:trHeight w:val="216"/>
        </w:trPr>
        <w:tc>
          <w:tcPr>
            <w:tcW w:w="4040" w:type="dxa"/>
            <w:vAlign w:val="bottom"/>
            <w:shd w:val="clear" w:color="auto" w:fill="CCEEFF"/>
          </w:tcPr>
          <w:p>
            <w:pPr>
              <w:spacing w:after="0"/>
              <w:rPr>
                <w:sz w:val="20"/>
                <w:szCs w:val="20"/>
                <w:color w:val="auto"/>
              </w:rPr>
            </w:pPr>
            <w:r>
              <w:rPr>
                <w:rFonts w:ascii="Arial" w:cs="Arial" w:eastAsia="Arial" w:hAnsi="Arial"/>
                <w:sz w:val="18"/>
                <w:szCs w:val="18"/>
                <w:color w:val="auto"/>
              </w:rPr>
              <w:t>Other</w:t>
            </w:r>
          </w:p>
        </w:tc>
        <w:tc>
          <w:tcPr>
            <w:tcW w:w="16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717</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1,151</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85</w:t>
            </w:r>
          </w:p>
        </w:tc>
        <w:tc>
          <w:tcPr>
            <w:tcW w:w="0" w:type="dxa"/>
            <w:vAlign w:val="bottom"/>
          </w:tcPr>
          <w:p>
            <w:pPr>
              <w:spacing w:after="0"/>
              <w:rPr>
                <w:sz w:val="1"/>
                <w:szCs w:val="1"/>
                <w:color w:val="auto"/>
              </w:rPr>
            </w:pPr>
          </w:p>
        </w:tc>
      </w:tr>
      <w:tr>
        <w:trPr>
          <w:trHeight w:val="216"/>
        </w:trPr>
        <w:tc>
          <w:tcPr>
            <w:tcW w:w="4040" w:type="dxa"/>
            <w:vAlign w:val="bottom"/>
          </w:tcPr>
          <w:p>
            <w:pPr>
              <w:spacing w:after="0"/>
              <w:rPr>
                <w:sz w:val="20"/>
                <w:szCs w:val="20"/>
                <w:color w:val="auto"/>
              </w:rPr>
            </w:pPr>
            <w:r>
              <w:rPr>
                <w:rFonts w:ascii="Arial" w:cs="Arial" w:eastAsia="Arial" w:hAnsi="Arial"/>
                <w:sz w:val="18"/>
                <w:szCs w:val="18"/>
                <w:color w:val="auto"/>
              </w:rPr>
              <w:t>IPR&amp;D</w:t>
            </w:r>
          </w:p>
        </w:tc>
        <w:tc>
          <w:tcPr>
            <w:tcW w:w="160" w:type="dxa"/>
            <w:vAlign w:val="bottom"/>
          </w:tcPr>
          <w:p>
            <w:pPr>
              <w:spacing w:after="0"/>
              <w:rPr>
                <w:sz w:val="18"/>
                <w:szCs w:val="18"/>
                <w:color w:val="auto"/>
              </w:rPr>
            </w:pPr>
          </w:p>
        </w:tc>
        <w:tc>
          <w:tcPr>
            <w:tcW w:w="70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780" w:type="dxa"/>
            <w:vAlign w:val="bottom"/>
            <w:gridSpan w:val="2"/>
          </w:tcPr>
          <w:p>
            <w:pPr>
              <w:jc w:val="right"/>
              <w:ind w:right="160"/>
              <w:spacing w:after="0"/>
              <w:rPr>
                <w:sz w:val="20"/>
                <w:szCs w:val="20"/>
                <w:color w:val="auto"/>
              </w:rPr>
            </w:pPr>
            <w:r>
              <w:rPr>
                <w:rFonts w:ascii="Arial" w:cs="Arial" w:eastAsia="Arial" w:hAnsi="Arial"/>
                <w:sz w:val="18"/>
                <w:szCs w:val="18"/>
                <w:color w:val="auto"/>
              </w:rPr>
              <w:t>6,958</w:t>
            </w:r>
          </w:p>
        </w:tc>
        <w:tc>
          <w:tcPr>
            <w:tcW w:w="0" w:type="dxa"/>
            <w:vAlign w:val="bottom"/>
          </w:tcPr>
          <w:p>
            <w:pPr>
              <w:spacing w:after="0"/>
              <w:rPr>
                <w:sz w:val="1"/>
                <w:szCs w:val="1"/>
                <w:color w:val="auto"/>
              </w:rPr>
            </w:pPr>
          </w:p>
        </w:tc>
      </w:tr>
      <w:tr>
        <w:trPr>
          <w:trHeight w:val="208"/>
        </w:trPr>
        <w:tc>
          <w:tcPr>
            <w:tcW w:w="4040" w:type="dxa"/>
            <w:vAlign w:val="bottom"/>
            <w:shd w:val="clear" w:color="auto" w:fill="CCEEFF"/>
          </w:tcPr>
          <w:p>
            <w:pPr>
              <w:spacing w:after="0"/>
              <w:rPr>
                <w:sz w:val="20"/>
                <w:szCs w:val="20"/>
                <w:color w:val="auto"/>
              </w:rPr>
            </w:pPr>
            <w:r>
              <w:rPr>
                <w:rFonts w:ascii="Arial" w:cs="Arial" w:eastAsia="Arial" w:hAnsi="Arial"/>
                <w:sz w:val="18"/>
                <w:szCs w:val="18"/>
                <w:color w:val="auto"/>
                <w:w w:val="97"/>
              </w:rPr>
              <w:t>Expiration of Net Operating Losses and Research &amp;</w:t>
            </w: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40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Development Tax Credits</w:t>
            </w:r>
          </w:p>
        </w:tc>
        <w:tc>
          <w:tcPr>
            <w:tcW w:w="160" w:type="dxa"/>
            <w:vAlign w:val="bottom"/>
            <w:shd w:val="clear" w:color="auto" w:fill="CCEEFF"/>
          </w:tcPr>
          <w:p>
            <w:pPr>
              <w:spacing w:after="0"/>
              <w:rPr>
                <w:sz w:val="19"/>
                <w:szCs w:val="19"/>
                <w:color w:val="auto"/>
              </w:rPr>
            </w:pPr>
          </w:p>
        </w:tc>
        <w:tc>
          <w:tcPr>
            <w:tcW w:w="7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13,924</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3,992</w:t>
            </w:r>
          </w:p>
        </w:tc>
        <w:tc>
          <w:tcPr>
            <w:tcW w:w="16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7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1,306</w:t>
            </w:r>
          </w:p>
        </w:tc>
        <w:tc>
          <w:tcPr>
            <w:tcW w:w="0" w:type="dxa"/>
            <w:vAlign w:val="bottom"/>
          </w:tcPr>
          <w:p>
            <w:pPr>
              <w:spacing w:after="0"/>
              <w:rPr>
                <w:sz w:val="1"/>
                <w:szCs w:val="1"/>
                <w:color w:val="auto"/>
              </w:rPr>
            </w:pPr>
          </w:p>
        </w:tc>
      </w:tr>
      <w:tr>
        <w:trPr>
          <w:trHeight w:val="222"/>
        </w:trPr>
        <w:tc>
          <w:tcPr>
            <w:tcW w:w="4040" w:type="dxa"/>
            <w:vAlign w:val="bottom"/>
          </w:tcPr>
          <w:p>
            <w:pPr>
              <w:spacing w:after="0"/>
              <w:rPr>
                <w:sz w:val="20"/>
                <w:szCs w:val="20"/>
                <w:color w:val="auto"/>
              </w:rPr>
            </w:pPr>
            <w:r>
              <w:rPr>
                <w:rFonts w:ascii="Arial" w:cs="Arial" w:eastAsia="Arial" w:hAnsi="Arial"/>
                <w:sz w:val="18"/>
                <w:szCs w:val="18"/>
                <w:color w:val="auto"/>
              </w:rPr>
              <w:t>Change in Valuation Allowance</w:t>
            </w:r>
          </w:p>
        </w:tc>
        <w:tc>
          <w:tcPr>
            <w:tcW w:w="160" w:type="dxa"/>
            <w:vAlign w:val="bottom"/>
          </w:tcPr>
          <w:p>
            <w:pPr>
              <w:spacing w:after="0"/>
              <w:rPr>
                <w:sz w:val="19"/>
                <w:szCs w:val="19"/>
                <w:color w:val="auto"/>
              </w:rPr>
            </w:pPr>
          </w:p>
        </w:tc>
        <w:tc>
          <w:tcPr>
            <w:tcW w:w="700" w:type="dxa"/>
            <w:vAlign w:val="bottom"/>
            <w:gridSpan w:val="2"/>
          </w:tcPr>
          <w:p>
            <w:pPr>
              <w:jc w:val="right"/>
              <w:ind w:right="20"/>
              <w:spacing w:after="0"/>
              <w:rPr>
                <w:sz w:val="20"/>
                <w:szCs w:val="20"/>
                <w:color w:val="auto"/>
              </w:rPr>
            </w:pPr>
            <w:r>
              <w:rPr>
                <w:rFonts w:ascii="Arial" w:cs="Arial" w:eastAsia="Arial" w:hAnsi="Arial"/>
                <w:sz w:val="18"/>
                <w:szCs w:val="18"/>
                <w:color w:val="auto"/>
                <w:w w:val="98"/>
              </w:rPr>
              <w:t>(11,526)</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6,598</w:t>
            </w:r>
          </w:p>
        </w:tc>
        <w:tc>
          <w:tcPr>
            <w:tcW w:w="1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80" w:type="dxa"/>
            <w:vAlign w:val="bottom"/>
            <w:gridSpan w:val="2"/>
          </w:tcPr>
          <w:p>
            <w:pPr>
              <w:jc w:val="right"/>
              <w:ind w:right="160"/>
              <w:spacing w:after="0"/>
              <w:rPr>
                <w:sz w:val="20"/>
                <w:szCs w:val="20"/>
                <w:color w:val="auto"/>
              </w:rPr>
            </w:pPr>
            <w:r>
              <w:rPr>
                <w:rFonts w:ascii="Arial" w:cs="Arial" w:eastAsia="Arial" w:hAnsi="Arial"/>
                <w:sz w:val="18"/>
                <w:szCs w:val="18"/>
                <w:color w:val="auto"/>
              </w:rPr>
              <w:t>16,043</w:t>
            </w:r>
          </w:p>
        </w:tc>
        <w:tc>
          <w:tcPr>
            <w:tcW w:w="0" w:type="dxa"/>
            <w:vAlign w:val="bottom"/>
          </w:tcPr>
          <w:p>
            <w:pPr>
              <w:spacing w:after="0"/>
              <w:rPr>
                <w:sz w:val="1"/>
                <w:szCs w:val="1"/>
                <w:color w:val="auto"/>
              </w:rPr>
            </w:pPr>
          </w:p>
        </w:tc>
      </w:tr>
      <w:tr>
        <w:trPr>
          <w:trHeight w:val="21"/>
        </w:trPr>
        <w:tc>
          <w:tcPr>
            <w:tcW w:w="40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4040" w:type="dxa"/>
            <w:vAlign w:val="bottom"/>
            <w:shd w:val="clear" w:color="auto" w:fill="CCEEFF"/>
          </w:tcPr>
          <w:p>
            <w:pPr>
              <w:spacing w:after="0"/>
              <w:rPr>
                <w:sz w:val="20"/>
                <w:szCs w:val="20"/>
                <w:color w:val="auto"/>
              </w:rPr>
            </w:pPr>
            <w:r>
              <w:rPr>
                <w:rFonts w:ascii="Arial" w:cs="Arial" w:eastAsia="Arial" w:hAnsi="Arial"/>
                <w:sz w:val="18"/>
                <w:szCs w:val="18"/>
                <w:color w:val="auto"/>
              </w:rPr>
              <w:t>Income tax (benefit) provision</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24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rPr>
              <w:t>$</w:t>
            </w: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(529)</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404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40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8" w:lineRule="exact"/>
        <w:rPr>
          <w:sz w:val="20"/>
          <w:szCs w:val="20"/>
          <w:color w:val="auto"/>
        </w:rPr>
      </w:pPr>
    </w:p>
    <w:p>
      <w:pPr>
        <w:jc w:val="both"/>
        <w:ind w:firstLine="351"/>
        <w:spacing w:after="0" w:line="259" w:lineRule="auto"/>
        <w:rPr>
          <w:sz w:val="20"/>
          <w:szCs w:val="20"/>
          <w:color w:val="auto"/>
        </w:rPr>
      </w:pPr>
      <w:r>
        <w:rPr>
          <w:rFonts w:ascii="Arial" w:cs="Arial" w:eastAsia="Arial" w:hAnsi="Arial"/>
          <w:sz w:val="18"/>
          <w:szCs w:val="18"/>
          <w:color w:val="auto"/>
        </w:rPr>
        <w:t>Deferred tax assets and liabilities are recognized based on temporary differences between the financial reporting and tax basis of assets and liabilities using future expected enacted rates. A valuation allowance is recorded against deferred tax assets if it is more likely than not that some or all of the deferred tax assets will not be realized.</w:t>
      </w:r>
    </w:p>
    <w:p>
      <w:pPr>
        <w:spacing w:after="0" w:line="194"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94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260"/>
          </w:cols>
          <w:pgMar w:left="240" w:top="131" w:right="399" w:bottom="1440" w:gutter="0" w:footer="0" w:header="0"/>
        </w:sectPr>
      </w:pPr>
    </w:p>
    <w:bookmarkStart w:id="100" w:name="page101"/>
    <w:bookmarkEnd w:id="100"/>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CELLDEX THERAPEUTICS, INC.</w:t>
      </w:r>
    </w:p>
    <w:p>
      <w:pPr>
        <w:spacing w:after="0" w:line="225"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25" w:lineRule="exact"/>
        <w:rPr>
          <w:sz w:val="20"/>
          <w:szCs w:val="20"/>
          <w:color w:val="auto"/>
        </w:rPr>
      </w:pPr>
    </w:p>
    <w:p>
      <w:pPr>
        <w:ind w:left="340" w:hanging="332"/>
        <w:spacing w:after="0"/>
        <w:tabs>
          <w:tab w:leader="none" w:pos="340" w:val="left"/>
        </w:tabs>
        <w:numPr>
          <w:ilvl w:val="0"/>
          <w:numId w:val="29"/>
        </w:numPr>
        <w:rPr>
          <w:rFonts w:ascii="Arial" w:cs="Arial" w:eastAsia="Arial" w:hAnsi="Arial"/>
          <w:sz w:val="18"/>
          <w:szCs w:val="18"/>
          <w:b w:val="1"/>
          <w:bCs w:val="1"/>
          <w:color w:val="auto"/>
        </w:rPr>
      </w:pPr>
      <w:r>
        <w:rPr>
          <w:rFonts w:ascii="Arial" w:cs="Arial" w:eastAsia="Arial" w:hAnsi="Arial"/>
          <w:sz w:val="18"/>
          <w:szCs w:val="18"/>
          <w:b w:val="1"/>
          <w:bCs w:val="1"/>
          <w:color w:val="auto"/>
        </w:rPr>
        <w:t>INCOME TAXES (Continued)</w:t>
      </w:r>
    </w:p>
    <w:p>
      <w:pPr>
        <w:spacing w:after="0" w:line="231" w:lineRule="exact"/>
        <w:rPr>
          <w:rFonts w:ascii="Arial" w:cs="Arial" w:eastAsia="Arial" w:hAnsi="Arial"/>
          <w:sz w:val="18"/>
          <w:szCs w:val="18"/>
          <w:b w:val="1"/>
          <w:bCs w:val="1"/>
          <w:color w:val="auto"/>
        </w:rPr>
      </w:pPr>
    </w:p>
    <w:p>
      <w:pPr>
        <w:ind w:left="360"/>
        <w:spacing w:after="0"/>
        <w:rPr>
          <w:rFonts w:ascii="Arial" w:cs="Arial" w:eastAsia="Arial" w:hAnsi="Arial"/>
          <w:sz w:val="18"/>
          <w:szCs w:val="18"/>
          <w:b w:val="1"/>
          <w:bCs w:val="1"/>
          <w:color w:val="auto"/>
        </w:rPr>
      </w:pPr>
      <w:r>
        <w:rPr>
          <w:rFonts w:ascii="Arial" w:cs="Arial" w:eastAsia="Arial" w:hAnsi="Arial"/>
          <w:sz w:val="18"/>
          <w:szCs w:val="18"/>
          <w:color w:val="auto"/>
        </w:rPr>
        <w:t>The principal components of the deferred tax assets and liabilities at December 31, 2010 and 2009, respectively, are as follows:</w:t>
      </w:r>
    </w:p>
    <w:p>
      <w:pPr>
        <w:spacing w:after="0" w:line="208" w:lineRule="exact"/>
        <w:rPr>
          <w:sz w:val="20"/>
          <w:szCs w:val="20"/>
          <w:color w:val="auto"/>
        </w:rPr>
      </w:pPr>
    </w:p>
    <w:tbl>
      <w:tblPr>
        <w:tblLayout w:type="fixed"/>
        <w:tblInd w:w="2300" w:type="dxa"/>
        <w:tblCellMar>
          <w:top w:w="0" w:type="dxa"/>
          <w:left w:w="0" w:type="dxa"/>
          <w:bottom w:w="0" w:type="dxa"/>
          <w:right w:w="0" w:type="dxa"/>
        </w:tblCellMar>
      </w:tblPr>
      <w:tr>
        <w:trPr>
          <w:trHeight w:val="161"/>
        </w:trPr>
        <w:tc>
          <w:tcPr>
            <w:tcW w:w="4600" w:type="dxa"/>
            <w:vAlign w:val="bottom"/>
          </w:tcPr>
          <w:p>
            <w:pPr>
              <w:spacing w:after="0"/>
              <w:rPr>
                <w:sz w:val="14"/>
                <w:szCs w:val="14"/>
                <w:color w:val="auto"/>
              </w:rPr>
            </w:pPr>
          </w:p>
        </w:tc>
        <w:tc>
          <w:tcPr>
            <w:tcW w:w="1120" w:type="dxa"/>
            <w:vAlign w:val="bottom"/>
            <w:gridSpan w:val="3"/>
          </w:tcPr>
          <w:p>
            <w:pPr>
              <w:jc w:val="right"/>
              <w:ind w:right="198"/>
              <w:spacing w:after="0"/>
              <w:rPr>
                <w:sz w:val="20"/>
                <w:szCs w:val="20"/>
                <w:color w:val="auto"/>
              </w:rPr>
            </w:pPr>
            <w:r>
              <w:rPr>
                <w:rFonts w:ascii="Arial" w:cs="Arial" w:eastAsia="Arial" w:hAnsi="Arial"/>
                <w:sz w:val="14"/>
                <w:szCs w:val="14"/>
                <w:b w:val="1"/>
                <w:bCs w:val="1"/>
                <w:color w:val="auto"/>
                <w:w w:val="92"/>
              </w:rPr>
              <w:t>December 31,</w:t>
            </w:r>
          </w:p>
        </w:tc>
        <w:tc>
          <w:tcPr>
            <w:tcW w:w="1120" w:type="dxa"/>
            <w:vAlign w:val="bottom"/>
            <w:gridSpan w:val="3"/>
          </w:tcPr>
          <w:p>
            <w:pPr>
              <w:jc w:val="right"/>
              <w:ind w:right="260"/>
              <w:spacing w:after="0"/>
              <w:rPr>
                <w:sz w:val="20"/>
                <w:szCs w:val="20"/>
                <w:color w:val="auto"/>
              </w:rPr>
            </w:pPr>
            <w:r>
              <w:rPr>
                <w:rFonts w:ascii="Arial" w:cs="Arial" w:eastAsia="Arial" w:hAnsi="Arial"/>
                <w:sz w:val="14"/>
                <w:szCs w:val="14"/>
                <w:b w:val="1"/>
                <w:bCs w:val="1"/>
                <w:color w:val="auto"/>
                <w:w w:val="92"/>
              </w:rPr>
              <w:t>December 31,</w:t>
            </w:r>
          </w:p>
        </w:tc>
      </w:tr>
      <w:tr>
        <w:trPr>
          <w:trHeight w:val="161"/>
        </w:trPr>
        <w:tc>
          <w:tcPr>
            <w:tcW w:w="460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jc w:val="right"/>
              <w:ind w:right="255"/>
              <w:spacing w:after="0"/>
              <w:rPr>
                <w:sz w:val="20"/>
                <w:szCs w:val="20"/>
                <w:color w:val="auto"/>
              </w:rPr>
            </w:pPr>
            <w:r>
              <w:rPr>
                <w:rFonts w:ascii="Arial" w:cs="Arial" w:eastAsia="Arial" w:hAnsi="Arial"/>
                <w:sz w:val="14"/>
                <w:szCs w:val="14"/>
                <w:b w:val="1"/>
                <w:bCs w:val="1"/>
                <w:color w:val="auto"/>
              </w:rPr>
              <w:t>2010</w:t>
            </w:r>
          </w:p>
        </w:tc>
        <w:tc>
          <w:tcPr>
            <w:tcW w:w="16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jc w:val="right"/>
              <w:ind w:right="253"/>
              <w:spacing w:after="0"/>
              <w:rPr>
                <w:sz w:val="20"/>
                <w:szCs w:val="20"/>
                <w:color w:val="auto"/>
              </w:rPr>
            </w:pPr>
            <w:r>
              <w:rPr>
                <w:rFonts w:ascii="Arial" w:cs="Arial" w:eastAsia="Arial" w:hAnsi="Arial"/>
                <w:sz w:val="14"/>
                <w:szCs w:val="14"/>
                <w:b w:val="1"/>
                <w:bCs w:val="1"/>
                <w:color w:val="auto"/>
              </w:rPr>
              <w:t>2009</w:t>
            </w:r>
          </w:p>
        </w:tc>
        <w:tc>
          <w:tcPr>
            <w:tcW w:w="160" w:type="dxa"/>
            <w:vAlign w:val="bottom"/>
          </w:tcPr>
          <w:p>
            <w:pPr>
              <w:spacing w:after="0"/>
              <w:rPr>
                <w:sz w:val="14"/>
                <w:szCs w:val="14"/>
                <w:color w:val="auto"/>
              </w:rPr>
            </w:pPr>
          </w:p>
        </w:tc>
      </w:tr>
      <w:tr>
        <w:trPr>
          <w:trHeight w:val="142"/>
        </w:trPr>
        <w:tc>
          <w:tcPr>
            <w:tcW w:w="46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40" w:type="dxa"/>
            <w:vAlign w:val="bottom"/>
          </w:tcPr>
          <w:p>
            <w:pPr>
              <w:jc w:val="right"/>
              <w:ind w:right="95"/>
              <w:spacing w:after="0" w:line="142" w:lineRule="exact"/>
              <w:rPr>
                <w:sz w:val="20"/>
                <w:szCs w:val="20"/>
                <w:color w:val="auto"/>
              </w:rPr>
            </w:pPr>
            <w:r>
              <w:rPr>
                <w:rFonts w:ascii="Arial" w:cs="Arial" w:eastAsia="Arial" w:hAnsi="Arial"/>
                <w:sz w:val="14"/>
                <w:szCs w:val="14"/>
                <w:b w:val="1"/>
                <w:bCs w:val="1"/>
                <w:color w:val="auto"/>
              </w:rPr>
              <w:t>(In</w:t>
            </w:r>
          </w:p>
        </w:tc>
        <w:tc>
          <w:tcPr>
            <w:tcW w:w="1120" w:type="dxa"/>
            <w:vAlign w:val="bottom"/>
            <w:gridSpan w:val="3"/>
          </w:tcPr>
          <w:p>
            <w:pPr>
              <w:jc w:val="right"/>
              <w:ind w:right="533"/>
              <w:spacing w:after="0"/>
              <w:rPr>
                <w:sz w:val="20"/>
                <w:szCs w:val="20"/>
                <w:color w:val="auto"/>
              </w:rPr>
            </w:pPr>
            <w:r>
              <w:rPr>
                <w:rFonts w:ascii="Arial" w:cs="Arial" w:eastAsia="Arial" w:hAnsi="Arial"/>
                <w:sz w:val="12"/>
                <w:szCs w:val="12"/>
                <w:b w:val="1"/>
                <w:bCs w:val="1"/>
                <w:color w:val="auto"/>
                <w:w w:val="74"/>
              </w:rPr>
              <w:t>thousands)</w:t>
            </w:r>
          </w:p>
        </w:tc>
        <w:tc>
          <w:tcPr>
            <w:tcW w:w="160" w:type="dxa"/>
            <w:vAlign w:val="bottom"/>
          </w:tcPr>
          <w:p>
            <w:pPr>
              <w:spacing w:after="0"/>
              <w:rPr>
                <w:sz w:val="12"/>
                <w:szCs w:val="12"/>
                <w:color w:val="auto"/>
              </w:rPr>
            </w:pPr>
          </w:p>
        </w:tc>
      </w:tr>
      <w:tr>
        <w:trPr>
          <w:trHeight w:val="216"/>
        </w:trPr>
        <w:tc>
          <w:tcPr>
            <w:tcW w:w="4600" w:type="dxa"/>
            <w:vAlign w:val="bottom"/>
            <w:shd w:val="clear" w:color="auto" w:fill="CCEEFF"/>
          </w:tcPr>
          <w:p>
            <w:pPr>
              <w:spacing w:after="0"/>
              <w:rPr>
                <w:sz w:val="20"/>
                <w:szCs w:val="20"/>
                <w:color w:val="auto"/>
              </w:rPr>
            </w:pPr>
            <w:r>
              <w:rPr>
                <w:rFonts w:ascii="Arial" w:cs="Arial" w:eastAsia="Arial" w:hAnsi="Arial"/>
                <w:sz w:val="18"/>
                <w:szCs w:val="18"/>
                <w:color w:val="auto"/>
              </w:rPr>
              <w:t>Gross Deferred Tax Assets</w:t>
            </w:r>
          </w:p>
        </w:tc>
        <w:tc>
          <w:tcPr>
            <w:tcW w:w="2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r>
      <w:tr>
        <w:trPr>
          <w:trHeight w:val="216"/>
        </w:trPr>
        <w:tc>
          <w:tcPr>
            <w:tcW w:w="4600" w:type="dxa"/>
            <w:vAlign w:val="bottom"/>
          </w:tcPr>
          <w:p>
            <w:pPr>
              <w:ind w:left="120"/>
              <w:spacing w:after="0"/>
              <w:rPr>
                <w:sz w:val="20"/>
                <w:szCs w:val="20"/>
                <w:color w:val="auto"/>
              </w:rPr>
            </w:pPr>
            <w:r>
              <w:rPr>
                <w:rFonts w:ascii="Arial" w:cs="Arial" w:eastAsia="Arial" w:hAnsi="Arial"/>
                <w:sz w:val="18"/>
                <w:szCs w:val="18"/>
                <w:color w:val="auto"/>
              </w:rPr>
              <w:t>Net Operating Loss Carryforwards</w:t>
            </w:r>
          </w:p>
        </w:tc>
        <w:tc>
          <w:tcPr>
            <w:tcW w:w="220" w:type="dxa"/>
            <w:vAlign w:val="bottom"/>
          </w:tcPr>
          <w:p>
            <w:pPr>
              <w:jc w:val="right"/>
              <w:ind w:right="39"/>
              <w:spacing w:after="0"/>
              <w:rPr>
                <w:sz w:val="20"/>
                <w:szCs w:val="20"/>
                <w:color w:val="auto"/>
              </w:rPr>
            </w:pPr>
            <w:r>
              <w:rPr>
                <w:rFonts w:ascii="Arial" w:cs="Arial" w:eastAsia="Arial" w:hAnsi="Arial"/>
                <w:sz w:val="18"/>
                <w:szCs w:val="18"/>
                <w:color w:val="auto"/>
                <w:w w:val="79"/>
              </w:rPr>
              <w:t>$</w:t>
            </w:r>
          </w:p>
        </w:tc>
        <w:tc>
          <w:tcPr>
            <w:tcW w:w="900" w:type="dxa"/>
            <w:vAlign w:val="bottom"/>
            <w:gridSpan w:val="2"/>
          </w:tcPr>
          <w:p>
            <w:pPr>
              <w:jc w:val="right"/>
              <w:ind w:right="98"/>
              <w:spacing w:after="0"/>
              <w:rPr>
                <w:sz w:val="20"/>
                <w:szCs w:val="20"/>
                <w:color w:val="auto"/>
              </w:rPr>
            </w:pPr>
            <w:r>
              <w:rPr>
                <w:rFonts w:ascii="Arial" w:cs="Arial" w:eastAsia="Arial" w:hAnsi="Arial"/>
                <w:sz w:val="18"/>
                <w:szCs w:val="18"/>
                <w:color w:val="auto"/>
              </w:rPr>
              <w:t>50,228</w:t>
            </w:r>
          </w:p>
        </w:tc>
        <w:tc>
          <w:tcPr>
            <w:tcW w:w="200" w:type="dxa"/>
            <w:vAlign w:val="bottom"/>
          </w:tcPr>
          <w:p>
            <w:pPr>
              <w:jc w:val="right"/>
              <w:ind w:right="19"/>
              <w:spacing w:after="0"/>
              <w:rPr>
                <w:sz w:val="20"/>
                <w:szCs w:val="20"/>
                <w:color w:val="auto"/>
              </w:rPr>
            </w:pPr>
            <w:r>
              <w:rPr>
                <w:rFonts w:ascii="Arial" w:cs="Arial" w:eastAsia="Arial" w:hAnsi="Arial"/>
                <w:sz w:val="18"/>
                <w:szCs w:val="18"/>
                <w:color w:val="auto"/>
                <w:w w:val="79"/>
              </w:rPr>
              <w:t>$</w:t>
            </w:r>
          </w:p>
        </w:tc>
        <w:tc>
          <w:tcPr>
            <w:tcW w:w="920" w:type="dxa"/>
            <w:vAlign w:val="bottom"/>
            <w:gridSpan w:val="2"/>
          </w:tcPr>
          <w:p>
            <w:pPr>
              <w:jc w:val="right"/>
              <w:ind w:right="160"/>
              <w:spacing w:after="0"/>
              <w:rPr>
                <w:sz w:val="20"/>
                <w:szCs w:val="20"/>
                <w:color w:val="auto"/>
              </w:rPr>
            </w:pPr>
            <w:r>
              <w:rPr>
                <w:rFonts w:ascii="Arial" w:cs="Arial" w:eastAsia="Arial" w:hAnsi="Arial"/>
                <w:sz w:val="18"/>
                <w:szCs w:val="18"/>
                <w:color w:val="auto"/>
              </w:rPr>
              <w:t>55,715</w:t>
            </w:r>
          </w:p>
        </w:tc>
      </w:tr>
      <w:tr>
        <w:trPr>
          <w:trHeight w:val="216"/>
        </w:trPr>
        <w:tc>
          <w:tcPr>
            <w:tcW w:w="4600" w:type="dxa"/>
            <w:vAlign w:val="bottom"/>
            <w:shd w:val="clear" w:color="auto" w:fill="CCEEFF"/>
          </w:tcPr>
          <w:p>
            <w:pPr>
              <w:ind w:left="120"/>
              <w:spacing w:after="0"/>
              <w:rPr>
                <w:sz w:val="20"/>
                <w:szCs w:val="20"/>
                <w:color w:val="auto"/>
              </w:rPr>
            </w:pPr>
            <w:r>
              <w:rPr>
                <w:rFonts w:ascii="Arial" w:cs="Arial" w:eastAsia="Arial" w:hAnsi="Arial"/>
                <w:sz w:val="18"/>
                <w:szCs w:val="18"/>
                <w:color w:val="auto"/>
              </w:rPr>
              <w:t>Tax Credit Carryforwards</w:t>
            </w:r>
          </w:p>
        </w:tc>
        <w:tc>
          <w:tcPr>
            <w:tcW w:w="2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98"/>
              <w:spacing w:after="0"/>
              <w:rPr>
                <w:sz w:val="20"/>
                <w:szCs w:val="20"/>
                <w:color w:val="auto"/>
              </w:rPr>
            </w:pPr>
            <w:r>
              <w:rPr>
                <w:rFonts w:ascii="Arial" w:cs="Arial" w:eastAsia="Arial" w:hAnsi="Arial"/>
                <w:sz w:val="18"/>
                <w:szCs w:val="18"/>
                <w:color w:val="auto"/>
              </w:rPr>
              <w:t>17,998</w:t>
            </w:r>
          </w:p>
        </w:tc>
        <w:tc>
          <w:tcPr>
            <w:tcW w:w="2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16,735</w:t>
            </w:r>
          </w:p>
        </w:tc>
      </w:tr>
      <w:tr>
        <w:trPr>
          <w:trHeight w:val="216"/>
        </w:trPr>
        <w:tc>
          <w:tcPr>
            <w:tcW w:w="4600" w:type="dxa"/>
            <w:vAlign w:val="bottom"/>
          </w:tcPr>
          <w:p>
            <w:pPr>
              <w:ind w:left="120"/>
              <w:spacing w:after="0"/>
              <w:rPr>
                <w:sz w:val="20"/>
                <w:szCs w:val="20"/>
                <w:color w:val="auto"/>
              </w:rPr>
            </w:pPr>
            <w:r>
              <w:rPr>
                <w:rFonts w:ascii="Arial" w:cs="Arial" w:eastAsia="Arial" w:hAnsi="Arial"/>
                <w:sz w:val="18"/>
                <w:szCs w:val="18"/>
                <w:color w:val="auto"/>
              </w:rPr>
              <w:t>Deferred Expenses</w:t>
            </w:r>
          </w:p>
        </w:tc>
        <w:tc>
          <w:tcPr>
            <w:tcW w:w="220" w:type="dxa"/>
            <w:vAlign w:val="bottom"/>
          </w:tcPr>
          <w:p>
            <w:pPr>
              <w:spacing w:after="0"/>
              <w:rPr>
                <w:sz w:val="18"/>
                <w:szCs w:val="18"/>
                <w:color w:val="auto"/>
              </w:rPr>
            </w:pPr>
          </w:p>
        </w:tc>
        <w:tc>
          <w:tcPr>
            <w:tcW w:w="900" w:type="dxa"/>
            <w:vAlign w:val="bottom"/>
            <w:gridSpan w:val="2"/>
          </w:tcPr>
          <w:p>
            <w:pPr>
              <w:jc w:val="right"/>
              <w:ind w:right="98"/>
              <w:spacing w:after="0"/>
              <w:rPr>
                <w:sz w:val="20"/>
                <w:szCs w:val="20"/>
                <w:color w:val="auto"/>
              </w:rPr>
            </w:pPr>
            <w:r>
              <w:rPr>
                <w:rFonts w:ascii="Arial" w:cs="Arial" w:eastAsia="Arial" w:hAnsi="Arial"/>
                <w:sz w:val="18"/>
                <w:szCs w:val="18"/>
                <w:color w:val="auto"/>
              </w:rPr>
              <w:t>23,705</w:t>
            </w:r>
          </w:p>
        </w:tc>
        <w:tc>
          <w:tcPr>
            <w:tcW w:w="200" w:type="dxa"/>
            <w:vAlign w:val="bottom"/>
          </w:tcPr>
          <w:p>
            <w:pPr>
              <w:spacing w:after="0"/>
              <w:rPr>
                <w:sz w:val="18"/>
                <w:szCs w:val="18"/>
                <w:color w:val="auto"/>
              </w:rPr>
            </w:pPr>
          </w:p>
        </w:tc>
        <w:tc>
          <w:tcPr>
            <w:tcW w:w="920" w:type="dxa"/>
            <w:vAlign w:val="bottom"/>
            <w:gridSpan w:val="2"/>
          </w:tcPr>
          <w:p>
            <w:pPr>
              <w:jc w:val="right"/>
              <w:ind w:right="160"/>
              <w:spacing w:after="0"/>
              <w:rPr>
                <w:sz w:val="20"/>
                <w:szCs w:val="20"/>
                <w:color w:val="auto"/>
              </w:rPr>
            </w:pPr>
            <w:r>
              <w:rPr>
                <w:rFonts w:ascii="Arial" w:cs="Arial" w:eastAsia="Arial" w:hAnsi="Arial"/>
                <w:sz w:val="18"/>
                <w:szCs w:val="18"/>
                <w:color w:val="auto"/>
              </w:rPr>
              <w:t>17,300</w:t>
            </w:r>
          </w:p>
        </w:tc>
      </w:tr>
      <w:tr>
        <w:trPr>
          <w:trHeight w:val="216"/>
        </w:trPr>
        <w:tc>
          <w:tcPr>
            <w:tcW w:w="4600" w:type="dxa"/>
            <w:vAlign w:val="bottom"/>
            <w:shd w:val="clear" w:color="auto" w:fill="CCEEFF"/>
          </w:tcPr>
          <w:p>
            <w:pPr>
              <w:ind w:left="120"/>
              <w:spacing w:after="0"/>
              <w:rPr>
                <w:sz w:val="20"/>
                <w:szCs w:val="20"/>
                <w:color w:val="auto"/>
              </w:rPr>
            </w:pPr>
            <w:r>
              <w:rPr>
                <w:rFonts w:ascii="Arial" w:cs="Arial" w:eastAsia="Arial" w:hAnsi="Arial"/>
                <w:sz w:val="18"/>
                <w:szCs w:val="18"/>
                <w:color w:val="auto"/>
              </w:rPr>
              <w:t>Stock-based Compensation</w:t>
            </w:r>
          </w:p>
        </w:tc>
        <w:tc>
          <w:tcPr>
            <w:tcW w:w="2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98"/>
              <w:spacing w:after="0"/>
              <w:rPr>
                <w:sz w:val="20"/>
                <w:szCs w:val="20"/>
                <w:color w:val="auto"/>
              </w:rPr>
            </w:pPr>
            <w:r>
              <w:rPr>
                <w:rFonts w:ascii="Arial" w:cs="Arial" w:eastAsia="Arial" w:hAnsi="Arial"/>
                <w:sz w:val="18"/>
                <w:szCs w:val="18"/>
                <w:color w:val="auto"/>
              </w:rPr>
              <w:t>3,066</w:t>
            </w:r>
          </w:p>
        </w:tc>
        <w:tc>
          <w:tcPr>
            <w:tcW w:w="2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3,795</w:t>
            </w:r>
          </w:p>
        </w:tc>
      </w:tr>
      <w:tr>
        <w:trPr>
          <w:trHeight w:val="216"/>
        </w:trPr>
        <w:tc>
          <w:tcPr>
            <w:tcW w:w="4600" w:type="dxa"/>
            <w:vAlign w:val="bottom"/>
          </w:tcPr>
          <w:p>
            <w:pPr>
              <w:ind w:left="120"/>
              <w:spacing w:after="0"/>
              <w:rPr>
                <w:sz w:val="20"/>
                <w:szCs w:val="20"/>
                <w:color w:val="auto"/>
              </w:rPr>
            </w:pPr>
            <w:r>
              <w:rPr>
                <w:rFonts w:ascii="Arial" w:cs="Arial" w:eastAsia="Arial" w:hAnsi="Arial"/>
                <w:sz w:val="18"/>
                <w:szCs w:val="18"/>
                <w:color w:val="auto"/>
              </w:rPr>
              <w:t>Fixed Assets</w:t>
            </w:r>
          </w:p>
        </w:tc>
        <w:tc>
          <w:tcPr>
            <w:tcW w:w="220" w:type="dxa"/>
            <w:vAlign w:val="bottom"/>
          </w:tcPr>
          <w:p>
            <w:pPr>
              <w:spacing w:after="0"/>
              <w:rPr>
                <w:sz w:val="18"/>
                <w:szCs w:val="18"/>
                <w:color w:val="auto"/>
              </w:rPr>
            </w:pPr>
          </w:p>
        </w:tc>
        <w:tc>
          <w:tcPr>
            <w:tcW w:w="900" w:type="dxa"/>
            <w:vAlign w:val="bottom"/>
            <w:gridSpan w:val="2"/>
          </w:tcPr>
          <w:p>
            <w:pPr>
              <w:jc w:val="right"/>
              <w:ind w:right="98"/>
              <w:spacing w:after="0"/>
              <w:rPr>
                <w:sz w:val="20"/>
                <w:szCs w:val="20"/>
                <w:color w:val="auto"/>
              </w:rPr>
            </w:pPr>
            <w:r>
              <w:rPr>
                <w:rFonts w:ascii="Arial" w:cs="Arial" w:eastAsia="Arial" w:hAnsi="Arial"/>
                <w:sz w:val="18"/>
                <w:szCs w:val="18"/>
                <w:color w:val="auto"/>
              </w:rPr>
              <w:t>1,957</w:t>
            </w:r>
          </w:p>
        </w:tc>
        <w:tc>
          <w:tcPr>
            <w:tcW w:w="200" w:type="dxa"/>
            <w:vAlign w:val="bottom"/>
          </w:tcPr>
          <w:p>
            <w:pPr>
              <w:spacing w:after="0"/>
              <w:rPr>
                <w:sz w:val="18"/>
                <w:szCs w:val="18"/>
                <w:color w:val="auto"/>
              </w:rPr>
            </w:pPr>
          </w:p>
        </w:tc>
        <w:tc>
          <w:tcPr>
            <w:tcW w:w="920" w:type="dxa"/>
            <w:vAlign w:val="bottom"/>
            <w:gridSpan w:val="2"/>
          </w:tcPr>
          <w:p>
            <w:pPr>
              <w:jc w:val="right"/>
              <w:ind w:right="160"/>
              <w:spacing w:after="0"/>
              <w:rPr>
                <w:sz w:val="20"/>
                <w:szCs w:val="20"/>
                <w:color w:val="auto"/>
              </w:rPr>
            </w:pPr>
            <w:r>
              <w:rPr>
                <w:rFonts w:ascii="Arial" w:cs="Arial" w:eastAsia="Arial" w:hAnsi="Arial"/>
                <w:sz w:val="18"/>
                <w:szCs w:val="18"/>
                <w:color w:val="auto"/>
              </w:rPr>
              <w:t>2,088</w:t>
            </w:r>
          </w:p>
        </w:tc>
      </w:tr>
      <w:tr>
        <w:trPr>
          <w:trHeight w:val="216"/>
        </w:trPr>
        <w:tc>
          <w:tcPr>
            <w:tcW w:w="4600" w:type="dxa"/>
            <w:vAlign w:val="bottom"/>
            <w:shd w:val="clear" w:color="auto" w:fill="CCEEFF"/>
          </w:tcPr>
          <w:p>
            <w:pPr>
              <w:ind w:left="120"/>
              <w:spacing w:after="0"/>
              <w:rPr>
                <w:sz w:val="20"/>
                <w:szCs w:val="20"/>
                <w:color w:val="auto"/>
              </w:rPr>
            </w:pPr>
            <w:r>
              <w:rPr>
                <w:rFonts w:ascii="Arial" w:cs="Arial" w:eastAsia="Arial" w:hAnsi="Arial"/>
                <w:sz w:val="18"/>
                <w:szCs w:val="18"/>
                <w:color w:val="auto"/>
              </w:rPr>
              <w:t>Accrued Expenses and Other</w:t>
            </w:r>
          </w:p>
        </w:tc>
        <w:tc>
          <w:tcPr>
            <w:tcW w:w="2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98"/>
              <w:spacing w:after="0"/>
              <w:rPr>
                <w:sz w:val="20"/>
                <w:szCs w:val="20"/>
                <w:color w:val="auto"/>
              </w:rPr>
            </w:pPr>
            <w:r>
              <w:rPr>
                <w:rFonts w:ascii="Arial" w:cs="Arial" w:eastAsia="Arial" w:hAnsi="Arial"/>
                <w:sz w:val="18"/>
                <w:szCs w:val="18"/>
                <w:color w:val="auto"/>
              </w:rPr>
              <w:t>311</w:t>
            </w:r>
          </w:p>
        </w:tc>
        <w:tc>
          <w:tcPr>
            <w:tcW w:w="2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1,122</w:t>
            </w:r>
          </w:p>
        </w:tc>
      </w:tr>
      <w:tr>
        <w:trPr>
          <w:trHeight w:val="222"/>
        </w:trPr>
        <w:tc>
          <w:tcPr>
            <w:tcW w:w="4600" w:type="dxa"/>
            <w:vAlign w:val="bottom"/>
          </w:tcPr>
          <w:p>
            <w:pPr>
              <w:ind w:left="120"/>
              <w:spacing w:after="0"/>
              <w:rPr>
                <w:sz w:val="20"/>
                <w:szCs w:val="20"/>
                <w:color w:val="auto"/>
              </w:rPr>
            </w:pPr>
            <w:r>
              <w:rPr>
                <w:rFonts w:ascii="Arial" w:cs="Arial" w:eastAsia="Arial" w:hAnsi="Arial"/>
                <w:sz w:val="18"/>
                <w:szCs w:val="18"/>
                <w:color w:val="auto"/>
              </w:rPr>
              <w:t>Deferred Revenue</w:t>
            </w:r>
          </w:p>
        </w:tc>
        <w:tc>
          <w:tcPr>
            <w:tcW w:w="220" w:type="dxa"/>
            <w:vAlign w:val="bottom"/>
          </w:tcPr>
          <w:p>
            <w:pPr>
              <w:spacing w:after="0"/>
              <w:rPr>
                <w:sz w:val="19"/>
                <w:szCs w:val="19"/>
                <w:color w:val="auto"/>
              </w:rPr>
            </w:pPr>
          </w:p>
        </w:tc>
        <w:tc>
          <w:tcPr>
            <w:tcW w:w="900" w:type="dxa"/>
            <w:vAlign w:val="bottom"/>
            <w:gridSpan w:val="2"/>
          </w:tcPr>
          <w:p>
            <w:pPr>
              <w:jc w:val="right"/>
              <w:ind w:right="98"/>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920" w:type="dxa"/>
            <w:vAlign w:val="bottom"/>
            <w:gridSpan w:val="2"/>
          </w:tcPr>
          <w:p>
            <w:pPr>
              <w:jc w:val="right"/>
              <w:ind w:right="160"/>
              <w:spacing w:after="0"/>
              <w:rPr>
                <w:sz w:val="20"/>
                <w:szCs w:val="20"/>
                <w:color w:val="auto"/>
              </w:rPr>
            </w:pPr>
            <w:r>
              <w:rPr>
                <w:rFonts w:ascii="Arial" w:cs="Arial" w:eastAsia="Arial" w:hAnsi="Arial"/>
                <w:sz w:val="18"/>
                <w:szCs w:val="18"/>
                <w:color w:val="auto"/>
              </w:rPr>
              <w:t>15,535</w:t>
            </w:r>
          </w:p>
        </w:tc>
      </w:tr>
      <w:tr>
        <w:trPr>
          <w:trHeight w:val="21"/>
        </w:trPr>
        <w:tc>
          <w:tcPr>
            <w:tcW w:w="46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210"/>
        </w:trPr>
        <w:tc>
          <w:tcPr>
            <w:tcW w:w="46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98"/>
              <w:spacing w:after="0"/>
              <w:rPr>
                <w:sz w:val="20"/>
                <w:szCs w:val="20"/>
                <w:color w:val="auto"/>
              </w:rPr>
            </w:pPr>
            <w:r>
              <w:rPr>
                <w:rFonts w:ascii="Arial" w:cs="Arial" w:eastAsia="Arial" w:hAnsi="Arial"/>
                <w:sz w:val="18"/>
                <w:szCs w:val="18"/>
                <w:color w:val="auto"/>
              </w:rPr>
              <w:t>97,265</w:t>
            </w:r>
          </w:p>
        </w:tc>
        <w:tc>
          <w:tcPr>
            <w:tcW w:w="2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112,290</w:t>
            </w:r>
          </w:p>
        </w:tc>
      </w:tr>
      <w:tr>
        <w:trPr>
          <w:trHeight w:val="431"/>
        </w:trPr>
        <w:tc>
          <w:tcPr>
            <w:tcW w:w="4600" w:type="dxa"/>
            <w:vAlign w:val="bottom"/>
          </w:tcPr>
          <w:p>
            <w:pPr>
              <w:spacing w:after="0"/>
              <w:rPr>
                <w:sz w:val="20"/>
                <w:szCs w:val="20"/>
                <w:color w:val="auto"/>
              </w:rPr>
            </w:pPr>
            <w:r>
              <w:rPr>
                <w:rFonts w:ascii="Arial" w:cs="Arial" w:eastAsia="Arial" w:hAnsi="Arial"/>
                <w:sz w:val="18"/>
                <w:szCs w:val="18"/>
                <w:color w:val="auto"/>
              </w:rPr>
              <w:t>Gross Deferred Tax Liabilities</w:t>
            </w:r>
          </w:p>
        </w:tc>
        <w:tc>
          <w:tcPr>
            <w:tcW w:w="2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60" w:type="dxa"/>
            <w:vAlign w:val="bottom"/>
          </w:tcPr>
          <w:p>
            <w:pPr>
              <w:spacing w:after="0"/>
              <w:rPr>
                <w:sz w:val="24"/>
                <w:szCs w:val="24"/>
                <w:color w:val="auto"/>
              </w:rPr>
            </w:pPr>
          </w:p>
        </w:tc>
      </w:tr>
      <w:tr>
        <w:trPr>
          <w:trHeight w:val="217"/>
        </w:trPr>
        <w:tc>
          <w:tcPr>
            <w:tcW w:w="4600" w:type="dxa"/>
            <w:vAlign w:val="bottom"/>
            <w:shd w:val="clear" w:color="auto" w:fill="CCEEFF"/>
          </w:tcPr>
          <w:p>
            <w:pPr>
              <w:ind w:left="120"/>
              <w:spacing w:after="0"/>
              <w:rPr>
                <w:sz w:val="20"/>
                <w:szCs w:val="20"/>
                <w:color w:val="auto"/>
              </w:rPr>
            </w:pPr>
            <w:r>
              <w:rPr>
                <w:rFonts w:ascii="Arial" w:cs="Arial" w:eastAsia="Arial" w:hAnsi="Arial"/>
                <w:sz w:val="18"/>
                <w:szCs w:val="18"/>
                <w:color w:val="auto"/>
              </w:rPr>
              <w:t>Other Acquired Intangibles</w:t>
            </w:r>
          </w:p>
        </w:tc>
        <w:tc>
          <w:tcPr>
            <w:tcW w:w="2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38"/>
              <w:spacing w:after="0"/>
              <w:rPr>
                <w:sz w:val="20"/>
                <w:szCs w:val="20"/>
                <w:color w:val="auto"/>
              </w:rPr>
            </w:pPr>
            <w:r>
              <w:rPr>
                <w:rFonts w:ascii="Arial" w:cs="Arial" w:eastAsia="Arial" w:hAnsi="Arial"/>
                <w:sz w:val="18"/>
                <w:szCs w:val="18"/>
                <w:color w:val="auto"/>
              </w:rPr>
              <w:t>(5,615)</w:t>
            </w:r>
          </w:p>
        </w:tc>
        <w:tc>
          <w:tcPr>
            <w:tcW w:w="2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(6,500)</w:t>
            </w:r>
          </w:p>
        </w:tc>
      </w:tr>
      <w:tr>
        <w:trPr>
          <w:trHeight w:val="216"/>
        </w:trPr>
        <w:tc>
          <w:tcPr>
            <w:tcW w:w="4600" w:type="dxa"/>
            <w:vAlign w:val="bottom"/>
          </w:tcPr>
          <w:p>
            <w:pPr>
              <w:ind w:left="120"/>
              <w:spacing w:after="0"/>
              <w:rPr>
                <w:sz w:val="20"/>
                <w:szCs w:val="20"/>
                <w:color w:val="auto"/>
              </w:rPr>
            </w:pPr>
            <w:r>
              <w:rPr>
                <w:rFonts w:ascii="Arial" w:cs="Arial" w:eastAsia="Arial" w:hAnsi="Arial"/>
                <w:sz w:val="18"/>
                <w:szCs w:val="18"/>
                <w:color w:val="auto"/>
              </w:rPr>
              <w:t>IPR&amp;D Intangibles</w:t>
            </w:r>
          </w:p>
        </w:tc>
        <w:tc>
          <w:tcPr>
            <w:tcW w:w="220" w:type="dxa"/>
            <w:vAlign w:val="bottom"/>
          </w:tcPr>
          <w:p>
            <w:pPr>
              <w:spacing w:after="0"/>
              <w:rPr>
                <w:sz w:val="18"/>
                <w:szCs w:val="18"/>
                <w:color w:val="auto"/>
              </w:rPr>
            </w:pPr>
          </w:p>
        </w:tc>
        <w:tc>
          <w:tcPr>
            <w:tcW w:w="900" w:type="dxa"/>
            <w:vAlign w:val="bottom"/>
            <w:gridSpan w:val="2"/>
          </w:tcPr>
          <w:p>
            <w:pPr>
              <w:jc w:val="right"/>
              <w:ind w:right="38"/>
              <w:spacing w:after="0"/>
              <w:rPr>
                <w:sz w:val="20"/>
                <w:szCs w:val="20"/>
                <w:color w:val="auto"/>
              </w:rPr>
            </w:pPr>
            <w:r>
              <w:rPr>
                <w:rFonts w:ascii="Arial" w:cs="Arial" w:eastAsia="Arial" w:hAnsi="Arial"/>
                <w:sz w:val="18"/>
                <w:szCs w:val="18"/>
                <w:color w:val="auto"/>
              </w:rPr>
              <w:t>(4,661)</w:t>
            </w:r>
          </w:p>
        </w:tc>
        <w:tc>
          <w:tcPr>
            <w:tcW w:w="20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(4,661)</w:t>
            </w:r>
          </w:p>
        </w:tc>
      </w:tr>
      <w:tr>
        <w:trPr>
          <w:trHeight w:val="216"/>
        </w:trPr>
        <w:tc>
          <w:tcPr>
            <w:tcW w:w="4600" w:type="dxa"/>
            <w:vAlign w:val="bottom"/>
            <w:shd w:val="clear" w:color="auto" w:fill="CCEEFF"/>
          </w:tcPr>
          <w:p>
            <w:pPr>
              <w:ind w:left="120"/>
              <w:spacing w:after="0"/>
              <w:rPr>
                <w:sz w:val="20"/>
                <w:szCs w:val="20"/>
                <w:color w:val="auto"/>
              </w:rPr>
            </w:pPr>
            <w:r>
              <w:rPr>
                <w:rFonts w:ascii="Arial" w:cs="Arial" w:eastAsia="Arial" w:hAnsi="Arial"/>
                <w:sz w:val="18"/>
                <w:szCs w:val="18"/>
                <w:color w:val="auto"/>
              </w:rPr>
              <w:t>Deferred License Costs and Other</w:t>
            </w:r>
          </w:p>
        </w:tc>
        <w:tc>
          <w:tcPr>
            <w:tcW w:w="2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38"/>
              <w:spacing w:after="0"/>
              <w:rPr>
                <w:sz w:val="20"/>
                <w:szCs w:val="20"/>
                <w:color w:val="auto"/>
              </w:rPr>
            </w:pPr>
            <w:r>
              <w:rPr>
                <w:rFonts w:ascii="Arial" w:cs="Arial" w:eastAsia="Arial" w:hAnsi="Arial"/>
                <w:sz w:val="18"/>
                <w:szCs w:val="18"/>
                <w:color w:val="auto"/>
              </w:rPr>
              <w:t>(37)</w:t>
            </w:r>
          </w:p>
        </w:tc>
        <w:tc>
          <w:tcPr>
            <w:tcW w:w="2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(2,651)</w:t>
            </w:r>
          </w:p>
        </w:tc>
      </w:tr>
      <w:tr>
        <w:trPr>
          <w:trHeight w:val="27"/>
        </w:trPr>
        <w:tc>
          <w:tcPr>
            <w:tcW w:w="46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00" w:type="dxa"/>
            <w:vAlign w:val="bottom"/>
            <w:gridSpan w:val="2"/>
          </w:tcPr>
          <w:p>
            <w:pPr>
              <w:spacing w:after="0"/>
              <w:rPr>
                <w:sz w:val="2"/>
                <w:szCs w:val="2"/>
                <w:color w:val="auto"/>
              </w:rPr>
            </w:pPr>
          </w:p>
        </w:tc>
        <w:tc>
          <w:tcPr>
            <w:tcW w:w="200" w:type="dxa"/>
            <w:vAlign w:val="bottom"/>
          </w:tcPr>
          <w:p>
            <w:pPr>
              <w:spacing w:after="0"/>
              <w:rPr>
                <w:sz w:val="2"/>
                <w:szCs w:val="2"/>
                <w:color w:val="auto"/>
              </w:rPr>
            </w:pPr>
          </w:p>
        </w:tc>
        <w:tc>
          <w:tcPr>
            <w:tcW w:w="920" w:type="dxa"/>
            <w:vAlign w:val="bottom"/>
            <w:gridSpan w:val="2"/>
          </w:tcPr>
          <w:p>
            <w:pPr>
              <w:spacing w:after="0"/>
              <w:rPr>
                <w:sz w:val="2"/>
                <w:szCs w:val="2"/>
                <w:color w:val="auto"/>
              </w:rPr>
            </w:pPr>
          </w:p>
        </w:tc>
      </w:tr>
      <w:tr>
        <w:trPr>
          <w:trHeight w:val="216"/>
        </w:trPr>
        <w:tc>
          <w:tcPr>
            <w:tcW w:w="460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7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(10,313)</w:t>
            </w:r>
          </w:p>
        </w:tc>
        <w:tc>
          <w:tcPr>
            <w:tcW w:w="16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7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(13,812)</w:t>
            </w:r>
          </w:p>
        </w:tc>
        <w:tc>
          <w:tcPr>
            <w:tcW w:w="160" w:type="dxa"/>
            <w:vAlign w:val="bottom"/>
          </w:tcPr>
          <w:p>
            <w:pPr>
              <w:spacing w:after="0"/>
              <w:rPr>
                <w:sz w:val="18"/>
                <w:szCs w:val="18"/>
                <w:color w:val="auto"/>
              </w:rPr>
            </w:pPr>
          </w:p>
        </w:tc>
      </w:tr>
      <w:tr>
        <w:trPr>
          <w:trHeight w:val="21"/>
        </w:trPr>
        <w:tc>
          <w:tcPr>
            <w:tcW w:w="46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210"/>
        </w:trPr>
        <w:tc>
          <w:tcPr>
            <w:tcW w:w="4600" w:type="dxa"/>
            <w:vAlign w:val="bottom"/>
            <w:shd w:val="clear" w:color="auto" w:fill="CCEEFF"/>
          </w:tcPr>
          <w:p>
            <w:pPr>
              <w:spacing w:after="0"/>
              <w:rPr>
                <w:sz w:val="20"/>
                <w:szCs w:val="20"/>
                <w:color w:val="auto"/>
              </w:rPr>
            </w:pPr>
            <w:r>
              <w:rPr>
                <w:rFonts w:ascii="Arial" w:cs="Arial" w:eastAsia="Arial" w:hAnsi="Arial"/>
                <w:sz w:val="18"/>
                <w:szCs w:val="18"/>
                <w:color w:val="auto"/>
              </w:rPr>
              <w:t>Total Deferred Tax Assets and Liabilities</w:t>
            </w:r>
          </w:p>
        </w:tc>
        <w:tc>
          <w:tcPr>
            <w:tcW w:w="2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98"/>
              <w:spacing w:after="0"/>
              <w:rPr>
                <w:sz w:val="20"/>
                <w:szCs w:val="20"/>
                <w:color w:val="auto"/>
              </w:rPr>
            </w:pPr>
            <w:r>
              <w:rPr>
                <w:rFonts w:ascii="Arial" w:cs="Arial" w:eastAsia="Arial" w:hAnsi="Arial"/>
                <w:sz w:val="18"/>
                <w:szCs w:val="18"/>
                <w:color w:val="auto"/>
              </w:rPr>
              <w:t>86,952</w:t>
            </w:r>
          </w:p>
        </w:tc>
        <w:tc>
          <w:tcPr>
            <w:tcW w:w="2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98,478</w:t>
            </w:r>
          </w:p>
        </w:tc>
      </w:tr>
      <w:tr>
        <w:trPr>
          <w:trHeight w:val="222"/>
        </w:trPr>
        <w:tc>
          <w:tcPr>
            <w:tcW w:w="4600" w:type="dxa"/>
            <w:vAlign w:val="bottom"/>
          </w:tcPr>
          <w:p>
            <w:pPr>
              <w:spacing w:after="0"/>
              <w:rPr>
                <w:sz w:val="20"/>
                <w:szCs w:val="20"/>
                <w:color w:val="auto"/>
              </w:rPr>
            </w:pPr>
            <w:r>
              <w:rPr>
                <w:rFonts w:ascii="Arial" w:cs="Arial" w:eastAsia="Arial" w:hAnsi="Arial"/>
                <w:sz w:val="18"/>
                <w:szCs w:val="18"/>
                <w:color w:val="auto"/>
              </w:rPr>
              <w:t>Deferred Tax Assets Valuation Allowance</w:t>
            </w:r>
          </w:p>
        </w:tc>
        <w:tc>
          <w:tcPr>
            <w:tcW w:w="220" w:type="dxa"/>
            <w:vAlign w:val="bottom"/>
          </w:tcPr>
          <w:p>
            <w:pPr>
              <w:spacing w:after="0"/>
              <w:rPr>
                <w:sz w:val="19"/>
                <w:szCs w:val="19"/>
                <w:color w:val="auto"/>
              </w:rPr>
            </w:pPr>
          </w:p>
        </w:tc>
        <w:tc>
          <w:tcPr>
            <w:tcW w:w="900" w:type="dxa"/>
            <w:vAlign w:val="bottom"/>
            <w:gridSpan w:val="2"/>
          </w:tcPr>
          <w:p>
            <w:pPr>
              <w:jc w:val="right"/>
              <w:ind w:right="38"/>
              <w:spacing w:after="0"/>
              <w:rPr>
                <w:sz w:val="20"/>
                <w:szCs w:val="20"/>
                <w:color w:val="auto"/>
              </w:rPr>
            </w:pPr>
            <w:r>
              <w:rPr>
                <w:rFonts w:ascii="Arial" w:cs="Arial" w:eastAsia="Arial" w:hAnsi="Arial"/>
                <w:sz w:val="18"/>
                <w:szCs w:val="18"/>
                <w:color w:val="auto"/>
              </w:rPr>
              <w:t>(91,613)</w:t>
            </w:r>
          </w:p>
        </w:tc>
        <w:tc>
          <w:tcPr>
            <w:tcW w:w="200" w:type="dxa"/>
            <w:vAlign w:val="bottom"/>
          </w:tcPr>
          <w:p>
            <w:pPr>
              <w:spacing w:after="0"/>
              <w:rPr>
                <w:sz w:val="19"/>
                <w:szCs w:val="19"/>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(103,139)</w:t>
            </w:r>
          </w:p>
        </w:tc>
      </w:tr>
      <w:tr>
        <w:trPr>
          <w:trHeight w:val="21"/>
        </w:trPr>
        <w:tc>
          <w:tcPr>
            <w:tcW w:w="46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210"/>
        </w:trPr>
        <w:tc>
          <w:tcPr>
            <w:tcW w:w="4600" w:type="dxa"/>
            <w:vAlign w:val="bottom"/>
            <w:shd w:val="clear" w:color="auto" w:fill="CCEEFF"/>
          </w:tcPr>
          <w:p>
            <w:pPr>
              <w:spacing w:after="0"/>
              <w:rPr>
                <w:sz w:val="20"/>
                <w:szCs w:val="20"/>
                <w:color w:val="auto"/>
              </w:rPr>
            </w:pPr>
            <w:r>
              <w:rPr>
                <w:rFonts w:ascii="Arial" w:cs="Arial" w:eastAsia="Arial" w:hAnsi="Arial"/>
                <w:sz w:val="18"/>
                <w:szCs w:val="18"/>
                <w:color w:val="auto"/>
              </w:rPr>
              <w:t>Net Deferred Tax Asset (Liability)</w:t>
            </w:r>
          </w:p>
        </w:tc>
        <w:tc>
          <w:tcPr>
            <w:tcW w:w="220" w:type="dxa"/>
            <w:vAlign w:val="bottom"/>
            <w:shd w:val="clear" w:color="auto" w:fill="CCEEFF"/>
          </w:tcPr>
          <w:p>
            <w:pPr>
              <w:jc w:val="right"/>
              <w:ind w:right="39"/>
              <w:spacing w:after="0"/>
              <w:rPr>
                <w:sz w:val="20"/>
                <w:szCs w:val="20"/>
                <w:color w:val="auto"/>
              </w:rPr>
            </w:pPr>
            <w:r>
              <w:rPr>
                <w:rFonts w:ascii="Arial" w:cs="Arial" w:eastAsia="Arial" w:hAnsi="Arial"/>
                <w:sz w:val="18"/>
                <w:szCs w:val="18"/>
                <w:color w:val="auto"/>
                <w:w w:val="79"/>
              </w:rPr>
              <w:t>$</w:t>
            </w:r>
          </w:p>
        </w:tc>
        <w:tc>
          <w:tcPr>
            <w:tcW w:w="900" w:type="dxa"/>
            <w:vAlign w:val="bottom"/>
            <w:gridSpan w:val="2"/>
            <w:shd w:val="clear" w:color="auto" w:fill="CCEEFF"/>
          </w:tcPr>
          <w:p>
            <w:pPr>
              <w:jc w:val="right"/>
              <w:ind w:right="38"/>
              <w:spacing w:after="0"/>
              <w:rPr>
                <w:sz w:val="20"/>
                <w:szCs w:val="20"/>
                <w:color w:val="auto"/>
              </w:rPr>
            </w:pPr>
            <w:r>
              <w:rPr>
                <w:rFonts w:ascii="Arial" w:cs="Arial" w:eastAsia="Arial" w:hAnsi="Arial"/>
                <w:sz w:val="18"/>
                <w:szCs w:val="18"/>
                <w:color w:val="auto"/>
              </w:rPr>
              <w:t>(4,661)</w:t>
            </w:r>
          </w:p>
        </w:tc>
        <w:tc>
          <w:tcPr>
            <w:tcW w:w="200" w:type="dxa"/>
            <w:vAlign w:val="bottom"/>
            <w:shd w:val="clear" w:color="auto" w:fill="CCEEFF"/>
          </w:tcPr>
          <w:p>
            <w:pPr>
              <w:jc w:val="right"/>
              <w:ind w:right="19"/>
              <w:spacing w:after="0"/>
              <w:rPr>
                <w:sz w:val="20"/>
                <w:szCs w:val="20"/>
                <w:color w:val="auto"/>
              </w:rPr>
            </w:pPr>
            <w:r>
              <w:rPr>
                <w:rFonts w:ascii="Arial" w:cs="Arial" w:eastAsia="Arial" w:hAnsi="Arial"/>
                <w:sz w:val="18"/>
                <w:szCs w:val="18"/>
                <w:color w:val="auto"/>
                <w:w w:val="79"/>
              </w:rPr>
              <w:t>$</w:t>
            </w: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(4,661)</w:t>
            </w:r>
          </w:p>
        </w:tc>
      </w:tr>
      <w:tr>
        <w:trPr>
          <w:trHeight w:val="27"/>
        </w:trPr>
        <w:tc>
          <w:tcPr>
            <w:tcW w:w="46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r>
      <w:tr>
        <w:trPr>
          <w:trHeight w:val="20"/>
        </w:trPr>
        <w:tc>
          <w:tcPr>
            <w:tcW w:w="46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bl>
    <w:p>
      <w:pPr>
        <w:spacing w:after="0" w:line="208" w:lineRule="exact"/>
        <w:rPr>
          <w:sz w:val="20"/>
          <w:szCs w:val="20"/>
          <w:color w:val="auto"/>
        </w:rPr>
      </w:pPr>
    </w:p>
    <w:p>
      <w:pPr>
        <w:ind w:right="420" w:firstLine="348"/>
        <w:spacing w:after="0" w:line="268" w:lineRule="auto"/>
        <w:rPr>
          <w:sz w:val="20"/>
          <w:szCs w:val="20"/>
          <w:color w:val="auto"/>
        </w:rPr>
      </w:pPr>
      <w:r>
        <w:rPr>
          <w:rFonts w:ascii="Arial" w:cs="Arial" w:eastAsia="Arial" w:hAnsi="Arial"/>
          <w:sz w:val="18"/>
          <w:szCs w:val="18"/>
          <w:color w:val="auto"/>
        </w:rPr>
        <w:t>The net deferred tax liability of $4.7 million at December 31, 2010 and 2009 primarily relates to the temporary differences associated with the IPR&amp;D intangible assets acquired in the CuraGen Merger, which are not deductible for tax purposes.</w:t>
      </w:r>
    </w:p>
    <w:p>
      <w:pPr>
        <w:spacing w:after="0" w:line="186" w:lineRule="exact"/>
        <w:rPr>
          <w:sz w:val="20"/>
          <w:szCs w:val="20"/>
          <w:color w:val="auto"/>
        </w:rPr>
      </w:pPr>
    </w:p>
    <w:p>
      <w:pPr>
        <w:ind w:left="340"/>
        <w:spacing w:after="0"/>
        <w:rPr>
          <w:sz w:val="20"/>
          <w:szCs w:val="20"/>
          <w:color w:val="auto"/>
        </w:rPr>
      </w:pPr>
      <w:r>
        <w:rPr>
          <w:rFonts w:ascii="Arial" w:cs="Arial" w:eastAsia="Arial" w:hAnsi="Arial"/>
          <w:sz w:val="18"/>
          <w:szCs w:val="18"/>
          <w:color w:val="auto"/>
        </w:rPr>
        <w:t>As of December 31, 2010, the Company had the following federal net operating loss ("NOL") carryforwards:</w:t>
      </w:r>
    </w:p>
    <w:p>
      <w:pPr>
        <w:spacing w:after="0" w:line="239" w:lineRule="exact"/>
        <w:rPr>
          <w:sz w:val="20"/>
          <w:szCs w:val="20"/>
          <w:color w:val="auto"/>
        </w:rPr>
      </w:pPr>
    </w:p>
    <w:p>
      <w:pPr>
        <w:ind w:left="1080" w:right="140" w:hanging="532"/>
        <w:spacing w:after="0" w:line="268" w:lineRule="auto"/>
        <w:tabs>
          <w:tab w:leader="none" w:pos="1080" w:val="left"/>
        </w:tabs>
        <w:numPr>
          <w:ilvl w:val="0"/>
          <w:numId w:val="30"/>
        </w:numPr>
        <w:rPr>
          <w:rFonts w:ascii="Arial" w:cs="Arial" w:eastAsia="Arial" w:hAnsi="Arial"/>
          <w:sz w:val="18"/>
          <w:szCs w:val="18"/>
          <w:color w:val="auto"/>
        </w:rPr>
      </w:pPr>
      <w:r>
        <w:rPr>
          <w:rFonts w:ascii="Arial" w:cs="Arial" w:eastAsia="Arial" w:hAnsi="Arial"/>
          <w:sz w:val="18"/>
          <w:szCs w:val="18"/>
          <w:color w:val="auto"/>
        </w:rPr>
        <w:t>Prior to the merger of Celldex and AVANT, $33.0 million was generated by Celldex Research which expire at various dates starting in 2023 and going through 2028;</w:t>
      </w:r>
    </w:p>
    <w:p>
      <w:pPr>
        <w:spacing w:after="0" w:line="212" w:lineRule="exact"/>
        <w:rPr>
          <w:rFonts w:ascii="Arial" w:cs="Arial" w:eastAsia="Arial" w:hAnsi="Arial"/>
          <w:sz w:val="18"/>
          <w:szCs w:val="18"/>
          <w:color w:val="auto"/>
        </w:rPr>
      </w:pPr>
    </w:p>
    <w:p>
      <w:pPr>
        <w:ind w:left="1080" w:right="160" w:hanging="532"/>
        <w:spacing w:after="0" w:line="332" w:lineRule="auto"/>
        <w:tabs>
          <w:tab w:leader="none" w:pos="1080" w:val="left"/>
        </w:tabs>
        <w:numPr>
          <w:ilvl w:val="0"/>
          <w:numId w:val="30"/>
        </w:numPr>
        <w:rPr>
          <w:rFonts w:ascii="Arial" w:cs="Arial" w:eastAsia="Arial" w:hAnsi="Arial"/>
          <w:sz w:val="16"/>
          <w:szCs w:val="16"/>
          <w:color w:val="auto"/>
        </w:rPr>
      </w:pPr>
      <w:r>
        <w:rPr>
          <w:rFonts w:ascii="Arial" w:cs="Arial" w:eastAsia="Arial" w:hAnsi="Arial"/>
          <w:sz w:val="16"/>
          <w:szCs w:val="16"/>
          <w:color w:val="auto"/>
        </w:rPr>
        <w:t>Prior to the merger of Celldex and AVANT, $132.2 million, net of expirations and utilization, was generated by AVANT which expire at various dates starting in 2011 and going through 2028. NOLs of $0.8 million were utilized in 2009 and $12.1 million in NOLs expired in 2010;</w:t>
      </w:r>
    </w:p>
    <w:p>
      <w:pPr>
        <w:spacing w:after="0" w:line="152" w:lineRule="exact"/>
        <w:rPr>
          <w:rFonts w:ascii="Arial" w:cs="Arial" w:eastAsia="Arial" w:hAnsi="Arial"/>
          <w:sz w:val="16"/>
          <w:szCs w:val="16"/>
          <w:color w:val="auto"/>
        </w:rPr>
      </w:pPr>
    </w:p>
    <w:p>
      <w:pPr>
        <w:ind w:left="1080" w:right="240" w:hanging="532"/>
        <w:spacing w:after="0" w:line="268" w:lineRule="auto"/>
        <w:tabs>
          <w:tab w:leader="none" w:pos="1080" w:val="left"/>
        </w:tabs>
        <w:numPr>
          <w:ilvl w:val="0"/>
          <w:numId w:val="30"/>
        </w:numPr>
        <w:rPr>
          <w:rFonts w:ascii="Arial" w:cs="Arial" w:eastAsia="Arial" w:hAnsi="Arial"/>
          <w:sz w:val="18"/>
          <w:szCs w:val="18"/>
          <w:color w:val="auto"/>
        </w:rPr>
      </w:pPr>
      <w:r>
        <w:rPr>
          <w:rFonts w:ascii="Arial" w:cs="Arial" w:eastAsia="Arial" w:hAnsi="Arial"/>
          <w:sz w:val="18"/>
          <w:szCs w:val="18"/>
          <w:color w:val="auto"/>
        </w:rPr>
        <w:t>Following the merger of Celldex and AVANT, $53.1 million was generated by the combined company which expire at various dates starting in 2028 and going through 2030; and</w:t>
      </w:r>
    </w:p>
    <w:p>
      <w:pPr>
        <w:spacing w:after="0" w:line="199" w:lineRule="exact"/>
        <w:rPr>
          <w:rFonts w:ascii="Arial" w:cs="Arial" w:eastAsia="Arial" w:hAnsi="Arial"/>
          <w:sz w:val="18"/>
          <w:szCs w:val="18"/>
          <w:color w:val="auto"/>
        </w:rPr>
      </w:pPr>
    </w:p>
    <w:p>
      <w:pPr>
        <w:ind w:left="1080" w:hanging="532"/>
        <w:spacing w:after="0"/>
        <w:tabs>
          <w:tab w:leader="none" w:pos="1080" w:val="left"/>
        </w:tabs>
        <w:numPr>
          <w:ilvl w:val="0"/>
          <w:numId w:val="30"/>
        </w:numPr>
        <w:rPr>
          <w:rFonts w:ascii="Arial" w:cs="Arial" w:eastAsia="Arial" w:hAnsi="Arial"/>
          <w:sz w:val="18"/>
          <w:szCs w:val="18"/>
          <w:color w:val="auto"/>
        </w:rPr>
      </w:pPr>
      <w:r>
        <w:rPr>
          <w:rFonts w:ascii="Arial" w:cs="Arial" w:eastAsia="Arial" w:hAnsi="Arial"/>
          <w:sz w:val="18"/>
          <w:szCs w:val="18"/>
          <w:color w:val="auto"/>
        </w:rPr>
        <w:t>Prior to its acquisition by Celldex, $518.3 million was generated by CuraGen.</w:t>
      </w:r>
    </w:p>
    <w:p>
      <w:pPr>
        <w:spacing w:after="0" w:line="225" w:lineRule="exact"/>
        <w:rPr>
          <w:sz w:val="20"/>
          <w:szCs w:val="20"/>
          <w:color w:val="auto"/>
        </w:rPr>
      </w:pPr>
    </w:p>
    <w:p>
      <w:pPr>
        <w:ind w:firstLine="351"/>
        <w:spacing w:after="0" w:line="259" w:lineRule="auto"/>
        <w:rPr>
          <w:sz w:val="20"/>
          <w:szCs w:val="20"/>
          <w:color w:val="auto"/>
        </w:rPr>
      </w:pPr>
      <w:r>
        <w:rPr>
          <w:rFonts w:ascii="Arial" w:cs="Arial" w:eastAsia="Arial" w:hAnsi="Arial"/>
          <w:sz w:val="18"/>
          <w:szCs w:val="18"/>
          <w:color w:val="auto"/>
        </w:rPr>
        <w:t>In general, an ownership change, as defined by Section 382 of the Internal Revenue Code, results from transactions increasing the ownership of certain shareholders or public groups in the stock of a corporation by more than 50 percentage points over a three-year period. Such ownership changes can significantly limit the amount of NOL carryforwards that may be utilized in future periods. The</w:t>
      </w:r>
    </w:p>
    <w:p>
      <w:pPr>
        <w:spacing w:after="0" w:line="194"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95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40"/>
          </w:cols>
          <w:pgMar w:left="240" w:top="131" w:right="319" w:bottom="1440" w:gutter="0" w:footer="0" w:header="0"/>
        </w:sectPr>
      </w:pPr>
    </w:p>
    <w:bookmarkStart w:id="101" w:name="page102"/>
    <w:bookmarkEnd w:id="101"/>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CELLDEX THERAPEUTICS, INC.</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(15) INCOME TAXES (Continued)</w:t>
      </w: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ind w:right="100"/>
        <w:spacing w:after="0" w:line="308" w:lineRule="auto"/>
        <w:rPr>
          <w:sz w:val="20"/>
          <w:szCs w:val="20"/>
          <w:color w:val="auto"/>
        </w:rPr>
      </w:pPr>
      <w:r>
        <w:rPr>
          <w:rFonts w:ascii="Arial" w:cs="Arial" w:eastAsia="Arial" w:hAnsi="Arial"/>
          <w:sz w:val="15"/>
          <w:szCs w:val="15"/>
          <w:color w:val="auto"/>
        </w:rPr>
        <w:t>Company currently expects that it is remote that the CuraGen loss carryforwards may be utilized and, as such, no related asset has been recorded for such losses. The Company has not completed an analysis of losses generated by AVANT, however, the Company believes it is remote that $92.9 million of the AVANT loss carryforwards may be utilized in future periods and there may be substantial limitations on the Company's ability to use the remaining losses of $39.4 million. Following the merger of Celldex and AVANT, the Company experienced changes in ownership as defined by Section 382 in June 2009 and December 2009. Further, prior to the merger of AVANT and Celldex, Celldex Research as a stand alone company experienced a change in ownership in October 2007. As a result of the ownership change in October 2007, utilization of the Celldex Research Federal NOLs is subject to an annual limitation of $4.5 million on $28.3 million of NOLs generated before that date. As a result of the company ownership changes in June 2009 and December 2009, there is an annual limitation amount of $6.0 million on $67.7 million NOLs. Any unused annual limitation may be carried over to later years, and the amount of the limitation may, under certain circumstances, be subject to adjustment if the fair value of the Company's net assets are determined to be below or in excess of the tax basis of such assets at the time of the ownership change, and such unrealized loss or gain is recognized during the five-year period after the ownership change.</w:t>
      </w:r>
    </w:p>
    <w:p>
      <w:pPr>
        <w:spacing w:after="0" w:line="163" w:lineRule="exact"/>
        <w:rPr>
          <w:sz w:val="20"/>
          <w:szCs w:val="20"/>
          <w:color w:val="auto"/>
        </w:rPr>
      </w:pPr>
    </w:p>
    <w:p>
      <w:pPr>
        <w:ind w:right="180" w:firstLine="351"/>
        <w:spacing w:after="0" w:line="254" w:lineRule="auto"/>
        <w:rPr>
          <w:sz w:val="20"/>
          <w:szCs w:val="20"/>
          <w:color w:val="auto"/>
        </w:rPr>
      </w:pPr>
      <w:r>
        <w:rPr>
          <w:rFonts w:ascii="Arial" w:cs="Arial" w:eastAsia="Arial" w:hAnsi="Arial"/>
          <w:sz w:val="18"/>
          <w:szCs w:val="18"/>
          <w:color w:val="auto"/>
        </w:rPr>
        <w:t>Similar to the AVANT and CuraGen NOL carryforwards above, the Company believes that it is remote that federal and state research and development ("R&amp;D") credits of $20.6 million and $14.4 million, respectively, will be utilized in the future periods. Further, the Company's ability to use the state NOL carryforwards of approximately $69.0 million and the remaining federal and state R&amp;D credit carryforwards of approximately $12.6 million and $8.1 million, respectively, may be substantially limited. These state NOLs and federal and state credits expire at various dates starting in 2011 going through 2030. The Company has not yet completed a study of these credits to substantiate the amounts. Until a study is completed, no amounts are being presented as an uncertain tax position.</w:t>
      </w:r>
    </w:p>
    <w:p>
      <w:pPr>
        <w:spacing w:after="0" w:line="198" w:lineRule="exact"/>
        <w:rPr>
          <w:sz w:val="20"/>
          <w:szCs w:val="20"/>
          <w:color w:val="auto"/>
        </w:rPr>
      </w:pPr>
    </w:p>
    <w:p>
      <w:pPr>
        <w:jc w:val="both"/>
        <w:ind w:right="100" w:firstLine="351"/>
        <w:spacing w:after="0" w:line="268" w:lineRule="auto"/>
        <w:rPr>
          <w:sz w:val="20"/>
          <w:szCs w:val="20"/>
          <w:color w:val="auto"/>
        </w:rPr>
      </w:pPr>
      <w:r>
        <w:rPr>
          <w:rFonts w:ascii="Arial" w:cs="Arial" w:eastAsia="Arial" w:hAnsi="Arial"/>
          <w:sz w:val="18"/>
          <w:szCs w:val="18"/>
          <w:color w:val="auto"/>
        </w:rPr>
        <w:t>Subsequent ownership changes, as defined in Section 382, could further limit the amount of net operating loss carryforwards and research and development credits that can be utilized annually to offset future taxable income.</w:t>
      </w:r>
    </w:p>
    <w:p>
      <w:pPr>
        <w:spacing w:after="0" w:line="186" w:lineRule="exact"/>
        <w:rPr>
          <w:sz w:val="20"/>
          <w:szCs w:val="20"/>
          <w:color w:val="auto"/>
        </w:rPr>
      </w:pPr>
    </w:p>
    <w:p>
      <w:pPr>
        <w:jc w:val="both"/>
        <w:ind w:right="120" w:firstLine="341"/>
        <w:spacing w:after="0" w:line="259" w:lineRule="auto"/>
        <w:rPr>
          <w:sz w:val="20"/>
          <w:szCs w:val="20"/>
          <w:color w:val="auto"/>
        </w:rPr>
      </w:pPr>
      <w:r>
        <w:rPr>
          <w:rFonts w:ascii="Arial" w:cs="Arial" w:eastAsia="Arial" w:hAnsi="Arial"/>
          <w:sz w:val="18"/>
          <w:szCs w:val="18"/>
          <w:color w:val="auto"/>
        </w:rPr>
        <w:t>As of December 31, 2010, the Company also has foreign NOL carryforwards of approximately $35.3 million in the UK which expire over various periods. The Company is in the process of liquidating its foreign subsidiary which generated these losses. Upon liquidation, these foreign NOLs will be lost and, as such, no related asset has been recorded for such losses.</w:t>
      </w:r>
    </w:p>
    <w:p>
      <w:pPr>
        <w:spacing w:after="0" w:line="194" w:lineRule="exact"/>
        <w:rPr>
          <w:sz w:val="20"/>
          <w:szCs w:val="20"/>
          <w:color w:val="auto"/>
        </w:rPr>
      </w:pPr>
    </w:p>
    <w:p>
      <w:pPr>
        <w:jc w:val="both"/>
        <w:ind w:right="280" w:firstLine="351"/>
        <w:spacing w:after="0" w:line="259" w:lineRule="auto"/>
        <w:rPr>
          <w:sz w:val="20"/>
          <w:szCs w:val="20"/>
          <w:color w:val="auto"/>
        </w:rPr>
      </w:pPr>
      <w:r>
        <w:rPr>
          <w:rFonts w:ascii="Arial" w:cs="Arial" w:eastAsia="Arial" w:hAnsi="Arial"/>
          <w:sz w:val="18"/>
          <w:szCs w:val="18"/>
          <w:color w:val="auto"/>
        </w:rPr>
        <w:t>Massachusetts, New Jersey and Connecticut are the three states in which the Company primarily operates or has operated and has income tax nexus. The Company is currently under examination by the Internal Revenue Service with respect to 2008. The Company is not currently under examination by any other jurisdictions for any tax year.</w:t>
      </w:r>
    </w:p>
    <w:p>
      <w:pPr>
        <w:spacing w:after="0" w:line="194" w:lineRule="exact"/>
        <w:rPr>
          <w:sz w:val="20"/>
          <w:szCs w:val="20"/>
          <w:color w:val="auto"/>
        </w:rPr>
      </w:pPr>
    </w:p>
    <w:p>
      <w:pPr>
        <w:ind w:firstLine="348"/>
        <w:spacing w:after="0" w:line="256" w:lineRule="auto"/>
        <w:rPr>
          <w:sz w:val="20"/>
          <w:szCs w:val="20"/>
          <w:color w:val="auto"/>
        </w:rPr>
      </w:pPr>
      <w:r>
        <w:rPr>
          <w:rFonts w:ascii="Arial" w:cs="Arial" w:eastAsia="Arial" w:hAnsi="Arial"/>
          <w:sz w:val="18"/>
          <w:szCs w:val="18"/>
          <w:color w:val="auto"/>
        </w:rPr>
        <w:t>The Company has evaluated the positive and negative evidence bearing upon the realizability of its net deferred tax assets, which are comprised principally of net operating loss carryforwards, capitalized R&amp;D expenditures and R&amp;D tax credit carryforwards. The Company has determined that it is more likely than not that it will not recognize the benefits of federal and state deferred tax assets and, as a result, a full valuation allowance was maintained at December 31, 2010 against the Company's net deferred tax assets.</w:t>
      </w:r>
    </w:p>
    <w:p>
      <w:pPr>
        <w:spacing w:after="0" w:line="1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102" w:name="page103"/>
    <w:bookmarkEnd w:id="102"/>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CELLDEX THERAPEUTICS, INC.</w:t>
      </w:r>
    </w:p>
    <w:p>
      <w:pPr>
        <w:spacing w:after="0" w:line="225" w:lineRule="exact"/>
        <w:rPr>
          <w:sz w:val="20"/>
          <w:szCs w:val="20"/>
          <w:color w:val="auto"/>
        </w:rPr>
      </w:pPr>
    </w:p>
    <w:p>
      <w:pPr>
        <w:ind w:left="2940"/>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(16) COMMITMENTS AND CONTINGENCIES</w:t>
      </w:r>
    </w:p>
    <w:p>
      <w:pPr>
        <w:spacing w:after="0" w:line="231" w:lineRule="exact"/>
        <w:rPr>
          <w:sz w:val="20"/>
          <w:szCs w:val="20"/>
          <w:color w:val="auto"/>
        </w:rPr>
      </w:pPr>
    </w:p>
    <w:p>
      <w:pPr>
        <w:jc w:val="both"/>
        <w:ind w:firstLine="348"/>
        <w:spacing w:after="0" w:line="303" w:lineRule="auto"/>
        <w:rPr>
          <w:sz w:val="20"/>
          <w:szCs w:val="20"/>
          <w:color w:val="auto"/>
        </w:rPr>
      </w:pPr>
      <w:r>
        <w:rPr>
          <w:rFonts w:ascii="Arial" w:cs="Arial" w:eastAsia="Arial" w:hAnsi="Arial"/>
          <w:sz w:val="15"/>
          <w:szCs w:val="15"/>
          <w:color w:val="auto"/>
        </w:rPr>
        <w:t>The Company has facility and equipment leases that expire at various dates through 2017. Certain of these facility leases contain renewal options, provisions that escalate the base rent payments and require the Company to pay common area maintenance costs ("CAM") during the lease term. The Company entered into a letter of credit facility with a national U.S. financial institution which is collateralized by a security deposit for the leased facility in Phillipsburg, New Jersey.</w:t>
      </w:r>
    </w:p>
    <w:p>
      <w:pPr>
        <w:spacing w:after="0" w:line="1" w:lineRule="exact"/>
        <w:rPr>
          <w:sz w:val="20"/>
          <w:szCs w:val="20"/>
          <w:color w:val="auto"/>
        </w:rPr>
      </w:pPr>
    </w:p>
    <w:p>
      <w:pPr>
        <w:ind w:right="60"/>
        <w:spacing w:after="0" w:line="261" w:lineRule="auto"/>
        <w:rPr>
          <w:sz w:val="20"/>
          <w:szCs w:val="20"/>
          <w:color w:val="auto"/>
        </w:rPr>
      </w:pPr>
      <w:r>
        <w:rPr>
          <w:rFonts w:ascii="Arial" w:cs="Arial" w:eastAsia="Arial" w:hAnsi="Arial"/>
          <w:sz w:val="18"/>
          <w:szCs w:val="18"/>
          <w:color w:val="auto"/>
        </w:rPr>
        <w:t>The Company recorded restricted cash related to this security deposit of $0.2 million to other assets in the consolidated balance sheets at December 31, 2010 and December 31, 2009.</w:t>
      </w:r>
    </w:p>
    <w:p>
      <w:pPr>
        <w:spacing w:after="0" w:line="192" w:lineRule="exact"/>
        <w:rPr>
          <w:sz w:val="20"/>
          <w:szCs w:val="20"/>
          <w:color w:val="auto"/>
        </w:rPr>
      </w:pPr>
    </w:p>
    <w:p>
      <w:pPr>
        <w:ind w:right="60" w:firstLine="351"/>
        <w:spacing w:after="0" w:line="268" w:lineRule="auto"/>
        <w:rPr>
          <w:sz w:val="20"/>
          <w:szCs w:val="20"/>
          <w:color w:val="auto"/>
        </w:rPr>
      </w:pPr>
      <w:r>
        <w:rPr>
          <w:rFonts w:ascii="Arial" w:cs="Arial" w:eastAsia="Arial" w:hAnsi="Arial"/>
          <w:sz w:val="18"/>
          <w:szCs w:val="18"/>
          <w:color w:val="auto"/>
        </w:rPr>
        <w:t>Obligations for base rent and CAM costs under facility and other non-cancelable operating leases as of December 31, 2010 are approximately as follows (in thousands):</w:t>
      </w:r>
    </w:p>
    <w:p>
      <w:pPr>
        <w:spacing w:after="0" w:line="194" w:lineRule="exact"/>
        <w:rPr>
          <w:sz w:val="20"/>
          <w:szCs w:val="20"/>
          <w:color w:val="auto"/>
        </w:rPr>
      </w:pPr>
    </w:p>
    <w:tbl>
      <w:tblPr>
        <w:tblLayout w:type="fixed"/>
        <w:tblInd w:w="2300" w:type="dxa"/>
        <w:tblCellMar>
          <w:top w:w="0" w:type="dxa"/>
          <w:left w:w="0" w:type="dxa"/>
          <w:bottom w:w="0" w:type="dxa"/>
          <w:right w:w="0" w:type="dxa"/>
        </w:tblCellMar>
      </w:tblPr>
      <w:tr>
        <w:trPr>
          <w:trHeight w:val="216"/>
        </w:trPr>
        <w:tc>
          <w:tcPr>
            <w:tcW w:w="5980" w:type="dxa"/>
            <w:vAlign w:val="bottom"/>
            <w:shd w:val="clear" w:color="auto" w:fill="CCEEFF"/>
          </w:tcPr>
          <w:p>
            <w:pPr>
              <w:spacing w:after="0"/>
              <w:rPr>
                <w:sz w:val="20"/>
                <w:szCs w:val="20"/>
                <w:color w:val="auto"/>
              </w:rPr>
            </w:pPr>
            <w:r>
              <w:rPr>
                <w:rFonts w:ascii="Arial" w:cs="Arial" w:eastAsia="Arial" w:hAnsi="Arial"/>
                <w:sz w:val="18"/>
                <w:szCs w:val="18"/>
                <w:color w:val="auto"/>
              </w:rPr>
              <w:t>2011</w:t>
            </w:r>
          </w:p>
        </w:tc>
        <w:tc>
          <w:tcPr>
            <w:tcW w:w="160" w:type="dxa"/>
            <w:vAlign w:val="bottom"/>
            <w:shd w:val="clear" w:color="auto" w:fill="CCEEFF"/>
          </w:tcPr>
          <w:p>
            <w:pPr>
              <w:jc w:val="right"/>
              <w:ind w:right="3"/>
              <w:spacing w:after="0"/>
              <w:rPr>
                <w:sz w:val="20"/>
                <w:szCs w:val="20"/>
                <w:color w:val="auto"/>
              </w:rPr>
            </w:pPr>
            <w:r>
              <w:rPr>
                <w:rFonts w:ascii="Arial" w:cs="Arial" w:eastAsia="Arial" w:hAnsi="Arial"/>
                <w:sz w:val="15"/>
                <w:szCs w:val="15"/>
                <w:color w:val="auto"/>
                <w:w w:val="71"/>
              </w:rPr>
              <w:t>$</w:t>
            </w:r>
          </w:p>
        </w:tc>
        <w:tc>
          <w:tcPr>
            <w:tcW w:w="7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2,470</w:t>
            </w:r>
          </w:p>
        </w:tc>
      </w:tr>
      <w:tr>
        <w:trPr>
          <w:trHeight w:val="216"/>
        </w:trPr>
        <w:tc>
          <w:tcPr>
            <w:tcW w:w="5980" w:type="dxa"/>
            <w:vAlign w:val="bottom"/>
          </w:tcPr>
          <w:p>
            <w:pPr>
              <w:spacing w:after="0"/>
              <w:rPr>
                <w:sz w:val="20"/>
                <w:szCs w:val="20"/>
                <w:color w:val="auto"/>
              </w:rPr>
            </w:pPr>
            <w:r>
              <w:rPr>
                <w:rFonts w:ascii="Arial" w:cs="Arial" w:eastAsia="Arial" w:hAnsi="Arial"/>
                <w:sz w:val="18"/>
                <w:szCs w:val="18"/>
                <w:color w:val="auto"/>
              </w:rPr>
              <w:t>2012</w:t>
            </w:r>
          </w:p>
        </w:tc>
        <w:tc>
          <w:tcPr>
            <w:tcW w:w="160" w:type="dxa"/>
            <w:vAlign w:val="bottom"/>
          </w:tcPr>
          <w:p>
            <w:pPr>
              <w:spacing w:after="0"/>
              <w:rPr>
                <w:sz w:val="18"/>
                <w:szCs w:val="18"/>
                <w:color w:val="auto"/>
              </w:rPr>
            </w:pPr>
          </w:p>
        </w:tc>
        <w:tc>
          <w:tcPr>
            <w:tcW w:w="700" w:type="dxa"/>
            <w:vAlign w:val="bottom"/>
            <w:gridSpan w:val="2"/>
          </w:tcPr>
          <w:p>
            <w:pPr>
              <w:jc w:val="right"/>
              <w:ind w:right="160"/>
              <w:spacing w:after="0"/>
              <w:rPr>
                <w:sz w:val="20"/>
                <w:szCs w:val="20"/>
                <w:color w:val="auto"/>
              </w:rPr>
            </w:pPr>
            <w:r>
              <w:rPr>
                <w:rFonts w:ascii="Arial" w:cs="Arial" w:eastAsia="Arial" w:hAnsi="Arial"/>
                <w:sz w:val="18"/>
                <w:szCs w:val="18"/>
                <w:color w:val="auto"/>
              </w:rPr>
              <w:t>2,698</w:t>
            </w:r>
          </w:p>
        </w:tc>
      </w:tr>
      <w:tr>
        <w:trPr>
          <w:trHeight w:val="216"/>
        </w:trPr>
        <w:tc>
          <w:tcPr>
            <w:tcW w:w="5980" w:type="dxa"/>
            <w:vAlign w:val="bottom"/>
            <w:shd w:val="clear" w:color="auto" w:fill="CCEEFF"/>
          </w:tcPr>
          <w:p>
            <w:pPr>
              <w:spacing w:after="0"/>
              <w:rPr>
                <w:sz w:val="20"/>
                <w:szCs w:val="20"/>
                <w:color w:val="auto"/>
              </w:rPr>
            </w:pPr>
            <w:r>
              <w:rPr>
                <w:rFonts w:ascii="Arial" w:cs="Arial" w:eastAsia="Arial" w:hAnsi="Arial"/>
                <w:sz w:val="18"/>
                <w:szCs w:val="18"/>
                <w:color w:val="auto"/>
              </w:rPr>
              <w:t>2013</w:t>
            </w:r>
          </w:p>
        </w:tc>
        <w:tc>
          <w:tcPr>
            <w:tcW w:w="16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2,730</w:t>
            </w:r>
          </w:p>
        </w:tc>
      </w:tr>
      <w:tr>
        <w:trPr>
          <w:trHeight w:val="216"/>
        </w:trPr>
        <w:tc>
          <w:tcPr>
            <w:tcW w:w="5980" w:type="dxa"/>
            <w:vAlign w:val="bottom"/>
          </w:tcPr>
          <w:p>
            <w:pPr>
              <w:spacing w:after="0"/>
              <w:rPr>
                <w:sz w:val="20"/>
                <w:szCs w:val="20"/>
                <w:color w:val="auto"/>
              </w:rPr>
            </w:pPr>
            <w:r>
              <w:rPr>
                <w:rFonts w:ascii="Arial" w:cs="Arial" w:eastAsia="Arial" w:hAnsi="Arial"/>
                <w:sz w:val="18"/>
                <w:szCs w:val="18"/>
                <w:color w:val="auto"/>
              </w:rPr>
              <w:t>2014</w:t>
            </w:r>
          </w:p>
        </w:tc>
        <w:tc>
          <w:tcPr>
            <w:tcW w:w="160" w:type="dxa"/>
            <w:vAlign w:val="bottom"/>
          </w:tcPr>
          <w:p>
            <w:pPr>
              <w:spacing w:after="0"/>
              <w:rPr>
                <w:sz w:val="18"/>
                <w:szCs w:val="18"/>
                <w:color w:val="auto"/>
              </w:rPr>
            </w:pPr>
          </w:p>
        </w:tc>
        <w:tc>
          <w:tcPr>
            <w:tcW w:w="700" w:type="dxa"/>
            <w:vAlign w:val="bottom"/>
            <w:gridSpan w:val="2"/>
          </w:tcPr>
          <w:p>
            <w:pPr>
              <w:jc w:val="right"/>
              <w:ind w:right="160"/>
              <w:spacing w:after="0"/>
              <w:rPr>
                <w:sz w:val="20"/>
                <w:szCs w:val="20"/>
                <w:color w:val="auto"/>
              </w:rPr>
            </w:pPr>
            <w:r>
              <w:rPr>
                <w:rFonts w:ascii="Arial" w:cs="Arial" w:eastAsia="Arial" w:hAnsi="Arial"/>
                <w:sz w:val="18"/>
                <w:szCs w:val="18"/>
                <w:color w:val="auto"/>
              </w:rPr>
              <w:t>2,773</w:t>
            </w:r>
          </w:p>
        </w:tc>
      </w:tr>
      <w:tr>
        <w:trPr>
          <w:trHeight w:val="216"/>
        </w:trPr>
        <w:tc>
          <w:tcPr>
            <w:tcW w:w="5980" w:type="dxa"/>
            <w:vAlign w:val="bottom"/>
            <w:shd w:val="clear" w:color="auto" w:fill="CCEEFF"/>
          </w:tcPr>
          <w:p>
            <w:pPr>
              <w:spacing w:after="0"/>
              <w:rPr>
                <w:sz w:val="20"/>
                <w:szCs w:val="20"/>
                <w:color w:val="auto"/>
              </w:rPr>
            </w:pPr>
            <w:r>
              <w:rPr>
                <w:rFonts w:ascii="Arial" w:cs="Arial" w:eastAsia="Arial" w:hAnsi="Arial"/>
                <w:sz w:val="18"/>
                <w:szCs w:val="18"/>
                <w:color w:val="auto"/>
              </w:rPr>
              <w:t>2015</w:t>
            </w:r>
          </w:p>
        </w:tc>
        <w:tc>
          <w:tcPr>
            <w:tcW w:w="16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2,866</w:t>
            </w:r>
          </w:p>
        </w:tc>
      </w:tr>
      <w:tr>
        <w:trPr>
          <w:trHeight w:val="222"/>
        </w:trPr>
        <w:tc>
          <w:tcPr>
            <w:tcW w:w="5980" w:type="dxa"/>
            <w:vAlign w:val="bottom"/>
          </w:tcPr>
          <w:p>
            <w:pPr>
              <w:spacing w:after="0"/>
              <w:rPr>
                <w:sz w:val="20"/>
                <w:szCs w:val="20"/>
                <w:color w:val="auto"/>
              </w:rPr>
            </w:pPr>
            <w:r>
              <w:rPr>
                <w:rFonts w:ascii="Arial" w:cs="Arial" w:eastAsia="Arial" w:hAnsi="Arial"/>
                <w:sz w:val="18"/>
                <w:szCs w:val="18"/>
                <w:color w:val="auto"/>
              </w:rPr>
              <w:t>2016 and thereafter</w:t>
            </w:r>
          </w:p>
        </w:tc>
        <w:tc>
          <w:tcPr>
            <w:tcW w:w="160" w:type="dxa"/>
            <w:vAlign w:val="bottom"/>
          </w:tcPr>
          <w:p>
            <w:pPr>
              <w:spacing w:after="0"/>
              <w:rPr>
                <w:sz w:val="19"/>
                <w:szCs w:val="19"/>
                <w:color w:val="auto"/>
              </w:rPr>
            </w:pPr>
          </w:p>
        </w:tc>
        <w:tc>
          <w:tcPr>
            <w:tcW w:w="700" w:type="dxa"/>
            <w:vAlign w:val="bottom"/>
            <w:gridSpan w:val="2"/>
          </w:tcPr>
          <w:p>
            <w:pPr>
              <w:jc w:val="right"/>
              <w:ind w:right="160"/>
              <w:spacing w:after="0"/>
              <w:rPr>
                <w:sz w:val="20"/>
                <w:szCs w:val="20"/>
                <w:color w:val="auto"/>
              </w:rPr>
            </w:pPr>
            <w:r>
              <w:rPr>
                <w:rFonts w:ascii="Arial" w:cs="Arial" w:eastAsia="Arial" w:hAnsi="Arial"/>
                <w:sz w:val="18"/>
                <w:szCs w:val="18"/>
                <w:color w:val="auto"/>
              </w:rPr>
              <w:t>4,134</w:t>
            </w:r>
          </w:p>
        </w:tc>
      </w:tr>
      <w:tr>
        <w:trPr>
          <w:trHeight w:val="21"/>
        </w:trPr>
        <w:tc>
          <w:tcPr>
            <w:tcW w:w="59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210"/>
        </w:trPr>
        <w:tc>
          <w:tcPr>
            <w:tcW w:w="5980" w:type="dxa"/>
            <w:vAlign w:val="bottom"/>
            <w:shd w:val="clear" w:color="auto" w:fill="CCEEFF"/>
          </w:tcPr>
          <w:p>
            <w:pPr>
              <w:spacing w:after="0"/>
              <w:rPr>
                <w:sz w:val="20"/>
                <w:szCs w:val="20"/>
                <w:color w:val="auto"/>
              </w:rPr>
            </w:pPr>
            <w:r>
              <w:rPr>
                <w:rFonts w:ascii="Arial" w:cs="Arial" w:eastAsia="Arial" w:hAnsi="Arial"/>
                <w:sz w:val="18"/>
                <w:szCs w:val="18"/>
                <w:color w:val="auto"/>
              </w:rPr>
              <w:t>Total minimum lease payments</w:t>
            </w:r>
          </w:p>
        </w:tc>
        <w:tc>
          <w:tcPr>
            <w:tcW w:w="160" w:type="dxa"/>
            <w:vAlign w:val="bottom"/>
            <w:shd w:val="clear" w:color="auto" w:fill="CCEEFF"/>
          </w:tcPr>
          <w:p>
            <w:pPr>
              <w:jc w:val="right"/>
              <w:ind w:right="3"/>
              <w:spacing w:after="0"/>
              <w:rPr>
                <w:sz w:val="20"/>
                <w:szCs w:val="20"/>
                <w:color w:val="auto"/>
              </w:rPr>
            </w:pPr>
            <w:r>
              <w:rPr>
                <w:rFonts w:ascii="Arial" w:cs="Arial" w:eastAsia="Arial" w:hAnsi="Arial"/>
                <w:sz w:val="15"/>
                <w:szCs w:val="15"/>
                <w:color w:val="auto"/>
                <w:w w:val="71"/>
              </w:rPr>
              <w:t>$</w:t>
            </w:r>
          </w:p>
        </w:tc>
        <w:tc>
          <w:tcPr>
            <w:tcW w:w="7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94"/>
              </w:rPr>
              <w:t>17,671</w:t>
            </w:r>
          </w:p>
        </w:tc>
      </w:tr>
      <w:tr>
        <w:trPr>
          <w:trHeight w:val="27"/>
        </w:trPr>
        <w:tc>
          <w:tcPr>
            <w:tcW w:w="598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r>
      <w:tr>
        <w:trPr>
          <w:trHeight w:val="20"/>
        </w:trPr>
        <w:tc>
          <w:tcPr>
            <w:tcW w:w="59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bl>
    <w:p>
      <w:pPr>
        <w:spacing w:after="0" w:line="208" w:lineRule="exact"/>
        <w:rPr>
          <w:sz w:val="20"/>
          <w:szCs w:val="20"/>
          <w:color w:val="auto"/>
        </w:rPr>
      </w:pPr>
    </w:p>
    <w:p>
      <w:pPr>
        <w:ind w:right="220" w:firstLine="348"/>
        <w:spacing w:after="0" w:line="268" w:lineRule="auto"/>
        <w:rPr>
          <w:sz w:val="20"/>
          <w:szCs w:val="20"/>
          <w:color w:val="auto"/>
        </w:rPr>
      </w:pPr>
      <w:r>
        <w:rPr>
          <w:rFonts w:ascii="Arial" w:cs="Arial" w:eastAsia="Arial" w:hAnsi="Arial"/>
          <w:sz w:val="18"/>
          <w:szCs w:val="18"/>
          <w:color w:val="auto"/>
        </w:rPr>
        <w:t>The Company's total rent and CAM expense for all facility leases was $2.5 million, $2.5 million and $2.2 million for the years ended December 31, 2010, 2009 and 2008, respectively.</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(17) SEVERANCE ARRANGEMENTS</w:t>
      </w:r>
    </w:p>
    <w:p>
      <w:pPr>
        <w:spacing w:after="0" w:line="231" w:lineRule="exact"/>
        <w:rPr>
          <w:sz w:val="20"/>
          <w:szCs w:val="20"/>
          <w:color w:val="auto"/>
        </w:rPr>
      </w:pPr>
    </w:p>
    <w:p>
      <w:pPr>
        <w:ind w:right="80" w:firstLine="351"/>
        <w:spacing w:after="0" w:line="294" w:lineRule="auto"/>
        <w:rPr>
          <w:sz w:val="20"/>
          <w:szCs w:val="20"/>
          <w:color w:val="auto"/>
        </w:rPr>
      </w:pPr>
      <w:r>
        <w:rPr>
          <w:rFonts w:ascii="Arial" w:cs="Arial" w:eastAsia="Arial" w:hAnsi="Arial"/>
          <w:sz w:val="16"/>
          <w:szCs w:val="16"/>
          <w:color w:val="auto"/>
        </w:rPr>
        <w:t>Dr. Ronald C. Newbold, former Senior Vice President, Business Development, resigned from his position effective March 1, 2009 pursuant to the provision of his employment agreement that deems a resignation within the year following a change of control (in this case, the AVANT Merger) as a termination resulting from a change of control. In accordance with Dr. Newbold's employment agreement, the Company recorded severance expense during the year ended December 31, 2009 of $0.7 million including non-cash stock-based compensation expense related to the acceleration of vesting of options to purchase 107,485 shares of Company common stock as provided for under Dr. Newbold's employment agreement.</w:t>
      </w:r>
    </w:p>
    <w:p>
      <w:pPr>
        <w:spacing w:after="0" w:line="170" w:lineRule="exact"/>
        <w:rPr>
          <w:sz w:val="20"/>
          <w:szCs w:val="20"/>
          <w:color w:val="auto"/>
        </w:rPr>
      </w:pPr>
    </w:p>
    <w:p>
      <w:pPr>
        <w:ind w:right="60" w:firstLine="348"/>
        <w:spacing w:after="0" w:line="302" w:lineRule="auto"/>
        <w:rPr>
          <w:sz w:val="20"/>
          <w:szCs w:val="20"/>
          <w:color w:val="auto"/>
        </w:rPr>
      </w:pPr>
      <w:r>
        <w:rPr>
          <w:rFonts w:ascii="Arial" w:cs="Arial" w:eastAsia="Arial" w:hAnsi="Arial"/>
          <w:sz w:val="15"/>
          <w:szCs w:val="15"/>
          <w:color w:val="auto"/>
        </w:rPr>
        <w:t>The Company and Dr. Una S. Ryan, former President and Chief Executive Officer of the Company, executed a separation agreement effective July 16, 2008 (the "Separation Agreement") setting forth such terms regarding Dr. Ryan's separation from the Company. Pursuant to the Separation Agreement, the Company recorded severance expense during the three months ended June 30, 2008 of $1.4 million. The Separation Agreement also provided for the vesting of options to purchase 153,125 shares of Company common stock (of the options to purchase 612,500 shares of Company common stock which had been granted to Dr. Ryan on March 7, 2008). The remainder of Dr. Ryan's options terminated as of July 16, 2008. The Company recorded stock-based compensation expense of</w:t>
      </w:r>
    </w:p>
    <w:p>
      <w:pPr>
        <w:spacing w:after="0" w:line="2" w:lineRule="exact"/>
        <w:rPr>
          <w:sz w:val="20"/>
          <w:szCs w:val="20"/>
          <w:color w:val="auto"/>
        </w:rPr>
      </w:pPr>
    </w:p>
    <w:p>
      <w:pPr>
        <w:spacing w:after="0"/>
        <w:rPr>
          <w:sz w:val="20"/>
          <w:szCs w:val="20"/>
          <w:color w:val="auto"/>
        </w:rPr>
      </w:pPr>
      <w:r>
        <w:rPr>
          <w:rFonts w:ascii="Arial" w:cs="Arial" w:eastAsia="Arial" w:hAnsi="Arial"/>
          <w:sz w:val="18"/>
          <w:szCs w:val="18"/>
          <w:color w:val="auto"/>
        </w:rPr>
        <w:t>$1.3 million related to the acceleration of vesting of options in July 2008, when the criteria for establishing a grant date were met.</w:t>
      </w:r>
    </w:p>
    <w:p>
      <w:pPr>
        <w:spacing w:after="0" w:line="219"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97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131" w:right="279" w:bottom="1440" w:gutter="0" w:footer="0" w:header="0"/>
        </w:sectPr>
      </w:pPr>
    </w:p>
    <w:bookmarkStart w:id="103" w:name="page104"/>
    <w:bookmarkEnd w:id="103"/>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CELLDEX THERAPEUTICS, INC.</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(18) RETIREMENT SAVINGS PLAN</w:t>
      </w:r>
    </w:p>
    <w:p>
      <w:pPr>
        <w:spacing w:after="0" w:line="231" w:lineRule="exact"/>
        <w:rPr>
          <w:sz w:val="20"/>
          <w:szCs w:val="20"/>
          <w:color w:val="auto"/>
        </w:rPr>
      </w:pPr>
    </w:p>
    <w:p>
      <w:pPr>
        <w:ind w:right="100" w:firstLine="348"/>
        <w:spacing w:after="0" w:line="256" w:lineRule="auto"/>
        <w:rPr>
          <w:sz w:val="20"/>
          <w:szCs w:val="20"/>
          <w:color w:val="auto"/>
        </w:rPr>
      </w:pPr>
      <w:r>
        <w:rPr>
          <w:rFonts w:ascii="Arial" w:cs="Arial" w:eastAsia="Arial" w:hAnsi="Arial"/>
          <w:sz w:val="18"/>
          <w:szCs w:val="18"/>
          <w:color w:val="auto"/>
        </w:rPr>
        <w:t>The Company maintains a 401(k) Plan which is available to substantially all employees. Under the terms of the 401(k) Plan, participants may elect to contribute up to 15% of their compensation, or the statutory prescribed limits. The Company may make 50% matching contributions on up to 4% of a participant's annual salary. Benefit expense for the 401(k) Plan was $0.2 million, $0.1 million and $0.1 million for the years ended December 31, 2010, 2009 and 2008, respectively.</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(19) SELECTED QUARTERLY FINANCIAL DATA (Unaudited)</w:t>
      </w:r>
    </w:p>
    <w:p>
      <w:pPr>
        <w:spacing w:after="0" w:line="22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460" w:type="dxa"/>
            <w:vAlign w:val="bottom"/>
            <w:gridSpan w:val="2"/>
          </w:tcPr>
          <w:p>
            <w:pPr>
              <w:ind w:left="1140"/>
              <w:spacing w:after="0"/>
              <w:rPr>
                <w:sz w:val="20"/>
                <w:szCs w:val="20"/>
                <w:color w:val="auto"/>
              </w:rPr>
            </w:pPr>
            <w:r>
              <w:rPr>
                <w:rFonts w:ascii="Arial" w:cs="Arial" w:eastAsia="Arial" w:hAnsi="Arial"/>
                <w:sz w:val="14"/>
                <w:szCs w:val="14"/>
                <w:b w:val="1"/>
                <w:bCs w:val="1"/>
                <w:color w:val="auto"/>
                <w:w w:val="96"/>
              </w:rPr>
              <w:t>2010</w:t>
            </w:r>
          </w:p>
        </w:tc>
        <w:tc>
          <w:tcPr>
            <w:tcW w:w="3500" w:type="dxa"/>
            <w:vAlign w:val="bottom"/>
          </w:tcPr>
          <w:p>
            <w:pPr>
              <w:spacing w:after="0"/>
              <w:rPr>
                <w:sz w:val="14"/>
                <w:szCs w:val="14"/>
                <w:color w:val="auto"/>
              </w:rPr>
            </w:pPr>
          </w:p>
        </w:tc>
        <w:tc>
          <w:tcPr>
            <w:tcW w:w="19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00" w:type="dxa"/>
            <w:vAlign w:val="bottom"/>
            <w:gridSpan w:val="3"/>
          </w:tcPr>
          <w:p>
            <w:pPr>
              <w:jc w:val="right"/>
              <w:ind w:right="152"/>
              <w:spacing w:after="0"/>
              <w:rPr>
                <w:sz w:val="20"/>
                <w:szCs w:val="20"/>
                <w:color w:val="auto"/>
              </w:rPr>
            </w:pPr>
            <w:r>
              <w:rPr>
                <w:rFonts w:ascii="Arial" w:cs="Arial" w:eastAsia="Arial" w:hAnsi="Arial"/>
                <w:sz w:val="14"/>
                <w:szCs w:val="14"/>
                <w:b w:val="1"/>
                <w:bCs w:val="1"/>
                <w:color w:val="auto"/>
                <w:w w:val="85"/>
              </w:rPr>
              <w:t>Q1 2010</w:t>
            </w: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60" w:type="dxa"/>
            <w:vAlign w:val="bottom"/>
            <w:gridSpan w:val="2"/>
          </w:tcPr>
          <w:p>
            <w:pPr>
              <w:jc w:val="right"/>
              <w:ind w:right="180"/>
              <w:spacing w:after="0"/>
              <w:rPr>
                <w:sz w:val="20"/>
                <w:szCs w:val="20"/>
                <w:color w:val="auto"/>
              </w:rPr>
            </w:pPr>
            <w:r>
              <w:rPr>
                <w:rFonts w:ascii="Arial" w:cs="Arial" w:eastAsia="Arial" w:hAnsi="Arial"/>
                <w:sz w:val="14"/>
                <w:szCs w:val="14"/>
                <w:b w:val="1"/>
                <w:bCs w:val="1"/>
                <w:color w:val="auto"/>
                <w:w w:val="85"/>
              </w:rPr>
              <w:t>Q2 2010</w:t>
            </w: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80" w:type="dxa"/>
            <w:vAlign w:val="bottom"/>
            <w:gridSpan w:val="2"/>
          </w:tcPr>
          <w:p>
            <w:pPr>
              <w:jc w:val="right"/>
              <w:ind w:right="200"/>
              <w:spacing w:after="0"/>
              <w:rPr>
                <w:sz w:val="20"/>
                <w:szCs w:val="20"/>
                <w:color w:val="auto"/>
              </w:rPr>
            </w:pPr>
            <w:r>
              <w:rPr>
                <w:rFonts w:ascii="Arial" w:cs="Arial" w:eastAsia="Arial" w:hAnsi="Arial"/>
                <w:sz w:val="14"/>
                <w:szCs w:val="14"/>
                <w:b w:val="1"/>
                <w:bCs w:val="1"/>
                <w:color w:val="auto"/>
                <w:w w:val="85"/>
              </w:rPr>
              <w:t>Q3 2010</w:t>
            </w: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900" w:type="dxa"/>
            <w:vAlign w:val="bottom"/>
            <w:gridSpan w:val="3"/>
          </w:tcPr>
          <w:p>
            <w:pPr>
              <w:spacing w:after="0"/>
              <w:rPr>
                <w:sz w:val="20"/>
                <w:szCs w:val="20"/>
                <w:color w:val="auto"/>
              </w:rPr>
            </w:pPr>
            <w:r>
              <w:rPr>
                <w:rFonts w:ascii="Arial" w:cs="Arial" w:eastAsia="Arial" w:hAnsi="Arial"/>
                <w:sz w:val="14"/>
                <w:szCs w:val="14"/>
                <w:b w:val="1"/>
                <w:bCs w:val="1"/>
                <w:color w:val="auto"/>
              </w:rPr>
              <w:t>Q4 2010</w:t>
            </w:r>
          </w:p>
        </w:tc>
      </w:tr>
      <w:tr>
        <w:trPr>
          <w:trHeight w:val="20"/>
        </w:trPr>
        <w:tc>
          <w:tcPr>
            <w:tcW w:w="116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3500" w:type="dxa"/>
            <w:vAlign w:val="bottom"/>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620" w:type="dxa"/>
            <w:vAlign w:val="bottom"/>
            <w:gridSpan w:val="2"/>
            <w:shd w:val="clear" w:color="auto" w:fill="000000"/>
          </w:tcPr>
          <w:p>
            <w:pPr>
              <w:spacing w:after="0" w:line="20" w:lineRule="exact"/>
              <w:rPr>
                <w:sz w:val="1"/>
                <w:szCs w:val="1"/>
                <w:color w:val="auto"/>
              </w:rPr>
            </w:pPr>
          </w:p>
        </w:tc>
        <w:tc>
          <w:tcPr>
            <w:tcW w:w="160" w:type="dxa"/>
            <w:vAlign w:val="bottom"/>
            <w:tcBorders>
              <w:left w:val="single" w:sz="8" w:color="auto"/>
            </w:tcBorders>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20" w:type="dxa"/>
            <w:vAlign w:val="bottom"/>
            <w:gridSpan w:val="2"/>
            <w:shd w:val="clear" w:color="auto" w:fill="000000"/>
          </w:tcPr>
          <w:p>
            <w:pPr>
              <w:spacing w:after="0" w:line="20" w:lineRule="exact"/>
              <w:rPr>
                <w:sz w:val="1"/>
                <w:szCs w:val="1"/>
                <w:color w:val="auto"/>
              </w:rPr>
            </w:pPr>
          </w:p>
        </w:tc>
        <w:tc>
          <w:tcPr>
            <w:tcW w:w="160" w:type="dxa"/>
            <w:vAlign w:val="bottom"/>
            <w:tcBorders>
              <w:left w:val="single" w:sz="8" w:color="auto"/>
            </w:tcBorders>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00" w:type="dxa"/>
            <w:vAlign w:val="bottom"/>
            <w:gridSpan w:val="2"/>
            <w:shd w:val="clear" w:color="auto" w:fill="000000"/>
          </w:tcPr>
          <w:p>
            <w:pPr>
              <w:spacing w:after="0" w:line="20" w:lineRule="exact"/>
              <w:rPr>
                <w:sz w:val="1"/>
                <w:szCs w:val="1"/>
                <w:color w:val="auto"/>
              </w:rPr>
            </w:pPr>
          </w:p>
        </w:tc>
        <w:tc>
          <w:tcPr>
            <w:tcW w:w="1300" w:type="dxa"/>
            <w:vAlign w:val="bottom"/>
            <w:gridSpan w:val="2"/>
          </w:tcPr>
          <w:p>
            <w:pPr>
              <w:spacing w:after="0" w:line="20" w:lineRule="exact"/>
              <w:rPr>
                <w:sz w:val="1"/>
                <w:szCs w:val="1"/>
                <w:color w:val="auto"/>
              </w:rPr>
            </w:pPr>
          </w:p>
        </w:tc>
      </w:tr>
      <w:tr>
        <w:trPr>
          <w:trHeight w:val="142"/>
        </w:trPr>
        <w:tc>
          <w:tcPr>
            <w:tcW w:w="11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3500" w:type="dxa"/>
            <w:vAlign w:val="bottom"/>
          </w:tcPr>
          <w:p>
            <w:pPr>
              <w:spacing w:after="0"/>
              <w:rPr>
                <w:sz w:val="12"/>
                <w:szCs w:val="12"/>
                <w:color w:val="auto"/>
              </w:rPr>
            </w:pPr>
          </w:p>
        </w:tc>
        <w:tc>
          <w:tcPr>
            <w:tcW w:w="19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gridSpan w:val="2"/>
          </w:tcPr>
          <w:p>
            <w:pPr>
              <w:jc w:val="right"/>
              <w:ind w:right="12"/>
              <w:spacing w:after="0" w:line="142" w:lineRule="exact"/>
              <w:rPr>
                <w:sz w:val="20"/>
                <w:szCs w:val="20"/>
                <w:color w:val="auto"/>
              </w:rPr>
            </w:pPr>
            <w:r>
              <w:rPr>
                <w:rFonts w:ascii="Arial" w:cs="Arial" w:eastAsia="Arial" w:hAnsi="Arial"/>
                <w:sz w:val="14"/>
                <w:szCs w:val="14"/>
                <w:b w:val="1"/>
                <w:bCs w:val="1"/>
                <w:color w:val="auto"/>
              </w:rPr>
              <w:t>(In</w:t>
            </w:r>
          </w:p>
        </w:tc>
        <w:tc>
          <w:tcPr>
            <w:tcW w:w="3860" w:type="dxa"/>
            <w:vAlign w:val="bottom"/>
            <w:gridSpan w:val="16"/>
          </w:tcPr>
          <w:p>
            <w:pPr>
              <w:jc w:val="center"/>
              <w:ind w:right="1740"/>
              <w:spacing w:after="0" w:line="142" w:lineRule="exact"/>
              <w:rPr>
                <w:sz w:val="20"/>
                <w:szCs w:val="20"/>
                <w:color w:val="auto"/>
              </w:rPr>
            </w:pPr>
            <w:r>
              <w:rPr>
                <w:rFonts w:ascii="Arial" w:cs="Arial" w:eastAsia="Arial" w:hAnsi="Arial"/>
                <w:sz w:val="14"/>
                <w:szCs w:val="14"/>
                <w:b w:val="1"/>
                <w:bCs w:val="1"/>
                <w:color w:val="auto"/>
                <w:w w:val="82"/>
              </w:rPr>
              <w:t>thousands, except per share amounts)</w:t>
            </w:r>
          </w:p>
        </w:tc>
      </w:tr>
      <w:tr>
        <w:trPr>
          <w:trHeight w:val="216"/>
        </w:trPr>
        <w:tc>
          <w:tcPr>
            <w:tcW w:w="1160" w:type="dxa"/>
            <w:vAlign w:val="bottom"/>
          </w:tcPr>
          <w:p>
            <w:pPr>
              <w:spacing w:after="0"/>
              <w:rPr>
                <w:sz w:val="18"/>
                <w:szCs w:val="18"/>
                <w:color w:val="auto"/>
              </w:rPr>
            </w:pPr>
          </w:p>
        </w:tc>
        <w:tc>
          <w:tcPr>
            <w:tcW w:w="38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Total revenue</w:t>
            </w:r>
          </w:p>
        </w:tc>
        <w:tc>
          <w:tcPr>
            <w:tcW w:w="20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3,713</w:t>
            </w:r>
          </w:p>
        </w:tc>
        <w:tc>
          <w:tcPr>
            <w:tcW w:w="100" w:type="dxa"/>
            <w:vAlign w:val="bottom"/>
            <w:shd w:val="clear" w:color="auto" w:fill="CCEEFF"/>
          </w:tcPr>
          <w:p>
            <w:pPr>
              <w:spacing w:after="0"/>
              <w:rPr>
                <w:sz w:val="18"/>
                <w:szCs w:val="18"/>
                <w:color w:val="auto"/>
              </w:rPr>
            </w:pPr>
          </w:p>
        </w:tc>
        <w:tc>
          <w:tcPr>
            <w:tcW w:w="1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2,951</w:t>
            </w:r>
          </w:p>
        </w:tc>
        <w:tc>
          <w:tcPr>
            <w:tcW w:w="140" w:type="dxa"/>
            <w:vAlign w:val="bottom"/>
            <w:tcBorders>
              <w:left w:val="single" w:sz="8" w:color="CCEEFF"/>
            </w:tcBorders>
            <w:shd w:val="clear" w:color="auto" w:fill="CCEEFF"/>
          </w:tcPr>
          <w:p>
            <w:pPr>
              <w:spacing w:after="0"/>
              <w:rPr>
                <w:sz w:val="18"/>
                <w:szCs w:val="18"/>
                <w:color w:val="auto"/>
              </w:rPr>
            </w:pPr>
          </w:p>
        </w:tc>
        <w:tc>
          <w:tcPr>
            <w:tcW w:w="18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2,408</w:t>
            </w:r>
          </w:p>
        </w:tc>
        <w:tc>
          <w:tcPr>
            <w:tcW w:w="140" w:type="dxa"/>
            <w:vAlign w:val="bottom"/>
            <w:tcBorders>
              <w:left w:val="single" w:sz="8" w:color="CCEEFF"/>
            </w:tcBorders>
            <w:shd w:val="clear" w:color="auto" w:fill="CCEEFF"/>
          </w:tcPr>
          <w:p>
            <w:pPr>
              <w:spacing w:after="0"/>
              <w:rPr>
                <w:sz w:val="18"/>
                <w:szCs w:val="18"/>
                <w:color w:val="auto"/>
              </w:rPr>
            </w:pPr>
          </w:p>
        </w:tc>
        <w:tc>
          <w:tcPr>
            <w:tcW w:w="18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37,721</w:t>
            </w:r>
          </w:p>
        </w:tc>
        <w:tc>
          <w:tcPr>
            <w:tcW w:w="160" w:type="dxa"/>
            <w:vAlign w:val="bottom"/>
            <w:shd w:val="clear" w:color="auto" w:fill="CCEEFF"/>
          </w:tcPr>
          <w:p>
            <w:pPr>
              <w:spacing w:after="0"/>
              <w:rPr>
                <w:sz w:val="18"/>
                <w:szCs w:val="18"/>
                <w:color w:val="auto"/>
              </w:rPr>
            </w:pPr>
          </w:p>
        </w:tc>
        <w:tc>
          <w:tcPr>
            <w:tcW w:w="1140" w:type="dxa"/>
            <w:vAlign w:val="bottom"/>
          </w:tcPr>
          <w:p>
            <w:pPr>
              <w:spacing w:after="0"/>
              <w:rPr>
                <w:sz w:val="18"/>
                <w:szCs w:val="18"/>
                <w:color w:val="auto"/>
              </w:rPr>
            </w:pPr>
          </w:p>
        </w:tc>
      </w:tr>
      <w:tr>
        <w:trPr>
          <w:trHeight w:val="216"/>
        </w:trPr>
        <w:tc>
          <w:tcPr>
            <w:tcW w:w="1160" w:type="dxa"/>
            <w:vAlign w:val="bottom"/>
          </w:tcPr>
          <w:p>
            <w:pPr>
              <w:spacing w:after="0"/>
              <w:rPr>
                <w:sz w:val="18"/>
                <w:szCs w:val="18"/>
                <w:color w:val="auto"/>
              </w:rPr>
            </w:pPr>
          </w:p>
        </w:tc>
        <w:tc>
          <w:tcPr>
            <w:tcW w:w="3800" w:type="dxa"/>
            <w:vAlign w:val="bottom"/>
            <w:gridSpan w:val="2"/>
          </w:tcPr>
          <w:p>
            <w:pPr>
              <w:spacing w:after="0"/>
              <w:rPr>
                <w:sz w:val="20"/>
                <w:szCs w:val="20"/>
                <w:color w:val="auto"/>
              </w:rPr>
            </w:pPr>
            <w:r>
              <w:rPr>
                <w:rFonts w:ascii="Arial" w:cs="Arial" w:eastAsia="Arial" w:hAnsi="Arial"/>
                <w:sz w:val="18"/>
                <w:szCs w:val="18"/>
                <w:color w:val="auto"/>
              </w:rPr>
              <w:t>Net (loss) income</w:t>
            </w:r>
          </w:p>
        </w:tc>
        <w:tc>
          <w:tcPr>
            <w:tcW w:w="1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gridSpan w:val="3"/>
          </w:tcPr>
          <w:p>
            <w:pPr>
              <w:jc w:val="right"/>
              <w:spacing w:after="0"/>
              <w:rPr>
                <w:sz w:val="20"/>
                <w:szCs w:val="20"/>
                <w:color w:val="auto"/>
              </w:rPr>
            </w:pPr>
            <w:r>
              <w:rPr>
                <w:rFonts w:ascii="Arial" w:cs="Arial" w:eastAsia="Arial" w:hAnsi="Arial"/>
                <w:sz w:val="18"/>
                <w:szCs w:val="18"/>
                <w:color w:val="auto"/>
              </w:rPr>
              <w:t>(6,582)</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gridSpan w:val="2"/>
          </w:tcPr>
          <w:p>
            <w:pPr>
              <w:jc w:val="right"/>
              <w:ind w:right="20"/>
              <w:spacing w:after="0"/>
              <w:rPr>
                <w:sz w:val="20"/>
                <w:szCs w:val="20"/>
                <w:color w:val="auto"/>
              </w:rPr>
            </w:pPr>
            <w:r>
              <w:rPr>
                <w:rFonts w:ascii="Arial" w:cs="Arial" w:eastAsia="Arial" w:hAnsi="Arial"/>
                <w:sz w:val="18"/>
                <w:szCs w:val="18"/>
                <w:color w:val="auto"/>
              </w:rPr>
              <w:t>(9,525)</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80" w:type="dxa"/>
            <w:vAlign w:val="bottom"/>
            <w:gridSpan w:val="2"/>
          </w:tcPr>
          <w:p>
            <w:pPr>
              <w:jc w:val="right"/>
              <w:ind w:right="20"/>
              <w:spacing w:after="0"/>
              <w:rPr>
                <w:sz w:val="20"/>
                <w:szCs w:val="20"/>
                <w:color w:val="auto"/>
              </w:rPr>
            </w:pPr>
            <w:r>
              <w:rPr>
                <w:rFonts w:ascii="Arial" w:cs="Arial" w:eastAsia="Arial" w:hAnsi="Arial"/>
                <w:sz w:val="18"/>
                <w:szCs w:val="18"/>
                <w:color w:val="auto"/>
              </w:rPr>
              <w:t>(9,087)</w:t>
            </w: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22,661</w:t>
            </w:r>
          </w:p>
        </w:tc>
        <w:tc>
          <w:tcPr>
            <w:tcW w:w="160" w:type="dxa"/>
            <w:vAlign w:val="bottom"/>
          </w:tcPr>
          <w:p>
            <w:pPr>
              <w:spacing w:after="0"/>
              <w:rPr>
                <w:sz w:val="18"/>
                <w:szCs w:val="18"/>
                <w:color w:val="auto"/>
              </w:rPr>
            </w:pPr>
          </w:p>
        </w:tc>
        <w:tc>
          <w:tcPr>
            <w:tcW w:w="1140" w:type="dxa"/>
            <w:vAlign w:val="bottom"/>
          </w:tcPr>
          <w:p>
            <w:pPr>
              <w:spacing w:after="0"/>
              <w:rPr>
                <w:sz w:val="18"/>
                <w:szCs w:val="18"/>
                <w:color w:val="auto"/>
              </w:rPr>
            </w:pPr>
          </w:p>
        </w:tc>
      </w:tr>
      <w:tr>
        <w:trPr>
          <w:trHeight w:val="216"/>
        </w:trPr>
        <w:tc>
          <w:tcPr>
            <w:tcW w:w="1160" w:type="dxa"/>
            <w:vAlign w:val="bottom"/>
          </w:tcPr>
          <w:p>
            <w:pPr>
              <w:spacing w:after="0"/>
              <w:rPr>
                <w:sz w:val="18"/>
                <w:szCs w:val="18"/>
                <w:color w:val="auto"/>
              </w:rPr>
            </w:pPr>
          </w:p>
        </w:tc>
        <w:tc>
          <w:tcPr>
            <w:tcW w:w="38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Basic net (loss) income per common share</w:t>
            </w:r>
          </w:p>
        </w:tc>
        <w:tc>
          <w:tcPr>
            <w:tcW w:w="190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(0.21)</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(0.30)</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(0.28)</w:t>
            </w: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0.71</w:t>
            </w:r>
          </w:p>
        </w:tc>
        <w:tc>
          <w:tcPr>
            <w:tcW w:w="160" w:type="dxa"/>
            <w:vAlign w:val="bottom"/>
            <w:shd w:val="clear" w:color="auto" w:fill="CCEEFF"/>
          </w:tcPr>
          <w:p>
            <w:pPr>
              <w:spacing w:after="0"/>
              <w:rPr>
                <w:sz w:val="18"/>
                <w:szCs w:val="18"/>
                <w:color w:val="auto"/>
              </w:rPr>
            </w:pPr>
          </w:p>
        </w:tc>
        <w:tc>
          <w:tcPr>
            <w:tcW w:w="1140" w:type="dxa"/>
            <w:vAlign w:val="bottom"/>
          </w:tcPr>
          <w:p>
            <w:pPr>
              <w:spacing w:after="0"/>
              <w:rPr>
                <w:sz w:val="18"/>
                <w:szCs w:val="18"/>
                <w:color w:val="auto"/>
              </w:rPr>
            </w:pPr>
          </w:p>
        </w:tc>
      </w:tr>
      <w:tr>
        <w:trPr>
          <w:trHeight w:val="222"/>
        </w:trPr>
        <w:tc>
          <w:tcPr>
            <w:tcW w:w="1160" w:type="dxa"/>
            <w:vAlign w:val="bottom"/>
          </w:tcPr>
          <w:p>
            <w:pPr>
              <w:spacing w:after="0"/>
              <w:rPr>
                <w:sz w:val="19"/>
                <w:szCs w:val="19"/>
                <w:color w:val="auto"/>
              </w:rPr>
            </w:pPr>
          </w:p>
        </w:tc>
        <w:tc>
          <w:tcPr>
            <w:tcW w:w="3800" w:type="dxa"/>
            <w:vAlign w:val="bottom"/>
            <w:gridSpan w:val="2"/>
          </w:tcPr>
          <w:p>
            <w:pPr>
              <w:spacing w:after="0"/>
              <w:rPr>
                <w:sz w:val="20"/>
                <w:szCs w:val="20"/>
                <w:color w:val="auto"/>
              </w:rPr>
            </w:pPr>
            <w:r>
              <w:rPr>
                <w:rFonts w:ascii="Arial" w:cs="Arial" w:eastAsia="Arial" w:hAnsi="Arial"/>
                <w:sz w:val="18"/>
                <w:szCs w:val="18"/>
                <w:color w:val="auto"/>
              </w:rPr>
              <w:t>Diluted net (loss) income per common share</w:t>
            </w:r>
          </w:p>
        </w:tc>
        <w:tc>
          <w:tcPr>
            <w:tcW w:w="19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00" w:type="dxa"/>
            <w:vAlign w:val="bottom"/>
            <w:gridSpan w:val="3"/>
          </w:tcPr>
          <w:p>
            <w:pPr>
              <w:jc w:val="right"/>
              <w:spacing w:after="0"/>
              <w:rPr>
                <w:sz w:val="20"/>
                <w:szCs w:val="20"/>
                <w:color w:val="auto"/>
              </w:rPr>
            </w:pPr>
            <w:r>
              <w:rPr>
                <w:rFonts w:ascii="Arial" w:cs="Arial" w:eastAsia="Arial" w:hAnsi="Arial"/>
                <w:sz w:val="18"/>
                <w:szCs w:val="18"/>
                <w:color w:val="auto"/>
              </w:rPr>
              <w:t>(0.21)</w:t>
            </w: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60" w:type="dxa"/>
            <w:vAlign w:val="bottom"/>
            <w:gridSpan w:val="2"/>
          </w:tcPr>
          <w:p>
            <w:pPr>
              <w:jc w:val="right"/>
              <w:ind w:right="20"/>
              <w:spacing w:after="0"/>
              <w:rPr>
                <w:sz w:val="20"/>
                <w:szCs w:val="20"/>
                <w:color w:val="auto"/>
              </w:rPr>
            </w:pPr>
            <w:r>
              <w:rPr>
                <w:rFonts w:ascii="Arial" w:cs="Arial" w:eastAsia="Arial" w:hAnsi="Arial"/>
                <w:sz w:val="18"/>
                <w:szCs w:val="18"/>
                <w:color w:val="auto"/>
              </w:rPr>
              <w:t>(0.30)</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80" w:type="dxa"/>
            <w:vAlign w:val="bottom"/>
            <w:gridSpan w:val="2"/>
          </w:tcPr>
          <w:p>
            <w:pPr>
              <w:jc w:val="right"/>
              <w:ind w:right="20"/>
              <w:spacing w:after="0"/>
              <w:rPr>
                <w:sz w:val="20"/>
                <w:szCs w:val="20"/>
                <w:color w:val="auto"/>
              </w:rPr>
            </w:pPr>
            <w:r>
              <w:rPr>
                <w:rFonts w:ascii="Arial" w:cs="Arial" w:eastAsia="Arial" w:hAnsi="Arial"/>
                <w:sz w:val="18"/>
                <w:szCs w:val="18"/>
                <w:color w:val="auto"/>
              </w:rPr>
              <w:t>(0.28)</w:t>
            </w: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0.70</w:t>
            </w:r>
          </w:p>
        </w:tc>
        <w:tc>
          <w:tcPr>
            <w:tcW w:w="160" w:type="dxa"/>
            <w:vAlign w:val="bottom"/>
          </w:tcPr>
          <w:p>
            <w:pPr>
              <w:spacing w:after="0"/>
              <w:rPr>
                <w:sz w:val="19"/>
                <w:szCs w:val="19"/>
                <w:color w:val="auto"/>
              </w:rPr>
            </w:pPr>
          </w:p>
        </w:tc>
        <w:tc>
          <w:tcPr>
            <w:tcW w:w="1140" w:type="dxa"/>
            <w:vAlign w:val="bottom"/>
          </w:tcPr>
          <w:p>
            <w:pPr>
              <w:spacing w:after="0"/>
              <w:rPr>
                <w:sz w:val="19"/>
                <w:szCs w:val="19"/>
                <w:color w:val="auto"/>
              </w:rPr>
            </w:pPr>
          </w:p>
        </w:tc>
      </w:tr>
      <w:tr>
        <w:trPr>
          <w:trHeight w:val="790"/>
        </w:trPr>
        <w:tc>
          <w:tcPr>
            <w:tcW w:w="1460" w:type="dxa"/>
            <w:vAlign w:val="bottom"/>
            <w:gridSpan w:val="2"/>
          </w:tcPr>
          <w:p>
            <w:pPr>
              <w:ind w:left="1140"/>
              <w:spacing w:after="0"/>
              <w:rPr>
                <w:sz w:val="20"/>
                <w:szCs w:val="20"/>
                <w:color w:val="auto"/>
              </w:rPr>
            </w:pPr>
            <w:r>
              <w:rPr>
                <w:rFonts w:ascii="Arial" w:cs="Arial" w:eastAsia="Arial" w:hAnsi="Arial"/>
                <w:sz w:val="14"/>
                <w:szCs w:val="14"/>
                <w:b w:val="1"/>
                <w:bCs w:val="1"/>
                <w:color w:val="auto"/>
                <w:w w:val="96"/>
              </w:rPr>
              <w:t>2009</w:t>
            </w:r>
          </w:p>
        </w:tc>
        <w:tc>
          <w:tcPr>
            <w:tcW w:w="3500" w:type="dxa"/>
            <w:vAlign w:val="bottom"/>
          </w:tcPr>
          <w:p>
            <w:pPr>
              <w:spacing w:after="0"/>
              <w:rPr>
                <w:sz w:val="24"/>
                <w:szCs w:val="24"/>
                <w:color w:val="auto"/>
              </w:rPr>
            </w:pPr>
          </w:p>
        </w:tc>
        <w:tc>
          <w:tcPr>
            <w:tcW w:w="1900" w:type="dxa"/>
            <w:vAlign w:val="bottom"/>
          </w:tcPr>
          <w:p>
            <w:pPr>
              <w:spacing w:after="0"/>
              <w:rPr>
                <w:sz w:val="24"/>
                <w:szCs w:val="24"/>
                <w:color w:val="auto"/>
              </w:rPr>
            </w:pPr>
          </w:p>
        </w:tc>
        <w:tc>
          <w:tcPr>
            <w:tcW w:w="800" w:type="dxa"/>
            <w:vAlign w:val="bottom"/>
            <w:gridSpan w:val="4"/>
          </w:tcPr>
          <w:p>
            <w:pPr>
              <w:jc w:val="right"/>
              <w:ind w:right="212"/>
              <w:spacing w:after="0"/>
              <w:rPr>
                <w:sz w:val="20"/>
                <w:szCs w:val="20"/>
                <w:color w:val="auto"/>
              </w:rPr>
            </w:pPr>
            <w:r>
              <w:rPr>
                <w:rFonts w:ascii="Arial" w:cs="Arial" w:eastAsia="Arial" w:hAnsi="Arial"/>
                <w:sz w:val="14"/>
                <w:szCs w:val="14"/>
                <w:b w:val="1"/>
                <w:bCs w:val="1"/>
                <w:color w:val="auto"/>
                <w:w w:val="93"/>
              </w:rPr>
              <w:t>Q1 2009</w:t>
            </w:r>
          </w:p>
        </w:tc>
        <w:tc>
          <w:tcPr>
            <w:tcW w:w="60" w:type="dxa"/>
            <w:vAlign w:val="bottom"/>
          </w:tcPr>
          <w:p>
            <w:pPr>
              <w:spacing w:after="0"/>
              <w:rPr>
                <w:sz w:val="24"/>
                <w:szCs w:val="24"/>
                <w:color w:val="auto"/>
              </w:rPr>
            </w:pPr>
          </w:p>
        </w:tc>
        <w:tc>
          <w:tcPr>
            <w:tcW w:w="760" w:type="dxa"/>
            <w:vAlign w:val="bottom"/>
            <w:gridSpan w:val="3"/>
          </w:tcPr>
          <w:p>
            <w:pPr>
              <w:jc w:val="right"/>
              <w:ind w:right="260"/>
              <w:spacing w:after="0"/>
              <w:rPr>
                <w:sz w:val="20"/>
                <w:szCs w:val="20"/>
                <w:color w:val="auto"/>
              </w:rPr>
            </w:pPr>
            <w:r>
              <w:rPr>
                <w:rFonts w:ascii="Arial" w:cs="Arial" w:eastAsia="Arial" w:hAnsi="Arial"/>
                <w:sz w:val="14"/>
                <w:szCs w:val="14"/>
                <w:b w:val="1"/>
                <w:bCs w:val="1"/>
                <w:color w:val="auto"/>
                <w:w w:val="89"/>
              </w:rPr>
              <w:t>Q2 2009</w:t>
            </w: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60" w:type="dxa"/>
            <w:vAlign w:val="bottom"/>
            <w:gridSpan w:val="3"/>
          </w:tcPr>
          <w:p>
            <w:pPr>
              <w:jc w:val="right"/>
              <w:ind w:right="260"/>
              <w:spacing w:after="0"/>
              <w:rPr>
                <w:sz w:val="20"/>
                <w:szCs w:val="20"/>
                <w:color w:val="auto"/>
              </w:rPr>
            </w:pPr>
            <w:r>
              <w:rPr>
                <w:rFonts w:ascii="Arial" w:cs="Arial" w:eastAsia="Arial" w:hAnsi="Arial"/>
                <w:sz w:val="14"/>
                <w:szCs w:val="14"/>
                <w:b w:val="1"/>
                <w:bCs w:val="1"/>
                <w:color w:val="auto"/>
                <w:w w:val="89"/>
              </w:rPr>
              <w:t>Q3 2009</w:t>
            </w: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00" w:type="dxa"/>
            <w:vAlign w:val="bottom"/>
            <w:gridSpan w:val="4"/>
          </w:tcPr>
          <w:p>
            <w:pPr>
              <w:ind w:left="80"/>
              <w:spacing w:after="0"/>
              <w:rPr>
                <w:sz w:val="20"/>
                <w:szCs w:val="20"/>
                <w:color w:val="auto"/>
              </w:rPr>
            </w:pPr>
            <w:r>
              <w:rPr>
                <w:rFonts w:ascii="Arial" w:cs="Arial" w:eastAsia="Arial" w:hAnsi="Arial"/>
                <w:sz w:val="14"/>
                <w:szCs w:val="14"/>
                <w:b w:val="1"/>
                <w:bCs w:val="1"/>
                <w:color w:val="auto"/>
              </w:rPr>
              <w:t>Q4 2009</w:t>
            </w:r>
          </w:p>
        </w:tc>
      </w:tr>
      <w:tr>
        <w:trPr>
          <w:trHeight w:val="20"/>
        </w:trPr>
        <w:tc>
          <w:tcPr>
            <w:tcW w:w="116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3500" w:type="dxa"/>
            <w:vAlign w:val="bottom"/>
          </w:tcPr>
          <w:p>
            <w:pPr>
              <w:spacing w:after="0" w:line="20" w:lineRule="exact"/>
              <w:rPr>
                <w:sz w:val="1"/>
                <w:szCs w:val="1"/>
                <w:color w:val="auto"/>
              </w:rPr>
            </w:pPr>
          </w:p>
        </w:tc>
        <w:tc>
          <w:tcPr>
            <w:tcW w:w="1900" w:type="dxa"/>
            <w:vAlign w:val="bottom"/>
            <w:tcBorders>
              <w:right w:val="single" w:sz="8" w:color="auto"/>
            </w:tcBorders>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680" w:type="dxa"/>
            <w:vAlign w:val="bottom"/>
            <w:gridSpan w:val="3"/>
            <w:shd w:val="clear" w:color="auto" w:fill="000000"/>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700" w:type="dxa"/>
            <w:vAlign w:val="bottom"/>
            <w:gridSpan w:val="3"/>
            <w:shd w:val="clear" w:color="auto" w:fill="000000"/>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760" w:type="dxa"/>
            <w:vAlign w:val="bottom"/>
            <w:gridSpan w:val="3"/>
            <w:shd w:val="clear" w:color="auto" w:fill="000000"/>
          </w:tcPr>
          <w:p>
            <w:pPr>
              <w:spacing w:after="0" w:line="20" w:lineRule="exact"/>
              <w:rPr>
                <w:sz w:val="1"/>
                <w:szCs w:val="1"/>
                <w:color w:val="auto"/>
              </w:rPr>
            </w:pPr>
          </w:p>
        </w:tc>
        <w:tc>
          <w:tcPr>
            <w:tcW w:w="1300" w:type="dxa"/>
            <w:vAlign w:val="bottom"/>
            <w:gridSpan w:val="2"/>
          </w:tcPr>
          <w:p>
            <w:pPr>
              <w:spacing w:after="0" w:line="20" w:lineRule="exact"/>
              <w:rPr>
                <w:sz w:val="1"/>
                <w:szCs w:val="1"/>
                <w:color w:val="auto"/>
              </w:rPr>
            </w:pPr>
          </w:p>
        </w:tc>
      </w:tr>
      <w:tr>
        <w:trPr>
          <w:trHeight w:val="142"/>
        </w:trPr>
        <w:tc>
          <w:tcPr>
            <w:tcW w:w="11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3500" w:type="dxa"/>
            <w:vAlign w:val="bottom"/>
          </w:tcPr>
          <w:p>
            <w:pPr>
              <w:spacing w:after="0"/>
              <w:rPr>
                <w:sz w:val="12"/>
                <w:szCs w:val="12"/>
                <w:color w:val="auto"/>
              </w:rPr>
            </w:pPr>
          </w:p>
        </w:tc>
        <w:tc>
          <w:tcPr>
            <w:tcW w:w="19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20" w:type="dxa"/>
            <w:vAlign w:val="bottom"/>
          </w:tcPr>
          <w:p>
            <w:pPr>
              <w:jc w:val="right"/>
              <w:spacing w:after="0" w:line="142" w:lineRule="exact"/>
              <w:rPr>
                <w:sz w:val="20"/>
                <w:szCs w:val="20"/>
                <w:color w:val="auto"/>
              </w:rPr>
            </w:pPr>
            <w:r>
              <w:rPr>
                <w:rFonts w:ascii="Arial" w:cs="Arial" w:eastAsia="Arial" w:hAnsi="Arial"/>
                <w:sz w:val="14"/>
                <w:szCs w:val="14"/>
                <w:b w:val="1"/>
                <w:bCs w:val="1"/>
                <w:color w:val="auto"/>
              </w:rPr>
              <w:t>(In</w:t>
            </w:r>
          </w:p>
        </w:tc>
        <w:tc>
          <w:tcPr>
            <w:tcW w:w="3940" w:type="dxa"/>
            <w:vAlign w:val="bottom"/>
            <w:gridSpan w:val="17"/>
          </w:tcPr>
          <w:p>
            <w:pPr>
              <w:jc w:val="center"/>
              <w:ind w:right="1780"/>
              <w:spacing w:after="0" w:line="142" w:lineRule="exact"/>
              <w:rPr>
                <w:sz w:val="20"/>
                <w:szCs w:val="20"/>
                <w:color w:val="auto"/>
              </w:rPr>
            </w:pPr>
            <w:r>
              <w:rPr>
                <w:rFonts w:ascii="Arial" w:cs="Arial" w:eastAsia="Arial" w:hAnsi="Arial"/>
                <w:sz w:val="14"/>
                <w:szCs w:val="14"/>
                <w:b w:val="1"/>
                <w:bCs w:val="1"/>
                <w:color w:val="auto"/>
                <w:w w:val="84"/>
              </w:rPr>
              <w:t>thousands, except per share amounts)</w:t>
            </w:r>
          </w:p>
        </w:tc>
      </w:tr>
      <w:tr>
        <w:trPr>
          <w:trHeight w:val="216"/>
        </w:trPr>
        <w:tc>
          <w:tcPr>
            <w:tcW w:w="1160" w:type="dxa"/>
            <w:vAlign w:val="bottom"/>
          </w:tcPr>
          <w:p>
            <w:pPr>
              <w:spacing w:after="0"/>
              <w:rPr>
                <w:sz w:val="18"/>
                <w:szCs w:val="18"/>
                <w:color w:val="auto"/>
              </w:rPr>
            </w:pPr>
          </w:p>
        </w:tc>
        <w:tc>
          <w:tcPr>
            <w:tcW w:w="38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Total revenue</w:t>
            </w:r>
          </w:p>
        </w:tc>
        <w:tc>
          <w:tcPr>
            <w:tcW w:w="2000" w:type="dxa"/>
            <w:vAlign w:val="bottom"/>
            <w:gridSpan w:val="2"/>
            <w:shd w:val="clear" w:color="auto" w:fill="CCEEFF"/>
          </w:tcPr>
          <w:p>
            <w:pPr>
              <w:jc w:val="right"/>
              <w:ind w:right="12"/>
              <w:spacing w:after="0"/>
              <w:rPr>
                <w:sz w:val="20"/>
                <w:szCs w:val="20"/>
                <w:color w:val="auto"/>
              </w:rPr>
            </w:pPr>
            <w:r>
              <w:rPr>
                <w:rFonts w:ascii="Arial" w:cs="Arial" w:eastAsia="Arial" w:hAnsi="Arial"/>
                <w:sz w:val="18"/>
                <w:szCs w:val="18"/>
                <w:color w:val="auto"/>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3,732</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gridSpan w:val="2"/>
            <w:shd w:val="clear" w:color="auto" w:fill="CCEEFF"/>
          </w:tcPr>
          <w:p>
            <w:pPr>
              <w:jc w:val="right"/>
              <w:ind w:right="12"/>
              <w:spacing w:after="0"/>
              <w:rPr>
                <w:sz w:val="20"/>
                <w:szCs w:val="20"/>
                <w:color w:val="auto"/>
              </w:rPr>
            </w:pPr>
            <w:r>
              <w:rPr>
                <w:rFonts w:ascii="Arial" w:cs="Arial" w:eastAsia="Arial" w:hAnsi="Arial"/>
                <w:sz w:val="15"/>
                <w:szCs w:val="15"/>
                <w:color w:val="auto"/>
                <w:w w:val="71"/>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2,685</w:t>
            </w:r>
          </w:p>
        </w:tc>
        <w:tc>
          <w:tcPr>
            <w:tcW w:w="140" w:type="dxa"/>
            <w:vAlign w:val="bottom"/>
            <w:tcBorders>
              <w:left w:val="single" w:sz="8" w:color="CCEEFF"/>
            </w:tcBorders>
            <w:shd w:val="clear" w:color="auto" w:fill="CCEEFF"/>
          </w:tcPr>
          <w:p>
            <w:pPr>
              <w:spacing w:after="0"/>
              <w:rPr>
                <w:sz w:val="18"/>
                <w:szCs w:val="18"/>
                <w:color w:val="auto"/>
              </w:rPr>
            </w:pPr>
          </w:p>
        </w:tc>
        <w:tc>
          <w:tcPr>
            <w:tcW w:w="18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4,030</w:t>
            </w:r>
          </w:p>
        </w:tc>
        <w:tc>
          <w:tcPr>
            <w:tcW w:w="140" w:type="dxa"/>
            <w:vAlign w:val="bottom"/>
            <w:tcBorders>
              <w:left w:val="single" w:sz="8" w:color="CCEEFF"/>
            </w:tcBorders>
            <w:shd w:val="clear" w:color="auto" w:fill="CCEEFF"/>
          </w:tcPr>
          <w:p>
            <w:pPr>
              <w:spacing w:after="0"/>
              <w:rPr>
                <w:sz w:val="18"/>
                <w:szCs w:val="18"/>
                <w:color w:val="auto"/>
              </w:rPr>
            </w:pPr>
          </w:p>
        </w:tc>
        <w:tc>
          <w:tcPr>
            <w:tcW w:w="180" w:type="dxa"/>
            <w:vAlign w:val="bottom"/>
            <w:gridSpan w:val="3"/>
            <w:shd w:val="clear" w:color="auto" w:fill="CCEEFF"/>
          </w:tcPr>
          <w:p>
            <w:pPr>
              <w:jc w:val="right"/>
              <w:ind w:right="12"/>
              <w:spacing w:after="0"/>
              <w:rPr>
                <w:sz w:val="20"/>
                <w:szCs w:val="20"/>
                <w:color w:val="auto"/>
              </w:rPr>
            </w:pPr>
            <w:r>
              <w:rPr>
                <w:rFonts w:ascii="Arial" w:cs="Arial" w:eastAsia="Arial" w:hAnsi="Arial"/>
                <w:sz w:val="18"/>
                <w:szCs w:val="18"/>
                <w:color w:val="auto"/>
                <w:w w:val="79"/>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4,733</w:t>
            </w:r>
          </w:p>
        </w:tc>
        <w:tc>
          <w:tcPr>
            <w:tcW w:w="160" w:type="dxa"/>
            <w:vAlign w:val="bottom"/>
            <w:shd w:val="clear" w:color="auto" w:fill="CCEEFF"/>
          </w:tcPr>
          <w:p>
            <w:pPr>
              <w:spacing w:after="0"/>
              <w:rPr>
                <w:sz w:val="18"/>
                <w:szCs w:val="18"/>
                <w:color w:val="auto"/>
              </w:rPr>
            </w:pPr>
          </w:p>
        </w:tc>
        <w:tc>
          <w:tcPr>
            <w:tcW w:w="1140" w:type="dxa"/>
            <w:vAlign w:val="bottom"/>
          </w:tcPr>
          <w:p>
            <w:pPr>
              <w:spacing w:after="0"/>
              <w:rPr>
                <w:sz w:val="18"/>
                <w:szCs w:val="18"/>
                <w:color w:val="auto"/>
              </w:rPr>
            </w:pPr>
          </w:p>
        </w:tc>
      </w:tr>
      <w:tr>
        <w:trPr>
          <w:trHeight w:val="216"/>
        </w:trPr>
        <w:tc>
          <w:tcPr>
            <w:tcW w:w="1160" w:type="dxa"/>
            <w:vAlign w:val="bottom"/>
          </w:tcPr>
          <w:p>
            <w:pPr>
              <w:spacing w:after="0"/>
              <w:rPr>
                <w:sz w:val="18"/>
                <w:szCs w:val="18"/>
                <w:color w:val="auto"/>
              </w:rPr>
            </w:pPr>
          </w:p>
        </w:tc>
        <w:tc>
          <w:tcPr>
            <w:tcW w:w="3800" w:type="dxa"/>
            <w:vAlign w:val="bottom"/>
            <w:gridSpan w:val="2"/>
          </w:tcPr>
          <w:p>
            <w:pPr>
              <w:spacing w:after="0"/>
              <w:rPr>
                <w:sz w:val="20"/>
                <w:szCs w:val="20"/>
                <w:color w:val="auto"/>
              </w:rPr>
            </w:pPr>
            <w:r>
              <w:rPr>
                <w:rFonts w:ascii="Arial" w:cs="Arial" w:eastAsia="Arial" w:hAnsi="Arial"/>
                <w:sz w:val="18"/>
                <w:szCs w:val="18"/>
                <w:color w:val="auto"/>
              </w:rPr>
              <w:t>Net loss</w:t>
            </w:r>
          </w:p>
        </w:tc>
        <w:tc>
          <w:tcPr>
            <w:tcW w:w="1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gridSpan w:val="2"/>
          </w:tcPr>
          <w:p>
            <w:pPr>
              <w:jc w:val="right"/>
              <w:spacing w:after="0"/>
              <w:rPr>
                <w:sz w:val="20"/>
                <w:szCs w:val="20"/>
                <w:color w:val="auto"/>
              </w:rPr>
            </w:pPr>
            <w:r>
              <w:rPr>
                <w:rFonts w:ascii="Arial" w:cs="Arial" w:eastAsia="Arial" w:hAnsi="Arial"/>
                <w:sz w:val="18"/>
                <w:szCs w:val="18"/>
                <w:color w:val="auto"/>
                <w:w w:val="98"/>
              </w:rPr>
              <w:t>(7,703)</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w w:val="98"/>
              </w:rPr>
              <w:t>(8,705)</w:t>
            </w: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w w:val="98"/>
              </w:rPr>
              <w:t>(7,174)</w:t>
            </w: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w w:val="95"/>
              </w:rPr>
              <w:t>(12,943)</w:t>
            </w:r>
          </w:p>
        </w:tc>
        <w:tc>
          <w:tcPr>
            <w:tcW w:w="1140" w:type="dxa"/>
            <w:vAlign w:val="bottom"/>
          </w:tcPr>
          <w:p>
            <w:pPr>
              <w:spacing w:after="0"/>
              <w:rPr>
                <w:sz w:val="18"/>
                <w:szCs w:val="18"/>
                <w:color w:val="auto"/>
              </w:rPr>
            </w:pPr>
          </w:p>
        </w:tc>
      </w:tr>
      <w:tr>
        <w:trPr>
          <w:trHeight w:val="216"/>
        </w:trPr>
        <w:tc>
          <w:tcPr>
            <w:tcW w:w="1160" w:type="dxa"/>
            <w:vAlign w:val="bottom"/>
          </w:tcPr>
          <w:p>
            <w:pPr>
              <w:spacing w:after="0"/>
              <w:rPr>
                <w:sz w:val="18"/>
                <w:szCs w:val="18"/>
                <w:color w:val="auto"/>
              </w:rPr>
            </w:pPr>
          </w:p>
        </w:tc>
        <w:tc>
          <w:tcPr>
            <w:tcW w:w="38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Basic and diluted net loss per common share</w:t>
            </w:r>
          </w:p>
        </w:tc>
        <w:tc>
          <w:tcPr>
            <w:tcW w:w="190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(0.49)</w:t>
            </w: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(0.55)</w:t>
            </w:r>
          </w:p>
        </w:tc>
        <w:tc>
          <w:tcPr>
            <w:tcW w:w="140" w:type="dxa"/>
            <w:vAlign w:val="bottom"/>
            <w:tcBorders>
              <w:left w:val="single" w:sz="8" w:color="CCEEFF"/>
            </w:tcBorders>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(0.45)</w:t>
            </w:r>
          </w:p>
        </w:tc>
        <w:tc>
          <w:tcPr>
            <w:tcW w:w="140" w:type="dxa"/>
            <w:vAlign w:val="bottom"/>
            <w:tcBorders>
              <w:left w:val="single" w:sz="8" w:color="CCEEFF"/>
            </w:tcBorders>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(0.41)</w:t>
            </w:r>
          </w:p>
        </w:tc>
        <w:tc>
          <w:tcPr>
            <w:tcW w:w="1140" w:type="dxa"/>
            <w:vAlign w:val="bottom"/>
          </w:tcPr>
          <w:p>
            <w:pPr>
              <w:spacing w:after="0"/>
              <w:rPr>
                <w:sz w:val="18"/>
                <w:szCs w:val="18"/>
                <w:color w:val="auto"/>
              </w:rPr>
            </w:pPr>
          </w:p>
        </w:tc>
      </w:tr>
      <w:tr>
        <w:trPr>
          <w:trHeight w:val="430"/>
        </w:trPr>
        <w:tc>
          <w:tcPr>
            <w:tcW w:w="11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500" w:type="dxa"/>
            <w:vAlign w:val="bottom"/>
          </w:tcPr>
          <w:p>
            <w:pPr>
              <w:spacing w:after="0"/>
              <w:rPr>
                <w:sz w:val="24"/>
                <w:szCs w:val="24"/>
                <w:color w:val="auto"/>
              </w:rPr>
            </w:pPr>
          </w:p>
        </w:tc>
        <w:tc>
          <w:tcPr>
            <w:tcW w:w="1900" w:type="dxa"/>
            <w:vAlign w:val="bottom"/>
          </w:tcPr>
          <w:p>
            <w:pPr>
              <w:jc w:val="right"/>
              <w:ind w:right="972"/>
              <w:spacing w:after="0"/>
              <w:rPr>
                <w:sz w:val="20"/>
                <w:szCs w:val="20"/>
                <w:color w:val="auto"/>
              </w:rPr>
            </w:pPr>
            <w:r>
              <w:rPr>
                <w:rFonts w:ascii="Arial" w:cs="Arial" w:eastAsia="Arial" w:hAnsi="Arial"/>
                <w:sz w:val="18"/>
                <w:szCs w:val="18"/>
                <w:color w:val="auto"/>
              </w:rPr>
              <w:t>98</w:t>
            </w:r>
          </w:p>
        </w:tc>
        <w:tc>
          <w:tcPr>
            <w:tcW w:w="1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40" w:type="dxa"/>
            <w:vAlign w:val="bottom"/>
          </w:tcPr>
          <w:p>
            <w:pPr>
              <w:spacing w:after="0"/>
              <w:rPr>
                <w:sz w:val="24"/>
                <w:szCs w:val="24"/>
                <w:color w:val="auto"/>
              </w:rPr>
            </w:pPr>
          </w:p>
        </w:tc>
      </w:tr>
      <w:tr>
        <w:trPr>
          <w:trHeight w:val="228"/>
        </w:trPr>
        <w:tc>
          <w:tcPr>
            <w:tcW w:w="1160" w:type="dxa"/>
            <w:vAlign w:val="bottom"/>
            <w:tcBorders>
              <w:bottom w:val="single" w:sz="8" w:color="808080"/>
            </w:tcBorders>
          </w:tcPr>
          <w:p>
            <w:pPr>
              <w:spacing w:after="0"/>
              <w:rPr>
                <w:sz w:val="19"/>
                <w:szCs w:val="19"/>
                <w:color w:val="auto"/>
              </w:rPr>
            </w:pPr>
          </w:p>
        </w:tc>
        <w:tc>
          <w:tcPr>
            <w:tcW w:w="300" w:type="dxa"/>
            <w:vAlign w:val="bottom"/>
            <w:tcBorders>
              <w:bottom w:val="single" w:sz="8" w:color="808080"/>
            </w:tcBorders>
          </w:tcPr>
          <w:p>
            <w:pPr>
              <w:spacing w:after="0"/>
              <w:rPr>
                <w:sz w:val="19"/>
                <w:szCs w:val="19"/>
                <w:color w:val="auto"/>
              </w:rPr>
            </w:pPr>
          </w:p>
        </w:tc>
        <w:tc>
          <w:tcPr>
            <w:tcW w:w="3500" w:type="dxa"/>
            <w:vAlign w:val="bottom"/>
            <w:tcBorders>
              <w:bottom w:val="single" w:sz="8" w:color="808080"/>
            </w:tcBorders>
          </w:tcPr>
          <w:p>
            <w:pPr>
              <w:spacing w:after="0"/>
              <w:rPr>
                <w:sz w:val="19"/>
                <w:szCs w:val="19"/>
                <w:color w:val="auto"/>
              </w:rPr>
            </w:pPr>
          </w:p>
        </w:tc>
        <w:tc>
          <w:tcPr>
            <w:tcW w:w="190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520" w:type="dxa"/>
            <w:vAlign w:val="bottom"/>
            <w:tcBorders>
              <w:bottom w:val="single" w:sz="8" w:color="808080"/>
            </w:tcBorders>
          </w:tcPr>
          <w:p>
            <w:pPr>
              <w:spacing w:after="0"/>
              <w:rPr>
                <w:sz w:val="19"/>
                <w:szCs w:val="19"/>
                <w:color w:val="auto"/>
              </w:rPr>
            </w:pPr>
          </w:p>
        </w:tc>
        <w:tc>
          <w:tcPr>
            <w:tcW w:w="8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6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520" w:type="dxa"/>
            <w:vAlign w:val="bottom"/>
            <w:tcBorders>
              <w:bottom w:val="single" w:sz="8" w:color="808080"/>
            </w:tcBorders>
          </w:tcPr>
          <w:p>
            <w:pPr>
              <w:spacing w:after="0"/>
              <w:rPr>
                <w:sz w:val="19"/>
                <w:szCs w:val="19"/>
                <w:color w:val="auto"/>
              </w:rPr>
            </w:pPr>
          </w:p>
        </w:tc>
        <w:tc>
          <w:tcPr>
            <w:tcW w:w="140" w:type="dxa"/>
            <w:vAlign w:val="bottom"/>
            <w:tcBorders>
              <w:bottom w:val="single" w:sz="8" w:color="808080"/>
            </w:tcBorders>
          </w:tcPr>
          <w:p>
            <w:pPr>
              <w:spacing w:after="0"/>
              <w:rPr>
                <w:sz w:val="19"/>
                <w:szCs w:val="19"/>
                <w:color w:val="auto"/>
              </w:rPr>
            </w:pPr>
          </w:p>
        </w:tc>
        <w:tc>
          <w:tcPr>
            <w:tcW w:w="20" w:type="dxa"/>
            <w:vAlign w:val="bottom"/>
            <w:tcBorders>
              <w:bottom w:val="single" w:sz="8" w:color="808080"/>
            </w:tcBorders>
          </w:tcPr>
          <w:p>
            <w:pPr>
              <w:spacing w:after="0"/>
              <w:rPr>
                <w:sz w:val="19"/>
                <w:szCs w:val="19"/>
                <w:color w:val="auto"/>
              </w:rPr>
            </w:pPr>
          </w:p>
        </w:tc>
        <w:tc>
          <w:tcPr>
            <w:tcW w:w="80" w:type="dxa"/>
            <w:vAlign w:val="bottom"/>
            <w:tcBorders>
              <w:bottom w:val="single" w:sz="8" w:color="808080"/>
            </w:tcBorders>
          </w:tcPr>
          <w:p>
            <w:pPr>
              <w:spacing w:after="0"/>
              <w:rPr>
                <w:sz w:val="19"/>
                <w:szCs w:val="19"/>
                <w:color w:val="auto"/>
              </w:rPr>
            </w:pPr>
          </w:p>
        </w:tc>
        <w:tc>
          <w:tcPr>
            <w:tcW w:w="80" w:type="dxa"/>
            <w:vAlign w:val="bottom"/>
            <w:tcBorders>
              <w:bottom w:val="single" w:sz="8" w:color="808080"/>
            </w:tcBorders>
          </w:tcPr>
          <w:p>
            <w:pPr>
              <w:spacing w:after="0"/>
              <w:rPr>
                <w:sz w:val="19"/>
                <w:szCs w:val="19"/>
                <w:color w:val="auto"/>
              </w:rPr>
            </w:pPr>
          </w:p>
        </w:tc>
        <w:tc>
          <w:tcPr>
            <w:tcW w:w="540" w:type="dxa"/>
            <w:vAlign w:val="bottom"/>
            <w:tcBorders>
              <w:bottom w:val="single" w:sz="8" w:color="808080"/>
            </w:tcBorders>
          </w:tcPr>
          <w:p>
            <w:pPr>
              <w:spacing w:after="0"/>
              <w:rPr>
                <w:sz w:val="19"/>
                <w:szCs w:val="19"/>
                <w:color w:val="auto"/>
              </w:rPr>
            </w:pPr>
          </w:p>
        </w:tc>
        <w:tc>
          <w:tcPr>
            <w:tcW w:w="140" w:type="dxa"/>
            <w:vAlign w:val="bottom"/>
            <w:tcBorders>
              <w:bottom w:val="single" w:sz="8" w:color="808080"/>
            </w:tcBorders>
          </w:tcPr>
          <w:p>
            <w:pPr>
              <w:spacing w:after="0"/>
              <w:rPr>
                <w:sz w:val="19"/>
                <w:szCs w:val="19"/>
                <w:color w:val="auto"/>
              </w:rPr>
            </w:pPr>
          </w:p>
        </w:tc>
        <w:tc>
          <w:tcPr>
            <w:tcW w:w="20" w:type="dxa"/>
            <w:vAlign w:val="bottom"/>
            <w:tcBorders>
              <w:bottom w:val="single" w:sz="8" w:color="808080"/>
            </w:tcBorders>
          </w:tcPr>
          <w:p>
            <w:pPr>
              <w:spacing w:after="0"/>
              <w:rPr>
                <w:sz w:val="19"/>
                <w:szCs w:val="19"/>
                <w:color w:val="auto"/>
              </w:rPr>
            </w:pPr>
          </w:p>
        </w:tc>
        <w:tc>
          <w:tcPr>
            <w:tcW w:w="6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60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1140" w:type="dxa"/>
            <w:vAlign w:val="bottom"/>
            <w:tcBorders>
              <w:bottom w:val="single" w:sz="8" w:color="808080"/>
            </w:tcBorders>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04" w:name="page105"/>
    <w:bookmarkEnd w:id="104"/>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19" w:lineRule="exact"/>
        <w:rPr>
          <w:sz w:val="20"/>
          <w:szCs w:val="20"/>
          <w:color w:val="auto"/>
        </w:rPr>
      </w:pPr>
    </w:p>
    <w:p>
      <w:pPr>
        <w:spacing w:after="0"/>
        <w:tabs>
          <w:tab w:leader="none" w:pos="700" w:val="left"/>
        </w:tabs>
        <w:rPr>
          <w:sz w:val="20"/>
          <w:szCs w:val="20"/>
          <w:color w:val="auto"/>
        </w:rPr>
      </w:pPr>
      <w:r>
        <w:rPr>
          <w:rFonts w:ascii="Arial" w:cs="Arial" w:eastAsia="Arial" w:hAnsi="Arial"/>
          <w:sz w:val="18"/>
          <w:szCs w:val="18"/>
          <w:b w:val="1"/>
          <w:bCs w:val="1"/>
          <w:color w:val="auto"/>
        </w:rPr>
        <w:t>Item 9.</w:t>
      </w:r>
      <w:r>
        <w:rPr>
          <w:sz w:val="20"/>
          <w:szCs w:val="20"/>
          <w:color w:val="auto"/>
        </w:rPr>
        <w:tab/>
      </w:r>
      <w:r>
        <w:rPr>
          <w:rFonts w:ascii="Arial" w:cs="Arial" w:eastAsia="Arial" w:hAnsi="Arial"/>
          <w:sz w:val="16"/>
          <w:szCs w:val="16"/>
          <w:b w:val="1"/>
          <w:bCs w:val="1"/>
          <w:color w:val="auto"/>
        </w:rPr>
        <w:t>CHANGES IN AND DISAGREEMENTS WITH ACCOUNTANTS ON ACCOUNTING AND FINANCIAL DISCLOSURE</w:t>
      </w:r>
    </w:p>
    <w:p>
      <w:pPr>
        <w:spacing w:after="0" w:line="231" w:lineRule="exact"/>
        <w:rPr>
          <w:sz w:val="20"/>
          <w:szCs w:val="20"/>
          <w:color w:val="auto"/>
        </w:rPr>
      </w:pPr>
    </w:p>
    <w:p>
      <w:pPr>
        <w:ind w:left="360"/>
        <w:spacing w:after="0"/>
        <w:rPr>
          <w:sz w:val="20"/>
          <w:szCs w:val="20"/>
          <w:color w:val="auto"/>
        </w:rPr>
      </w:pPr>
      <w:r>
        <w:rPr>
          <w:rFonts w:ascii="Arial" w:cs="Arial" w:eastAsia="Arial" w:hAnsi="Arial"/>
          <w:sz w:val="18"/>
          <w:szCs w:val="18"/>
          <w:color w:val="auto"/>
        </w:rPr>
        <w:t>None.</w:t>
      </w:r>
    </w:p>
    <w:p>
      <w:pPr>
        <w:spacing w:after="0" w:line="219" w:lineRule="exact"/>
        <w:rPr>
          <w:sz w:val="20"/>
          <w:szCs w:val="20"/>
          <w:color w:val="auto"/>
        </w:rPr>
      </w:pPr>
    </w:p>
    <w:p>
      <w:pPr>
        <w:spacing w:after="0"/>
        <w:tabs>
          <w:tab w:leader="none" w:pos="820" w:val="left"/>
        </w:tabs>
        <w:rPr>
          <w:sz w:val="20"/>
          <w:szCs w:val="20"/>
          <w:color w:val="auto"/>
        </w:rPr>
      </w:pPr>
      <w:r>
        <w:rPr>
          <w:rFonts w:ascii="Arial" w:cs="Arial" w:eastAsia="Arial" w:hAnsi="Arial"/>
          <w:sz w:val="18"/>
          <w:szCs w:val="18"/>
          <w:b w:val="1"/>
          <w:bCs w:val="1"/>
          <w:color w:val="auto"/>
        </w:rPr>
        <w:t>Item 9A.</w:t>
      </w:r>
      <w:r>
        <w:rPr>
          <w:sz w:val="20"/>
          <w:szCs w:val="20"/>
          <w:color w:val="auto"/>
        </w:rPr>
        <w:tab/>
      </w:r>
      <w:r>
        <w:rPr>
          <w:rFonts w:ascii="Arial" w:cs="Arial" w:eastAsia="Arial" w:hAnsi="Arial"/>
          <w:sz w:val="16"/>
          <w:szCs w:val="16"/>
          <w:b w:val="1"/>
          <w:bCs w:val="1"/>
          <w:color w:val="auto"/>
        </w:rPr>
        <w:t>CONTROLS AND PROCEDURES</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Evaluation of Disclosure Controls and Procedures</w:t>
      </w:r>
    </w:p>
    <w:p>
      <w:pPr>
        <w:spacing w:after="0" w:line="225" w:lineRule="exact"/>
        <w:rPr>
          <w:sz w:val="20"/>
          <w:szCs w:val="20"/>
          <w:color w:val="auto"/>
        </w:rPr>
      </w:pPr>
    </w:p>
    <w:p>
      <w:pPr>
        <w:ind w:firstLine="341"/>
        <w:spacing w:after="0" w:line="290" w:lineRule="auto"/>
        <w:rPr>
          <w:sz w:val="20"/>
          <w:szCs w:val="20"/>
          <w:color w:val="auto"/>
        </w:rPr>
      </w:pPr>
      <w:r>
        <w:rPr>
          <w:rFonts w:ascii="Arial" w:cs="Arial" w:eastAsia="Arial" w:hAnsi="Arial"/>
          <w:sz w:val="16"/>
          <w:szCs w:val="16"/>
          <w:color w:val="auto"/>
        </w:rPr>
        <w:t>As of December 31, 2010, we evaluated, with the participation of our Chief Executive Officer and Chief Financial Officer, the effectiveness of our disclosure controls and procedures (as defined in Rules 13a-15(e) and 15d-15(e) under the Securities Exchange Act of 1934, as amended (the "Exchange Act")). Based on that evaluation, our Chief Executive Officer and Chief Financial Officer concluded that our disclosure controls and procedures were effective at the reasonable assurance level as of December 31, 2010. Our disclosure controls and procedures are designed to provide reasonable assurance that information required to be disclosed in the reports that we file or submit under the Exchange Act is recorded, processed, summarized and reported within time periods specified by the SEC's rules and forms, and that such information is accumulated and communicated to our management, including our Chief Executive Officer and Chief Financial Officer, as appropriate to allow timely decisions regarding required disclosure.</w:t>
      </w:r>
    </w:p>
    <w:p>
      <w:pPr>
        <w:spacing w:after="0" w:line="17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Management's Annual Report on Internal Control Over Financial Reporting</w:t>
      </w:r>
    </w:p>
    <w:p>
      <w:pPr>
        <w:spacing w:after="0" w:line="225" w:lineRule="exact"/>
        <w:rPr>
          <w:sz w:val="20"/>
          <w:szCs w:val="20"/>
          <w:color w:val="auto"/>
        </w:rPr>
      </w:pPr>
    </w:p>
    <w:p>
      <w:pPr>
        <w:ind w:right="40" w:firstLine="351"/>
        <w:spacing w:after="0" w:line="255" w:lineRule="auto"/>
        <w:rPr>
          <w:sz w:val="20"/>
          <w:szCs w:val="20"/>
          <w:color w:val="auto"/>
        </w:rPr>
      </w:pPr>
      <w:r>
        <w:rPr>
          <w:rFonts w:ascii="Arial" w:cs="Arial" w:eastAsia="Arial" w:hAnsi="Arial"/>
          <w:sz w:val="18"/>
          <w:szCs w:val="18"/>
          <w:color w:val="auto"/>
        </w:rPr>
        <w:t>Our management is responsible for establishing and maintaining adequate internal control over our financial reporting. Internal control over financial reporting is defined in Rules 13a-15(f) and 15d-15(f) under the Exchange Act as the process designed by, or under the supervision of, our Chief Executive Officer and Chief Financial Officer, and effected by our board of directors, management and other personnel, to provide reasonable assurance regarding the reliability of our financial reporting and the preparation of our financial statements for external purposes in accordance with generally accepted accounting principles, and includes those policies and procedures that:</w:t>
      </w:r>
    </w:p>
    <w:p>
      <w:pPr>
        <w:spacing w:after="0" w:line="210" w:lineRule="exact"/>
        <w:rPr>
          <w:sz w:val="20"/>
          <w:szCs w:val="20"/>
          <w:color w:val="auto"/>
        </w:rPr>
      </w:pPr>
    </w:p>
    <w:p>
      <w:pPr>
        <w:ind w:left="1080" w:hanging="532"/>
        <w:spacing w:after="0"/>
        <w:tabs>
          <w:tab w:leader="none" w:pos="1080" w:val="left"/>
        </w:tabs>
        <w:numPr>
          <w:ilvl w:val="0"/>
          <w:numId w:val="31"/>
        </w:numPr>
        <w:rPr>
          <w:rFonts w:ascii="Arial" w:cs="Arial" w:eastAsia="Arial" w:hAnsi="Arial"/>
          <w:sz w:val="16"/>
          <w:szCs w:val="16"/>
          <w:color w:val="auto"/>
        </w:rPr>
      </w:pPr>
      <w:r>
        <w:rPr>
          <w:rFonts w:ascii="Arial" w:cs="Arial" w:eastAsia="Arial" w:hAnsi="Arial"/>
          <w:sz w:val="16"/>
          <w:szCs w:val="16"/>
          <w:color w:val="auto"/>
        </w:rPr>
        <w:t>pertain to the maintenance of records that, in reasonable detail, accurately and fairly reflect the transactions and dispositions of assets;</w:t>
      </w:r>
    </w:p>
    <w:p>
      <w:pPr>
        <w:spacing w:after="0" w:line="275" w:lineRule="exact"/>
        <w:rPr>
          <w:rFonts w:ascii="Arial" w:cs="Arial" w:eastAsia="Arial" w:hAnsi="Arial"/>
          <w:sz w:val="16"/>
          <w:szCs w:val="16"/>
          <w:color w:val="auto"/>
        </w:rPr>
      </w:pPr>
    </w:p>
    <w:p>
      <w:pPr>
        <w:ind w:left="1080" w:right="20" w:hanging="532"/>
        <w:spacing w:after="0" w:line="259" w:lineRule="auto"/>
        <w:tabs>
          <w:tab w:leader="none" w:pos="1080" w:val="left"/>
        </w:tabs>
        <w:numPr>
          <w:ilvl w:val="0"/>
          <w:numId w:val="31"/>
        </w:numPr>
        <w:rPr>
          <w:rFonts w:ascii="Arial" w:cs="Arial" w:eastAsia="Arial" w:hAnsi="Arial"/>
          <w:sz w:val="18"/>
          <w:szCs w:val="18"/>
          <w:color w:val="auto"/>
        </w:rPr>
      </w:pPr>
      <w:r>
        <w:rPr>
          <w:rFonts w:ascii="Arial" w:cs="Arial" w:eastAsia="Arial" w:hAnsi="Arial"/>
          <w:sz w:val="18"/>
          <w:szCs w:val="18"/>
          <w:color w:val="auto"/>
        </w:rPr>
        <w:t>provide reasonable assurance that transactions are recorded as necessary to permit preparation of financial statements in accordance with generally accepted accounting principles, and that receipts and expenditures are being made only in accordance with the authorizations of management and directors; and</w:t>
      </w:r>
    </w:p>
    <w:p>
      <w:pPr>
        <w:spacing w:after="0" w:line="207" w:lineRule="exact"/>
        <w:rPr>
          <w:rFonts w:ascii="Arial" w:cs="Arial" w:eastAsia="Arial" w:hAnsi="Arial"/>
          <w:sz w:val="18"/>
          <w:szCs w:val="18"/>
          <w:color w:val="auto"/>
        </w:rPr>
      </w:pPr>
    </w:p>
    <w:p>
      <w:pPr>
        <w:ind w:left="1080" w:right="80" w:hanging="532"/>
        <w:spacing w:after="0" w:line="268" w:lineRule="auto"/>
        <w:tabs>
          <w:tab w:leader="none" w:pos="1080" w:val="left"/>
        </w:tabs>
        <w:numPr>
          <w:ilvl w:val="0"/>
          <w:numId w:val="31"/>
        </w:numPr>
        <w:rPr>
          <w:rFonts w:ascii="Arial" w:cs="Arial" w:eastAsia="Arial" w:hAnsi="Arial"/>
          <w:sz w:val="18"/>
          <w:szCs w:val="18"/>
          <w:color w:val="auto"/>
        </w:rPr>
      </w:pPr>
      <w:r>
        <w:rPr>
          <w:rFonts w:ascii="Arial" w:cs="Arial" w:eastAsia="Arial" w:hAnsi="Arial"/>
          <w:sz w:val="18"/>
          <w:szCs w:val="18"/>
          <w:color w:val="auto"/>
        </w:rPr>
        <w:t>provide reasonable assurance regarding the prevention or timely detection of unauthorized acquisition, use or disposition of assets that could have a material effect on our financial statements.</w:t>
      </w:r>
    </w:p>
    <w:p>
      <w:pPr>
        <w:spacing w:after="0" w:line="186" w:lineRule="exact"/>
        <w:rPr>
          <w:sz w:val="20"/>
          <w:szCs w:val="20"/>
          <w:color w:val="auto"/>
        </w:rPr>
      </w:pPr>
    </w:p>
    <w:p>
      <w:pPr>
        <w:ind w:right="20" w:firstLine="351"/>
        <w:spacing w:after="0" w:line="259" w:lineRule="auto"/>
        <w:rPr>
          <w:sz w:val="20"/>
          <w:szCs w:val="20"/>
          <w:color w:val="auto"/>
        </w:rPr>
      </w:pPr>
      <w:r>
        <w:rPr>
          <w:rFonts w:ascii="Arial" w:cs="Arial" w:eastAsia="Arial" w:hAnsi="Arial"/>
          <w:sz w:val="18"/>
          <w:szCs w:val="18"/>
          <w:color w:val="auto"/>
        </w:rPr>
        <w:t>Because of its inherent limitations, internal control over financial reporting may not prevent or detect misstatements. Projections of any evaluation of effectiveness to future periods are subject to the risk that controls may become inadequate because of changes in conditions, or that the degree of compliance with the policies or procedures may deteriorate.</w:t>
      </w:r>
    </w:p>
    <w:p>
      <w:pPr>
        <w:spacing w:after="0" w:line="194" w:lineRule="exact"/>
        <w:rPr>
          <w:sz w:val="20"/>
          <w:szCs w:val="20"/>
          <w:color w:val="auto"/>
        </w:rPr>
      </w:pPr>
    </w:p>
    <w:p>
      <w:pPr>
        <w:ind w:right="260" w:firstLine="351"/>
        <w:spacing w:after="0" w:line="256" w:lineRule="auto"/>
        <w:rPr>
          <w:sz w:val="20"/>
          <w:szCs w:val="20"/>
          <w:color w:val="auto"/>
        </w:rPr>
      </w:pPr>
      <w:r>
        <w:rPr>
          <w:rFonts w:ascii="Arial" w:cs="Arial" w:eastAsia="Arial" w:hAnsi="Arial"/>
          <w:sz w:val="18"/>
          <w:szCs w:val="18"/>
          <w:color w:val="auto"/>
        </w:rPr>
        <w:t xml:space="preserve">Under the supervision and with the participation of our management, including our Chief Executive Officer and Chief Financial Officer, we conducted an evaluation of the effectiveness of our internal control over financial reporting based on the framework provided in </w:t>
      </w:r>
      <w:r>
        <w:rPr>
          <w:rFonts w:ascii="Arial" w:cs="Arial" w:eastAsia="Arial" w:hAnsi="Arial"/>
          <w:sz w:val="18"/>
          <w:szCs w:val="18"/>
          <w:i w:val="1"/>
          <w:iCs w:val="1"/>
          <w:color w:val="auto"/>
        </w:rPr>
        <w:t>Internal Control—Integrated Framework</w:t>
      </w:r>
      <w:r>
        <w:rPr>
          <w:rFonts w:ascii="Arial" w:cs="Arial" w:eastAsia="Arial" w:hAnsi="Arial"/>
          <w:sz w:val="18"/>
          <w:szCs w:val="18"/>
          <w:color w:val="auto"/>
        </w:rPr>
        <w:t xml:space="preserve"> issued by the Committee of Sponsoring Organizations of the Treadway Commission. Based on this evaluation, our management concluded that our internal control over financial reporting was effective as of December 31, 2010.</w:t>
      </w:r>
    </w:p>
    <w:p>
      <w:pPr>
        <w:spacing w:after="0" w:line="1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05" w:name="page106"/>
    <w:bookmarkEnd w:id="105"/>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firstLine="348"/>
        <w:spacing w:after="0" w:line="268" w:lineRule="auto"/>
        <w:rPr>
          <w:sz w:val="20"/>
          <w:szCs w:val="20"/>
          <w:color w:val="auto"/>
        </w:rPr>
      </w:pPr>
      <w:r>
        <w:rPr>
          <w:rFonts w:ascii="Arial" w:cs="Arial" w:eastAsia="Arial" w:hAnsi="Arial"/>
          <w:sz w:val="18"/>
          <w:szCs w:val="18"/>
          <w:color w:val="auto"/>
        </w:rPr>
        <w:t>The effectiveness of our internal control over financial reporting as of December 31, 2010 has been audited by PricewaterhouseCoopers LLP, an independent registered public accounting firm, as stated in their report, which is included herein.</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Changes in Internal Control Over Financial Reporting</w:t>
      </w:r>
    </w:p>
    <w:p>
      <w:pPr>
        <w:spacing w:after="0" w:line="225" w:lineRule="exact"/>
        <w:rPr>
          <w:sz w:val="20"/>
          <w:szCs w:val="20"/>
          <w:color w:val="auto"/>
        </w:rPr>
      </w:pPr>
    </w:p>
    <w:p>
      <w:pPr>
        <w:ind w:firstLine="348"/>
        <w:spacing w:after="0" w:line="268" w:lineRule="auto"/>
        <w:rPr>
          <w:sz w:val="20"/>
          <w:szCs w:val="20"/>
          <w:color w:val="auto"/>
        </w:rPr>
      </w:pPr>
      <w:r>
        <w:rPr>
          <w:rFonts w:ascii="Arial" w:cs="Arial" w:eastAsia="Arial" w:hAnsi="Arial"/>
          <w:sz w:val="18"/>
          <w:szCs w:val="18"/>
          <w:color w:val="auto"/>
        </w:rPr>
        <w:t>There were no changes in our internal control over financial reporting during the three months ended December 31, 2010 that have materially affected, or are reasonably likely to materially affect, our internal control over financial reporting.</w:t>
      </w:r>
    </w:p>
    <w:p>
      <w:pPr>
        <w:spacing w:after="0" w:line="180" w:lineRule="exact"/>
        <w:rPr>
          <w:sz w:val="20"/>
          <w:szCs w:val="20"/>
          <w:color w:val="auto"/>
        </w:rPr>
      </w:pPr>
    </w:p>
    <w:p>
      <w:pPr>
        <w:spacing w:after="0"/>
        <w:tabs>
          <w:tab w:leader="none" w:pos="800" w:val="left"/>
        </w:tabs>
        <w:rPr>
          <w:sz w:val="20"/>
          <w:szCs w:val="20"/>
          <w:color w:val="auto"/>
        </w:rPr>
      </w:pPr>
      <w:r>
        <w:rPr>
          <w:rFonts w:ascii="Arial" w:cs="Arial" w:eastAsia="Arial" w:hAnsi="Arial"/>
          <w:sz w:val="18"/>
          <w:szCs w:val="18"/>
          <w:b w:val="1"/>
          <w:bCs w:val="1"/>
          <w:color w:val="auto"/>
        </w:rPr>
        <w:t>Item 9B.</w:t>
        <w:tab/>
        <w:t>OTHER INFORMATION</w:t>
      </w:r>
    </w:p>
    <w:p>
      <w:pPr>
        <w:spacing w:after="0" w:line="231" w:lineRule="exact"/>
        <w:rPr>
          <w:sz w:val="20"/>
          <w:szCs w:val="20"/>
          <w:color w:val="auto"/>
        </w:rPr>
      </w:pPr>
    </w:p>
    <w:p>
      <w:pPr>
        <w:ind w:left="360"/>
        <w:spacing w:after="0"/>
        <w:rPr>
          <w:sz w:val="20"/>
          <w:szCs w:val="20"/>
          <w:color w:val="auto"/>
        </w:rPr>
      </w:pPr>
      <w:r>
        <w:rPr>
          <w:rFonts w:ascii="Arial" w:cs="Arial" w:eastAsia="Arial" w:hAnsi="Arial"/>
          <w:sz w:val="18"/>
          <w:szCs w:val="18"/>
          <w:color w:val="auto"/>
        </w:rPr>
        <w:t>None.</w:t>
      </w:r>
    </w:p>
    <w:p>
      <w:pPr>
        <w:spacing w:after="0" w:line="219"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PART III</w:t>
      </w:r>
    </w:p>
    <w:p>
      <w:pPr>
        <w:spacing w:after="0" w:line="225" w:lineRule="exact"/>
        <w:rPr>
          <w:sz w:val="20"/>
          <w:szCs w:val="20"/>
          <w:color w:val="auto"/>
        </w:rPr>
      </w:pPr>
    </w:p>
    <w:p>
      <w:pPr>
        <w:spacing w:after="0"/>
        <w:tabs>
          <w:tab w:leader="none" w:pos="780" w:val="left"/>
        </w:tabs>
        <w:rPr>
          <w:sz w:val="20"/>
          <w:szCs w:val="20"/>
          <w:color w:val="auto"/>
        </w:rPr>
      </w:pPr>
      <w:r>
        <w:rPr>
          <w:rFonts w:ascii="Arial" w:cs="Arial" w:eastAsia="Arial" w:hAnsi="Arial"/>
          <w:sz w:val="18"/>
          <w:szCs w:val="18"/>
          <w:b w:val="1"/>
          <w:bCs w:val="1"/>
          <w:color w:val="auto"/>
        </w:rPr>
        <w:t>Item 10.</w:t>
      </w:r>
      <w:r>
        <w:rPr>
          <w:sz w:val="20"/>
          <w:szCs w:val="20"/>
          <w:color w:val="auto"/>
        </w:rPr>
        <w:tab/>
      </w:r>
      <w:r>
        <w:rPr>
          <w:rFonts w:ascii="Arial" w:cs="Arial" w:eastAsia="Arial" w:hAnsi="Arial"/>
          <w:sz w:val="16"/>
          <w:szCs w:val="16"/>
          <w:b w:val="1"/>
          <w:bCs w:val="1"/>
          <w:color w:val="auto"/>
        </w:rPr>
        <w:t>DIRECTORS, EXECUTIVE OFFICERS AND CORPORATE GOVERNANCE</w:t>
      </w:r>
    </w:p>
    <w:p>
      <w:pPr>
        <w:spacing w:after="0" w:line="231" w:lineRule="exact"/>
        <w:rPr>
          <w:sz w:val="20"/>
          <w:szCs w:val="20"/>
          <w:color w:val="auto"/>
        </w:rPr>
      </w:pPr>
    </w:p>
    <w:p>
      <w:pPr>
        <w:ind w:firstLine="348"/>
        <w:spacing w:after="0" w:line="255" w:lineRule="auto"/>
        <w:rPr>
          <w:sz w:val="20"/>
          <w:szCs w:val="20"/>
          <w:color w:val="auto"/>
        </w:rPr>
      </w:pPr>
      <w:r>
        <w:rPr>
          <w:rFonts w:ascii="Arial" w:cs="Arial" w:eastAsia="Arial" w:hAnsi="Arial"/>
          <w:sz w:val="18"/>
          <w:szCs w:val="18"/>
          <w:color w:val="auto"/>
        </w:rPr>
        <w:t>The information required by this Item 10 will be included in the definitive Proxy Statement for our 2011 Annual Meeting of Stockholders, or the 2011 Proxy Statement, under "Information Regarding the Current Directors and Executive Officers of Celldex," "Section 16(a) Beneficial Ownership Reporting Compliance," "Code of Business Conduct and Ethics" and "The Board of Directors and Its Committees" and is incorporated herein by reference. If the 2011 Proxy Statement is not filed with the SEC within 120 days after the end of our most recent fiscal year, we will provide such information by means of an amendment to this Annual Report on Form 10-K.</w:t>
      </w:r>
    </w:p>
    <w:p>
      <w:pPr>
        <w:spacing w:after="0" w:line="191" w:lineRule="exact"/>
        <w:rPr>
          <w:sz w:val="20"/>
          <w:szCs w:val="20"/>
          <w:color w:val="auto"/>
        </w:rPr>
      </w:pPr>
    </w:p>
    <w:p>
      <w:pPr>
        <w:spacing w:after="0"/>
        <w:tabs>
          <w:tab w:leader="none" w:pos="760" w:val="left"/>
        </w:tabs>
        <w:rPr>
          <w:sz w:val="20"/>
          <w:szCs w:val="20"/>
          <w:color w:val="auto"/>
        </w:rPr>
      </w:pPr>
      <w:r>
        <w:rPr>
          <w:rFonts w:ascii="Arial" w:cs="Arial" w:eastAsia="Arial" w:hAnsi="Arial"/>
          <w:sz w:val="18"/>
          <w:szCs w:val="18"/>
          <w:b w:val="1"/>
          <w:bCs w:val="1"/>
          <w:color w:val="auto"/>
        </w:rPr>
        <w:t>Item 11.</w:t>
      </w:r>
      <w:r>
        <w:rPr>
          <w:sz w:val="20"/>
          <w:szCs w:val="20"/>
          <w:color w:val="auto"/>
        </w:rPr>
        <w:tab/>
      </w:r>
      <w:r>
        <w:rPr>
          <w:rFonts w:ascii="Arial" w:cs="Arial" w:eastAsia="Arial" w:hAnsi="Arial"/>
          <w:sz w:val="16"/>
          <w:szCs w:val="16"/>
          <w:b w:val="1"/>
          <w:bCs w:val="1"/>
          <w:color w:val="auto"/>
        </w:rPr>
        <w:t>EXECUTIVE COMPENSATION</w:t>
      </w:r>
    </w:p>
    <w:p>
      <w:pPr>
        <w:spacing w:after="0" w:line="231" w:lineRule="exact"/>
        <w:rPr>
          <w:sz w:val="20"/>
          <w:szCs w:val="20"/>
          <w:color w:val="auto"/>
        </w:rPr>
      </w:pPr>
    </w:p>
    <w:p>
      <w:pPr>
        <w:ind w:right="100" w:firstLine="348"/>
        <w:spacing w:after="0" w:line="306" w:lineRule="auto"/>
        <w:rPr>
          <w:sz w:val="20"/>
          <w:szCs w:val="20"/>
          <w:color w:val="auto"/>
        </w:rPr>
      </w:pPr>
      <w:r>
        <w:rPr>
          <w:rFonts w:ascii="Arial" w:cs="Arial" w:eastAsia="Arial" w:hAnsi="Arial"/>
          <w:sz w:val="16"/>
          <w:szCs w:val="16"/>
          <w:color w:val="auto"/>
        </w:rPr>
        <w:t>The information required by this Item 11 will be included in the 2011 Proxy Statement under "Executive Compensation," and "Compensation Committee Interlocks and Insider Participation," and is incorporated herein by reference. If the 2011 Proxy Statement is not filed with the SEC within 120 days after the end of our most recent fiscal year, we will provide such information by means of an amendment to this Annual Report on Form 10-K.</w:t>
      </w:r>
    </w:p>
    <w:p>
      <w:pPr>
        <w:spacing w:after="0" w:line="155" w:lineRule="exact"/>
        <w:rPr>
          <w:sz w:val="20"/>
          <w:szCs w:val="20"/>
          <w:color w:val="auto"/>
        </w:rPr>
      </w:pPr>
    </w:p>
    <w:p>
      <w:pPr>
        <w:spacing w:after="0"/>
        <w:tabs>
          <w:tab w:leader="none" w:pos="780" w:val="left"/>
        </w:tabs>
        <w:rPr>
          <w:sz w:val="20"/>
          <w:szCs w:val="20"/>
          <w:color w:val="auto"/>
        </w:rPr>
      </w:pPr>
      <w:r>
        <w:rPr>
          <w:rFonts w:ascii="Arial" w:cs="Arial" w:eastAsia="Arial" w:hAnsi="Arial"/>
          <w:sz w:val="18"/>
          <w:szCs w:val="18"/>
          <w:b w:val="1"/>
          <w:bCs w:val="1"/>
          <w:color w:val="auto"/>
        </w:rPr>
        <w:t>Item 12.</w:t>
      </w:r>
      <w:r>
        <w:rPr>
          <w:sz w:val="20"/>
          <w:szCs w:val="20"/>
          <w:color w:val="auto"/>
        </w:rPr>
        <w:tab/>
      </w:r>
      <w:r>
        <w:rPr>
          <w:rFonts w:ascii="Arial" w:cs="Arial" w:eastAsia="Arial" w:hAnsi="Arial"/>
          <w:sz w:val="16"/>
          <w:szCs w:val="16"/>
          <w:b w:val="1"/>
          <w:bCs w:val="1"/>
          <w:color w:val="auto"/>
        </w:rPr>
        <w:t>SECURITY OWNERSHIP OF CERTAIN BENEFICIAL OWNERS AND MANAGEMENT AND RELATED STOCKHOLDER MATTERS</w:t>
      </w:r>
    </w:p>
    <w:p>
      <w:pPr>
        <w:spacing w:after="0" w:line="231" w:lineRule="exact"/>
        <w:rPr>
          <w:sz w:val="20"/>
          <w:szCs w:val="20"/>
          <w:color w:val="auto"/>
        </w:rPr>
      </w:pPr>
    </w:p>
    <w:p>
      <w:pPr>
        <w:ind w:right="40" w:firstLine="348"/>
        <w:spacing w:after="0" w:line="306" w:lineRule="auto"/>
        <w:rPr>
          <w:sz w:val="20"/>
          <w:szCs w:val="20"/>
          <w:color w:val="auto"/>
        </w:rPr>
      </w:pPr>
      <w:r>
        <w:rPr>
          <w:rFonts w:ascii="Arial" w:cs="Arial" w:eastAsia="Arial" w:hAnsi="Arial"/>
          <w:sz w:val="16"/>
          <w:szCs w:val="16"/>
          <w:color w:val="auto"/>
        </w:rPr>
        <w:t>The information required by this Item 12 will be included in the 2011 Proxy Statement under "Security Ownership of Certain Beneficial Owners and Management" and "Equity Compensation Plan Information" and is incorporated herein by reference. If the 2011 Proxy Statement is not filed with the SEC within 120 days after the end of our most recent fiscal year, we will provide such information by means of an amendment to this Annual Report on Form 10-K.</w:t>
      </w:r>
    </w:p>
    <w:p>
      <w:pPr>
        <w:spacing w:after="0" w:line="155" w:lineRule="exact"/>
        <w:rPr>
          <w:sz w:val="20"/>
          <w:szCs w:val="20"/>
          <w:color w:val="auto"/>
        </w:rPr>
      </w:pPr>
    </w:p>
    <w:p>
      <w:pPr>
        <w:spacing w:after="0"/>
        <w:tabs>
          <w:tab w:leader="none" w:pos="780" w:val="left"/>
        </w:tabs>
        <w:rPr>
          <w:sz w:val="20"/>
          <w:szCs w:val="20"/>
          <w:color w:val="auto"/>
        </w:rPr>
      </w:pPr>
      <w:r>
        <w:rPr>
          <w:rFonts w:ascii="Arial" w:cs="Arial" w:eastAsia="Arial" w:hAnsi="Arial"/>
          <w:sz w:val="18"/>
          <w:szCs w:val="18"/>
          <w:b w:val="1"/>
          <w:bCs w:val="1"/>
          <w:color w:val="auto"/>
        </w:rPr>
        <w:t>Item 13.</w:t>
      </w:r>
      <w:r>
        <w:rPr>
          <w:sz w:val="20"/>
          <w:szCs w:val="20"/>
          <w:color w:val="auto"/>
        </w:rPr>
        <w:tab/>
      </w:r>
      <w:r>
        <w:rPr>
          <w:rFonts w:ascii="Arial" w:cs="Arial" w:eastAsia="Arial" w:hAnsi="Arial"/>
          <w:sz w:val="16"/>
          <w:szCs w:val="16"/>
          <w:b w:val="1"/>
          <w:bCs w:val="1"/>
          <w:color w:val="auto"/>
        </w:rPr>
        <w:t>CERTAIN RELATIONSHIPS AND RELATED TRANSACTIONS, AND DIRECTOR INDEPENDENCE</w:t>
      </w:r>
    </w:p>
    <w:p>
      <w:pPr>
        <w:spacing w:after="0" w:line="231" w:lineRule="exact"/>
        <w:rPr>
          <w:sz w:val="20"/>
          <w:szCs w:val="20"/>
          <w:color w:val="auto"/>
        </w:rPr>
      </w:pPr>
    </w:p>
    <w:p>
      <w:pPr>
        <w:jc w:val="both"/>
        <w:ind w:right="480" w:firstLine="348"/>
        <w:spacing w:after="0" w:line="306" w:lineRule="auto"/>
        <w:rPr>
          <w:sz w:val="20"/>
          <w:szCs w:val="20"/>
          <w:color w:val="auto"/>
        </w:rPr>
      </w:pPr>
      <w:r>
        <w:rPr>
          <w:rFonts w:ascii="Arial" w:cs="Arial" w:eastAsia="Arial" w:hAnsi="Arial"/>
          <w:sz w:val="16"/>
          <w:szCs w:val="16"/>
          <w:color w:val="auto"/>
        </w:rPr>
        <w:t>The information required by this Item 13 will be included in the 2011 Proxy Statement under "Election of Directors" and "Approval of Related Person Transactions and Transactions with Related Persons" and is incorporated herein by reference. If the 2011 Proxy Statement is not filed with the SEC within 120 days after the end of our most recent fiscal year, we will provide such information by means of an amendment to this Annual Report on Form 10-K.</w:t>
      </w:r>
    </w:p>
    <w:p>
      <w:pPr>
        <w:spacing w:after="0" w:line="155" w:lineRule="exact"/>
        <w:rPr>
          <w:sz w:val="20"/>
          <w:szCs w:val="20"/>
          <w:color w:val="auto"/>
        </w:rPr>
      </w:pPr>
    </w:p>
    <w:p>
      <w:pPr>
        <w:spacing w:after="0"/>
        <w:tabs>
          <w:tab w:leader="none" w:pos="780" w:val="left"/>
        </w:tabs>
        <w:rPr>
          <w:sz w:val="20"/>
          <w:szCs w:val="20"/>
          <w:color w:val="auto"/>
        </w:rPr>
      </w:pPr>
      <w:r>
        <w:rPr>
          <w:rFonts w:ascii="Arial" w:cs="Arial" w:eastAsia="Arial" w:hAnsi="Arial"/>
          <w:sz w:val="18"/>
          <w:szCs w:val="18"/>
          <w:b w:val="1"/>
          <w:bCs w:val="1"/>
          <w:color w:val="auto"/>
        </w:rPr>
        <w:t>Item 14.</w:t>
      </w:r>
      <w:r>
        <w:rPr>
          <w:sz w:val="20"/>
          <w:szCs w:val="20"/>
          <w:color w:val="auto"/>
        </w:rPr>
        <w:tab/>
      </w:r>
      <w:r>
        <w:rPr>
          <w:rFonts w:ascii="Arial" w:cs="Arial" w:eastAsia="Arial" w:hAnsi="Arial"/>
          <w:sz w:val="16"/>
          <w:szCs w:val="16"/>
          <w:b w:val="1"/>
          <w:bCs w:val="1"/>
          <w:color w:val="auto"/>
        </w:rPr>
        <w:t>PRINCIPAL ACCOUNTING FEES AND SERVICES</w:t>
      </w:r>
    </w:p>
    <w:p>
      <w:pPr>
        <w:spacing w:after="0" w:line="231" w:lineRule="exact"/>
        <w:rPr>
          <w:sz w:val="20"/>
          <w:szCs w:val="20"/>
          <w:color w:val="auto"/>
        </w:rPr>
      </w:pPr>
    </w:p>
    <w:p>
      <w:pPr>
        <w:jc w:val="both"/>
        <w:ind w:right="480" w:firstLine="348"/>
        <w:spacing w:after="0" w:line="259" w:lineRule="auto"/>
        <w:rPr>
          <w:sz w:val="20"/>
          <w:szCs w:val="20"/>
          <w:color w:val="auto"/>
        </w:rPr>
      </w:pPr>
      <w:r>
        <w:rPr>
          <w:rFonts w:ascii="Arial" w:cs="Arial" w:eastAsia="Arial" w:hAnsi="Arial"/>
          <w:sz w:val="18"/>
          <w:szCs w:val="18"/>
          <w:color w:val="auto"/>
        </w:rPr>
        <w:t>The information required by this Item 14 will be included in the 2011 Proxy Statement under "Independent Registered Public Accounting Firm" and is incorporated herein by reference. If the 2011 Proxy Statement is not filed with the SEC within 120 days after the end of our most recent fiscal year, we will provide such information by means of an amendment to this Annual Report on Form 10-K.</w:t>
      </w:r>
    </w:p>
    <w:p>
      <w:pPr>
        <w:spacing w:after="0" w:line="19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106" w:name="page107"/>
    <w:bookmarkEnd w:id="106"/>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PART IV</w:t>
      </w:r>
    </w:p>
    <w:p>
      <w:pPr>
        <w:spacing w:after="0" w:line="225" w:lineRule="exact"/>
        <w:rPr>
          <w:sz w:val="20"/>
          <w:szCs w:val="20"/>
          <w:color w:val="auto"/>
        </w:rPr>
      </w:pPr>
    </w:p>
    <w:p>
      <w:pPr>
        <w:spacing w:after="0"/>
        <w:tabs>
          <w:tab w:leader="none" w:pos="780" w:val="left"/>
        </w:tabs>
        <w:rPr>
          <w:sz w:val="20"/>
          <w:szCs w:val="20"/>
          <w:color w:val="auto"/>
        </w:rPr>
      </w:pPr>
      <w:r>
        <w:rPr>
          <w:rFonts w:ascii="Arial" w:cs="Arial" w:eastAsia="Arial" w:hAnsi="Arial"/>
          <w:sz w:val="18"/>
          <w:szCs w:val="18"/>
          <w:b w:val="1"/>
          <w:bCs w:val="1"/>
          <w:color w:val="auto"/>
        </w:rPr>
        <w:t>Item 15.</w:t>
      </w:r>
      <w:r>
        <w:rPr>
          <w:sz w:val="20"/>
          <w:szCs w:val="20"/>
          <w:color w:val="auto"/>
        </w:rPr>
        <w:tab/>
      </w:r>
      <w:r>
        <w:rPr>
          <w:rFonts w:ascii="Arial" w:cs="Arial" w:eastAsia="Arial" w:hAnsi="Arial"/>
          <w:sz w:val="16"/>
          <w:szCs w:val="16"/>
          <w:b w:val="1"/>
          <w:bCs w:val="1"/>
          <w:color w:val="auto"/>
        </w:rPr>
        <w:t>EXHIBITS, FINANCIAL STATEMENT SCHEDULES</w:t>
      </w:r>
    </w:p>
    <w:p>
      <w:pPr>
        <w:spacing w:after="0" w:line="245" w:lineRule="exact"/>
        <w:rPr>
          <w:sz w:val="20"/>
          <w:szCs w:val="20"/>
          <w:color w:val="auto"/>
        </w:rPr>
      </w:pPr>
    </w:p>
    <w:p>
      <w:pPr>
        <w:ind w:left="540" w:hanging="532"/>
        <w:spacing w:after="0"/>
        <w:tabs>
          <w:tab w:leader="none" w:pos="540" w:val="left"/>
        </w:tabs>
        <w:numPr>
          <w:ilvl w:val="0"/>
          <w:numId w:val="32"/>
        </w:numPr>
        <w:rPr>
          <w:rFonts w:ascii="Arial" w:cs="Arial" w:eastAsia="Arial" w:hAnsi="Arial"/>
          <w:sz w:val="18"/>
          <w:szCs w:val="18"/>
          <w:color w:val="auto"/>
        </w:rPr>
      </w:pPr>
      <w:r>
        <w:rPr>
          <w:rFonts w:ascii="Arial" w:cs="Arial" w:eastAsia="Arial" w:hAnsi="Arial"/>
          <w:sz w:val="18"/>
          <w:szCs w:val="18"/>
          <w:color w:val="auto"/>
        </w:rPr>
        <w:t>The following documents are filed as part of this Form 10-K:</w:t>
      </w:r>
    </w:p>
    <w:p>
      <w:pPr>
        <w:spacing w:after="0" w:line="200" w:lineRule="exact"/>
        <w:rPr>
          <w:sz w:val="20"/>
          <w:szCs w:val="20"/>
          <w:color w:val="auto"/>
        </w:rPr>
      </w:pPr>
    </w:p>
    <w:p>
      <w:pPr>
        <w:spacing w:after="0" w:line="268" w:lineRule="exact"/>
        <w:rPr>
          <w:sz w:val="20"/>
          <w:szCs w:val="20"/>
          <w:color w:val="auto"/>
        </w:rPr>
      </w:pPr>
    </w:p>
    <w:p>
      <w:pPr>
        <w:ind w:left="1080" w:hanging="532"/>
        <w:spacing w:after="0"/>
        <w:tabs>
          <w:tab w:leader="none" w:pos="1080" w:val="left"/>
        </w:tabs>
        <w:numPr>
          <w:ilvl w:val="0"/>
          <w:numId w:val="33"/>
        </w:numPr>
        <w:rPr>
          <w:rFonts w:ascii="Arial" w:cs="Arial" w:eastAsia="Arial" w:hAnsi="Arial"/>
          <w:sz w:val="18"/>
          <w:szCs w:val="18"/>
          <w:i w:val="1"/>
          <w:iCs w:val="1"/>
          <w:color w:val="auto"/>
        </w:rPr>
      </w:pPr>
      <w:r>
        <w:rPr>
          <w:rFonts w:ascii="Arial" w:cs="Arial" w:eastAsia="Arial" w:hAnsi="Arial"/>
          <w:sz w:val="18"/>
          <w:szCs w:val="18"/>
          <w:i w:val="1"/>
          <w:iCs w:val="1"/>
          <w:color w:val="auto"/>
        </w:rPr>
        <w:t>Financial Statements:</w:t>
      </w:r>
    </w:p>
    <w:p>
      <w:pPr>
        <w:spacing w:after="0" w:line="225"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The Financial Statements and Supplementary Data are included in Part II Item 8 of this report.</w:t>
      </w:r>
    </w:p>
    <w:p>
      <w:pPr>
        <w:spacing w:after="0" w:line="239" w:lineRule="exact"/>
        <w:rPr>
          <w:sz w:val="20"/>
          <w:szCs w:val="20"/>
          <w:color w:val="auto"/>
        </w:rPr>
      </w:pPr>
    </w:p>
    <w:p>
      <w:pPr>
        <w:ind w:left="1080" w:hanging="532"/>
        <w:spacing w:after="0"/>
        <w:tabs>
          <w:tab w:leader="none" w:pos="1080" w:val="left"/>
        </w:tabs>
        <w:numPr>
          <w:ilvl w:val="0"/>
          <w:numId w:val="34"/>
        </w:numPr>
        <w:rPr>
          <w:rFonts w:ascii="Arial" w:cs="Arial" w:eastAsia="Arial" w:hAnsi="Arial"/>
          <w:sz w:val="18"/>
          <w:szCs w:val="18"/>
          <w:i w:val="1"/>
          <w:iCs w:val="1"/>
          <w:color w:val="auto"/>
        </w:rPr>
      </w:pPr>
      <w:r>
        <w:rPr>
          <w:rFonts w:ascii="Arial" w:cs="Arial" w:eastAsia="Arial" w:hAnsi="Arial"/>
          <w:sz w:val="18"/>
          <w:szCs w:val="18"/>
          <w:i w:val="1"/>
          <w:iCs w:val="1"/>
          <w:color w:val="auto"/>
        </w:rPr>
        <w:t>Financial Statement Schedules:</w:t>
      </w:r>
    </w:p>
    <w:p>
      <w:pPr>
        <w:spacing w:after="0" w:line="225" w:lineRule="exact"/>
        <w:rPr>
          <w:sz w:val="20"/>
          <w:szCs w:val="20"/>
          <w:color w:val="auto"/>
        </w:rPr>
      </w:pPr>
    </w:p>
    <w:p>
      <w:pPr>
        <w:ind w:right="560" w:firstLine="351"/>
        <w:spacing w:after="0" w:line="268" w:lineRule="auto"/>
        <w:rPr>
          <w:sz w:val="20"/>
          <w:szCs w:val="20"/>
          <w:color w:val="auto"/>
        </w:rPr>
      </w:pPr>
      <w:r>
        <w:rPr>
          <w:rFonts w:ascii="Arial" w:cs="Arial" w:eastAsia="Arial" w:hAnsi="Arial"/>
          <w:sz w:val="18"/>
          <w:szCs w:val="18"/>
          <w:color w:val="auto"/>
        </w:rPr>
        <w:t>Schedules are omitted since the required information is not applicable or is not present in amounts sufficient to require submission of the schedule, or because the information required is included in the Consolidated Financial Statements or Notes thereto.</w:t>
      </w:r>
    </w:p>
    <w:p>
      <w:pPr>
        <w:spacing w:after="0" w:line="186" w:lineRule="exact"/>
        <w:rPr>
          <w:sz w:val="20"/>
          <w:szCs w:val="20"/>
          <w:color w:val="auto"/>
        </w:rPr>
      </w:pPr>
    </w:p>
    <w:tbl>
      <w:tblPr>
        <w:tblLayout w:type="fixed"/>
        <w:tblInd w:w="0" w:type="dxa"/>
        <w:tblCellMar>
          <w:top w:w="0" w:type="dxa"/>
          <w:left w:w="0" w:type="dxa"/>
          <w:bottom w:w="0" w:type="dxa"/>
          <w:right w:w="0" w:type="dxa"/>
        </w:tblCellMar>
      </w:tblPr>
      <w:tr>
        <w:trPr>
          <w:trHeight w:val="236"/>
        </w:trPr>
        <w:tc>
          <w:tcPr>
            <w:tcW w:w="920" w:type="dxa"/>
            <w:vAlign w:val="bottom"/>
          </w:tcPr>
          <w:p>
            <w:pPr>
              <w:jc w:val="right"/>
              <w:ind w:right="72"/>
              <w:spacing w:after="0"/>
              <w:rPr>
                <w:sz w:val="20"/>
                <w:szCs w:val="20"/>
                <w:color w:val="auto"/>
              </w:rPr>
            </w:pPr>
            <w:r>
              <w:rPr>
                <w:rFonts w:ascii="Arial" w:cs="Arial" w:eastAsia="Arial" w:hAnsi="Arial"/>
                <w:sz w:val="18"/>
                <w:szCs w:val="18"/>
                <w:i w:val="1"/>
                <w:iCs w:val="1"/>
                <w:color w:val="auto"/>
              </w:rPr>
              <w:t>(3)</w:t>
            </w:r>
          </w:p>
        </w:tc>
        <w:tc>
          <w:tcPr>
            <w:tcW w:w="860" w:type="dxa"/>
            <w:vAlign w:val="bottom"/>
            <w:gridSpan w:val="2"/>
          </w:tcPr>
          <w:p>
            <w:pPr>
              <w:jc w:val="right"/>
              <w:spacing w:after="0"/>
              <w:rPr>
                <w:sz w:val="20"/>
                <w:szCs w:val="20"/>
                <w:color w:val="auto"/>
              </w:rPr>
            </w:pPr>
            <w:r>
              <w:rPr>
                <w:rFonts w:ascii="Arial" w:cs="Arial" w:eastAsia="Arial" w:hAnsi="Arial"/>
                <w:sz w:val="18"/>
                <w:szCs w:val="18"/>
                <w:i w:val="1"/>
                <w:iCs w:val="1"/>
                <w:color w:val="auto"/>
              </w:rPr>
              <w:t>Exhibits:</w:t>
            </w:r>
          </w:p>
        </w:tc>
        <w:tc>
          <w:tcPr>
            <w:tcW w:w="160" w:type="dxa"/>
            <w:vAlign w:val="bottom"/>
          </w:tcPr>
          <w:p>
            <w:pPr>
              <w:spacing w:after="0"/>
              <w:rPr>
                <w:sz w:val="20"/>
                <w:szCs w:val="20"/>
                <w:color w:val="auto"/>
              </w:rPr>
            </w:pPr>
          </w:p>
        </w:tc>
        <w:tc>
          <w:tcPr>
            <w:tcW w:w="55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21"/>
        </w:trPr>
        <w:tc>
          <w:tcPr>
            <w:tcW w:w="9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5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800" w:type="dxa"/>
            <w:vAlign w:val="bottom"/>
            <w:gridSpan w:val="6"/>
          </w:tcPr>
          <w:p>
            <w:pPr>
              <w:ind w:left="480"/>
              <w:spacing w:after="0"/>
              <w:rPr>
                <w:sz w:val="20"/>
                <w:szCs w:val="20"/>
                <w:color w:val="auto"/>
              </w:rPr>
            </w:pPr>
            <w:r>
              <w:rPr>
                <w:rFonts w:ascii="Arial" w:cs="Arial" w:eastAsia="Arial" w:hAnsi="Arial"/>
                <w:sz w:val="14"/>
                <w:szCs w:val="14"/>
                <w:b w:val="1"/>
                <w:bCs w:val="1"/>
                <w:color w:val="auto"/>
              </w:rPr>
              <w:t>Incorporated by Reference to</w:t>
            </w:r>
          </w:p>
        </w:tc>
        <w:tc>
          <w:tcPr>
            <w:tcW w:w="0" w:type="dxa"/>
            <w:vAlign w:val="bottom"/>
          </w:tcPr>
          <w:p>
            <w:pPr>
              <w:spacing w:after="0"/>
              <w:rPr>
                <w:sz w:val="1"/>
                <w:szCs w:val="1"/>
                <w:color w:val="auto"/>
              </w:rPr>
            </w:pPr>
          </w:p>
        </w:tc>
      </w:tr>
      <w:tr>
        <w:trPr>
          <w:trHeight w:val="129"/>
        </w:trPr>
        <w:tc>
          <w:tcPr>
            <w:tcW w:w="9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5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120" w:type="dxa"/>
            <w:vAlign w:val="bottom"/>
            <w:tcBorders>
              <w:top w:val="single" w:sz="8" w:color="auto"/>
            </w:tcBorders>
          </w:tcPr>
          <w:p>
            <w:pPr>
              <w:jc w:val="center"/>
              <w:spacing w:after="0" w:line="129" w:lineRule="exact"/>
              <w:rPr>
                <w:sz w:val="20"/>
                <w:szCs w:val="20"/>
                <w:color w:val="auto"/>
              </w:rPr>
            </w:pPr>
            <w:r>
              <w:rPr>
                <w:rFonts w:ascii="Arial" w:cs="Arial" w:eastAsia="Arial" w:hAnsi="Arial"/>
                <w:sz w:val="14"/>
                <w:szCs w:val="14"/>
                <w:b w:val="1"/>
                <w:bCs w:val="1"/>
                <w:color w:val="auto"/>
                <w:w w:val="90"/>
              </w:rPr>
              <w:t>Form and</w:t>
            </w:r>
          </w:p>
        </w:tc>
        <w:tc>
          <w:tcPr>
            <w:tcW w:w="160" w:type="dxa"/>
            <w:vAlign w:val="bottom"/>
            <w:tcBorders>
              <w:top w:val="single" w:sz="8" w:color="auto"/>
            </w:tcBorders>
          </w:tcPr>
          <w:p>
            <w:pPr>
              <w:spacing w:after="0"/>
              <w:rPr>
                <w:sz w:val="11"/>
                <w:szCs w:val="11"/>
                <w:color w:val="auto"/>
              </w:rPr>
            </w:pPr>
          </w:p>
        </w:tc>
        <w:tc>
          <w:tcPr>
            <w:tcW w:w="500" w:type="dxa"/>
            <w:vAlign w:val="bottom"/>
            <w:tcBorders>
              <w:top w:val="single" w:sz="8" w:color="auto"/>
            </w:tcBorders>
          </w:tcPr>
          <w:p>
            <w:pPr>
              <w:jc w:val="center"/>
              <w:spacing w:after="0" w:line="129" w:lineRule="exact"/>
              <w:rPr>
                <w:sz w:val="20"/>
                <w:szCs w:val="20"/>
                <w:color w:val="auto"/>
              </w:rPr>
            </w:pPr>
            <w:r>
              <w:rPr>
                <w:rFonts w:ascii="Arial" w:cs="Arial" w:eastAsia="Arial" w:hAnsi="Arial"/>
                <w:sz w:val="14"/>
                <w:szCs w:val="14"/>
                <w:b w:val="1"/>
                <w:bCs w:val="1"/>
                <w:color w:val="auto"/>
                <w:w w:val="89"/>
              </w:rPr>
              <w:t>Exhibit</w:t>
            </w:r>
          </w:p>
        </w:tc>
        <w:tc>
          <w:tcPr>
            <w:tcW w:w="160" w:type="dxa"/>
            <w:vAlign w:val="bottom"/>
            <w:tcBorders>
              <w:top w:val="single" w:sz="8" w:color="auto"/>
            </w:tcBorders>
          </w:tcPr>
          <w:p>
            <w:pPr>
              <w:spacing w:after="0"/>
              <w:rPr>
                <w:sz w:val="11"/>
                <w:szCs w:val="11"/>
                <w:color w:val="auto"/>
              </w:rPr>
            </w:pPr>
          </w:p>
        </w:tc>
        <w:tc>
          <w:tcPr>
            <w:tcW w:w="720" w:type="dxa"/>
            <w:vAlign w:val="bottom"/>
            <w:tcBorders>
              <w:top w:val="single" w:sz="8" w:color="auto"/>
            </w:tcBorders>
          </w:tcPr>
          <w:p>
            <w:pPr>
              <w:jc w:val="center"/>
              <w:spacing w:after="0" w:line="129" w:lineRule="exact"/>
              <w:rPr>
                <w:sz w:val="20"/>
                <w:szCs w:val="20"/>
                <w:color w:val="auto"/>
              </w:rPr>
            </w:pPr>
            <w:r>
              <w:rPr>
                <w:rFonts w:ascii="Arial" w:cs="Arial" w:eastAsia="Arial" w:hAnsi="Arial"/>
                <w:sz w:val="14"/>
                <w:szCs w:val="14"/>
                <w:b w:val="1"/>
                <w:bCs w:val="1"/>
                <w:color w:val="auto"/>
                <w:w w:val="90"/>
              </w:rPr>
              <w:t>SEC</w:t>
            </w:r>
          </w:p>
        </w:tc>
        <w:tc>
          <w:tcPr>
            <w:tcW w:w="11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1"/>
        </w:trPr>
        <w:tc>
          <w:tcPr>
            <w:tcW w:w="9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620" w:type="dxa"/>
            <w:vAlign w:val="bottom"/>
          </w:tcPr>
          <w:p>
            <w:pPr>
              <w:jc w:val="right"/>
              <w:ind w:right="137"/>
              <w:spacing w:after="0"/>
              <w:rPr>
                <w:sz w:val="20"/>
                <w:szCs w:val="20"/>
                <w:color w:val="auto"/>
              </w:rPr>
            </w:pPr>
            <w:r>
              <w:rPr>
                <w:rFonts w:ascii="Arial" w:cs="Arial" w:eastAsia="Arial" w:hAnsi="Arial"/>
                <w:sz w:val="14"/>
                <w:szCs w:val="14"/>
                <w:b w:val="1"/>
                <w:bCs w:val="1"/>
                <w:color w:val="auto"/>
              </w:rPr>
              <w:t>No.</w:t>
            </w:r>
          </w:p>
        </w:tc>
        <w:tc>
          <w:tcPr>
            <w:tcW w:w="160" w:type="dxa"/>
            <w:vAlign w:val="bottom"/>
          </w:tcPr>
          <w:p>
            <w:pPr>
              <w:spacing w:after="0"/>
              <w:rPr>
                <w:sz w:val="14"/>
                <w:szCs w:val="14"/>
                <w:color w:val="auto"/>
              </w:rPr>
            </w:pPr>
          </w:p>
        </w:tc>
        <w:tc>
          <w:tcPr>
            <w:tcW w:w="5680" w:type="dxa"/>
            <w:vAlign w:val="bottom"/>
            <w:gridSpan w:val="2"/>
          </w:tcPr>
          <w:p>
            <w:pPr>
              <w:ind w:left="2420"/>
              <w:spacing w:after="0"/>
              <w:rPr>
                <w:sz w:val="20"/>
                <w:szCs w:val="20"/>
                <w:color w:val="auto"/>
              </w:rPr>
            </w:pPr>
            <w:r>
              <w:rPr>
                <w:rFonts w:ascii="Arial" w:cs="Arial" w:eastAsia="Arial" w:hAnsi="Arial"/>
                <w:sz w:val="14"/>
                <w:szCs w:val="14"/>
                <w:b w:val="1"/>
                <w:bCs w:val="1"/>
                <w:color w:val="auto"/>
              </w:rPr>
              <w:t>Description</w:t>
            </w:r>
          </w:p>
        </w:tc>
        <w:tc>
          <w:tcPr>
            <w:tcW w:w="1120" w:type="dxa"/>
            <w:vAlign w:val="bottom"/>
          </w:tcPr>
          <w:p>
            <w:pPr>
              <w:jc w:val="center"/>
              <w:spacing w:after="0"/>
              <w:rPr>
                <w:sz w:val="20"/>
                <w:szCs w:val="20"/>
                <w:color w:val="auto"/>
              </w:rPr>
            </w:pPr>
            <w:r>
              <w:rPr>
                <w:rFonts w:ascii="Arial" w:cs="Arial" w:eastAsia="Arial" w:hAnsi="Arial"/>
                <w:sz w:val="14"/>
                <w:szCs w:val="14"/>
                <w:b w:val="1"/>
                <w:bCs w:val="1"/>
                <w:color w:val="auto"/>
                <w:w w:val="88"/>
              </w:rPr>
              <w:t>SEC File No.</w:t>
            </w:r>
          </w:p>
        </w:tc>
        <w:tc>
          <w:tcPr>
            <w:tcW w:w="160" w:type="dxa"/>
            <w:vAlign w:val="bottom"/>
          </w:tcPr>
          <w:p>
            <w:pPr>
              <w:spacing w:after="0"/>
              <w:rPr>
                <w:sz w:val="14"/>
                <w:szCs w:val="14"/>
                <w:color w:val="auto"/>
              </w:rPr>
            </w:pPr>
          </w:p>
        </w:tc>
        <w:tc>
          <w:tcPr>
            <w:tcW w:w="500" w:type="dxa"/>
            <w:vAlign w:val="bottom"/>
          </w:tcPr>
          <w:p>
            <w:pPr>
              <w:jc w:val="center"/>
              <w:spacing w:after="0"/>
              <w:rPr>
                <w:sz w:val="20"/>
                <w:szCs w:val="20"/>
                <w:color w:val="auto"/>
              </w:rPr>
            </w:pPr>
            <w:r>
              <w:rPr>
                <w:rFonts w:ascii="Arial" w:cs="Arial" w:eastAsia="Arial" w:hAnsi="Arial"/>
                <w:sz w:val="14"/>
                <w:szCs w:val="14"/>
                <w:b w:val="1"/>
                <w:bCs w:val="1"/>
                <w:color w:val="auto"/>
                <w:w w:val="88"/>
              </w:rPr>
              <w:t>No.</w:t>
            </w:r>
          </w:p>
        </w:tc>
        <w:tc>
          <w:tcPr>
            <w:tcW w:w="160" w:type="dxa"/>
            <w:vAlign w:val="bottom"/>
          </w:tcPr>
          <w:p>
            <w:pPr>
              <w:spacing w:after="0"/>
              <w:rPr>
                <w:sz w:val="14"/>
                <w:szCs w:val="14"/>
                <w:color w:val="auto"/>
              </w:rPr>
            </w:pPr>
          </w:p>
        </w:tc>
        <w:tc>
          <w:tcPr>
            <w:tcW w:w="1860" w:type="dxa"/>
            <w:vAlign w:val="bottom"/>
            <w:gridSpan w:val="2"/>
          </w:tcPr>
          <w:p>
            <w:pPr>
              <w:jc w:val="center"/>
              <w:ind w:right="1140"/>
              <w:spacing w:after="0"/>
              <w:rPr>
                <w:sz w:val="20"/>
                <w:szCs w:val="20"/>
                <w:color w:val="auto"/>
              </w:rPr>
            </w:pPr>
            <w:r>
              <w:rPr>
                <w:rFonts w:ascii="Arial" w:cs="Arial" w:eastAsia="Arial" w:hAnsi="Arial"/>
                <w:sz w:val="14"/>
                <w:szCs w:val="14"/>
                <w:b w:val="1"/>
                <w:bCs w:val="1"/>
                <w:color w:val="auto"/>
                <w:w w:val="89"/>
              </w:rPr>
              <w:t>Filing Date</w:t>
            </w:r>
          </w:p>
        </w:tc>
        <w:tc>
          <w:tcPr>
            <w:tcW w:w="0" w:type="dxa"/>
            <w:vAlign w:val="bottom"/>
          </w:tcPr>
          <w:p>
            <w:pPr>
              <w:spacing w:after="0"/>
              <w:rPr>
                <w:sz w:val="1"/>
                <w:szCs w:val="1"/>
                <w:color w:val="auto"/>
              </w:rPr>
            </w:pPr>
          </w:p>
        </w:tc>
      </w:tr>
      <w:tr>
        <w:trPr>
          <w:trHeight w:val="216"/>
        </w:trPr>
        <w:tc>
          <w:tcPr>
            <w:tcW w:w="9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20" w:type="dxa"/>
            <w:vAlign w:val="bottom"/>
            <w:tcBorders>
              <w:top w:val="single" w:sz="8" w:color="auto"/>
            </w:tcBorders>
          </w:tcPr>
          <w:p>
            <w:pPr>
              <w:jc w:val="right"/>
              <w:ind w:right="17"/>
              <w:spacing w:after="0"/>
              <w:rPr>
                <w:sz w:val="20"/>
                <w:szCs w:val="20"/>
                <w:color w:val="auto"/>
              </w:rPr>
            </w:pPr>
            <w:r>
              <w:rPr>
                <w:rFonts w:ascii="Arial" w:cs="Arial" w:eastAsia="Arial" w:hAnsi="Arial"/>
                <w:sz w:val="18"/>
                <w:szCs w:val="18"/>
                <w:b w:val="1"/>
                <w:bCs w:val="1"/>
                <w:i w:val="1"/>
                <w:iCs w:val="1"/>
                <w:color w:val="auto"/>
                <w:w w:val="83"/>
              </w:rPr>
              <w:t>Plan of</w:t>
            </w:r>
          </w:p>
        </w:tc>
        <w:tc>
          <w:tcPr>
            <w:tcW w:w="160" w:type="dxa"/>
            <w:vAlign w:val="bottom"/>
          </w:tcPr>
          <w:p>
            <w:pPr>
              <w:spacing w:after="0"/>
              <w:rPr>
                <w:sz w:val="18"/>
                <w:szCs w:val="18"/>
                <w:color w:val="auto"/>
              </w:rPr>
            </w:pPr>
          </w:p>
        </w:tc>
        <w:tc>
          <w:tcPr>
            <w:tcW w:w="5500" w:type="dxa"/>
            <w:vAlign w:val="bottom"/>
            <w:tcBorders>
              <w:top w:val="single" w:sz="8" w:color="auto"/>
            </w:tcBorders>
          </w:tcPr>
          <w:p>
            <w:pPr>
              <w:spacing w:after="0"/>
              <w:rPr>
                <w:sz w:val="20"/>
                <w:szCs w:val="20"/>
                <w:color w:val="auto"/>
              </w:rPr>
            </w:pPr>
            <w:r>
              <w:rPr>
                <w:rFonts w:ascii="Arial" w:cs="Arial" w:eastAsia="Arial" w:hAnsi="Arial"/>
                <w:sz w:val="18"/>
                <w:szCs w:val="18"/>
                <w:b w:val="1"/>
                <w:bCs w:val="1"/>
                <w:i w:val="1"/>
                <w:iCs w:val="1"/>
                <w:color w:val="auto"/>
                <w:w w:val="92"/>
              </w:rPr>
              <w:t>Acquisition, Reorganization, Arrangement, Liquidation or Succession</w:t>
            </w:r>
          </w:p>
        </w:tc>
        <w:tc>
          <w:tcPr>
            <w:tcW w:w="180" w:type="dxa"/>
            <w:vAlign w:val="bottom"/>
          </w:tcPr>
          <w:p>
            <w:pPr>
              <w:spacing w:after="0"/>
              <w:rPr>
                <w:sz w:val="18"/>
                <w:szCs w:val="18"/>
                <w:color w:val="auto"/>
              </w:rPr>
            </w:pPr>
          </w:p>
        </w:tc>
        <w:tc>
          <w:tcPr>
            <w:tcW w:w="1120" w:type="dxa"/>
            <w:vAlign w:val="bottom"/>
            <w:tcBorders>
              <w:top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500" w:type="dxa"/>
            <w:vAlign w:val="bottom"/>
            <w:tcBorders>
              <w:top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tcBorders>
              <w:top w:val="single" w:sz="8" w:color="auto"/>
            </w:tcBorders>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44"/>
        </w:trPr>
        <w:tc>
          <w:tcPr>
            <w:tcW w:w="920" w:type="dxa"/>
            <w:vAlign w:val="bottom"/>
          </w:tcPr>
          <w:p>
            <w:pPr>
              <w:spacing w:after="0"/>
              <w:rPr>
                <w:sz w:val="24"/>
                <w:szCs w:val="24"/>
                <w:color w:val="auto"/>
              </w:rPr>
            </w:pPr>
          </w:p>
        </w:tc>
        <w:tc>
          <w:tcPr>
            <w:tcW w:w="860" w:type="dxa"/>
            <w:vAlign w:val="bottom"/>
            <w:gridSpan w:val="2"/>
          </w:tcPr>
          <w:p>
            <w:pPr>
              <w:jc w:val="right"/>
              <w:spacing w:after="0"/>
              <w:rPr>
                <w:sz w:val="20"/>
                <w:szCs w:val="20"/>
                <w:color w:val="auto"/>
              </w:rPr>
            </w:pPr>
            <w:r>
              <w:rPr>
                <w:rFonts w:ascii="Arial" w:cs="Arial" w:eastAsia="Arial" w:hAnsi="Arial"/>
                <w:sz w:val="18"/>
                <w:szCs w:val="18"/>
                <w:color w:val="auto"/>
              </w:rPr>
              <w:t>2.1</w:t>
            </w:r>
          </w:p>
        </w:tc>
        <w:tc>
          <w:tcPr>
            <w:tcW w:w="5840" w:type="dxa"/>
            <w:vAlign w:val="bottom"/>
            <w:gridSpan w:val="3"/>
          </w:tcPr>
          <w:p>
            <w:pPr>
              <w:ind w:left="160"/>
              <w:spacing w:after="0"/>
              <w:rPr>
                <w:sz w:val="20"/>
                <w:szCs w:val="20"/>
                <w:color w:val="auto"/>
              </w:rPr>
            </w:pPr>
            <w:r>
              <w:rPr>
                <w:rFonts w:ascii="Arial" w:cs="Arial" w:eastAsia="Arial" w:hAnsi="Arial"/>
                <w:sz w:val="18"/>
                <w:szCs w:val="18"/>
                <w:color w:val="auto"/>
                <w:w w:val="92"/>
              </w:rPr>
              <w:t>Agreement and Plan of Merger, dated as of October 19, 2007, by and among</w:t>
            </w:r>
          </w:p>
        </w:tc>
        <w:tc>
          <w:tcPr>
            <w:tcW w:w="1120" w:type="dxa"/>
            <w:vAlign w:val="bottom"/>
          </w:tcPr>
          <w:p>
            <w:pPr>
              <w:jc w:val="center"/>
              <w:spacing w:after="0"/>
              <w:rPr>
                <w:sz w:val="20"/>
                <w:szCs w:val="20"/>
                <w:color w:val="auto"/>
              </w:rPr>
            </w:pPr>
            <w:r>
              <w:rPr>
                <w:rFonts w:ascii="Arial" w:cs="Arial" w:eastAsia="Arial" w:hAnsi="Arial"/>
                <w:sz w:val="18"/>
                <w:szCs w:val="18"/>
                <w:color w:val="auto"/>
                <w:w w:val="92"/>
              </w:rPr>
              <w:t>8-K</w:t>
            </w:r>
          </w:p>
        </w:tc>
        <w:tc>
          <w:tcPr>
            <w:tcW w:w="660" w:type="dxa"/>
            <w:vAlign w:val="bottom"/>
            <w:gridSpan w:val="2"/>
          </w:tcPr>
          <w:p>
            <w:pPr>
              <w:jc w:val="center"/>
              <w:ind w:left="72"/>
              <w:spacing w:after="0"/>
              <w:rPr>
                <w:sz w:val="20"/>
                <w:szCs w:val="20"/>
                <w:color w:val="auto"/>
              </w:rPr>
            </w:pPr>
            <w:r>
              <w:rPr>
                <w:rFonts w:ascii="Arial" w:cs="Arial" w:eastAsia="Arial" w:hAnsi="Arial"/>
                <w:sz w:val="18"/>
                <w:szCs w:val="18"/>
                <w:color w:val="auto"/>
                <w:w w:val="87"/>
              </w:rPr>
              <w:t>2.1</w:t>
            </w:r>
          </w:p>
        </w:tc>
        <w:tc>
          <w:tcPr>
            <w:tcW w:w="880" w:type="dxa"/>
            <w:vAlign w:val="bottom"/>
            <w:gridSpan w:val="2"/>
          </w:tcPr>
          <w:p>
            <w:pPr>
              <w:jc w:val="center"/>
              <w:ind w:left="52"/>
              <w:spacing w:after="0"/>
              <w:rPr>
                <w:sz w:val="20"/>
                <w:szCs w:val="20"/>
                <w:color w:val="auto"/>
              </w:rPr>
            </w:pPr>
            <w:r>
              <w:rPr>
                <w:rFonts w:ascii="Arial" w:cs="Arial" w:eastAsia="Arial" w:hAnsi="Arial"/>
                <w:sz w:val="18"/>
                <w:szCs w:val="18"/>
                <w:color w:val="auto"/>
                <w:w w:val="88"/>
              </w:rPr>
              <w:t>10/22/07</w:t>
            </w: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9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5840" w:type="dxa"/>
            <w:vAlign w:val="bottom"/>
            <w:gridSpan w:val="3"/>
          </w:tcPr>
          <w:p>
            <w:pPr>
              <w:ind w:left="160"/>
              <w:spacing w:after="0"/>
              <w:rPr>
                <w:sz w:val="20"/>
                <w:szCs w:val="20"/>
                <w:color w:val="auto"/>
              </w:rPr>
            </w:pPr>
            <w:r>
              <w:rPr>
                <w:rFonts w:ascii="Arial" w:cs="Arial" w:eastAsia="Arial" w:hAnsi="Arial"/>
                <w:sz w:val="18"/>
                <w:szCs w:val="18"/>
                <w:color w:val="auto"/>
              </w:rPr>
              <w:t>AVANT, Celldex Merger Corporation, and Celldex Therapeutics, Inc.</w:t>
            </w:r>
          </w:p>
        </w:tc>
        <w:tc>
          <w:tcPr>
            <w:tcW w:w="1120" w:type="dxa"/>
            <w:vAlign w:val="bottom"/>
          </w:tcPr>
          <w:p>
            <w:pPr>
              <w:jc w:val="center"/>
              <w:spacing w:after="0"/>
              <w:rPr>
                <w:sz w:val="20"/>
                <w:szCs w:val="20"/>
                <w:color w:val="auto"/>
              </w:rPr>
            </w:pPr>
            <w:r>
              <w:rPr>
                <w:rFonts w:ascii="Arial" w:cs="Arial" w:eastAsia="Arial" w:hAnsi="Arial"/>
                <w:sz w:val="18"/>
                <w:szCs w:val="18"/>
                <w:color w:val="auto"/>
                <w:w w:val="89"/>
              </w:rPr>
              <w:t>(000-15006)</w:t>
            </w:r>
          </w:p>
        </w:tc>
        <w:tc>
          <w:tcPr>
            <w:tcW w:w="1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20" w:type="dxa"/>
            <w:vAlign w:val="bottom"/>
          </w:tcPr>
          <w:p>
            <w:pPr>
              <w:spacing w:after="0"/>
              <w:rPr>
                <w:sz w:val="18"/>
                <w:szCs w:val="18"/>
                <w:color w:val="auto"/>
              </w:rPr>
            </w:pPr>
          </w:p>
        </w:tc>
        <w:tc>
          <w:tcPr>
            <w:tcW w:w="860" w:type="dxa"/>
            <w:vAlign w:val="bottom"/>
            <w:gridSpan w:val="2"/>
          </w:tcPr>
          <w:p>
            <w:pPr>
              <w:jc w:val="right"/>
              <w:spacing w:after="0"/>
              <w:rPr>
                <w:sz w:val="20"/>
                <w:szCs w:val="20"/>
                <w:color w:val="auto"/>
              </w:rPr>
            </w:pPr>
            <w:r>
              <w:rPr>
                <w:rFonts w:ascii="Arial" w:cs="Arial" w:eastAsia="Arial" w:hAnsi="Arial"/>
                <w:sz w:val="18"/>
                <w:szCs w:val="18"/>
                <w:color w:val="auto"/>
              </w:rPr>
              <w:t>2.2</w:t>
            </w:r>
          </w:p>
        </w:tc>
        <w:tc>
          <w:tcPr>
            <w:tcW w:w="5840" w:type="dxa"/>
            <w:vAlign w:val="bottom"/>
            <w:gridSpan w:val="3"/>
          </w:tcPr>
          <w:p>
            <w:pPr>
              <w:ind w:left="160"/>
              <w:spacing w:after="0"/>
              <w:rPr>
                <w:sz w:val="20"/>
                <w:szCs w:val="20"/>
                <w:color w:val="auto"/>
              </w:rPr>
            </w:pPr>
            <w:r>
              <w:rPr>
                <w:rFonts w:ascii="Arial" w:cs="Arial" w:eastAsia="Arial" w:hAnsi="Arial"/>
                <w:sz w:val="18"/>
                <w:szCs w:val="18"/>
                <w:color w:val="auto"/>
                <w:w w:val="97"/>
              </w:rPr>
              <w:t>Agreement and Plan of Merger, dated as of May 28, 2009, by and among</w:t>
            </w:r>
          </w:p>
        </w:tc>
        <w:tc>
          <w:tcPr>
            <w:tcW w:w="1120" w:type="dxa"/>
            <w:vAlign w:val="bottom"/>
          </w:tcPr>
          <w:p>
            <w:pPr>
              <w:jc w:val="center"/>
              <w:spacing w:after="0"/>
              <w:rPr>
                <w:sz w:val="20"/>
                <w:szCs w:val="20"/>
                <w:color w:val="auto"/>
              </w:rPr>
            </w:pPr>
            <w:r>
              <w:rPr>
                <w:rFonts w:ascii="Arial" w:cs="Arial" w:eastAsia="Arial" w:hAnsi="Arial"/>
                <w:sz w:val="18"/>
                <w:szCs w:val="18"/>
                <w:color w:val="auto"/>
                <w:w w:val="92"/>
              </w:rPr>
              <w:t>8-K</w:t>
            </w:r>
          </w:p>
        </w:tc>
        <w:tc>
          <w:tcPr>
            <w:tcW w:w="660" w:type="dxa"/>
            <w:vAlign w:val="bottom"/>
            <w:gridSpan w:val="2"/>
          </w:tcPr>
          <w:p>
            <w:pPr>
              <w:jc w:val="center"/>
              <w:ind w:left="72"/>
              <w:spacing w:after="0"/>
              <w:rPr>
                <w:sz w:val="20"/>
                <w:szCs w:val="20"/>
                <w:color w:val="auto"/>
              </w:rPr>
            </w:pPr>
            <w:r>
              <w:rPr>
                <w:rFonts w:ascii="Arial" w:cs="Arial" w:eastAsia="Arial" w:hAnsi="Arial"/>
                <w:sz w:val="18"/>
                <w:szCs w:val="18"/>
                <w:color w:val="auto"/>
                <w:w w:val="87"/>
              </w:rPr>
              <w:t>2.1</w:t>
            </w:r>
          </w:p>
        </w:tc>
        <w:tc>
          <w:tcPr>
            <w:tcW w:w="880" w:type="dxa"/>
            <w:vAlign w:val="bottom"/>
            <w:gridSpan w:val="2"/>
          </w:tcPr>
          <w:p>
            <w:pPr>
              <w:jc w:val="center"/>
              <w:ind w:left="52"/>
              <w:spacing w:after="0"/>
              <w:rPr>
                <w:sz w:val="20"/>
                <w:szCs w:val="20"/>
                <w:color w:val="auto"/>
              </w:rPr>
            </w:pPr>
            <w:r>
              <w:rPr>
                <w:rFonts w:ascii="Arial" w:cs="Arial" w:eastAsia="Arial" w:hAnsi="Arial"/>
                <w:sz w:val="18"/>
                <w:szCs w:val="18"/>
                <w:color w:val="auto"/>
                <w:w w:val="89"/>
              </w:rPr>
              <w:t>5/29/09</w:t>
            </w: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5840" w:type="dxa"/>
            <w:vAlign w:val="bottom"/>
            <w:gridSpan w:val="3"/>
          </w:tcPr>
          <w:p>
            <w:pPr>
              <w:ind w:left="160"/>
              <w:spacing w:after="0"/>
              <w:rPr>
                <w:sz w:val="20"/>
                <w:szCs w:val="20"/>
                <w:color w:val="auto"/>
              </w:rPr>
            </w:pPr>
            <w:r>
              <w:rPr>
                <w:rFonts w:ascii="Arial" w:cs="Arial" w:eastAsia="Arial" w:hAnsi="Arial"/>
                <w:sz w:val="18"/>
                <w:szCs w:val="18"/>
                <w:color w:val="auto"/>
              </w:rPr>
              <w:t>Celldex Therapeutics, Inc., CuraGen Corporation and Cottrell Merger</w:t>
            </w:r>
          </w:p>
        </w:tc>
        <w:tc>
          <w:tcPr>
            <w:tcW w:w="1120" w:type="dxa"/>
            <w:vAlign w:val="bottom"/>
          </w:tcPr>
          <w:p>
            <w:pPr>
              <w:jc w:val="center"/>
              <w:spacing w:after="0"/>
              <w:rPr>
                <w:sz w:val="20"/>
                <w:szCs w:val="20"/>
                <w:color w:val="auto"/>
              </w:rPr>
            </w:pPr>
            <w:r>
              <w:rPr>
                <w:rFonts w:ascii="Arial" w:cs="Arial" w:eastAsia="Arial" w:hAnsi="Arial"/>
                <w:sz w:val="18"/>
                <w:szCs w:val="18"/>
                <w:color w:val="auto"/>
                <w:w w:val="89"/>
              </w:rPr>
              <w:t>(000-15006)</w:t>
            </w:r>
          </w:p>
        </w:tc>
        <w:tc>
          <w:tcPr>
            <w:tcW w:w="1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5840" w:type="dxa"/>
            <w:vAlign w:val="bottom"/>
            <w:gridSpan w:val="3"/>
          </w:tcPr>
          <w:p>
            <w:pPr>
              <w:ind w:left="160"/>
              <w:spacing w:after="0"/>
              <w:rPr>
                <w:sz w:val="20"/>
                <w:szCs w:val="20"/>
                <w:color w:val="auto"/>
              </w:rPr>
            </w:pPr>
            <w:r>
              <w:rPr>
                <w:rFonts w:ascii="Arial" w:cs="Arial" w:eastAsia="Arial" w:hAnsi="Arial"/>
                <w:sz w:val="18"/>
                <w:szCs w:val="18"/>
                <w:color w:val="auto"/>
              </w:rPr>
              <w:t>Sub, Inc.</w:t>
            </w:r>
          </w:p>
        </w:tc>
        <w:tc>
          <w:tcPr>
            <w:tcW w:w="1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460" w:type="dxa"/>
            <w:vAlign w:val="bottom"/>
            <w:gridSpan w:val="4"/>
          </w:tcPr>
          <w:p>
            <w:pPr>
              <w:ind w:left="80"/>
              <w:spacing w:after="0"/>
              <w:rPr>
                <w:sz w:val="20"/>
                <w:szCs w:val="20"/>
                <w:color w:val="auto"/>
              </w:rPr>
            </w:pPr>
            <w:r>
              <w:rPr>
                <w:rFonts w:ascii="Arial" w:cs="Arial" w:eastAsia="Arial" w:hAnsi="Arial"/>
                <w:sz w:val="18"/>
                <w:szCs w:val="18"/>
                <w:i w:val="1"/>
                <w:iCs w:val="1"/>
                <w:color w:val="auto"/>
              </w:rPr>
              <w:t>Articles of Incorporation and By-Laws</w:t>
            </w:r>
          </w:p>
        </w:tc>
        <w:tc>
          <w:tcPr>
            <w:tcW w:w="1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20" w:type="dxa"/>
            <w:vAlign w:val="bottom"/>
          </w:tcPr>
          <w:p>
            <w:pPr>
              <w:spacing w:after="0"/>
              <w:rPr>
                <w:sz w:val="18"/>
                <w:szCs w:val="18"/>
                <w:color w:val="auto"/>
              </w:rPr>
            </w:pPr>
          </w:p>
        </w:tc>
        <w:tc>
          <w:tcPr>
            <w:tcW w:w="860" w:type="dxa"/>
            <w:vAlign w:val="bottom"/>
            <w:gridSpan w:val="2"/>
          </w:tcPr>
          <w:p>
            <w:pPr>
              <w:jc w:val="right"/>
              <w:spacing w:after="0"/>
              <w:rPr>
                <w:sz w:val="20"/>
                <w:szCs w:val="20"/>
                <w:color w:val="auto"/>
              </w:rPr>
            </w:pPr>
            <w:r>
              <w:rPr>
                <w:rFonts w:ascii="Arial" w:cs="Arial" w:eastAsia="Arial" w:hAnsi="Arial"/>
                <w:sz w:val="18"/>
                <w:szCs w:val="18"/>
                <w:color w:val="auto"/>
              </w:rPr>
              <w:t>3.1</w:t>
            </w:r>
          </w:p>
        </w:tc>
        <w:tc>
          <w:tcPr>
            <w:tcW w:w="5840" w:type="dxa"/>
            <w:vAlign w:val="bottom"/>
            <w:gridSpan w:val="3"/>
          </w:tcPr>
          <w:p>
            <w:pPr>
              <w:ind w:left="160"/>
              <w:spacing w:after="0"/>
              <w:rPr>
                <w:sz w:val="20"/>
                <w:szCs w:val="20"/>
                <w:color w:val="auto"/>
              </w:rPr>
            </w:pPr>
            <w:r>
              <w:rPr>
                <w:rFonts w:ascii="Arial" w:cs="Arial" w:eastAsia="Arial" w:hAnsi="Arial"/>
                <w:sz w:val="18"/>
                <w:szCs w:val="18"/>
                <w:color w:val="auto"/>
              </w:rPr>
              <w:t>Third Restated Certificate of Incorporation</w:t>
            </w:r>
          </w:p>
        </w:tc>
        <w:tc>
          <w:tcPr>
            <w:tcW w:w="1120" w:type="dxa"/>
            <w:vAlign w:val="bottom"/>
          </w:tcPr>
          <w:p>
            <w:pPr>
              <w:jc w:val="center"/>
              <w:spacing w:after="0"/>
              <w:rPr>
                <w:sz w:val="20"/>
                <w:szCs w:val="20"/>
                <w:color w:val="auto"/>
              </w:rPr>
            </w:pPr>
            <w:r>
              <w:rPr>
                <w:rFonts w:ascii="Arial" w:cs="Arial" w:eastAsia="Arial" w:hAnsi="Arial"/>
                <w:sz w:val="18"/>
                <w:szCs w:val="18"/>
                <w:color w:val="auto"/>
                <w:w w:val="85"/>
              </w:rPr>
              <w:t>S-4</w:t>
            </w:r>
          </w:p>
        </w:tc>
        <w:tc>
          <w:tcPr>
            <w:tcW w:w="660" w:type="dxa"/>
            <w:vAlign w:val="bottom"/>
            <w:gridSpan w:val="2"/>
          </w:tcPr>
          <w:p>
            <w:pPr>
              <w:jc w:val="center"/>
              <w:ind w:left="72"/>
              <w:spacing w:after="0"/>
              <w:rPr>
                <w:sz w:val="20"/>
                <w:szCs w:val="20"/>
                <w:color w:val="auto"/>
              </w:rPr>
            </w:pPr>
            <w:r>
              <w:rPr>
                <w:rFonts w:ascii="Arial" w:cs="Arial" w:eastAsia="Arial" w:hAnsi="Arial"/>
                <w:sz w:val="18"/>
                <w:szCs w:val="18"/>
                <w:color w:val="auto"/>
                <w:w w:val="87"/>
              </w:rPr>
              <w:t>3.1</w:t>
            </w:r>
          </w:p>
        </w:tc>
        <w:tc>
          <w:tcPr>
            <w:tcW w:w="880" w:type="dxa"/>
            <w:vAlign w:val="bottom"/>
            <w:gridSpan w:val="2"/>
          </w:tcPr>
          <w:p>
            <w:pPr>
              <w:jc w:val="center"/>
              <w:ind w:left="52"/>
              <w:spacing w:after="0"/>
              <w:rPr>
                <w:sz w:val="20"/>
                <w:szCs w:val="20"/>
                <w:color w:val="auto"/>
              </w:rPr>
            </w:pPr>
            <w:r>
              <w:rPr>
                <w:rFonts w:ascii="Arial" w:cs="Arial" w:eastAsia="Arial" w:hAnsi="Arial"/>
                <w:sz w:val="18"/>
                <w:szCs w:val="18"/>
                <w:color w:val="auto"/>
                <w:w w:val="89"/>
              </w:rPr>
              <w:t>7/16/98</w:t>
            </w: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5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20" w:type="dxa"/>
            <w:vAlign w:val="bottom"/>
          </w:tcPr>
          <w:p>
            <w:pPr>
              <w:jc w:val="center"/>
              <w:spacing w:after="0"/>
              <w:rPr>
                <w:sz w:val="20"/>
                <w:szCs w:val="20"/>
                <w:color w:val="auto"/>
              </w:rPr>
            </w:pPr>
            <w:r>
              <w:rPr>
                <w:rFonts w:ascii="Arial" w:cs="Arial" w:eastAsia="Arial" w:hAnsi="Arial"/>
                <w:sz w:val="18"/>
                <w:szCs w:val="18"/>
                <w:color w:val="auto"/>
                <w:w w:val="89"/>
              </w:rPr>
              <w:t>(333-59215)</w:t>
            </w:r>
          </w:p>
        </w:tc>
        <w:tc>
          <w:tcPr>
            <w:tcW w:w="1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20" w:type="dxa"/>
            <w:vAlign w:val="bottom"/>
          </w:tcPr>
          <w:p>
            <w:pPr>
              <w:spacing w:after="0"/>
              <w:rPr>
                <w:sz w:val="18"/>
                <w:szCs w:val="18"/>
                <w:color w:val="auto"/>
              </w:rPr>
            </w:pPr>
          </w:p>
        </w:tc>
        <w:tc>
          <w:tcPr>
            <w:tcW w:w="860" w:type="dxa"/>
            <w:vAlign w:val="bottom"/>
            <w:gridSpan w:val="2"/>
          </w:tcPr>
          <w:p>
            <w:pPr>
              <w:jc w:val="right"/>
              <w:spacing w:after="0"/>
              <w:rPr>
                <w:sz w:val="20"/>
                <w:szCs w:val="20"/>
                <w:color w:val="auto"/>
              </w:rPr>
            </w:pPr>
            <w:r>
              <w:rPr>
                <w:rFonts w:ascii="Arial" w:cs="Arial" w:eastAsia="Arial" w:hAnsi="Arial"/>
                <w:sz w:val="18"/>
                <w:szCs w:val="18"/>
                <w:color w:val="auto"/>
              </w:rPr>
              <w:t>3.2</w:t>
            </w:r>
          </w:p>
        </w:tc>
        <w:tc>
          <w:tcPr>
            <w:tcW w:w="5840" w:type="dxa"/>
            <w:vAlign w:val="bottom"/>
            <w:gridSpan w:val="3"/>
          </w:tcPr>
          <w:p>
            <w:pPr>
              <w:ind w:left="160"/>
              <w:spacing w:after="0"/>
              <w:rPr>
                <w:sz w:val="20"/>
                <w:szCs w:val="20"/>
                <w:color w:val="auto"/>
              </w:rPr>
            </w:pPr>
            <w:r>
              <w:rPr>
                <w:rFonts w:ascii="Arial" w:cs="Arial" w:eastAsia="Arial" w:hAnsi="Arial"/>
                <w:sz w:val="18"/>
                <w:szCs w:val="18"/>
                <w:color w:val="auto"/>
              </w:rPr>
              <w:t>Certificate of Amendment of Third Restated Certificate of Incorporation</w:t>
            </w:r>
          </w:p>
        </w:tc>
        <w:tc>
          <w:tcPr>
            <w:tcW w:w="1120" w:type="dxa"/>
            <w:vAlign w:val="bottom"/>
          </w:tcPr>
          <w:p>
            <w:pPr>
              <w:jc w:val="center"/>
              <w:spacing w:after="0"/>
              <w:rPr>
                <w:sz w:val="20"/>
                <w:szCs w:val="20"/>
                <w:color w:val="auto"/>
              </w:rPr>
            </w:pPr>
            <w:r>
              <w:rPr>
                <w:rFonts w:ascii="Arial" w:cs="Arial" w:eastAsia="Arial" w:hAnsi="Arial"/>
                <w:sz w:val="18"/>
                <w:szCs w:val="18"/>
                <w:color w:val="auto"/>
                <w:w w:val="85"/>
              </w:rPr>
              <w:t>S-4</w:t>
            </w:r>
          </w:p>
        </w:tc>
        <w:tc>
          <w:tcPr>
            <w:tcW w:w="660" w:type="dxa"/>
            <w:vAlign w:val="bottom"/>
            <w:gridSpan w:val="2"/>
          </w:tcPr>
          <w:p>
            <w:pPr>
              <w:jc w:val="center"/>
              <w:ind w:left="72"/>
              <w:spacing w:after="0"/>
              <w:rPr>
                <w:sz w:val="20"/>
                <w:szCs w:val="20"/>
                <w:color w:val="auto"/>
              </w:rPr>
            </w:pPr>
            <w:r>
              <w:rPr>
                <w:rFonts w:ascii="Arial" w:cs="Arial" w:eastAsia="Arial" w:hAnsi="Arial"/>
                <w:sz w:val="18"/>
                <w:szCs w:val="18"/>
                <w:color w:val="auto"/>
                <w:w w:val="87"/>
              </w:rPr>
              <w:t>3.1</w:t>
            </w:r>
          </w:p>
        </w:tc>
        <w:tc>
          <w:tcPr>
            <w:tcW w:w="880" w:type="dxa"/>
            <w:vAlign w:val="bottom"/>
            <w:gridSpan w:val="2"/>
          </w:tcPr>
          <w:p>
            <w:pPr>
              <w:jc w:val="center"/>
              <w:ind w:left="52"/>
              <w:spacing w:after="0"/>
              <w:rPr>
                <w:sz w:val="20"/>
                <w:szCs w:val="20"/>
                <w:color w:val="auto"/>
              </w:rPr>
            </w:pPr>
            <w:r>
              <w:rPr>
                <w:rFonts w:ascii="Arial" w:cs="Arial" w:eastAsia="Arial" w:hAnsi="Arial"/>
                <w:sz w:val="18"/>
                <w:szCs w:val="18"/>
                <w:color w:val="auto"/>
                <w:w w:val="89"/>
              </w:rPr>
              <w:t>7/16/98</w:t>
            </w: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5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20" w:type="dxa"/>
            <w:vAlign w:val="bottom"/>
          </w:tcPr>
          <w:p>
            <w:pPr>
              <w:jc w:val="center"/>
              <w:spacing w:after="0"/>
              <w:rPr>
                <w:sz w:val="20"/>
                <w:szCs w:val="20"/>
                <w:color w:val="auto"/>
              </w:rPr>
            </w:pPr>
            <w:r>
              <w:rPr>
                <w:rFonts w:ascii="Arial" w:cs="Arial" w:eastAsia="Arial" w:hAnsi="Arial"/>
                <w:sz w:val="18"/>
                <w:szCs w:val="18"/>
                <w:color w:val="auto"/>
                <w:w w:val="89"/>
              </w:rPr>
              <w:t>(333-59215)</w:t>
            </w:r>
          </w:p>
        </w:tc>
        <w:tc>
          <w:tcPr>
            <w:tcW w:w="1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20" w:type="dxa"/>
            <w:vAlign w:val="bottom"/>
          </w:tcPr>
          <w:p>
            <w:pPr>
              <w:spacing w:after="0"/>
              <w:rPr>
                <w:sz w:val="18"/>
                <w:szCs w:val="18"/>
                <w:color w:val="auto"/>
              </w:rPr>
            </w:pPr>
          </w:p>
        </w:tc>
        <w:tc>
          <w:tcPr>
            <w:tcW w:w="860" w:type="dxa"/>
            <w:vAlign w:val="bottom"/>
            <w:gridSpan w:val="2"/>
          </w:tcPr>
          <w:p>
            <w:pPr>
              <w:jc w:val="right"/>
              <w:spacing w:after="0"/>
              <w:rPr>
                <w:sz w:val="20"/>
                <w:szCs w:val="20"/>
                <w:color w:val="auto"/>
              </w:rPr>
            </w:pPr>
            <w:r>
              <w:rPr>
                <w:rFonts w:ascii="Arial" w:cs="Arial" w:eastAsia="Arial" w:hAnsi="Arial"/>
                <w:sz w:val="18"/>
                <w:szCs w:val="18"/>
                <w:color w:val="auto"/>
              </w:rPr>
              <w:t>3.3</w:t>
            </w:r>
          </w:p>
        </w:tc>
        <w:tc>
          <w:tcPr>
            <w:tcW w:w="5840" w:type="dxa"/>
            <w:vAlign w:val="bottom"/>
            <w:gridSpan w:val="3"/>
          </w:tcPr>
          <w:p>
            <w:pPr>
              <w:ind w:left="160"/>
              <w:spacing w:after="0"/>
              <w:rPr>
                <w:sz w:val="20"/>
                <w:szCs w:val="20"/>
                <w:color w:val="auto"/>
              </w:rPr>
            </w:pPr>
            <w:r>
              <w:rPr>
                <w:rFonts w:ascii="Arial" w:cs="Arial" w:eastAsia="Arial" w:hAnsi="Arial"/>
                <w:sz w:val="18"/>
                <w:szCs w:val="18"/>
                <w:color w:val="auto"/>
              </w:rPr>
              <w:t>Second Certificate of Amendment of Third Restated Certificate of</w:t>
            </w:r>
          </w:p>
        </w:tc>
        <w:tc>
          <w:tcPr>
            <w:tcW w:w="1120" w:type="dxa"/>
            <w:vAlign w:val="bottom"/>
          </w:tcPr>
          <w:p>
            <w:pPr>
              <w:jc w:val="center"/>
              <w:spacing w:after="0"/>
              <w:rPr>
                <w:sz w:val="20"/>
                <w:szCs w:val="20"/>
                <w:color w:val="auto"/>
              </w:rPr>
            </w:pPr>
            <w:r>
              <w:rPr>
                <w:rFonts w:ascii="Arial" w:cs="Arial" w:eastAsia="Arial" w:hAnsi="Arial"/>
                <w:sz w:val="18"/>
                <w:szCs w:val="18"/>
                <w:color w:val="auto"/>
                <w:w w:val="85"/>
              </w:rPr>
              <w:t>S-4</w:t>
            </w:r>
          </w:p>
        </w:tc>
        <w:tc>
          <w:tcPr>
            <w:tcW w:w="660" w:type="dxa"/>
            <w:vAlign w:val="bottom"/>
            <w:gridSpan w:val="2"/>
          </w:tcPr>
          <w:p>
            <w:pPr>
              <w:jc w:val="center"/>
              <w:ind w:left="72"/>
              <w:spacing w:after="0"/>
              <w:rPr>
                <w:sz w:val="20"/>
                <w:szCs w:val="20"/>
                <w:color w:val="auto"/>
              </w:rPr>
            </w:pPr>
            <w:r>
              <w:rPr>
                <w:rFonts w:ascii="Arial" w:cs="Arial" w:eastAsia="Arial" w:hAnsi="Arial"/>
                <w:sz w:val="18"/>
                <w:szCs w:val="18"/>
                <w:color w:val="auto"/>
                <w:w w:val="87"/>
              </w:rPr>
              <w:t>3.2</w:t>
            </w:r>
          </w:p>
        </w:tc>
        <w:tc>
          <w:tcPr>
            <w:tcW w:w="880" w:type="dxa"/>
            <w:vAlign w:val="bottom"/>
            <w:gridSpan w:val="2"/>
          </w:tcPr>
          <w:p>
            <w:pPr>
              <w:jc w:val="center"/>
              <w:ind w:left="52"/>
              <w:spacing w:after="0"/>
              <w:rPr>
                <w:sz w:val="20"/>
                <w:szCs w:val="20"/>
                <w:color w:val="auto"/>
              </w:rPr>
            </w:pPr>
            <w:r>
              <w:rPr>
                <w:rFonts w:ascii="Arial" w:cs="Arial" w:eastAsia="Arial" w:hAnsi="Arial"/>
                <w:sz w:val="18"/>
                <w:szCs w:val="18"/>
                <w:color w:val="auto"/>
                <w:w w:val="89"/>
              </w:rPr>
              <w:t>7/16/98</w:t>
            </w: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5840" w:type="dxa"/>
            <w:vAlign w:val="bottom"/>
            <w:gridSpan w:val="3"/>
          </w:tcPr>
          <w:p>
            <w:pPr>
              <w:ind w:left="160"/>
              <w:spacing w:after="0"/>
              <w:rPr>
                <w:sz w:val="20"/>
                <w:szCs w:val="20"/>
                <w:color w:val="auto"/>
              </w:rPr>
            </w:pPr>
            <w:r>
              <w:rPr>
                <w:rFonts w:ascii="Arial" w:cs="Arial" w:eastAsia="Arial" w:hAnsi="Arial"/>
                <w:sz w:val="18"/>
                <w:szCs w:val="18"/>
                <w:color w:val="auto"/>
              </w:rPr>
              <w:t>Incorporation</w:t>
            </w:r>
          </w:p>
        </w:tc>
        <w:tc>
          <w:tcPr>
            <w:tcW w:w="1120" w:type="dxa"/>
            <w:vAlign w:val="bottom"/>
          </w:tcPr>
          <w:p>
            <w:pPr>
              <w:jc w:val="center"/>
              <w:spacing w:after="0"/>
              <w:rPr>
                <w:sz w:val="20"/>
                <w:szCs w:val="20"/>
                <w:color w:val="auto"/>
              </w:rPr>
            </w:pPr>
            <w:r>
              <w:rPr>
                <w:rFonts w:ascii="Arial" w:cs="Arial" w:eastAsia="Arial" w:hAnsi="Arial"/>
                <w:sz w:val="18"/>
                <w:szCs w:val="18"/>
                <w:color w:val="auto"/>
                <w:w w:val="89"/>
              </w:rPr>
              <w:t>(333-59215)</w:t>
            </w:r>
          </w:p>
        </w:tc>
        <w:tc>
          <w:tcPr>
            <w:tcW w:w="1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20" w:type="dxa"/>
            <w:vAlign w:val="bottom"/>
          </w:tcPr>
          <w:p>
            <w:pPr>
              <w:spacing w:after="0"/>
              <w:rPr>
                <w:sz w:val="18"/>
                <w:szCs w:val="18"/>
                <w:color w:val="auto"/>
              </w:rPr>
            </w:pPr>
          </w:p>
        </w:tc>
        <w:tc>
          <w:tcPr>
            <w:tcW w:w="860" w:type="dxa"/>
            <w:vAlign w:val="bottom"/>
            <w:gridSpan w:val="2"/>
          </w:tcPr>
          <w:p>
            <w:pPr>
              <w:jc w:val="right"/>
              <w:spacing w:after="0"/>
              <w:rPr>
                <w:sz w:val="20"/>
                <w:szCs w:val="20"/>
                <w:color w:val="auto"/>
              </w:rPr>
            </w:pPr>
            <w:r>
              <w:rPr>
                <w:rFonts w:ascii="Arial" w:cs="Arial" w:eastAsia="Arial" w:hAnsi="Arial"/>
                <w:sz w:val="18"/>
                <w:szCs w:val="18"/>
                <w:color w:val="auto"/>
              </w:rPr>
              <w:t>3.4</w:t>
            </w:r>
          </w:p>
        </w:tc>
        <w:tc>
          <w:tcPr>
            <w:tcW w:w="5840" w:type="dxa"/>
            <w:vAlign w:val="bottom"/>
            <w:gridSpan w:val="3"/>
          </w:tcPr>
          <w:p>
            <w:pPr>
              <w:ind w:left="160"/>
              <w:spacing w:after="0"/>
              <w:rPr>
                <w:sz w:val="20"/>
                <w:szCs w:val="20"/>
                <w:color w:val="auto"/>
              </w:rPr>
            </w:pPr>
            <w:r>
              <w:rPr>
                <w:rFonts w:ascii="Arial" w:cs="Arial" w:eastAsia="Arial" w:hAnsi="Arial"/>
                <w:sz w:val="18"/>
                <w:szCs w:val="18"/>
                <w:color w:val="auto"/>
              </w:rPr>
              <w:t>Third Certificate of Amendment of Third Restated Certificate of</w:t>
            </w:r>
          </w:p>
        </w:tc>
        <w:tc>
          <w:tcPr>
            <w:tcW w:w="1120" w:type="dxa"/>
            <w:vAlign w:val="bottom"/>
          </w:tcPr>
          <w:p>
            <w:pPr>
              <w:jc w:val="center"/>
              <w:spacing w:after="0"/>
              <w:rPr>
                <w:sz w:val="20"/>
                <w:szCs w:val="20"/>
                <w:color w:val="auto"/>
              </w:rPr>
            </w:pPr>
            <w:r>
              <w:rPr>
                <w:rFonts w:ascii="Arial" w:cs="Arial" w:eastAsia="Arial" w:hAnsi="Arial"/>
                <w:sz w:val="18"/>
                <w:szCs w:val="18"/>
                <w:color w:val="auto"/>
                <w:w w:val="89"/>
              </w:rPr>
              <w:t>10-Q</w:t>
            </w:r>
          </w:p>
        </w:tc>
        <w:tc>
          <w:tcPr>
            <w:tcW w:w="660" w:type="dxa"/>
            <w:vAlign w:val="bottom"/>
            <w:gridSpan w:val="2"/>
          </w:tcPr>
          <w:p>
            <w:pPr>
              <w:jc w:val="center"/>
              <w:ind w:left="72"/>
              <w:spacing w:after="0"/>
              <w:rPr>
                <w:sz w:val="20"/>
                <w:szCs w:val="20"/>
                <w:color w:val="auto"/>
              </w:rPr>
            </w:pPr>
            <w:r>
              <w:rPr>
                <w:rFonts w:ascii="Arial" w:cs="Arial" w:eastAsia="Arial" w:hAnsi="Arial"/>
                <w:sz w:val="18"/>
                <w:szCs w:val="18"/>
                <w:color w:val="auto"/>
                <w:w w:val="87"/>
              </w:rPr>
              <w:t>3.1</w:t>
            </w:r>
          </w:p>
        </w:tc>
        <w:tc>
          <w:tcPr>
            <w:tcW w:w="880" w:type="dxa"/>
            <w:vAlign w:val="bottom"/>
            <w:gridSpan w:val="2"/>
          </w:tcPr>
          <w:p>
            <w:pPr>
              <w:jc w:val="center"/>
              <w:ind w:left="52"/>
              <w:spacing w:after="0"/>
              <w:rPr>
                <w:sz w:val="20"/>
                <w:szCs w:val="20"/>
                <w:color w:val="auto"/>
              </w:rPr>
            </w:pPr>
            <w:r>
              <w:rPr>
                <w:rFonts w:ascii="Arial" w:cs="Arial" w:eastAsia="Arial" w:hAnsi="Arial"/>
                <w:sz w:val="18"/>
                <w:szCs w:val="18"/>
                <w:color w:val="auto"/>
                <w:w w:val="89"/>
              </w:rPr>
              <w:t>5/10/02</w:t>
            </w: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5840" w:type="dxa"/>
            <w:vAlign w:val="bottom"/>
            <w:gridSpan w:val="3"/>
          </w:tcPr>
          <w:p>
            <w:pPr>
              <w:ind w:left="160"/>
              <w:spacing w:after="0"/>
              <w:rPr>
                <w:sz w:val="20"/>
                <w:szCs w:val="20"/>
                <w:color w:val="auto"/>
              </w:rPr>
            </w:pPr>
            <w:r>
              <w:rPr>
                <w:rFonts w:ascii="Arial" w:cs="Arial" w:eastAsia="Arial" w:hAnsi="Arial"/>
                <w:sz w:val="18"/>
                <w:szCs w:val="18"/>
                <w:color w:val="auto"/>
              </w:rPr>
              <w:t>Incorporation</w:t>
            </w:r>
          </w:p>
        </w:tc>
        <w:tc>
          <w:tcPr>
            <w:tcW w:w="1120" w:type="dxa"/>
            <w:vAlign w:val="bottom"/>
          </w:tcPr>
          <w:p>
            <w:pPr>
              <w:jc w:val="center"/>
              <w:spacing w:after="0"/>
              <w:rPr>
                <w:sz w:val="20"/>
                <w:szCs w:val="20"/>
                <w:color w:val="auto"/>
              </w:rPr>
            </w:pPr>
            <w:r>
              <w:rPr>
                <w:rFonts w:ascii="Arial" w:cs="Arial" w:eastAsia="Arial" w:hAnsi="Arial"/>
                <w:sz w:val="18"/>
                <w:szCs w:val="18"/>
                <w:color w:val="auto"/>
                <w:w w:val="89"/>
              </w:rPr>
              <w:t>(000-15006)</w:t>
            </w:r>
          </w:p>
        </w:tc>
        <w:tc>
          <w:tcPr>
            <w:tcW w:w="1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20" w:type="dxa"/>
            <w:vAlign w:val="bottom"/>
          </w:tcPr>
          <w:p>
            <w:pPr>
              <w:spacing w:after="0"/>
              <w:rPr>
                <w:sz w:val="18"/>
                <w:szCs w:val="18"/>
                <w:color w:val="auto"/>
              </w:rPr>
            </w:pPr>
          </w:p>
        </w:tc>
        <w:tc>
          <w:tcPr>
            <w:tcW w:w="860" w:type="dxa"/>
            <w:vAlign w:val="bottom"/>
            <w:gridSpan w:val="2"/>
          </w:tcPr>
          <w:p>
            <w:pPr>
              <w:jc w:val="right"/>
              <w:spacing w:after="0"/>
              <w:rPr>
                <w:sz w:val="20"/>
                <w:szCs w:val="20"/>
                <w:color w:val="auto"/>
              </w:rPr>
            </w:pPr>
            <w:r>
              <w:rPr>
                <w:rFonts w:ascii="Arial" w:cs="Arial" w:eastAsia="Arial" w:hAnsi="Arial"/>
                <w:sz w:val="18"/>
                <w:szCs w:val="18"/>
                <w:color w:val="auto"/>
              </w:rPr>
              <w:t>3.5</w:t>
            </w:r>
          </w:p>
        </w:tc>
        <w:tc>
          <w:tcPr>
            <w:tcW w:w="5840" w:type="dxa"/>
            <w:vAlign w:val="bottom"/>
            <w:gridSpan w:val="3"/>
          </w:tcPr>
          <w:p>
            <w:pPr>
              <w:ind w:left="160"/>
              <w:spacing w:after="0"/>
              <w:rPr>
                <w:sz w:val="20"/>
                <w:szCs w:val="20"/>
                <w:color w:val="auto"/>
              </w:rPr>
            </w:pPr>
            <w:r>
              <w:rPr>
                <w:rFonts w:ascii="Arial" w:cs="Arial" w:eastAsia="Arial" w:hAnsi="Arial"/>
                <w:sz w:val="18"/>
                <w:szCs w:val="18"/>
                <w:color w:val="auto"/>
              </w:rPr>
              <w:t>Fourth Certificate of Amendment of Third Restated Certificate of</w:t>
            </w:r>
          </w:p>
        </w:tc>
        <w:tc>
          <w:tcPr>
            <w:tcW w:w="1120" w:type="dxa"/>
            <w:vAlign w:val="bottom"/>
          </w:tcPr>
          <w:p>
            <w:pPr>
              <w:jc w:val="center"/>
              <w:spacing w:after="0"/>
              <w:rPr>
                <w:sz w:val="20"/>
                <w:szCs w:val="20"/>
                <w:color w:val="auto"/>
              </w:rPr>
            </w:pPr>
            <w:r>
              <w:rPr>
                <w:rFonts w:ascii="Arial" w:cs="Arial" w:eastAsia="Arial" w:hAnsi="Arial"/>
                <w:sz w:val="18"/>
                <w:szCs w:val="18"/>
                <w:color w:val="auto"/>
                <w:w w:val="92"/>
              </w:rPr>
              <w:t>8-K</w:t>
            </w:r>
          </w:p>
        </w:tc>
        <w:tc>
          <w:tcPr>
            <w:tcW w:w="660" w:type="dxa"/>
            <w:vAlign w:val="bottom"/>
            <w:gridSpan w:val="2"/>
          </w:tcPr>
          <w:p>
            <w:pPr>
              <w:jc w:val="center"/>
              <w:ind w:left="72"/>
              <w:spacing w:after="0"/>
              <w:rPr>
                <w:sz w:val="20"/>
                <w:szCs w:val="20"/>
                <w:color w:val="auto"/>
              </w:rPr>
            </w:pPr>
            <w:r>
              <w:rPr>
                <w:rFonts w:ascii="Arial" w:cs="Arial" w:eastAsia="Arial" w:hAnsi="Arial"/>
                <w:sz w:val="18"/>
                <w:szCs w:val="18"/>
                <w:color w:val="auto"/>
                <w:w w:val="87"/>
              </w:rPr>
              <w:t>3.1</w:t>
            </w:r>
          </w:p>
        </w:tc>
        <w:tc>
          <w:tcPr>
            <w:tcW w:w="880" w:type="dxa"/>
            <w:vAlign w:val="bottom"/>
            <w:gridSpan w:val="2"/>
          </w:tcPr>
          <w:p>
            <w:pPr>
              <w:jc w:val="center"/>
              <w:ind w:left="52"/>
              <w:spacing w:after="0"/>
              <w:rPr>
                <w:sz w:val="20"/>
                <w:szCs w:val="20"/>
                <w:color w:val="auto"/>
              </w:rPr>
            </w:pPr>
            <w:r>
              <w:rPr>
                <w:rFonts w:ascii="Arial" w:cs="Arial" w:eastAsia="Arial" w:hAnsi="Arial"/>
                <w:sz w:val="18"/>
                <w:szCs w:val="18"/>
                <w:color w:val="auto"/>
                <w:w w:val="89"/>
              </w:rPr>
              <w:t>3/11/08</w:t>
            </w: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5840" w:type="dxa"/>
            <w:vAlign w:val="bottom"/>
            <w:gridSpan w:val="3"/>
          </w:tcPr>
          <w:p>
            <w:pPr>
              <w:ind w:left="160"/>
              <w:spacing w:after="0"/>
              <w:rPr>
                <w:sz w:val="20"/>
                <w:szCs w:val="20"/>
                <w:color w:val="auto"/>
              </w:rPr>
            </w:pPr>
            <w:r>
              <w:rPr>
                <w:rFonts w:ascii="Arial" w:cs="Arial" w:eastAsia="Arial" w:hAnsi="Arial"/>
                <w:sz w:val="18"/>
                <w:szCs w:val="18"/>
                <w:color w:val="auto"/>
              </w:rPr>
              <w:t>Incorporation</w:t>
            </w:r>
          </w:p>
        </w:tc>
        <w:tc>
          <w:tcPr>
            <w:tcW w:w="1120" w:type="dxa"/>
            <w:vAlign w:val="bottom"/>
          </w:tcPr>
          <w:p>
            <w:pPr>
              <w:jc w:val="center"/>
              <w:spacing w:after="0"/>
              <w:rPr>
                <w:sz w:val="20"/>
                <w:szCs w:val="20"/>
                <w:color w:val="auto"/>
              </w:rPr>
            </w:pPr>
            <w:r>
              <w:rPr>
                <w:rFonts w:ascii="Arial" w:cs="Arial" w:eastAsia="Arial" w:hAnsi="Arial"/>
                <w:sz w:val="18"/>
                <w:szCs w:val="18"/>
                <w:color w:val="auto"/>
                <w:w w:val="89"/>
              </w:rPr>
              <w:t>(000-15006)</w:t>
            </w:r>
          </w:p>
        </w:tc>
        <w:tc>
          <w:tcPr>
            <w:tcW w:w="1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20" w:type="dxa"/>
            <w:vAlign w:val="bottom"/>
          </w:tcPr>
          <w:p>
            <w:pPr>
              <w:spacing w:after="0"/>
              <w:rPr>
                <w:sz w:val="18"/>
                <w:szCs w:val="18"/>
                <w:color w:val="auto"/>
              </w:rPr>
            </w:pPr>
          </w:p>
        </w:tc>
        <w:tc>
          <w:tcPr>
            <w:tcW w:w="860" w:type="dxa"/>
            <w:vAlign w:val="bottom"/>
            <w:gridSpan w:val="2"/>
          </w:tcPr>
          <w:p>
            <w:pPr>
              <w:jc w:val="right"/>
              <w:spacing w:after="0"/>
              <w:rPr>
                <w:sz w:val="20"/>
                <w:szCs w:val="20"/>
                <w:color w:val="auto"/>
              </w:rPr>
            </w:pPr>
            <w:r>
              <w:rPr>
                <w:rFonts w:ascii="Arial" w:cs="Arial" w:eastAsia="Arial" w:hAnsi="Arial"/>
                <w:sz w:val="18"/>
                <w:szCs w:val="18"/>
                <w:color w:val="auto"/>
              </w:rPr>
              <w:t>3.6</w:t>
            </w:r>
          </w:p>
        </w:tc>
        <w:tc>
          <w:tcPr>
            <w:tcW w:w="5840" w:type="dxa"/>
            <w:vAlign w:val="bottom"/>
            <w:gridSpan w:val="3"/>
          </w:tcPr>
          <w:p>
            <w:pPr>
              <w:ind w:left="160"/>
              <w:spacing w:after="0"/>
              <w:rPr>
                <w:sz w:val="20"/>
                <w:szCs w:val="20"/>
                <w:color w:val="auto"/>
              </w:rPr>
            </w:pPr>
            <w:r>
              <w:rPr>
                <w:rFonts w:ascii="Arial" w:cs="Arial" w:eastAsia="Arial" w:hAnsi="Arial"/>
                <w:sz w:val="18"/>
                <w:szCs w:val="18"/>
                <w:color w:val="auto"/>
                <w:w w:val="93"/>
              </w:rPr>
              <w:t>Fifth Certificate of Amendment of Third Restated Certificate of Incorporation</w:t>
            </w:r>
          </w:p>
        </w:tc>
        <w:tc>
          <w:tcPr>
            <w:tcW w:w="1120" w:type="dxa"/>
            <w:vAlign w:val="bottom"/>
          </w:tcPr>
          <w:p>
            <w:pPr>
              <w:jc w:val="center"/>
              <w:spacing w:after="0"/>
              <w:rPr>
                <w:sz w:val="20"/>
                <w:szCs w:val="20"/>
                <w:color w:val="auto"/>
              </w:rPr>
            </w:pPr>
            <w:r>
              <w:rPr>
                <w:rFonts w:ascii="Arial" w:cs="Arial" w:eastAsia="Arial" w:hAnsi="Arial"/>
                <w:sz w:val="18"/>
                <w:szCs w:val="18"/>
                <w:color w:val="auto"/>
                <w:w w:val="92"/>
              </w:rPr>
              <w:t>8-K</w:t>
            </w:r>
          </w:p>
        </w:tc>
        <w:tc>
          <w:tcPr>
            <w:tcW w:w="660" w:type="dxa"/>
            <w:vAlign w:val="bottom"/>
            <w:gridSpan w:val="2"/>
          </w:tcPr>
          <w:p>
            <w:pPr>
              <w:jc w:val="center"/>
              <w:ind w:left="72"/>
              <w:spacing w:after="0"/>
              <w:rPr>
                <w:sz w:val="20"/>
                <w:szCs w:val="20"/>
                <w:color w:val="auto"/>
              </w:rPr>
            </w:pPr>
            <w:r>
              <w:rPr>
                <w:rFonts w:ascii="Arial" w:cs="Arial" w:eastAsia="Arial" w:hAnsi="Arial"/>
                <w:sz w:val="18"/>
                <w:szCs w:val="18"/>
                <w:color w:val="auto"/>
                <w:w w:val="87"/>
              </w:rPr>
              <w:t>3.2</w:t>
            </w:r>
          </w:p>
        </w:tc>
        <w:tc>
          <w:tcPr>
            <w:tcW w:w="880" w:type="dxa"/>
            <w:vAlign w:val="bottom"/>
            <w:gridSpan w:val="2"/>
          </w:tcPr>
          <w:p>
            <w:pPr>
              <w:jc w:val="center"/>
              <w:ind w:left="52"/>
              <w:spacing w:after="0"/>
              <w:rPr>
                <w:sz w:val="20"/>
                <w:szCs w:val="20"/>
                <w:color w:val="auto"/>
              </w:rPr>
            </w:pPr>
            <w:r>
              <w:rPr>
                <w:rFonts w:ascii="Arial" w:cs="Arial" w:eastAsia="Arial" w:hAnsi="Arial"/>
                <w:sz w:val="18"/>
                <w:szCs w:val="18"/>
                <w:color w:val="auto"/>
                <w:w w:val="89"/>
              </w:rPr>
              <w:t>3/11/08</w:t>
            </w: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5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20" w:type="dxa"/>
            <w:vAlign w:val="bottom"/>
          </w:tcPr>
          <w:p>
            <w:pPr>
              <w:jc w:val="center"/>
              <w:spacing w:after="0"/>
              <w:rPr>
                <w:sz w:val="20"/>
                <w:szCs w:val="20"/>
                <w:color w:val="auto"/>
              </w:rPr>
            </w:pPr>
            <w:r>
              <w:rPr>
                <w:rFonts w:ascii="Arial" w:cs="Arial" w:eastAsia="Arial" w:hAnsi="Arial"/>
                <w:sz w:val="18"/>
                <w:szCs w:val="18"/>
                <w:color w:val="auto"/>
                <w:w w:val="89"/>
              </w:rPr>
              <w:t>(000-15006)</w:t>
            </w:r>
          </w:p>
        </w:tc>
        <w:tc>
          <w:tcPr>
            <w:tcW w:w="1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20" w:type="dxa"/>
            <w:vAlign w:val="bottom"/>
          </w:tcPr>
          <w:p>
            <w:pPr>
              <w:spacing w:after="0"/>
              <w:rPr>
                <w:sz w:val="18"/>
                <w:szCs w:val="18"/>
                <w:color w:val="auto"/>
              </w:rPr>
            </w:pPr>
          </w:p>
        </w:tc>
        <w:tc>
          <w:tcPr>
            <w:tcW w:w="860" w:type="dxa"/>
            <w:vAlign w:val="bottom"/>
            <w:gridSpan w:val="2"/>
          </w:tcPr>
          <w:p>
            <w:pPr>
              <w:jc w:val="right"/>
              <w:spacing w:after="0"/>
              <w:rPr>
                <w:sz w:val="20"/>
                <w:szCs w:val="20"/>
                <w:color w:val="auto"/>
              </w:rPr>
            </w:pPr>
            <w:r>
              <w:rPr>
                <w:rFonts w:ascii="Arial" w:cs="Arial" w:eastAsia="Arial" w:hAnsi="Arial"/>
                <w:sz w:val="18"/>
                <w:szCs w:val="18"/>
                <w:color w:val="auto"/>
              </w:rPr>
              <w:t>3.7</w:t>
            </w:r>
          </w:p>
        </w:tc>
        <w:tc>
          <w:tcPr>
            <w:tcW w:w="5840" w:type="dxa"/>
            <w:vAlign w:val="bottom"/>
            <w:gridSpan w:val="3"/>
          </w:tcPr>
          <w:p>
            <w:pPr>
              <w:ind w:left="160"/>
              <w:spacing w:after="0"/>
              <w:rPr>
                <w:sz w:val="20"/>
                <w:szCs w:val="20"/>
                <w:color w:val="auto"/>
              </w:rPr>
            </w:pPr>
            <w:r>
              <w:rPr>
                <w:rFonts w:ascii="Arial" w:cs="Arial" w:eastAsia="Arial" w:hAnsi="Arial"/>
                <w:sz w:val="18"/>
                <w:szCs w:val="18"/>
                <w:color w:val="auto"/>
              </w:rPr>
              <w:t>Amended and Restated By-Laws as of March 14, 2007</w:t>
            </w:r>
          </w:p>
        </w:tc>
        <w:tc>
          <w:tcPr>
            <w:tcW w:w="1120" w:type="dxa"/>
            <w:vAlign w:val="bottom"/>
          </w:tcPr>
          <w:p>
            <w:pPr>
              <w:jc w:val="center"/>
              <w:spacing w:after="0"/>
              <w:rPr>
                <w:sz w:val="20"/>
                <w:szCs w:val="20"/>
                <w:color w:val="auto"/>
              </w:rPr>
            </w:pPr>
            <w:r>
              <w:rPr>
                <w:rFonts w:ascii="Arial" w:cs="Arial" w:eastAsia="Arial" w:hAnsi="Arial"/>
                <w:sz w:val="18"/>
                <w:szCs w:val="18"/>
                <w:color w:val="auto"/>
                <w:w w:val="94"/>
              </w:rPr>
              <w:t>10-K</w:t>
            </w:r>
          </w:p>
        </w:tc>
        <w:tc>
          <w:tcPr>
            <w:tcW w:w="660" w:type="dxa"/>
            <w:vAlign w:val="bottom"/>
            <w:gridSpan w:val="2"/>
          </w:tcPr>
          <w:p>
            <w:pPr>
              <w:jc w:val="center"/>
              <w:ind w:left="72"/>
              <w:spacing w:after="0"/>
              <w:rPr>
                <w:sz w:val="20"/>
                <w:szCs w:val="20"/>
                <w:color w:val="auto"/>
              </w:rPr>
            </w:pPr>
            <w:r>
              <w:rPr>
                <w:rFonts w:ascii="Arial" w:cs="Arial" w:eastAsia="Arial" w:hAnsi="Arial"/>
                <w:sz w:val="18"/>
                <w:szCs w:val="18"/>
                <w:color w:val="auto"/>
                <w:w w:val="87"/>
              </w:rPr>
              <w:t>3.5</w:t>
            </w:r>
          </w:p>
        </w:tc>
        <w:tc>
          <w:tcPr>
            <w:tcW w:w="880" w:type="dxa"/>
            <w:vAlign w:val="bottom"/>
            <w:gridSpan w:val="2"/>
          </w:tcPr>
          <w:p>
            <w:pPr>
              <w:jc w:val="center"/>
              <w:ind w:left="52"/>
              <w:spacing w:after="0"/>
              <w:rPr>
                <w:sz w:val="20"/>
                <w:szCs w:val="20"/>
                <w:color w:val="auto"/>
              </w:rPr>
            </w:pPr>
            <w:r>
              <w:rPr>
                <w:rFonts w:ascii="Arial" w:cs="Arial" w:eastAsia="Arial" w:hAnsi="Arial"/>
                <w:sz w:val="18"/>
                <w:szCs w:val="18"/>
                <w:color w:val="auto"/>
                <w:w w:val="89"/>
              </w:rPr>
              <w:t>3/18/08</w:t>
            </w: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9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6460" w:type="dxa"/>
            <w:vAlign w:val="bottom"/>
            <w:gridSpan w:val="4"/>
            <w:vMerge w:val="restart"/>
          </w:tcPr>
          <w:p>
            <w:pPr>
              <w:ind w:left="80"/>
              <w:spacing w:after="0"/>
              <w:rPr>
                <w:sz w:val="20"/>
                <w:szCs w:val="20"/>
                <w:color w:val="auto"/>
              </w:rPr>
            </w:pPr>
            <w:r>
              <w:rPr>
                <w:rFonts w:ascii="Arial" w:cs="Arial" w:eastAsia="Arial" w:hAnsi="Arial"/>
                <w:sz w:val="18"/>
                <w:szCs w:val="18"/>
                <w:i w:val="1"/>
                <w:iCs w:val="1"/>
                <w:color w:val="auto"/>
              </w:rPr>
              <w:t>Instruments Defining the Rights of Security Holders</w:t>
            </w:r>
          </w:p>
        </w:tc>
        <w:tc>
          <w:tcPr>
            <w:tcW w:w="1120" w:type="dxa"/>
            <w:vAlign w:val="bottom"/>
          </w:tcPr>
          <w:p>
            <w:pPr>
              <w:jc w:val="center"/>
              <w:spacing w:after="0"/>
              <w:rPr>
                <w:sz w:val="20"/>
                <w:szCs w:val="20"/>
                <w:color w:val="auto"/>
              </w:rPr>
            </w:pPr>
            <w:r>
              <w:rPr>
                <w:rFonts w:ascii="Arial" w:cs="Arial" w:eastAsia="Arial" w:hAnsi="Arial"/>
                <w:sz w:val="18"/>
                <w:szCs w:val="18"/>
                <w:color w:val="auto"/>
                <w:w w:val="89"/>
              </w:rPr>
              <w:t>(000-15006)</w:t>
            </w:r>
          </w:p>
        </w:tc>
        <w:tc>
          <w:tcPr>
            <w:tcW w:w="16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9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460" w:type="dxa"/>
            <w:vAlign w:val="bottom"/>
            <w:gridSpan w:val="4"/>
            <w:vMerge w:val="continue"/>
          </w:tcPr>
          <w:p>
            <w:pPr>
              <w:spacing w:after="0"/>
              <w:rPr>
                <w:sz w:val="18"/>
                <w:szCs w:val="18"/>
                <w:color w:val="auto"/>
              </w:rPr>
            </w:pPr>
          </w:p>
        </w:tc>
        <w:tc>
          <w:tcPr>
            <w:tcW w:w="1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20" w:type="dxa"/>
            <w:vAlign w:val="bottom"/>
          </w:tcPr>
          <w:p>
            <w:pPr>
              <w:spacing w:after="0"/>
              <w:rPr>
                <w:sz w:val="18"/>
                <w:szCs w:val="18"/>
                <w:color w:val="auto"/>
              </w:rPr>
            </w:pPr>
          </w:p>
        </w:tc>
        <w:tc>
          <w:tcPr>
            <w:tcW w:w="860" w:type="dxa"/>
            <w:vAlign w:val="bottom"/>
            <w:gridSpan w:val="2"/>
          </w:tcPr>
          <w:p>
            <w:pPr>
              <w:jc w:val="right"/>
              <w:spacing w:after="0"/>
              <w:rPr>
                <w:sz w:val="20"/>
                <w:szCs w:val="20"/>
                <w:color w:val="auto"/>
              </w:rPr>
            </w:pPr>
            <w:r>
              <w:rPr>
                <w:rFonts w:ascii="Arial" w:cs="Arial" w:eastAsia="Arial" w:hAnsi="Arial"/>
                <w:sz w:val="18"/>
                <w:szCs w:val="18"/>
                <w:color w:val="auto"/>
              </w:rPr>
              <w:t>4.1</w:t>
            </w:r>
          </w:p>
        </w:tc>
        <w:tc>
          <w:tcPr>
            <w:tcW w:w="5840" w:type="dxa"/>
            <w:vAlign w:val="bottom"/>
            <w:gridSpan w:val="3"/>
          </w:tcPr>
          <w:p>
            <w:pPr>
              <w:ind w:left="160"/>
              <w:spacing w:after="0"/>
              <w:rPr>
                <w:sz w:val="20"/>
                <w:szCs w:val="20"/>
                <w:color w:val="auto"/>
              </w:rPr>
            </w:pPr>
            <w:r>
              <w:rPr>
                <w:rFonts w:ascii="Arial" w:cs="Arial" w:eastAsia="Arial" w:hAnsi="Arial"/>
                <w:sz w:val="18"/>
                <w:szCs w:val="18"/>
                <w:color w:val="auto"/>
              </w:rPr>
              <w:t>Specimen of Common Stock Certificate</w:t>
            </w:r>
          </w:p>
        </w:tc>
        <w:tc>
          <w:tcPr>
            <w:tcW w:w="1120" w:type="dxa"/>
            <w:vAlign w:val="bottom"/>
          </w:tcPr>
          <w:p>
            <w:pPr>
              <w:jc w:val="center"/>
              <w:spacing w:after="0"/>
              <w:rPr>
                <w:sz w:val="20"/>
                <w:szCs w:val="20"/>
                <w:color w:val="auto"/>
              </w:rPr>
            </w:pPr>
            <w:r>
              <w:rPr>
                <w:rFonts w:ascii="Arial" w:cs="Arial" w:eastAsia="Arial" w:hAnsi="Arial"/>
                <w:sz w:val="18"/>
                <w:szCs w:val="18"/>
                <w:color w:val="auto"/>
                <w:w w:val="85"/>
              </w:rPr>
              <w:t>S-3</w:t>
            </w:r>
          </w:p>
        </w:tc>
        <w:tc>
          <w:tcPr>
            <w:tcW w:w="660" w:type="dxa"/>
            <w:vAlign w:val="bottom"/>
            <w:gridSpan w:val="2"/>
          </w:tcPr>
          <w:p>
            <w:pPr>
              <w:jc w:val="center"/>
              <w:ind w:left="72"/>
              <w:spacing w:after="0"/>
              <w:rPr>
                <w:sz w:val="20"/>
                <w:szCs w:val="20"/>
                <w:color w:val="auto"/>
              </w:rPr>
            </w:pPr>
            <w:r>
              <w:rPr>
                <w:rFonts w:ascii="Arial" w:cs="Arial" w:eastAsia="Arial" w:hAnsi="Arial"/>
                <w:sz w:val="18"/>
                <w:szCs w:val="18"/>
                <w:color w:val="auto"/>
                <w:w w:val="85"/>
              </w:rPr>
              <w:t>4.17</w:t>
            </w:r>
          </w:p>
        </w:tc>
        <w:tc>
          <w:tcPr>
            <w:tcW w:w="880" w:type="dxa"/>
            <w:vAlign w:val="bottom"/>
            <w:gridSpan w:val="2"/>
          </w:tcPr>
          <w:p>
            <w:pPr>
              <w:jc w:val="center"/>
              <w:ind w:left="52"/>
              <w:spacing w:after="0"/>
              <w:rPr>
                <w:sz w:val="20"/>
                <w:szCs w:val="20"/>
                <w:color w:val="auto"/>
              </w:rPr>
            </w:pPr>
            <w:r>
              <w:rPr>
                <w:rFonts w:ascii="Arial" w:cs="Arial" w:eastAsia="Arial" w:hAnsi="Arial"/>
                <w:sz w:val="18"/>
                <w:szCs w:val="18"/>
                <w:color w:val="auto"/>
                <w:w w:val="91"/>
              </w:rPr>
              <w:t>4/5/10</w:t>
            </w: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5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20" w:type="dxa"/>
            <w:vAlign w:val="bottom"/>
          </w:tcPr>
          <w:p>
            <w:pPr>
              <w:jc w:val="center"/>
              <w:spacing w:after="0"/>
              <w:rPr>
                <w:sz w:val="20"/>
                <w:szCs w:val="20"/>
                <w:color w:val="auto"/>
              </w:rPr>
            </w:pPr>
            <w:r>
              <w:rPr>
                <w:rFonts w:ascii="Arial" w:cs="Arial" w:eastAsia="Arial" w:hAnsi="Arial"/>
                <w:sz w:val="18"/>
                <w:szCs w:val="18"/>
                <w:color w:val="auto"/>
                <w:w w:val="89"/>
              </w:rPr>
              <w:t>(000-15006)</w:t>
            </w:r>
          </w:p>
        </w:tc>
        <w:tc>
          <w:tcPr>
            <w:tcW w:w="1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20" w:type="dxa"/>
            <w:vAlign w:val="bottom"/>
          </w:tcPr>
          <w:p>
            <w:pPr>
              <w:spacing w:after="0"/>
              <w:rPr>
                <w:sz w:val="18"/>
                <w:szCs w:val="18"/>
                <w:color w:val="auto"/>
              </w:rPr>
            </w:pPr>
          </w:p>
        </w:tc>
        <w:tc>
          <w:tcPr>
            <w:tcW w:w="860" w:type="dxa"/>
            <w:vAlign w:val="bottom"/>
            <w:gridSpan w:val="2"/>
          </w:tcPr>
          <w:p>
            <w:pPr>
              <w:jc w:val="right"/>
              <w:spacing w:after="0"/>
              <w:rPr>
                <w:sz w:val="20"/>
                <w:szCs w:val="20"/>
                <w:color w:val="auto"/>
              </w:rPr>
            </w:pPr>
            <w:r>
              <w:rPr>
                <w:rFonts w:ascii="Arial" w:cs="Arial" w:eastAsia="Arial" w:hAnsi="Arial"/>
                <w:sz w:val="18"/>
                <w:szCs w:val="18"/>
                <w:color w:val="auto"/>
              </w:rPr>
              <w:t>4.2</w:t>
            </w:r>
          </w:p>
        </w:tc>
        <w:tc>
          <w:tcPr>
            <w:tcW w:w="5840" w:type="dxa"/>
            <w:vAlign w:val="bottom"/>
            <w:gridSpan w:val="3"/>
          </w:tcPr>
          <w:p>
            <w:pPr>
              <w:ind w:left="160"/>
              <w:spacing w:after="0"/>
              <w:rPr>
                <w:sz w:val="20"/>
                <w:szCs w:val="20"/>
                <w:color w:val="auto"/>
              </w:rPr>
            </w:pPr>
            <w:r>
              <w:rPr>
                <w:rFonts w:ascii="Arial" w:cs="Arial" w:eastAsia="Arial" w:hAnsi="Arial"/>
                <w:sz w:val="18"/>
                <w:szCs w:val="18"/>
                <w:color w:val="auto"/>
              </w:rPr>
              <w:t>Shareholder Rights Agreement dated November 5, 2004</w:t>
            </w:r>
          </w:p>
        </w:tc>
        <w:tc>
          <w:tcPr>
            <w:tcW w:w="1120" w:type="dxa"/>
            <w:vAlign w:val="bottom"/>
          </w:tcPr>
          <w:p>
            <w:pPr>
              <w:jc w:val="center"/>
              <w:spacing w:after="0"/>
              <w:rPr>
                <w:sz w:val="20"/>
                <w:szCs w:val="20"/>
                <w:color w:val="auto"/>
              </w:rPr>
            </w:pPr>
            <w:r>
              <w:rPr>
                <w:rFonts w:ascii="Arial" w:cs="Arial" w:eastAsia="Arial" w:hAnsi="Arial"/>
                <w:sz w:val="18"/>
                <w:szCs w:val="18"/>
                <w:color w:val="auto"/>
                <w:w w:val="92"/>
              </w:rPr>
              <w:t>8-A</w:t>
            </w:r>
          </w:p>
        </w:tc>
        <w:tc>
          <w:tcPr>
            <w:tcW w:w="660" w:type="dxa"/>
            <w:vAlign w:val="bottom"/>
            <w:gridSpan w:val="2"/>
          </w:tcPr>
          <w:p>
            <w:pPr>
              <w:jc w:val="center"/>
              <w:ind w:left="72"/>
              <w:spacing w:after="0"/>
              <w:rPr>
                <w:sz w:val="20"/>
                <w:szCs w:val="20"/>
                <w:color w:val="auto"/>
              </w:rPr>
            </w:pPr>
            <w:r>
              <w:rPr>
                <w:rFonts w:ascii="Arial" w:cs="Arial" w:eastAsia="Arial" w:hAnsi="Arial"/>
                <w:sz w:val="18"/>
                <w:szCs w:val="18"/>
                <w:color w:val="auto"/>
                <w:w w:val="87"/>
              </w:rPr>
              <w:t>4.1</w:t>
            </w:r>
          </w:p>
        </w:tc>
        <w:tc>
          <w:tcPr>
            <w:tcW w:w="880" w:type="dxa"/>
            <w:vAlign w:val="bottom"/>
            <w:gridSpan w:val="2"/>
          </w:tcPr>
          <w:p>
            <w:pPr>
              <w:jc w:val="center"/>
              <w:ind w:left="52"/>
              <w:spacing w:after="0"/>
              <w:rPr>
                <w:sz w:val="20"/>
                <w:szCs w:val="20"/>
                <w:color w:val="auto"/>
              </w:rPr>
            </w:pPr>
            <w:r>
              <w:rPr>
                <w:rFonts w:ascii="Arial" w:cs="Arial" w:eastAsia="Arial" w:hAnsi="Arial"/>
                <w:sz w:val="18"/>
                <w:szCs w:val="18"/>
                <w:color w:val="auto"/>
                <w:w w:val="89"/>
              </w:rPr>
              <w:t>11/8/04</w:t>
            </w: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5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20" w:type="dxa"/>
            <w:vAlign w:val="bottom"/>
          </w:tcPr>
          <w:p>
            <w:pPr>
              <w:jc w:val="center"/>
              <w:spacing w:after="0"/>
              <w:rPr>
                <w:sz w:val="20"/>
                <w:szCs w:val="20"/>
                <w:color w:val="auto"/>
              </w:rPr>
            </w:pPr>
            <w:r>
              <w:rPr>
                <w:rFonts w:ascii="Arial" w:cs="Arial" w:eastAsia="Arial" w:hAnsi="Arial"/>
                <w:sz w:val="18"/>
                <w:szCs w:val="18"/>
                <w:color w:val="auto"/>
                <w:w w:val="89"/>
              </w:rPr>
              <w:t>(000-15006)</w:t>
            </w:r>
          </w:p>
        </w:tc>
        <w:tc>
          <w:tcPr>
            <w:tcW w:w="1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20" w:type="dxa"/>
            <w:vAlign w:val="bottom"/>
          </w:tcPr>
          <w:p>
            <w:pPr>
              <w:spacing w:after="0"/>
              <w:rPr>
                <w:sz w:val="18"/>
                <w:szCs w:val="18"/>
                <w:color w:val="auto"/>
              </w:rPr>
            </w:pPr>
          </w:p>
        </w:tc>
        <w:tc>
          <w:tcPr>
            <w:tcW w:w="860" w:type="dxa"/>
            <w:vAlign w:val="bottom"/>
            <w:gridSpan w:val="2"/>
          </w:tcPr>
          <w:p>
            <w:pPr>
              <w:jc w:val="right"/>
              <w:spacing w:after="0"/>
              <w:rPr>
                <w:sz w:val="20"/>
                <w:szCs w:val="20"/>
                <w:color w:val="auto"/>
              </w:rPr>
            </w:pPr>
            <w:r>
              <w:rPr>
                <w:rFonts w:ascii="Arial" w:cs="Arial" w:eastAsia="Arial" w:hAnsi="Arial"/>
                <w:sz w:val="18"/>
                <w:szCs w:val="18"/>
                <w:color w:val="auto"/>
              </w:rPr>
              <w:t>4.3</w:t>
            </w:r>
          </w:p>
        </w:tc>
        <w:tc>
          <w:tcPr>
            <w:tcW w:w="5840" w:type="dxa"/>
            <w:vAlign w:val="bottom"/>
            <w:gridSpan w:val="3"/>
          </w:tcPr>
          <w:p>
            <w:pPr>
              <w:ind w:left="160"/>
              <w:spacing w:after="0"/>
              <w:rPr>
                <w:sz w:val="20"/>
                <w:szCs w:val="20"/>
                <w:color w:val="auto"/>
              </w:rPr>
            </w:pPr>
            <w:r>
              <w:rPr>
                <w:rFonts w:ascii="Arial" w:cs="Arial" w:eastAsia="Arial" w:hAnsi="Arial"/>
                <w:sz w:val="18"/>
                <w:szCs w:val="18"/>
                <w:color w:val="auto"/>
                <w:w w:val="92"/>
              </w:rPr>
              <w:t>Amendment No. 1 to Shareholder Rights Agreement dated October 19, 2007</w:t>
            </w:r>
          </w:p>
        </w:tc>
        <w:tc>
          <w:tcPr>
            <w:tcW w:w="1120" w:type="dxa"/>
            <w:vAlign w:val="bottom"/>
          </w:tcPr>
          <w:p>
            <w:pPr>
              <w:jc w:val="center"/>
              <w:spacing w:after="0"/>
              <w:rPr>
                <w:sz w:val="20"/>
                <w:szCs w:val="20"/>
                <w:color w:val="auto"/>
              </w:rPr>
            </w:pPr>
            <w:r>
              <w:rPr>
                <w:rFonts w:ascii="Arial" w:cs="Arial" w:eastAsia="Arial" w:hAnsi="Arial"/>
                <w:sz w:val="18"/>
                <w:szCs w:val="18"/>
                <w:color w:val="auto"/>
              </w:rPr>
              <w:t>8-A/A</w:t>
            </w:r>
          </w:p>
        </w:tc>
        <w:tc>
          <w:tcPr>
            <w:tcW w:w="660" w:type="dxa"/>
            <w:vAlign w:val="bottom"/>
            <w:gridSpan w:val="2"/>
          </w:tcPr>
          <w:p>
            <w:pPr>
              <w:jc w:val="center"/>
              <w:ind w:left="72"/>
              <w:spacing w:after="0"/>
              <w:rPr>
                <w:sz w:val="20"/>
                <w:szCs w:val="20"/>
                <w:color w:val="auto"/>
              </w:rPr>
            </w:pPr>
            <w:r>
              <w:rPr>
                <w:rFonts w:ascii="Arial" w:cs="Arial" w:eastAsia="Arial" w:hAnsi="Arial"/>
                <w:sz w:val="18"/>
                <w:szCs w:val="18"/>
                <w:color w:val="auto"/>
                <w:w w:val="85"/>
              </w:rPr>
              <w:t>10.1</w:t>
            </w:r>
          </w:p>
        </w:tc>
        <w:tc>
          <w:tcPr>
            <w:tcW w:w="880" w:type="dxa"/>
            <w:vAlign w:val="bottom"/>
            <w:gridSpan w:val="2"/>
          </w:tcPr>
          <w:p>
            <w:pPr>
              <w:jc w:val="center"/>
              <w:ind w:left="52"/>
              <w:spacing w:after="0"/>
              <w:rPr>
                <w:sz w:val="20"/>
                <w:szCs w:val="20"/>
                <w:color w:val="auto"/>
              </w:rPr>
            </w:pPr>
            <w:r>
              <w:rPr>
                <w:rFonts w:ascii="Arial" w:cs="Arial" w:eastAsia="Arial" w:hAnsi="Arial"/>
                <w:sz w:val="18"/>
                <w:szCs w:val="18"/>
                <w:color w:val="auto"/>
                <w:w w:val="88"/>
              </w:rPr>
              <w:t>10/22/07</w:t>
            </w: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9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55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20" w:type="dxa"/>
            <w:vAlign w:val="bottom"/>
          </w:tcPr>
          <w:p>
            <w:pPr>
              <w:jc w:val="center"/>
              <w:spacing w:after="0"/>
              <w:rPr>
                <w:sz w:val="20"/>
                <w:szCs w:val="20"/>
                <w:color w:val="auto"/>
              </w:rPr>
            </w:pPr>
            <w:r>
              <w:rPr>
                <w:rFonts w:ascii="Arial" w:cs="Arial" w:eastAsia="Arial" w:hAnsi="Arial"/>
                <w:sz w:val="18"/>
                <w:szCs w:val="18"/>
                <w:color w:val="auto"/>
                <w:w w:val="89"/>
              </w:rPr>
              <w:t>(000-15006)</w:t>
            </w:r>
          </w:p>
        </w:tc>
        <w:tc>
          <w:tcPr>
            <w:tcW w:w="16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32"/>
        </w:trPr>
        <w:tc>
          <w:tcPr>
            <w:tcW w:w="9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5660" w:type="dxa"/>
            <w:vAlign w:val="bottom"/>
            <w:gridSpan w:val="2"/>
          </w:tcPr>
          <w:p>
            <w:pPr>
              <w:ind w:left="3800"/>
              <w:spacing w:after="0"/>
              <w:rPr>
                <w:sz w:val="20"/>
                <w:szCs w:val="20"/>
                <w:color w:val="auto"/>
              </w:rPr>
            </w:pPr>
            <w:r>
              <w:rPr>
                <w:rFonts w:ascii="Arial" w:cs="Arial" w:eastAsia="Arial" w:hAnsi="Arial"/>
                <w:sz w:val="18"/>
                <w:szCs w:val="18"/>
                <w:color w:val="auto"/>
              </w:rPr>
              <w:t>101</w:t>
            </w:r>
          </w:p>
        </w:tc>
        <w:tc>
          <w:tcPr>
            <w:tcW w:w="18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8"/>
        </w:trPr>
        <w:tc>
          <w:tcPr>
            <w:tcW w:w="920" w:type="dxa"/>
            <w:vAlign w:val="bottom"/>
            <w:tcBorders>
              <w:bottom w:val="single" w:sz="8" w:color="808080"/>
            </w:tcBorders>
          </w:tcPr>
          <w:p>
            <w:pPr>
              <w:spacing w:after="0"/>
              <w:rPr>
                <w:sz w:val="19"/>
                <w:szCs w:val="19"/>
                <w:color w:val="auto"/>
              </w:rPr>
            </w:pPr>
          </w:p>
        </w:tc>
        <w:tc>
          <w:tcPr>
            <w:tcW w:w="240" w:type="dxa"/>
            <w:vAlign w:val="bottom"/>
            <w:tcBorders>
              <w:bottom w:val="single" w:sz="8" w:color="808080"/>
            </w:tcBorders>
          </w:tcPr>
          <w:p>
            <w:pPr>
              <w:spacing w:after="0"/>
              <w:rPr>
                <w:sz w:val="19"/>
                <w:szCs w:val="19"/>
                <w:color w:val="auto"/>
              </w:rPr>
            </w:pPr>
          </w:p>
        </w:tc>
        <w:tc>
          <w:tcPr>
            <w:tcW w:w="62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5500" w:type="dxa"/>
            <w:vAlign w:val="bottom"/>
            <w:tcBorders>
              <w:bottom w:val="single" w:sz="8" w:color="808080"/>
            </w:tcBorders>
          </w:tcPr>
          <w:p>
            <w:pPr>
              <w:spacing w:after="0"/>
              <w:rPr>
                <w:sz w:val="19"/>
                <w:szCs w:val="19"/>
                <w:color w:val="auto"/>
              </w:rPr>
            </w:pPr>
          </w:p>
        </w:tc>
        <w:tc>
          <w:tcPr>
            <w:tcW w:w="180" w:type="dxa"/>
            <w:vAlign w:val="bottom"/>
            <w:tcBorders>
              <w:bottom w:val="single" w:sz="8" w:color="808080"/>
            </w:tcBorders>
          </w:tcPr>
          <w:p>
            <w:pPr>
              <w:spacing w:after="0"/>
              <w:rPr>
                <w:sz w:val="19"/>
                <w:szCs w:val="19"/>
                <w:color w:val="auto"/>
              </w:rPr>
            </w:pPr>
          </w:p>
        </w:tc>
        <w:tc>
          <w:tcPr>
            <w:tcW w:w="112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50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720" w:type="dxa"/>
            <w:vAlign w:val="bottom"/>
            <w:tcBorders>
              <w:bottom w:val="single" w:sz="8" w:color="808080"/>
            </w:tcBorders>
          </w:tcPr>
          <w:p>
            <w:pPr>
              <w:spacing w:after="0"/>
              <w:rPr>
                <w:sz w:val="19"/>
                <w:szCs w:val="19"/>
                <w:color w:val="auto"/>
              </w:rPr>
            </w:pPr>
          </w:p>
        </w:tc>
        <w:tc>
          <w:tcPr>
            <w:tcW w:w="1140" w:type="dxa"/>
            <w:vAlign w:val="bottom"/>
            <w:tcBorders>
              <w:bottom w:val="single" w:sz="8" w:color="808080"/>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07" w:name="page108"/>
    <w:bookmarkEnd w:id="107"/>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85" w:lineRule="exact"/>
        <w:rPr>
          <w:sz w:val="20"/>
          <w:szCs w:val="20"/>
          <w:color w:val="auto"/>
        </w:rPr>
      </w:pPr>
    </w:p>
    <w:p>
      <w:pPr>
        <w:ind w:left="1360"/>
        <w:spacing w:after="0"/>
        <w:tabs>
          <w:tab w:leader="none" w:pos="4340" w:val="left"/>
        </w:tabs>
        <w:rPr>
          <w:sz w:val="20"/>
          <w:szCs w:val="20"/>
          <w:color w:val="auto"/>
        </w:rPr>
      </w:pPr>
      <w:r>
        <w:rPr>
          <w:rFonts w:ascii="Arial" w:cs="Arial" w:eastAsia="Arial" w:hAnsi="Arial"/>
          <w:sz w:val="14"/>
          <w:szCs w:val="14"/>
          <w:b w:val="1"/>
          <w:bCs w:val="1"/>
          <w:color w:val="auto"/>
        </w:rPr>
        <w:t>No.</w:t>
      </w:r>
      <w:r>
        <w:rPr>
          <w:sz w:val="20"/>
          <w:szCs w:val="20"/>
          <w:color w:val="auto"/>
        </w:rPr>
        <w:tab/>
      </w:r>
      <w:r>
        <w:rPr>
          <w:rFonts w:ascii="Arial" w:cs="Arial" w:eastAsia="Arial" w:hAnsi="Arial"/>
          <w:sz w:val="14"/>
          <w:szCs w:val="14"/>
          <w:b w:val="1"/>
          <w:bCs w:val="1"/>
          <w:color w:val="auto"/>
        </w:rPr>
        <w:t>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734060</wp:posOffset>
            </wp:positionH>
            <wp:positionV relativeFrom="paragraph">
              <wp:posOffset>0</wp:posOffset>
            </wp:positionV>
            <wp:extent cx="3996055" cy="889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3996055" cy="8890"/>
                    </a:xfrm>
                    <a:prstGeom prst="rect">
                      <a:avLst/>
                    </a:prstGeom>
                    <a:noFill/>
                  </pic:spPr>
                </pic:pic>
              </a:graphicData>
            </a:graphic>
          </wp:anchor>
        </w:drawing>
      </w:r>
    </w:p>
    <w:p>
      <w:pPr>
        <w:ind w:left="1560"/>
        <w:spacing w:after="0"/>
        <w:tabs>
          <w:tab w:leader="none" w:pos="1920" w:val="left"/>
        </w:tabs>
        <w:rPr>
          <w:sz w:val="20"/>
          <w:szCs w:val="20"/>
          <w:color w:val="auto"/>
        </w:rPr>
      </w:pPr>
      <w:r>
        <w:rPr>
          <w:rFonts w:ascii="Arial" w:cs="Arial" w:eastAsia="Arial" w:hAnsi="Arial"/>
          <w:sz w:val="18"/>
          <w:szCs w:val="18"/>
          <w:color w:val="auto"/>
        </w:rPr>
        <w:t>4.4</w:t>
      </w:r>
      <w:r>
        <w:rPr>
          <w:sz w:val="20"/>
          <w:szCs w:val="20"/>
          <w:color w:val="auto"/>
        </w:rPr>
        <w:tab/>
      </w:r>
      <w:r>
        <w:rPr>
          <w:rFonts w:ascii="Arial" w:cs="Arial" w:eastAsia="Arial" w:hAnsi="Arial"/>
          <w:sz w:val="15"/>
          <w:szCs w:val="15"/>
          <w:color w:val="auto"/>
        </w:rPr>
        <w:t>Amendment No. 2 to Shareholder Rights Agreement dated March 7, 2008</w:t>
      </w:r>
    </w:p>
    <w:p>
      <w:pPr>
        <w:spacing w:after="0" w:line="217" w:lineRule="exact"/>
        <w:rPr>
          <w:sz w:val="20"/>
          <w:szCs w:val="20"/>
          <w:color w:val="auto"/>
        </w:rPr>
      </w:pPr>
    </w:p>
    <w:p>
      <w:pPr>
        <w:ind w:left="1940" w:right="100" w:hanging="381"/>
        <w:spacing w:after="0" w:line="253" w:lineRule="auto"/>
        <w:tabs>
          <w:tab w:leader="none" w:pos="1920" w:val="left"/>
        </w:tabs>
        <w:rPr>
          <w:sz w:val="20"/>
          <w:szCs w:val="20"/>
          <w:color w:val="auto"/>
        </w:rPr>
      </w:pPr>
      <w:r>
        <w:rPr>
          <w:rFonts w:ascii="Arial" w:cs="Arial" w:eastAsia="Arial" w:hAnsi="Arial"/>
          <w:sz w:val="18"/>
          <w:szCs w:val="18"/>
          <w:color w:val="auto"/>
        </w:rPr>
        <w:t>4.5</w:t>
        <w:tab/>
        <w:t>Certificate of Designations, Preferences and Rights of a Series of Preferred Stock classifying and designating the Series C-1 Junior Participating Cumulative Preferred Stock</w:t>
      </w:r>
    </w:p>
    <w:p>
      <w:pPr>
        <w:ind w:left="1560"/>
        <w:spacing w:after="0"/>
        <w:tabs>
          <w:tab w:leader="none" w:pos="1920" w:val="left"/>
        </w:tabs>
        <w:rPr>
          <w:sz w:val="20"/>
          <w:szCs w:val="20"/>
          <w:color w:val="auto"/>
        </w:rPr>
      </w:pPr>
      <w:r>
        <w:rPr>
          <w:rFonts w:ascii="Arial" w:cs="Arial" w:eastAsia="Arial" w:hAnsi="Arial"/>
          <w:sz w:val="18"/>
          <w:szCs w:val="18"/>
          <w:color w:val="auto"/>
        </w:rPr>
        <w:t>4.6</w:t>
      </w:r>
      <w:r>
        <w:rPr>
          <w:sz w:val="20"/>
          <w:szCs w:val="20"/>
          <w:color w:val="auto"/>
        </w:rPr>
        <w:tab/>
      </w:r>
      <w:r>
        <w:rPr>
          <w:rFonts w:ascii="Arial" w:cs="Arial" w:eastAsia="Arial" w:hAnsi="Arial"/>
          <w:sz w:val="15"/>
          <w:szCs w:val="15"/>
          <w:color w:val="auto"/>
        </w:rPr>
        <w:t>Indenture, dated February 17, 2004 between CuraGen and Trustee</w:t>
      </w:r>
    </w:p>
    <w:p>
      <w:pPr>
        <w:spacing w:after="0" w:line="219" w:lineRule="exact"/>
        <w:rPr>
          <w:sz w:val="20"/>
          <w:szCs w:val="20"/>
          <w:color w:val="auto"/>
        </w:rPr>
      </w:pPr>
    </w:p>
    <w:p>
      <w:pPr>
        <w:ind w:left="1940" w:right="40" w:hanging="381"/>
        <w:spacing w:after="0" w:line="254" w:lineRule="auto"/>
        <w:tabs>
          <w:tab w:leader="none" w:pos="1920" w:val="left"/>
        </w:tabs>
        <w:rPr>
          <w:sz w:val="20"/>
          <w:szCs w:val="20"/>
          <w:color w:val="auto"/>
        </w:rPr>
      </w:pPr>
      <w:r>
        <w:rPr>
          <w:rFonts w:ascii="Arial" w:cs="Arial" w:eastAsia="Arial" w:hAnsi="Arial"/>
          <w:sz w:val="18"/>
          <w:szCs w:val="18"/>
          <w:color w:val="auto"/>
        </w:rPr>
        <w:t>4.7</w:t>
        <w:tab/>
        <w:t>Supplemental Indenture, dated September 30, 2009, by and among Celldex, CuraGen, Merger Sub, and Trustee.</w:t>
      </w:r>
    </w:p>
    <w:p>
      <w:pPr>
        <w:ind w:left="1940" w:right="160" w:hanging="381"/>
        <w:spacing w:after="0" w:line="250" w:lineRule="auto"/>
        <w:tabs>
          <w:tab w:leader="none" w:pos="1920" w:val="left"/>
        </w:tabs>
        <w:rPr>
          <w:sz w:val="20"/>
          <w:szCs w:val="20"/>
          <w:color w:val="auto"/>
        </w:rPr>
      </w:pPr>
      <w:r>
        <w:rPr>
          <w:rFonts w:ascii="Arial" w:cs="Arial" w:eastAsia="Arial" w:hAnsi="Arial"/>
          <w:sz w:val="18"/>
          <w:szCs w:val="18"/>
          <w:color w:val="auto"/>
        </w:rPr>
        <w:t>4.8</w:t>
        <w:tab/>
        <w:t>Second Supplemental Indenture, dated December 31, 2009, by and among Celldex, CuraGen, and Trustee.</w:t>
      </w:r>
    </w:p>
    <w:p>
      <w:pPr>
        <w:spacing w:after="0" w:line="1" w:lineRule="exact"/>
        <w:rPr>
          <w:sz w:val="20"/>
          <w:szCs w:val="20"/>
          <w:color w:val="auto"/>
        </w:rPr>
      </w:pPr>
    </w:p>
    <w:p>
      <w:pPr>
        <w:ind w:left="1240"/>
        <w:spacing w:after="0"/>
        <w:rPr>
          <w:sz w:val="20"/>
          <w:szCs w:val="20"/>
          <w:color w:val="auto"/>
        </w:rPr>
      </w:pPr>
      <w:r>
        <w:rPr>
          <w:rFonts w:ascii="Arial" w:cs="Arial" w:eastAsia="Arial" w:hAnsi="Arial"/>
          <w:sz w:val="18"/>
          <w:szCs w:val="18"/>
          <w:i w:val="1"/>
          <w:iCs w:val="1"/>
          <w:color w:val="auto"/>
        </w:rPr>
        <w:t>Material Contracts—Leases</w:t>
      </w:r>
    </w:p>
    <w:p>
      <w:pPr>
        <w:spacing w:after="0" w:line="9" w:lineRule="exact"/>
        <w:rPr>
          <w:sz w:val="20"/>
          <w:szCs w:val="20"/>
          <w:color w:val="auto"/>
        </w:rPr>
      </w:pPr>
    </w:p>
    <w:p>
      <w:pPr>
        <w:ind w:left="1940" w:right="180" w:hanging="468"/>
        <w:spacing w:after="0" w:line="250" w:lineRule="auto"/>
        <w:tabs>
          <w:tab w:leader="none" w:pos="1920" w:val="left"/>
        </w:tabs>
        <w:rPr>
          <w:sz w:val="20"/>
          <w:szCs w:val="20"/>
          <w:color w:val="auto"/>
        </w:rPr>
      </w:pPr>
      <w:r>
        <w:rPr>
          <w:rFonts w:ascii="Arial" w:cs="Arial" w:eastAsia="Arial" w:hAnsi="Arial"/>
          <w:sz w:val="18"/>
          <w:szCs w:val="18"/>
          <w:color w:val="auto"/>
        </w:rPr>
        <w:t>10.1</w:t>
        <w:tab/>
        <w:t>Commercial Lease Agreement of May 1, 1996 between the Company and Fourth Avenue Ventures Limited Partnership</w:t>
      </w:r>
    </w:p>
    <w:p>
      <w:pPr>
        <w:spacing w:after="0" w:line="1" w:lineRule="exact"/>
        <w:rPr>
          <w:sz w:val="20"/>
          <w:szCs w:val="20"/>
          <w:color w:val="auto"/>
        </w:rPr>
      </w:pPr>
    </w:p>
    <w:p>
      <w:pPr>
        <w:ind w:left="1940" w:right="160" w:hanging="468"/>
        <w:spacing w:after="0" w:line="281" w:lineRule="auto"/>
        <w:tabs>
          <w:tab w:leader="none" w:pos="1920" w:val="left"/>
        </w:tabs>
        <w:rPr>
          <w:sz w:val="20"/>
          <w:szCs w:val="20"/>
          <w:color w:val="auto"/>
        </w:rPr>
      </w:pPr>
      <w:r>
        <w:rPr>
          <w:rFonts w:ascii="Arial" w:cs="Arial" w:eastAsia="Arial" w:hAnsi="Arial"/>
          <w:sz w:val="18"/>
          <w:szCs w:val="18"/>
          <w:color w:val="auto"/>
        </w:rPr>
        <w:t>10.2</w:t>
      </w:r>
      <w:r>
        <w:rPr>
          <w:sz w:val="20"/>
          <w:szCs w:val="20"/>
          <w:color w:val="auto"/>
        </w:rPr>
        <w:tab/>
      </w:r>
      <w:r>
        <w:rPr>
          <w:rFonts w:ascii="Arial" w:cs="Arial" w:eastAsia="Arial" w:hAnsi="Arial"/>
          <w:sz w:val="16"/>
          <w:szCs w:val="16"/>
          <w:color w:val="auto"/>
        </w:rPr>
        <w:t>Extension of Lease Agreement of May 1, 1997 between the Company and DIV Needham 53 LLC (successor in interest to Fourth Avenue Ventures Limited Partnership) dated as of August 23, 2001</w:t>
      </w:r>
    </w:p>
    <w:p>
      <w:pPr>
        <w:spacing w:after="0" w:line="2" w:lineRule="exact"/>
        <w:rPr>
          <w:sz w:val="20"/>
          <w:szCs w:val="20"/>
          <w:color w:val="auto"/>
        </w:rPr>
      </w:pPr>
    </w:p>
    <w:p>
      <w:pPr>
        <w:ind w:left="1460"/>
        <w:spacing w:after="0"/>
        <w:tabs>
          <w:tab w:leader="none" w:pos="1920" w:val="left"/>
        </w:tabs>
        <w:rPr>
          <w:sz w:val="20"/>
          <w:szCs w:val="20"/>
          <w:color w:val="auto"/>
        </w:rPr>
      </w:pPr>
      <w:r>
        <w:rPr>
          <w:rFonts w:ascii="Arial" w:cs="Arial" w:eastAsia="Arial" w:hAnsi="Arial"/>
          <w:sz w:val="18"/>
          <w:szCs w:val="18"/>
          <w:color w:val="auto"/>
        </w:rPr>
        <w:t>10.3</w:t>
      </w:r>
      <w:r>
        <w:rPr>
          <w:sz w:val="20"/>
          <w:szCs w:val="20"/>
          <w:color w:val="auto"/>
        </w:rPr>
        <w:tab/>
      </w:r>
      <w:r>
        <w:rPr>
          <w:rFonts w:ascii="Arial" w:cs="Arial" w:eastAsia="Arial" w:hAnsi="Arial"/>
          <w:sz w:val="15"/>
          <w:szCs w:val="15"/>
          <w:color w:val="auto"/>
        </w:rPr>
        <w:t>First Amendment to Lease by and between the Company and DIV Needham</w:t>
      </w:r>
    </w:p>
    <w:p>
      <w:pPr>
        <w:spacing w:after="0" w:line="9" w:lineRule="exact"/>
        <w:rPr>
          <w:sz w:val="20"/>
          <w:szCs w:val="20"/>
          <w:color w:val="auto"/>
        </w:rPr>
      </w:pPr>
    </w:p>
    <w:p>
      <w:pPr>
        <w:ind w:left="1940"/>
        <w:spacing w:after="0"/>
        <w:rPr>
          <w:sz w:val="20"/>
          <w:szCs w:val="20"/>
          <w:color w:val="auto"/>
        </w:rPr>
      </w:pPr>
      <w:r>
        <w:rPr>
          <w:rFonts w:ascii="Arial" w:cs="Arial" w:eastAsia="Arial" w:hAnsi="Arial"/>
          <w:sz w:val="18"/>
          <w:szCs w:val="18"/>
          <w:color w:val="auto"/>
        </w:rPr>
        <w:t>53 LLC dated November 29, 2005</w:t>
      </w:r>
    </w:p>
    <w:p>
      <w:pPr>
        <w:spacing w:after="0" w:line="9" w:lineRule="exact"/>
        <w:rPr>
          <w:sz w:val="20"/>
          <w:szCs w:val="20"/>
          <w:color w:val="auto"/>
        </w:rPr>
      </w:pPr>
    </w:p>
    <w:p>
      <w:pPr>
        <w:ind w:left="1940" w:right="340" w:hanging="556"/>
        <w:spacing w:after="0" w:line="300" w:lineRule="auto"/>
        <w:tabs>
          <w:tab w:leader="none" w:pos="1920" w:val="left"/>
        </w:tabs>
        <w:rPr>
          <w:sz w:val="20"/>
          <w:szCs w:val="20"/>
          <w:color w:val="auto"/>
        </w:rPr>
      </w:pPr>
      <w:r>
        <w:rPr>
          <w:rFonts w:ascii="Arial" w:cs="Arial" w:eastAsia="Arial" w:hAnsi="Arial"/>
          <w:sz w:val="18"/>
          <w:szCs w:val="18"/>
          <w:color w:val="auto"/>
        </w:rPr>
        <w:t>*10.4</w:t>
      </w:r>
      <w:r>
        <w:rPr>
          <w:sz w:val="20"/>
          <w:szCs w:val="20"/>
          <w:color w:val="auto"/>
        </w:rPr>
        <w:tab/>
      </w:r>
      <w:r>
        <w:rPr>
          <w:rFonts w:ascii="Arial" w:cs="Arial" w:eastAsia="Arial" w:hAnsi="Arial"/>
          <w:sz w:val="15"/>
          <w:szCs w:val="15"/>
          <w:color w:val="auto"/>
        </w:rPr>
        <w:t>Lease Agreement, by and between the Company and the Massachusetts Development Finance Agency, dated as of December 22, 2003</w:t>
      </w:r>
    </w:p>
    <w:p>
      <w:pPr>
        <w:spacing w:after="0" w:line="1" w:lineRule="exact"/>
        <w:rPr>
          <w:sz w:val="20"/>
          <w:szCs w:val="20"/>
          <w:color w:val="auto"/>
        </w:rPr>
      </w:pPr>
    </w:p>
    <w:p>
      <w:pPr>
        <w:ind w:left="1940" w:right="220" w:hanging="468"/>
        <w:spacing w:after="0" w:line="281" w:lineRule="auto"/>
        <w:tabs>
          <w:tab w:leader="none" w:pos="1920" w:val="left"/>
        </w:tabs>
        <w:rPr>
          <w:sz w:val="20"/>
          <w:szCs w:val="20"/>
          <w:color w:val="auto"/>
        </w:rPr>
      </w:pPr>
      <w:r>
        <w:rPr>
          <w:rFonts w:ascii="Arial" w:cs="Arial" w:eastAsia="Arial" w:hAnsi="Arial"/>
          <w:sz w:val="18"/>
          <w:szCs w:val="18"/>
          <w:color w:val="auto"/>
        </w:rPr>
        <w:t>10.5</w:t>
      </w:r>
      <w:r>
        <w:rPr>
          <w:sz w:val="20"/>
          <w:szCs w:val="20"/>
          <w:color w:val="auto"/>
        </w:rPr>
        <w:tab/>
      </w:r>
      <w:r>
        <w:rPr>
          <w:rFonts w:ascii="Arial" w:cs="Arial" w:eastAsia="Arial" w:hAnsi="Arial"/>
          <w:sz w:val="16"/>
          <w:szCs w:val="16"/>
          <w:color w:val="auto"/>
        </w:rPr>
        <w:t>First Amendment to Lease between Massachusetts Development Finance Agency and the Company dated March 17, 2005</w:t>
      </w:r>
    </w:p>
    <w:p>
      <w:pPr>
        <w:spacing w:after="0" w:line="1" w:lineRule="exact"/>
        <w:rPr>
          <w:sz w:val="20"/>
          <w:szCs w:val="20"/>
          <w:color w:val="auto"/>
        </w:rPr>
      </w:pPr>
    </w:p>
    <w:p>
      <w:pPr>
        <w:ind w:left="1940" w:right="20" w:hanging="468"/>
        <w:spacing w:after="0" w:line="300" w:lineRule="auto"/>
        <w:tabs>
          <w:tab w:leader="none" w:pos="1920" w:val="left"/>
        </w:tabs>
        <w:rPr>
          <w:sz w:val="20"/>
          <w:szCs w:val="20"/>
          <w:color w:val="auto"/>
        </w:rPr>
      </w:pPr>
      <w:r>
        <w:rPr>
          <w:rFonts w:ascii="Arial" w:cs="Arial" w:eastAsia="Arial" w:hAnsi="Arial"/>
          <w:sz w:val="18"/>
          <w:szCs w:val="18"/>
          <w:color w:val="auto"/>
        </w:rPr>
        <w:t>10.6</w:t>
      </w:r>
      <w:r>
        <w:rPr>
          <w:sz w:val="20"/>
          <w:szCs w:val="20"/>
          <w:color w:val="auto"/>
        </w:rPr>
        <w:tab/>
      </w:r>
      <w:r>
        <w:rPr>
          <w:rFonts w:ascii="Arial" w:cs="Arial" w:eastAsia="Arial" w:hAnsi="Arial"/>
          <w:sz w:val="15"/>
          <w:szCs w:val="15"/>
          <w:color w:val="auto"/>
        </w:rPr>
        <w:t>Second Amendment to Lease by and between the Company and the Massachusetts Development Finance Agency dated as of November 4, 2005</w:t>
      </w:r>
    </w:p>
    <w:p>
      <w:pPr>
        <w:spacing w:after="0" w:line="1" w:lineRule="exact"/>
        <w:rPr>
          <w:sz w:val="20"/>
          <w:szCs w:val="20"/>
          <w:color w:val="auto"/>
        </w:rPr>
      </w:pPr>
    </w:p>
    <w:p>
      <w:pPr>
        <w:ind w:left="1940" w:right="160" w:hanging="468"/>
        <w:spacing w:after="0" w:line="281" w:lineRule="auto"/>
        <w:tabs>
          <w:tab w:leader="none" w:pos="1920" w:val="left"/>
        </w:tabs>
        <w:rPr>
          <w:sz w:val="20"/>
          <w:szCs w:val="20"/>
          <w:color w:val="auto"/>
        </w:rPr>
      </w:pPr>
      <w:r>
        <w:rPr>
          <w:rFonts w:ascii="Arial" w:cs="Arial" w:eastAsia="Arial" w:hAnsi="Arial"/>
          <w:sz w:val="18"/>
          <w:szCs w:val="18"/>
          <w:color w:val="auto"/>
        </w:rPr>
        <w:t>10.7</w:t>
      </w:r>
      <w:r>
        <w:rPr>
          <w:sz w:val="20"/>
          <w:szCs w:val="20"/>
          <w:color w:val="auto"/>
        </w:rPr>
        <w:tab/>
      </w:r>
      <w:r>
        <w:rPr>
          <w:rFonts w:ascii="Arial" w:cs="Arial" w:eastAsia="Arial" w:hAnsi="Arial"/>
          <w:sz w:val="16"/>
          <w:szCs w:val="16"/>
          <w:color w:val="auto"/>
        </w:rPr>
        <w:t>Third Amendment to Lease between Massachusetts Development Finance Agency and the Company dated December 20, 2006</w:t>
      </w:r>
    </w:p>
    <w:p>
      <w:pPr>
        <w:spacing w:after="0" w:line="1" w:lineRule="exact"/>
        <w:rPr>
          <w:sz w:val="20"/>
          <w:szCs w:val="20"/>
          <w:color w:val="auto"/>
        </w:rPr>
      </w:pPr>
    </w:p>
    <w:p>
      <w:pPr>
        <w:ind w:left="1940" w:right="200" w:hanging="468"/>
        <w:spacing w:after="0" w:line="281" w:lineRule="auto"/>
        <w:tabs>
          <w:tab w:leader="none" w:pos="1920" w:val="left"/>
        </w:tabs>
        <w:rPr>
          <w:sz w:val="20"/>
          <w:szCs w:val="20"/>
          <w:color w:val="auto"/>
        </w:rPr>
      </w:pPr>
      <w:r>
        <w:rPr>
          <w:rFonts w:ascii="Arial" w:cs="Arial" w:eastAsia="Arial" w:hAnsi="Arial"/>
          <w:sz w:val="18"/>
          <w:szCs w:val="18"/>
          <w:color w:val="auto"/>
        </w:rPr>
        <w:t>10.8</w:t>
      </w:r>
      <w:r>
        <w:rPr>
          <w:sz w:val="20"/>
          <w:szCs w:val="20"/>
          <w:color w:val="auto"/>
        </w:rPr>
        <w:tab/>
      </w:r>
      <w:r>
        <w:rPr>
          <w:rFonts w:ascii="Arial" w:cs="Arial" w:eastAsia="Arial" w:hAnsi="Arial"/>
          <w:sz w:val="16"/>
          <w:szCs w:val="16"/>
          <w:color w:val="auto"/>
        </w:rPr>
        <w:t>Fifth Amendment to Lease between Massachusetts Development Finance Agency and the Company dated October 3, 2008</w:t>
      </w:r>
    </w:p>
    <w:p>
      <w:pPr>
        <w:spacing w:after="0" w:line="1" w:lineRule="exact"/>
        <w:rPr>
          <w:sz w:val="20"/>
          <w:szCs w:val="20"/>
          <w:color w:val="auto"/>
        </w:rPr>
      </w:pPr>
    </w:p>
    <w:p>
      <w:pPr>
        <w:ind w:left="1940" w:right="180" w:hanging="468"/>
        <w:spacing w:after="0" w:line="323" w:lineRule="auto"/>
        <w:tabs>
          <w:tab w:leader="none" w:pos="1920" w:val="left"/>
        </w:tabs>
        <w:rPr>
          <w:sz w:val="20"/>
          <w:szCs w:val="20"/>
          <w:color w:val="auto"/>
        </w:rPr>
      </w:pPr>
      <w:r>
        <w:rPr>
          <w:rFonts w:ascii="Arial" w:cs="Arial" w:eastAsia="Arial" w:hAnsi="Arial"/>
          <w:sz w:val="18"/>
          <w:szCs w:val="18"/>
          <w:color w:val="auto"/>
        </w:rPr>
        <w:t>10.9</w:t>
      </w:r>
      <w:r>
        <w:rPr>
          <w:sz w:val="20"/>
          <w:szCs w:val="20"/>
          <w:color w:val="auto"/>
        </w:rPr>
        <w:tab/>
      </w:r>
      <w:r>
        <w:rPr>
          <w:rFonts w:ascii="Arial" w:cs="Arial" w:eastAsia="Arial" w:hAnsi="Arial"/>
          <w:sz w:val="16"/>
          <w:szCs w:val="16"/>
          <w:color w:val="auto"/>
        </w:rPr>
        <w:t>Sixth Amendment to Lease between Massachusetts Development Finance Agency and the Company dated August 20, 2009</w:t>
      </w:r>
    </w:p>
    <w:p>
      <w:pPr>
        <w:spacing w:after="0" w:line="147" w:lineRule="exact"/>
        <w:rPr>
          <w:sz w:val="20"/>
          <w:szCs w:val="20"/>
          <w:color w:val="auto"/>
        </w:rPr>
      </w:pPr>
    </w:p>
    <w:p>
      <w:pPr>
        <w:ind w:left="5580"/>
        <w:spacing w:after="0"/>
        <w:rPr>
          <w:sz w:val="20"/>
          <w:szCs w:val="20"/>
          <w:color w:val="auto"/>
        </w:rPr>
      </w:pPr>
      <w:r>
        <w:rPr>
          <w:rFonts w:ascii="Arial" w:cs="Arial" w:eastAsia="Arial" w:hAnsi="Arial"/>
          <w:sz w:val="18"/>
          <w:szCs w:val="18"/>
          <w:color w:val="auto"/>
        </w:rPr>
        <w:t>102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62" w:lineRule="exact"/>
        <w:rPr>
          <w:sz w:val="20"/>
          <w:szCs w:val="20"/>
          <w:color w:val="auto"/>
        </w:rPr>
      </w:pPr>
    </w:p>
    <w:p>
      <w:pPr>
        <w:ind w:left="480"/>
        <w:spacing w:after="0"/>
        <w:rPr>
          <w:sz w:val="20"/>
          <w:szCs w:val="20"/>
          <w:color w:val="auto"/>
        </w:rPr>
      </w:pPr>
      <w:r>
        <w:rPr>
          <w:rFonts w:ascii="Arial" w:cs="Arial" w:eastAsia="Arial" w:hAnsi="Arial"/>
          <w:sz w:val="14"/>
          <w:szCs w:val="14"/>
          <w:b w:val="1"/>
          <w:bCs w:val="1"/>
          <w:color w:val="auto"/>
        </w:rPr>
        <w:t>Incorporated by Reference to</w:t>
      </w:r>
    </w:p>
    <w:tbl>
      <w:tblPr>
        <w:tblLayout w:type="fixed"/>
        <w:tblInd w:w="0" w:type="dxa"/>
        <w:tblCellMar>
          <w:top w:w="0" w:type="dxa"/>
          <w:left w:w="0" w:type="dxa"/>
          <w:bottom w:w="0" w:type="dxa"/>
          <w:right w:w="0" w:type="dxa"/>
        </w:tblCellMar>
      </w:tblPr>
      <w:tr>
        <w:trPr>
          <w:trHeight w:val="129"/>
        </w:trPr>
        <w:tc>
          <w:tcPr>
            <w:tcW w:w="1120" w:type="dxa"/>
            <w:vAlign w:val="bottom"/>
            <w:tcBorders>
              <w:top w:val="single" w:sz="8" w:color="auto"/>
            </w:tcBorders>
          </w:tcPr>
          <w:p>
            <w:pPr>
              <w:jc w:val="center"/>
              <w:spacing w:after="0" w:line="129" w:lineRule="exact"/>
              <w:rPr>
                <w:sz w:val="20"/>
                <w:szCs w:val="20"/>
                <w:color w:val="auto"/>
              </w:rPr>
            </w:pPr>
            <w:r>
              <w:rPr>
                <w:rFonts w:ascii="Arial" w:cs="Arial" w:eastAsia="Arial" w:hAnsi="Arial"/>
                <w:sz w:val="14"/>
                <w:szCs w:val="14"/>
                <w:b w:val="1"/>
                <w:bCs w:val="1"/>
                <w:color w:val="auto"/>
                <w:w w:val="90"/>
              </w:rPr>
              <w:t>Form and</w:t>
            </w:r>
          </w:p>
        </w:tc>
        <w:tc>
          <w:tcPr>
            <w:tcW w:w="160" w:type="dxa"/>
            <w:vAlign w:val="bottom"/>
            <w:tcBorders>
              <w:top w:val="single" w:sz="8" w:color="auto"/>
            </w:tcBorders>
          </w:tcPr>
          <w:p>
            <w:pPr>
              <w:spacing w:after="0"/>
              <w:rPr>
                <w:sz w:val="11"/>
                <w:szCs w:val="11"/>
                <w:color w:val="auto"/>
              </w:rPr>
            </w:pPr>
          </w:p>
        </w:tc>
        <w:tc>
          <w:tcPr>
            <w:tcW w:w="500" w:type="dxa"/>
            <w:vAlign w:val="bottom"/>
            <w:tcBorders>
              <w:top w:val="single" w:sz="8" w:color="auto"/>
            </w:tcBorders>
          </w:tcPr>
          <w:p>
            <w:pPr>
              <w:jc w:val="center"/>
              <w:spacing w:after="0" w:line="129" w:lineRule="exact"/>
              <w:rPr>
                <w:sz w:val="20"/>
                <w:szCs w:val="20"/>
                <w:color w:val="auto"/>
              </w:rPr>
            </w:pPr>
            <w:r>
              <w:rPr>
                <w:rFonts w:ascii="Arial" w:cs="Arial" w:eastAsia="Arial" w:hAnsi="Arial"/>
                <w:sz w:val="14"/>
                <w:szCs w:val="14"/>
                <w:b w:val="1"/>
                <w:bCs w:val="1"/>
                <w:color w:val="auto"/>
                <w:w w:val="89"/>
              </w:rPr>
              <w:t>Exhibit</w:t>
            </w:r>
          </w:p>
        </w:tc>
        <w:tc>
          <w:tcPr>
            <w:tcW w:w="160" w:type="dxa"/>
            <w:vAlign w:val="bottom"/>
            <w:tcBorders>
              <w:top w:val="single" w:sz="8" w:color="auto"/>
            </w:tcBorders>
          </w:tcPr>
          <w:p>
            <w:pPr>
              <w:spacing w:after="0"/>
              <w:rPr>
                <w:sz w:val="11"/>
                <w:szCs w:val="11"/>
                <w:color w:val="auto"/>
              </w:rPr>
            </w:pPr>
          </w:p>
        </w:tc>
        <w:tc>
          <w:tcPr>
            <w:tcW w:w="720" w:type="dxa"/>
            <w:vAlign w:val="bottom"/>
            <w:tcBorders>
              <w:top w:val="single" w:sz="8" w:color="auto"/>
            </w:tcBorders>
          </w:tcPr>
          <w:p>
            <w:pPr>
              <w:jc w:val="center"/>
              <w:spacing w:after="0" w:line="129" w:lineRule="exact"/>
              <w:rPr>
                <w:sz w:val="20"/>
                <w:szCs w:val="20"/>
                <w:color w:val="auto"/>
              </w:rPr>
            </w:pPr>
            <w:r>
              <w:rPr>
                <w:rFonts w:ascii="Arial" w:cs="Arial" w:eastAsia="Arial" w:hAnsi="Arial"/>
                <w:sz w:val="14"/>
                <w:szCs w:val="14"/>
                <w:b w:val="1"/>
                <w:bCs w:val="1"/>
                <w:color w:val="auto"/>
                <w:w w:val="90"/>
              </w:rPr>
              <w:t>SEC</w:t>
            </w:r>
          </w:p>
        </w:tc>
      </w:tr>
      <w:tr>
        <w:trPr>
          <w:trHeight w:val="161"/>
        </w:trPr>
        <w:tc>
          <w:tcPr>
            <w:tcW w:w="11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8"/>
              </w:rPr>
              <w:t>SEC File No.</w:t>
            </w:r>
          </w:p>
        </w:tc>
        <w:tc>
          <w:tcPr>
            <w:tcW w:w="160" w:type="dxa"/>
            <w:vAlign w:val="bottom"/>
          </w:tcPr>
          <w:p>
            <w:pPr>
              <w:spacing w:after="0"/>
              <w:rPr>
                <w:sz w:val="14"/>
                <w:szCs w:val="14"/>
                <w:color w:val="auto"/>
              </w:rPr>
            </w:pPr>
          </w:p>
        </w:tc>
        <w:tc>
          <w:tcPr>
            <w:tcW w:w="5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8"/>
              </w:rPr>
              <w:t>No.</w:t>
            </w:r>
          </w:p>
        </w:tc>
        <w:tc>
          <w:tcPr>
            <w:tcW w:w="160" w:type="dxa"/>
            <w:vAlign w:val="bottom"/>
          </w:tcPr>
          <w:p>
            <w:pPr>
              <w:spacing w:after="0"/>
              <w:rPr>
                <w:sz w:val="14"/>
                <w:szCs w:val="14"/>
                <w:color w:val="auto"/>
              </w:rPr>
            </w:pPr>
          </w:p>
        </w:tc>
        <w:tc>
          <w:tcPr>
            <w:tcW w:w="7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Filing Date</w:t>
            </w:r>
          </w:p>
        </w:tc>
      </w:tr>
      <w:tr>
        <w:trPr>
          <w:trHeight w:val="201"/>
        </w:trPr>
        <w:tc>
          <w:tcPr>
            <w:tcW w:w="1120" w:type="dxa"/>
            <w:vAlign w:val="bottom"/>
          </w:tcPr>
          <w:p>
            <w:pPr>
              <w:jc w:val="center"/>
              <w:spacing w:after="0" w:line="201" w:lineRule="exact"/>
              <w:rPr>
                <w:sz w:val="20"/>
                <w:szCs w:val="20"/>
                <w:color w:val="auto"/>
              </w:rPr>
            </w:pPr>
            <w:r>
              <w:rPr>
                <w:rFonts w:ascii="Arial" w:cs="Arial" w:eastAsia="Arial" w:hAnsi="Arial"/>
                <w:sz w:val="18"/>
                <w:szCs w:val="18"/>
                <w:color w:val="auto"/>
              </w:rPr>
              <w:t>8-A/A</w:t>
            </w:r>
          </w:p>
        </w:tc>
        <w:tc>
          <w:tcPr>
            <w:tcW w:w="160" w:type="dxa"/>
            <w:vAlign w:val="bottom"/>
          </w:tcPr>
          <w:p>
            <w:pPr>
              <w:spacing w:after="0"/>
              <w:rPr>
                <w:sz w:val="17"/>
                <w:szCs w:val="17"/>
                <w:color w:val="auto"/>
              </w:rPr>
            </w:pPr>
          </w:p>
        </w:tc>
        <w:tc>
          <w:tcPr>
            <w:tcW w:w="500" w:type="dxa"/>
            <w:vAlign w:val="bottom"/>
          </w:tcPr>
          <w:p>
            <w:pPr>
              <w:jc w:val="center"/>
              <w:spacing w:after="0" w:line="201" w:lineRule="exact"/>
              <w:rPr>
                <w:sz w:val="20"/>
                <w:szCs w:val="20"/>
                <w:color w:val="auto"/>
              </w:rPr>
            </w:pPr>
            <w:r>
              <w:rPr>
                <w:rFonts w:ascii="Arial" w:cs="Arial" w:eastAsia="Arial" w:hAnsi="Arial"/>
                <w:sz w:val="18"/>
                <w:szCs w:val="18"/>
                <w:color w:val="auto"/>
                <w:w w:val="85"/>
              </w:rPr>
              <w:t>10.1</w:t>
            </w:r>
          </w:p>
        </w:tc>
        <w:tc>
          <w:tcPr>
            <w:tcW w:w="160" w:type="dxa"/>
            <w:vAlign w:val="bottom"/>
          </w:tcPr>
          <w:p>
            <w:pPr>
              <w:spacing w:after="0"/>
              <w:rPr>
                <w:sz w:val="17"/>
                <w:szCs w:val="17"/>
                <w:color w:val="auto"/>
              </w:rPr>
            </w:pPr>
          </w:p>
        </w:tc>
        <w:tc>
          <w:tcPr>
            <w:tcW w:w="720" w:type="dxa"/>
            <w:vAlign w:val="bottom"/>
          </w:tcPr>
          <w:p>
            <w:pPr>
              <w:jc w:val="center"/>
              <w:spacing w:after="0" w:line="201" w:lineRule="exact"/>
              <w:rPr>
                <w:sz w:val="20"/>
                <w:szCs w:val="20"/>
                <w:color w:val="auto"/>
              </w:rPr>
            </w:pPr>
            <w:r>
              <w:rPr>
                <w:rFonts w:ascii="Arial" w:cs="Arial" w:eastAsia="Arial" w:hAnsi="Arial"/>
                <w:sz w:val="18"/>
                <w:szCs w:val="18"/>
                <w:color w:val="auto"/>
                <w:w w:val="91"/>
              </w:rPr>
              <w:t>3/7/08</w:t>
            </w:r>
          </w:p>
        </w:tc>
      </w:tr>
      <w:tr>
        <w:trPr>
          <w:trHeight w:val="216"/>
        </w:trPr>
        <w:tc>
          <w:tcPr>
            <w:tcW w:w="1120" w:type="dxa"/>
            <w:vAlign w:val="bottom"/>
          </w:tcPr>
          <w:p>
            <w:pPr>
              <w:jc w:val="center"/>
              <w:spacing w:after="0"/>
              <w:rPr>
                <w:sz w:val="20"/>
                <w:szCs w:val="20"/>
                <w:color w:val="auto"/>
              </w:rPr>
            </w:pPr>
            <w:r>
              <w:rPr>
                <w:rFonts w:ascii="Arial" w:cs="Arial" w:eastAsia="Arial" w:hAnsi="Arial"/>
                <w:sz w:val="18"/>
                <w:szCs w:val="18"/>
                <w:color w:val="auto"/>
                <w:w w:val="89"/>
              </w:rPr>
              <w:t>(000-15006)</w:t>
            </w:r>
          </w:p>
        </w:tc>
        <w:tc>
          <w:tcPr>
            <w:tcW w:w="1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tcPr>
          <w:p>
            <w:pPr>
              <w:spacing w:after="0"/>
              <w:rPr>
                <w:sz w:val="18"/>
                <w:szCs w:val="18"/>
                <w:color w:val="auto"/>
              </w:rPr>
            </w:pPr>
          </w:p>
        </w:tc>
      </w:tr>
      <w:tr>
        <w:trPr>
          <w:trHeight w:val="216"/>
        </w:trPr>
        <w:tc>
          <w:tcPr>
            <w:tcW w:w="1120" w:type="dxa"/>
            <w:vAlign w:val="bottom"/>
          </w:tcPr>
          <w:p>
            <w:pPr>
              <w:jc w:val="center"/>
              <w:spacing w:after="0"/>
              <w:rPr>
                <w:sz w:val="20"/>
                <w:szCs w:val="20"/>
                <w:color w:val="auto"/>
              </w:rPr>
            </w:pPr>
            <w:r>
              <w:rPr>
                <w:rFonts w:ascii="Arial" w:cs="Arial" w:eastAsia="Arial" w:hAnsi="Arial"/>
                <w:sz w:val="18"/>
                <w:szCs w:val="18"/>
                <w:color w:val="auto"/>
                <w:w w:val="92"/>
              </w:rPr>
              <w:t>8-A</w:t>
            </w:r>
          </w:p>
        </w:tc>
        <w:tc>
          <w:tcPr>
            <w:tcW w:w="660" w:type="dxa"/>
            <w:vAlign w:val="bottom"/>
            <w:gridSpan w:val="2"/>
          </w:tcPr>
          <w:p>
            <w:pPr>
              <w:jc w:val="center"/>
              <w:ind w:left="72"/>
              <w:spacing w:after="0"/>
              <w:rPr>
                <w:sz w:val="20"/>
                <w:szCs w:val="20"/>
                <w:color w:val="auto"/>
              </w:rPr>
            </w:pPr>
            <w:r>
              <w:rPr>
                <w:rFonts w:ascii="Arial" w:cs="Arial" w:eastAsia="Arial" w:hAnsi="Arial"/>
                <w:sz w:val="18"/>
                <w:szCs w:val="18"/>
                <w:color w:val="auto"/>
                <w:w w:val="87"/>
              </w:rPr>
              <w:t>3.1</w:t>
            </w:r>
          </w:p>
        </w:tc>
        <w:tc>
          <w:tcPr>
            <w:tcW w:w="880" w:type="dxa"/>
            <w:vAlign w:val="bottom"/>
            <w:gridSpan w:val="2"/>
          </w:tcPr>
          <w:p>
            <w:pPr>
              <w:jc w:val="center"/>
              <w:ind w:left="52"/>
              <w:spacing w:after="0"/>
              <w:rPr>
                <w:sz w:val="20"/>
                <w:szCs w:val="20"/>
                <w:color w:val="auto"/>
              </w:rPr>
            </w:pPr>
            <w:r>
              <w:rPr>
                <w:rFonts w:ascii="Arial" w:cs="Arial" w:eastAsia="Arial" w:hAnsi="Arial"/>
                <w:sz w:val="18"/>
                <w:szCs w:val="18"/>
                <w:color w:val="auto"/>
                <w:w w:val="89"/>
              </w:rPr>
              <w:t>11/8/04</w:t>
            </w:r>
          </w:p>
        </w:tc>
      </w:tr>
      <w:tr>
        <w:trPr>
          <w:trHeight w:val="222"/>
        </w:trPr>
        <w:tc>
          <w:tcPr>
            <w:tcW w:w="1120" w:type="dxa"/>
            <w:vAlign w:val="bottom"/>
          </w:tcPr>
          <w:p>
            <w:pPr>
              <w:jc w:val="center"/>
              <w:spacing w:after="0"/>
              <w:rPr>
                <w:sz w:val="20"/>
                <w:szCs w:val="20"/>
                <w:color w:val="auto"/>
              </w:rPr>
            </w:pPr>
            <w:r>
              <w:rPr>
                <w:rFonts w:ascii="Arial" w:cs="Arial" w:eastAsia="Arial" w:hAnsi="Arial"/>
                <w:sz w:val="18"/>
                <w:szCs w:val="18"/>
                <w:color w:val="auto"/>
                <w:w w:val="89"/>
              </w:rPr>
              <w:t>(000-15006)</w:t>
            </w:r>
          </w:p>
        </w:tc>
        <w:tc>
          <w:tcPr>
            <w:tcW w:w="16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20" w:type="dxa"/>
            <w:vAlign w:val="bottom"/>
          </w:tcPr>
          <w:p>
            <w:pPr>
              <w:spacing w:after="0"/>
              <w:rPr>
                <w:sz w:val="19"/>
                <w:szCs w:val="19"/>
                <w:color w:val="auto"/>
              </w:rPr>
            </w:pPr>
          </w:p>
        </w:tc>
      </w:tr>
      <w:tr>
        <w:trPr>
          <w:trHeight w:val="426"/>
        </w:trPr>
        <w:tc>
          <w:tcPr>
            <w:tcW w:w="1120" w:type="dxa"/>
            <w:vAlign w:val="bottom"/>
          </w:tcPr>
          <w:p>
            <w:pPr>
              <w:jc w:val="center"/>
              <w:spacing w:after="0"/>
              <w:rPr>
                <w:sz w:val="20"/>
                <w:szCs w:val="20"/>
                <w:color w:val="auto"/>
              </w:rPr>
            </w:pPr>
            <w:r>
              <w:rPr>
                <w:rFonts w:ascii="Arial" w:cs="Arial" w:eastAsia="Arial" w:hAnsi="Arial"/>
                <w:sz w:val="18"/>
                <w:szCs w:val="18"/>
                <w:color w:val="auto"/>
                <w:w w:val="94"/>
              </w:rPr>
              <w:t>10-K</w:t>
            </w:r>
          </w:p>
        </w:tc>
        <w:tc>
          <w:tcPr>
            <w:tcW w:w="660" w:type="dxa"/>
            <w:vAlign w:val="bottom"/>
            <w:gridSpan w:val="2"/>
          </w:tcPr>
          <w:p>
            <w:pPr>
              <w:jc w:val="center"/>
              <w:ind w:left="72"/>
              <w:spacing w:after="0"/>
              <w:rPr>
                <w:sz w:val="20"/>
                <w:szCs w:val="20"/>
                <w:color w:val="auto"/>
              </w:rPr>
            </w:pPr>
            <w:r>
              <w:rPr>
                <w:rFonts w:ascii="Arial" w:cs="Arial" w:eastAsia="Arial" w:hAnsi="Arial"/>
                <w:sz w:val="18"/>
                <w:szCs w:val="18"/>
                <w:color w:val="auto"/>
                <w:w w:val="87"/>
              </w:rPr>
              <w:t>4.5</w:t>
            </w:r>
          </w:p>
        </w:tc>
        <w:tc>
          <w:tcPr>
            <w:tcW w:w="880" w:type="dxa"/>
            <w:vAlign w:val="bottom"/>
            <w:gridSpan w:val="2"/>
          </w:tcPr>
          <w:p>
            <w:pPr>
              <w:jc w:val="center"/>
              <w:ind w:left="52"/>
              <w:spacing w:after="0"/>
              <w:rPr>
                <w:sz w:val="20"/>
                <w:szCs w:val="20"/>
                <w:color w:val="auto"/>
              </w:rPr>
            </w:pPr>
            <w:r>
              <w:rPr>
                <w:rFonts w:ascii="Arial" w:cs="Arial" w:eastAsia="Arial" w:hAnsi="Arial"/>
                <w:sz w:val="18"/>
                <w:szCs w:val="18"/>
                <w:color w:val="auto"/>
                <w:w w:val="89"/>
              </w:rPr>
              <w:t>3/12/10</w:t>
            </w:r>
          </w:p>
        </w:tc>
      </w:tr>
      <w:tr>
        <w:trPr>
          <w:trHeight w:val="216"/>
        </w:trPr>
        <w:tc>
          <w:tcPr>
            <w:tcW w:w="1120" w:type="dxa"/>
            <w:vAlign w:val="bottom"/>
          </w:tcPr>
          <w:p>
            <w:pPr>
              <w:jc w:val="center"/>
              <w:spacing w:after="0"/>
              <w:rPr>
                <w:sz w:val="20"/>
                <w:szCs w:val="20"/>
                <w:color w:val="auto"/>
              </w:rPr>
            </w:pPr>
            <w:r>
              <w:rPr>
                <w:rFonts w:ascii="Arial" w:cs="Arial" w:eastAsia="Arial" w:hAnsi="Arial"/>
                <w:sz w:val="18"/>
                <w:szCs w:val="18"/>
                <w:color w:val="auto"/>
                <w:w w:val="89"/>
              </w:rPr>
              <w:t>(000-15006)</w:t>
            </w:r>
          </w:p>
        </w:tc>
        <w:tc>
          <w:tcPr>
            <w:tcW w:w="1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tcPr>
          <w:p>
            <w:pPr>
              <w:spacing w:after="0"/>
              <w:rPr>
                <w:sz w:val="18"/>
                <w:szCs w:val="18"/>
                <w:color w:val="auto"/>
              </w:rPr>
            </w:pPr>
          </w:p>
        </w:tc>
      </w:tr>
      <w:tr>
        <w:trPr>
          <w:trHeight w:val="216"/>
        </w:trPr>
        <w:tc>
          <w:tcPr>
            <w:tcW w:w="1120" w:type="dxa"/>
            <w:vAlign w:val="bottom"/>
          </w:tcPr>
          <w:p>
            <w:pPr>
              <w:jc w:val="center"/>
              <w:spacing w:after="0"/>
              <w:rPr>
                <w:sz w:val="20"/>
                <w:szCs w:val="20"/>
                <w:color w:val="auto"/>
              </w:rPr>
            </w:pPr>
            <w:r>
              <w:rPr>
                <w:rFonts w:ascii="Arial" w:cs="Arial" w:eastAsia="Arial" w:hAnsi="Arial"/>
                <w:sz w:val="18"/>
                <w:szCs w:val="18"/>
                <w:color w:val="auto"/>
                <w:w w:val="92"/>
              </w:rPr>
              <w:t>8-K</w:t>
            </w:r>
          </w:p>
        </w:tc>
        <w:tc>
          <w:tcPr>
            <w:tcW w:w="660" w:type="dxa"/>
            <w:vAlign w:val="bottom"/>
            <w:gridSpan w:val="2"/>
          </w:tcPr>
          <w:p>
            <w:pPr>
              <w:jc w:val="center"/>
              <w:ind w:left="72"/>
              <w:spacing w:after="0"/>
              <w:rPr>
                <w:sz w:val="20"/>
                <w:szCs w:val="20"/>
                <w:color w:val="auto"/>
              </w:rPr>
            </w:pPr>
            <w:r>
              <w:rPr>
                <w:rFonts w:ascii="Arial" w:cs="Arial" w:eastAsia="Arial" w:hAnsi="Arial"/>
                <w:sz w:val="18"/>
                <w:szCs w:val="18"/>
                <w:color w:val="auto"/>
                <w:w w:val="87"/>
              </w:rPr>
              <w:t>4.1</w:t>
            </w:r>
          </w:p>
        </w:tc>
        <w:tc>
          <w:tcPr>
            <w:tcW w:w="880" w:type="dxa"/>
            <w:vAlign w:val="bottom"/>
            <w:gridSpan w:val="2"/>
          </w:tcPr>
          <w:p>
            <w:pPr>
              <w:jc w:val="center"/>
              <w:ind w:left="52"/>
              <w:spacing w:after="0"/>
              <w:rPr>
                <w:sz w:val="20"/>
                <w:szCs w:val="20"/>
                <w:color w:val="auto"/>
              </w:rPr>
            </w:pPr>
            <w:r>
              <w:rPr>
                <w:rFonts w:ascii="Arial" w:cs="Arial" w:eastAsia="Arial" w:hAnsi="Arial"/>
                <w:sz w:val="18"/>
                <w:szCs w:val="18"/>
                <w:color w:val="auto"/>
                <w:w w:val="89"/>
              </w:rPr>
              <w:t>10/2/09</w:t>
            </w:r>
          </w:p>
        </w:tc>
      </w:tr>
      <w:tr>
        <w:trPr>
          <w:trHeight w:val="216"/>
        </w:trPr>
        <w:tc>
          <w:tcPr>
            <w:tcW w:w="1120" w:type="dxa"/>
            <w:vAlign w:val="bottom"/>
          </w:tcPr>
          <w:p>
            <w:pPr>
              <w:jc w:val="center"/>
              <w:spacing w:after="0"/>
              <w:rPr>
                <w:sz w:val="20"/>
                <w:szCs w:val="20"/>
                <w:color w:val="auto"/>
              </w:rPr>
            </w:pPr>
            <w:r>
              <w:rPr>
                <w:rFonts w:ascii="Arial" w:cs="Arial" w:eastAsia="Arial" w:hAnsi="Arial"/>
                <w:sz w:val="18"/>
                <w:szCs w:val="18"/>
                <w:color w:val="auto"/>
                <w:w w:val="89"/>
              </w:rPr>
              <w:t>(000-15006)</w:t>
            </w:r>
          </w:p>
        </w:tc>
        <w:tc>
          <w:tcPr>
            <w:tcW w:w="1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tcPr>
          <w:p>
            <w:pPr>
              <w:spacing w:after="0"/>
              <w:rPr>
                <w:sz w:val="18"/>
                <w:szCs w:val="18"/>
                <w:color w:val="auto"/>
              </w:rPr>
            </w:pPr>
          </w:p>
        </w:tc>
      </w:tr>
      <w:tr>
        <w:trPr>
          <w:trHeight w:val="216"/>
        </w:trPr>
        <w:tc>
          <w:tcPr>
            <w:tcW w:w="1120" w:type="dxa"/>
            <w:vAlign w:val="bottom"/>
          </w:tcPr>
          <w:p>
            <w:pPr>
              <w:jc w:val="center"/>
              <w:spacing w:after="0"/>
              <w:rPr>
                <w:sz w:val="20"/>
                <w:szCs w:val="20"/>
                <w:color w:val="auto"/>
              </w:rPr>
            </w:pPr>
            <w:r>
              <w:rPr>
                <w:rFonts w:ascii="Arial" w:cs="Arial" w:eastAsia="Arial" w:hAnsi="Arial"/>
                <w:sz w:val="18"/>
                <w:szCs w:val="18"/>
                <w:color w:val="auto"/>
                <w:w w:val="92"/>
              </w:rPr>
              <w:t>8-K</w:t>
            </w:r>
          </w:p>
        </w:tc>
        <w:tc>
          <w:tcPr>
            <w:tcW w:w="660" w:type="dxa"/>
            <w:vAlign w:val="bottom"/>
            <w:gridSpan w:val="2"/>
          </w:tcPr>
          <w:p>
            <w:pPr>
              <w:jc w:val="center"/>
              <w:ind w:left="72"/>
              <w:spacing w:after="0"/>
              <w:rPr>
                <w:sz w:val="20"/>
                <w:szCs w:val="20"/>
                <w:color w:val="auto"/>
              </w:rPr>
            </w:pPr>
            <w:r>
              <w:rPr>
                <w:rFonts w:ascii="Arial" w:cs="Arial" w:eastAsia="Arial" w:hAnsi="Arial"/>
                <w:sz w:val="18"/>
                <w:szCs w:val="18"/>
                <w:color w:val="auto"/>
                <w:w w:val="87"/>
              </w:rPr>
              <w:t>4.1</w:t>
            </w:r>
          </w:p>
        </w:tc>
        <w:tc>
          <w:tcPr>
            <w:tcW w:w="880" w:type="dxa"/>
            <w:vAlign w:val="bottom"/>
            <w:gridSpan w:val="2"/>
          </w:tcPr>
          <w:p>
            <w:pPr>
              <w:jc w:val="center"/>
              <w:ind w:left="52"/>
              <w:spacing w:after="0"/>
              <w:rPr>
                <w:sz w:val="20"/>
                <w:szCs w:val="20"/>
                <w:color w:val="auto"/>
              </w:rPr>
            </w:pPr>
            <w:r>
              <w:rPr>
                <w:rFonts w:ascii="Arial" w:cs="Arial" w:eastAsia="Arial" w:hAnsi="Arial"/>
                <w:sz w:val="18"/>
                <w:szCs w:val="18"/>
                <w:color w:val="auto"/>
                <w:w w:val="88"/>
              </w:rPr>
              <w:t>12/31/09</w:t>
            </w:r>
          </w:p>
        </w:tc>
      </w:tr>
      <w:tr>
        <w:trPr>
          <w:trHeight w:val="222"/>
        </w:trPr>
        <w:tc>
          <w:tcPr>
            <w:tcW w:w="1120" w:type="dxa"/>
            <w:vAlign w:val="bottom"/>
          </w:tcPr>
          <w:p>
            <w:pPr>
              <w:jc w:val="center"/>
              <w:spacing w:after="0"/>
              <w:rPr>
                <w:sz w:val="20"/>
                <w:szCs w:val="20"/>
                <w:color w:val="auto"/>
              </w:rPr>
            </w:pPr>
            <w:r>
              <w:rPr>
                <w:rFonts w:ascii="Arial" w:cs="Arial" w:eastAsia="Arial" w:hAnsi="Arial"/>
                <w:sz w:val="18"/>
                <w:szCs w:val="18"/>
                <w:color w:val="auto"/>
                <w:w w:val="89"/>
              </w:rPr>
              <w:t>(000-15006)</w:t>
            </w:r>
          </w:p>
        </w:tc>
        <w:tc>
          <w:tcPr>
            <w:tcW w:w="16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20" w:type="dxa"/>
            <w:vAlign w:val="bottom"/>
          </w:tcPr>
          <w:p>
            <w:pPr>
              <w:spacing w:after="0"/>
              <w:rPr>
                <w:sz w:val="19"/>
                <w:szCs w:val="19"/>
                <w:color w:val="auto"/>
              </w:rPr>
            </w:pPr>
          </w:p>
        </w:tc>
      </w:tr>
      <w:tr>
        <w:trPr>
          <w:trHeight w:val="426"/>
        </w:trPr>
        <w:tc>
          <w:tcPr>
            <w:tcW w:w="1120" w:type="dxa"/>
            <w:vAlign w:val="bottom"/>
          </w:tcPr>
          <w:p>
            <w:pPr>
              <w:jc w:val="center"/>
              <w:spacing w:after="0"/>
              <w:rPr>
                <w:sz w:val="20"/>
                <w:szCs w:val="20"/>
                <w:color w:val="auto"/>
              </w:rPr>
            </w:pPr>
            <w:r>
              <w:rPr>
                <w:rFonts w:ascii="Arial" w:cs="Arial" w:eastAsia="Arial" w:hAnsi="Arial"/>
                <w:sz w:val="18"/>
                <w:szCs w:val="18"/>
                <w:color w:val="auto"/>
                <w:w w:val="94"/>
              </w:rPr>
              <w:t>10-Q/A</w:t>
            </w:r>
          </w:p>
        </w:tc>
        <w:tc>
          <w:tcPr>
            <w:tcW w:w="660" w:type="dxa"/>
            <w:vAlign w:val="bottom"/>
            <w:gridSpan w:val="2"/>
          </w:tcPr>
          <w:p>
            <w:pPr>
              <w:jc w:val="center"/>
              <w:ind w:left="72"/>
              <w:spacing w:after="0"/>
              <w:rPr>
                <w:sz w:val="20"/>
                <w:szCs w:val="20"/>
                <w:color w:val="auto"/>
              </w:rPr>
            </w:pPr>
            <w:r>
              <w:rPr>
                <w:rFonts w:ascii="Arial" w:cs="Arial" w:eastAsia="Arial" w:hAnsi="Arial"/>
                <w:sz w:val="18"/>
                <w:szCs w:val="18"/>
                <w:color w:val="auto"/>
                <w:w w:val="84"/>
              </w:rPr>
              <w:t>10.11</w:t>
            </w:r>
          </w:p>
        </w:tc>
        <w:tc>
          <w:tcPr>
            <w:tcW w:w="880" w:type="dxa"/>
            <w:vAlign w:val="bottom"/>
            <w:gridSpan w:val="2"/>
          </w:tcPr>
          <w:p>
            <w:pPr>
              <w:jc w:val="center"/>
              <w:ind w:left="52"/>
              <w:spacing w:after="0"/>
              <w:rPr>
                <w:sz w:val="20"/>
                <w:szCs w:val="20"/>
                <w:color w:val="auto"/>
              </w:rPr>
            </w:pPr>
            <w:r>
              <w:rPr>
                <w:rFonts w:ascii="Arial" w:cs="Arial" w:eastAsia="Arial" w:hAnsi="Arial"/>
                <w:sz w:val="18"/>
                <w:szCs w:val="18"/>
                <w:color w:val="auto"/>
                <w:w w:val="89"/>
              </w:rPr>
              <w:t>8/23/96</w:t>
            </w:r>
          </w:p>
        </w:tc>
      </w:tr>
      <w:tr>
        <w:trPr>
          <w:trHeight w:val="216"/>
        </w:trPr>
        <w:tc>
          <w:tcPr>
            <w:tcW w:w="1120" w:type="dxa"/>
            <w:vAlign w:val="bottom"/>
          </w:tcPr>
          <w:p>
            <w:pPr>
              <w:jc w:val="center"/>
              <w:spacing w:after="0"/>
              <w:rPr>
                <w:sz w:val="20"/>
                <w:szCs w:val="20"/>
                <w:color w:val="auto"/>
              </w:rPr>
            </w:pPr>
            <w:r>
              <w:rPr>
                <w:rFonts w:ascii="Arial" w:cs="Arial" w:eastAsia="Arial" w:hAnsi="Arial"/>
                <w:sz w:val="18"/>
                <w:szCs w:val="18"/>
                <w:color w:val="auto"/>
                <w:w w:val="89"/>
              </w:rPr>
              <w:t>(000-15006)</w:t>
            </w:r>
          </w:p>
        </w:tc>
        <w:tc>
          <w:tcPr>
            <w:tcW w:w="1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tcPr>
          <w:p>
            <w:pPr>
              <w:spacing w:after="0"/>
              <w:rPr>
                <w:sz w:val="18"/>
                <w:szCs w:val="18"/>
                <w:color w:val="auto"/>
              </w:rPr>
            </w:pPr>
          </w:p>
        </w:tc>
      </w:tr>
      <w:tr>
        <w:trPr>
          <w:trHeight w:val="216"/>
        </w:trPr>
        <w:tc>
          <w:tcPr>
            <w:tcW w:w="1120" w:type="dxa"/>
            <w:vAlign w:val="bottom"/>
          </w:tcPr>
          <w:p>
            <w:pPr>
              <w:jc w:val="center"/>
              <w:spacing w:after="0"/>
              <w:rPr>
                <w:sz w:val="20"/>
                <w:szCs w:val="20"/>
                <w:color w:val="auto"/>
              </w:rPr>
            </w:pPr>
            <w:r>
              <w:rPr>
                <w:rFonts w:ascii="Arial" w:cs="Arial" w:eastAsia="Arial" w:hAnsi="Arial"/>
                <w:sz w:val="18"/>
                <w:szCs w:val="18"/>
                <w:color w:val="auto"/>
                <w:w w:val="94"/>
              </w:rPr>
              <w:t>10-K</w:t>
            </w:r>
          </w:p>
        </w:tc>
        <w:tc>
          <w:tcPr>
            <w:tcW w:w="660" w:type="dxa"/>
            <w:vAlign w:val="bottom"/>
            <w:gridSpan w:val="2"/>
          </w:tcPr>
          <w:p>
            <w:pPr>
              <w:jc w:val="center"/>
              <w:ind w:left="72"/>
              <w:spacing w:after="0"/>
              <w:rPr>
                <w:sz w:val="20"/>
                <w:szCs w:val="20"/>
                <w:color w:val="auto"/>
              </w:rPr>
            </w:pPr>
            <w:r>
              <w:rPr>
                <w:rFonts w:ascii="Arial" w:cs="Arial" w:eastAsia="Arial" w:hAnsi="Arial"/>
                <w:sz w:val="18"/>
                <w:szCs w:val="18"/>
                <w:color w:val="auto"/>
                <w:w w:val="85"/>
              </w:rPr>
              <w:t>10.9</w:t>
            </w:r>
          </w:p>
        </w:tc>
        <w:tc>
          <w:tcPr>
            <w:tcW w:w="880" w:type="dxa"/>
            <w:vAlign w:val="bottom"/>
            <w:gridSpan w:val="2"/>
          </w:tcPr>
          <w:p>
            <w:pPr>
              <w:jc w:val="center"/>
              <w:ind w:left="52"/>
              <w:spacing w:after="0"/>
              <w:rPr>
                <w:sz w:val="20"/>
                <w:szCs w:val="20"/>
                <w:color w:val="auto"/>
              </w:rPr>
            </w:pPr>
            <w:r>
              <w:rPr>
                <w:rFonts w:ascii="Arial" w:cs="Arial" w:eastAsia="Arial" w:hAnsi="Arial"/>
                <w:sz w:val="18"/>
                <w:szCs w:val="18"/>
                <w:color w:val="auto"/>
                <w:w w:val="89"/>
              </w:rPr>
              <w:t>3/27/02</w:t>
            </w:r>
          </w:p>
        </w:tc>
      </w:tr>
      <w:tr>
        <w:trPr>
          <w:trHeight w:val="222"/>
        </w:trPr>
        <w:tc>
          <w:tcPr>
            <w:tcW w:w="1120" w:type="dxa"/>
            <w:vAlign w:val="bottom"/>
          </w:tcPr>
          <w:p>
            <w:pPr>
              <w:jc w:val="center"/>
              <w:spacing w:after="0"/>
              <w:rPr>
                <w:sz w:val="20"/>
                <w:szCs w:val="20"/>
                <w:color w:val="auto"/>
              </w:rPr>
            </w:pPr>
            <w:r>
              <w:rPr>
                <w:rFonts w:ascii="Arial" w:cs="Arial" w:eastAsia="Arial" w:hAnsi="Arial"/>
                <w:sz w:val="18"/>
                <w:szCs w:val="18"/>
                <w:color w:val="auto"/>
                <w:w w:val="89"/>
              </w:rPr>
              <w:t>(000-15006)</w:t>
            </w:r>
          </w:p>
        </w:tc>
        <w:tc>
          <w:tcPr>
            <w:tcW w:w="16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20" w:type="dxa"/>
            <w:vAlign w:val="bottom"/>
          </w:tcPr>
          <w:p>
            <w:pPr>
              <w:spacing w:after="0"/>
              <w:rPr>
                <w:sz w:val="19"/>
                <w:szCs w:val="19"/>
                <w:color w:val="auto"/>
              </w:rPr>
            </w:pPr>
          </w:p>
        </w:tc>
      </w:tr>
      <w:tr>
        <w:trPr>
          <w:trHeight w:val="426"/>
        </w:trPr>
        <w:tc>
          <w:tcPr>
            <w:tcW w:w="1120" w:type="dxa"/>
            <w:vAlign w:val="bottom"/>
          </w:tcPr>
          <w:p>
            <w:pPr>
              <w:jc w:val="center"/>
              <w:spacing w:after="0"/>
              <w:rPr>
                <w:sz w:val="20"/>
                <w:szCs w:val="20"/>
                <w:color w:val="auto"/>
              </w:rPr>
            </w:pPr>
            <w:r>
              <w:rPr>
                <w:rFonts w:ascii="Arial" w:cs="Arial" w:eastAsia="Arial" w:hAnsi="Arial"/>
                <w:sz w:val="18"/>
                <w:szCs w:val="18"/>
                <w:color w:val="auto"/>
                <w:w w:val="94"/>
              </w:rPr>
              <w:t>10-K</w:t>
            </w:r>
          </w:p>
        </w:tc>
        <w:tc>
          <w:tcPr>
            <w:tcW w:w="660" w:type="dxa"/>
            <w:vAlign w:val="bottom"/>
            <w:gridSpan w:val="2"/>
          </w:tcPr>
          <w:p>
            <w:pPr>
              <w:jc w:val="center"/>
              <w:ind w:left="52"/>
              <w:spacing w:after="0"/>
              <w:rPr>
                <w:sz w:val="20"/>
                <w:szCs w:val="20"/>
                <w:color w:val="auto"/>
              </w:rPr>
            </w:pPr>
            <w:r>
              <w:rPr>
                <w:rFonts w:ascii="Arial" w:cs="Arial" w:eastAsia="Arial" w:hAnsi="Arial"/>
                <w:sz w:val="18"/>
                <w:szCs w:val="18"/>
                <w:color w:val="auto"/>
                <w:w w:val="88"/>
              </w:rPr>
              <w:t>10.40</w:t>
            </w:r>
          </w:p>
        </w:tc>
        <w:tc>
          <w:tcPr>
            <w:tcW w:w="880" w:type="dxa"/>
            <w:vAlign w:val="bottom"/>
            <w:gridSpan w:val="2"/>
          </w:tcPr>
          <w:p>
            <w:pPr>
              <w:jc w:val="center"/>
              <w:ind w:left="52"/>
              <w:spacing w:after="0"/>
              <w:rPr>
                <w:sz w:val="20"/>
                <w:szCs w:val="20"/>
                <w:color w:val="auto"/>
              </w:rPr>
            </w:pPr>
            <w:r>
              <w:rPr>
                <w:rFonts w:ascii="Arial" w:cs="Arial" w:eastAsia="Arial" w:hAnsi="Arial"/>
                <w:sz w:val="18"/>
                <w:szCs w:val="18"/>
                <w:color w:val="auto"/>
                <w:w w:val="89"/>
              </w:rPr>
              <w:t>3/16/06</w:t>
            </w:r>
          </w:p>
        </w:tc>
      </w:tr>
      <w:tr>
        <w:trPr>
          <w:trHeight w:val="216"/>
        </w:trPr>
        <w:tc>
          <w:tcPr>
            <w:tcW w:w="1120" w:type="dxa"/>
            <w:vAlign w:val="bottom"/>
          </w:tcPr>
          <w:p>
            <w:pPr>
              <w:jc w:val="center"/>
              <w:spacing w:after="0"/>
              <w:rPr>
                <w:sz w:val="20"/>
                <w:szCs w:val="20"/>
                <w:color w:val="auto"/>
              </w:rPr>
            </w:pPr>
            <w:r>
              <w:rPr>
                <w:rFonts w:ascii="Arial" w:cs="Arial" w:eastAsia="Arial" w:hAnsi="Arial"/>
                <w:sz w:val="18"/>
                <w:szCs w:val="18"/>
                <w:color w:val="auto"/>
                <w:w w:val="89"/>
              </w:rPr>
              <w:t>(000-15006)</w:t>
            </w:r>
          </w:p>
        </w:tc>
        <w:tc>
          <w:tcPr>
            <w:tcW w:w="1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tcPr>
          <w:p>
            <w:pPr>
              <w:spacing w:after="0"/>
              <w:rPr>
                <w:sz w:val="18"/>
                <w:szCs w:val="18"/>
                <w:color w:val="auto"/>
              </w:rPr>
            </w:pPr>
          </w:p>
        </w:tc>
      </w:tr>
      <w:tr>
        <w:trPr>
          <w:trHeight w:val="216"/>
        </w:trPr>
        <w:tc>
          <w:tcPr>
            <w:tcW w:w="1120" w:type="dxa"/>
            <w:vAlign w:val="bottom"/>
          </w:tcPr>
          <w:p>
            <w:pPr>
              <w:jc w:val="center"/>
              <w:spacing w:after="0"/>
              <w:rPr>
                <w:sz w:val="20"/>
                <w:szCs w:val="20"/>
                <w:color w:val="auto"/>
              </w:rPr>
            </w:pPr>
            <w:r>
              <w:rPr>
                <w:rFonts w:ascii="Arial" w:cs="Arial" w:eastAsia="Arial" w:hAnsi="Arial"/>
                <w:sz w:val="18"/>
                <w:szCs w:val="18"/>
                <w:color w:val="auto"/>
                <w:w w:val="89"/>
              </w:rPr>
              <w:t>10-Q</w:t>
            </w:r>
          </w:p>
        </w:tc>
        <w:tc>
          <w:tcPr>
            <w:tcW w:w="660" w:type="dxa"/>
            <w:vAlign w:val="bottom"/>
            <w:gridSpan w:val="2"/>
          </w:tcPr>
          <w:p>
            <w:pPr>
              <w:jc w:val="center"/>
              <w:ind w:left="72"/>
              <w:spacing w:after="0"/>
              <w:rPr>
                <w:sz w:val="20"/>
                <w:szCs w:val="20"/>
                <w:color w:val="auto"/>
              </w:rPr>
            </w:pPr>
            <w:r>
              <w:rPr>
                <w:rFonts w:ascii="Arial" w:cs="Arial" w:eastAsia="Arial" w:hAnsi="Arial"/>
                <w:sz w:val="18"/>
                <w:szCs w:val="18"/>
                <w:color w:val="auto"/>
                <w:w w:val="85"/>
              </w:rPr>
              <w:t>10.1</w:t>
            </w:r>
          </w:p>
        </w:tc>
        <w:tc>
          <w:tcPr>
            <w:tcW w:w="880" w:type="dxa"/>
            <w:vAlign w:val="bottom"/>
            <w:gridSpan w:val="2"/>
          </w:tcPr>
          <w:p>
            <w:pPr>
              <w:jc w:val="center"/>
              <w:ind w:left="52"/>
              <w:spacing w:after="0"/>
              <w:rPr>
                <w:sz w:val="20"/>
                <w:szCs w:val="20"/>
                <w:color w:val="auto"/>
              </w:rPr>
            </w:pPr>
            <w:r>
              <w:rPr>
                <w:rFonts w:ascii="Arial" w:cs="Arial" w:eastAsia="Arial" w:hAnsi="Arial"/>
                <w:sz w:val="18"/>
                <w:szCs w:val="18"/>
                <w:color w:val="auto"/>
                <w:w w:val="89"/>
              </w:rPr>
              <w:t>4/30/04</w:t>
            </w:r>
          </w:p>
        </w:tc>
      </w:tr>
      <w:tr>
        <w:trPr>
          <w:trHeight w:val="216"/>
        </w:trPr>
        <w:tc>
          <w:tcPr>
            <w:tcW w:w="1120" w:type="dxa"/>
            <w:vAlign w:val="bottom"/>
          </w:tcPr>
          <w:p>
            <w:pPr>
              <w:jc w:val="center"/>
              <w:spacing w:after="0"/>
              <w:rPr>
                <w:sz w:val="20"/>
                <w:szCs w:val="20"/>
                <w:color w:val="auto"/>
              </w:rPr>
            </w:pPr>
            <w:r>
              <w:rPr>
                <w:rFonts w:ascii="Arial" w:cs="Arial" w:eastAsia="Arial" w:hAnsi="Arial"/>
                <w:sz w:val="18"/>
                <w:szCs w:val="18"/>
                <w:color w:val="auto"/>
                <w:w w:val="89"/>
              </w:rPr>
              <w:t>(000-15006)</w:t>
            </w:r>
          </w:p>
        </w:tc>
        <w:tc>
          <w:tcPr>
            <w:tcW w:w="1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tcPr>
          <w:p>
            <w:pPr>
              <w:spacing w:after="0"/>
              <w:rPr>
                <w:sz w:val="18"/>
                <w:szCs w:val="18"/>
                <w:color w:val="auto"/>
              </w:rPr>
            </w:pPr>
          </w:p>
        </w:tc>
      </w:tr>
      <w:tr>
        <w:trPr>
          <w:trHeight w:val="216"/>
        </w:trPr>
        <w:tc>
          <w:tcPr>
            <w:tcW w:w="1120" w:type="dxa"/>
            <w:vAlign w:val="bottom"/>
          </w:tcPr>
          <w:p>
            <w:pPr>
              <w:jc w:val="center"/>
              <w:spacing w:after="0"/>
              <w:rPr>
                <w:sz w:val="20"/>
                <w:szCs w:val="20"/>
                <w:color w:val="auto"/>
              </w:rPr>
            </w:pPr>
            <w:r>
              <w:rPr>
                <w:rFonts w:ascii="Arial" w:cs="Arial" w:eastAsia="Arial" w:hAnsi="Arial"/>
                <w:sz w:val="18"/>
                <w:szCs w:val="18"/>
                <w:color w:val="auto"/>
                <w:w w:val="98"/>
              </w:rPr>
              <w:t>10-K/A</w:t>
            </w:r>
          </w:p>
        </w:tc>
        <w:tc>
          <w:tcPr>
            <w:tcW w:w="660" w:type="dxa"/>
            <w:vAlign w:val="bottom"/>
            <w:gridSpan w:val="2"/>
          </w:tcPr>
          <w:p>
            <w:pPr>
              <w:jc w:val="center"/>
              <w:ind w:left="72"/>
              <w:spacing w:after="0"/>
              <w:rPr>
                <w:sz w:val="20"/>
                <w:szCs w:val="20"/>
                <w:color w:val="auto"/>
              </w:rPr>
            </w:pPr>
            <w:r>
              <w:rPr>
                <w:rFonts w:ascii="Arial" w:cs="Arial" w:eastAsia="Arial" w:hAnsi="Arial"/>
                <w:sz w:val="18"/>
                <w:szCs w:val="18"/>
                <w:color w:val="auto"/>
                <w:w w:val="85"/>
              </w:rPr>
              <w:t>10.6</w:t>
            </w:r>
          </w:p>
        </w:tc>
        <w:tc>
          <w:tcPr>
            <w:tcW w:w="880" w:type="dxa"/>
            <w:vAlign w:val="bottom"/>
            <w:gridSpan w:val="2"/>
          </w:tcPr>
          <w:p>
            <w:pPr>
              <w:jc w:val="center"/>
              <w:ind w:left="52"/>
              <w:spacing w:after="0"/>
              <w:rPr>
                <w:sz w:val="20"/>
                <w:szCs w:val="20"/>
                <w:color w:val="auto"/>
              </w:rPr>
            </w:pPr>
            <w:r>
              <w:rPr>
                <w:rFonts w:ascii="Arial" w:cs="Arial" w:eastAsia="Arial" w:hAnsi="Arial"/>
                <w:sz w:val="18"/>
                <w:szCs w:val="18"/>
                <w:color w:val="auto"/>
                <w:w w:val="88"/>
              </w:rPr>
              <w:t>12/23/10</w:t>
            </w:r>
          </w:p>
        </w:tc>
      </w:tr>
      <w:tr>
        <w:trPr>
          <w:trHeight w:val="216"/>
        </w:trPr>
        <w:tc>
          <w:tcPr>
            <w:tcW w:w="1120" w:type="dxa"/>
            <w:vAlign w:val="bottom"/>
          </w:tcPr>
          <w:p>
            <w:pPr>
              <w:jc w:val="center"/>
              <w:spacing w:after="0"/>
              <w:rPr>
                <w:sz w:val="20"/>
                <w:szCs w:val="20"/>
                <w:color w:val="auto"/>
              </w:rPr>
            </w:pPr>
            <w:r>
              <w:rPr>
                <w:rFonts w:ascii="Arial" w:cs="Arial" w:eastAsia="Arial" w:hAnsi="Arial"/>
                <w:sz w:val="18"/>
                <w:szCs w:val="18"/>
                <w:color w:val="auto"/>
                <w:w w:val="89"/>
              </w:rPr>
              <w:t>(000-15006)</w:t>
            </w:r>
          </w:p>
        </w:tc>
        <w:tc>
          <w:tcPr>
            <w:tcW w:w="1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tcPr>
          <w:p>
            <w:pPr>
              <w:spacing w:after="0"/>
              <w:rPr>
                <w:sz w:val="18"/>
                <w:szCs w:val="18"/>
                <w:color w:val="auto"/>
              </w:rPr>
            </w:pPr>
          </w:p>
        </w:tc>
      </w:tr>
      <w:tr>
        <w:trPr>
          <w:trHeight w:val="216"/>
        </w:trPr>
        <w:tc>
          <w:tcPr>
            <w:tcW w:w="1120" w:type="dxa"/>
            <w:vAlign w:val="bottom"/>
          </w:tcPr>
          <w:p>
            <w:pPr>
              <w:jc w:val="center"/>
              <w:spacing w:after="0"/>
              <w:rPr>
                <w:sz w:val="20"/>
                <w:szCs w:val="20"/>
                <w:color w:val="auto"/>
              </w:rPr>
            </w:pPr>
            <w:r>
              <w:rPr>
                <w:rFonts w:ascii="Arial" w:cs="Arial" w:eastAsia="Arial" w:hAnsi="Arial"/>
                <w:sz w:val="18"/>
                <w:szCs w:val="18"/>
                <w:color w:val="auto"/>
                <w:w w:val="94"/>
              </w:rPr>
              <w:t>10-K</w:t>
            </w:r>
          </w:p>
        </w:tc>
        <w:tc>
          <w:tcPr>
            <w:tcW w:w="660" w:type="dxa"/>
            <w:vAlign w:val="bottom"/>
            <w:gridSpan w:val="2"/>
          </w:tcPr>
          <w:p>
            <w:pPr>
              <w:jc w:val="center"/>
              <w:ind w:left="52"/>
              <w:spacing w:after="0"/>
              <w:rPr>
                <w:sz w:val="20"/>
                <w:szCs w:val="20"/>
                <w:color w:val="auto"/>
              </w:rPr>
            </w:pPr>
            <w:r>
              <w:rPr>
                <w:rFonts w:ascii="Arial" w:cs="Arial" w:eastAsia="Arial" w:hAnsi="Arial"/>
                <w:sz w:val="18"/>
                <w:szCs w:val="18"/>
                <w:color w:val="auto"/>
                <w:w w:val="88"/>
              </w:rPr>
              <w:t>10.41</w:t>
            </w:r>
          </w:p>
        </w:tc>
        <w:tc>
          <w:tcPr>
            <w:tcW w:w="880" w:type="dxa"/>
            <w:vAlign w:val="bottom"/>
            <w:gridSpan w:val="2"/>
          </w:tcPr>
          <w:p>
            <w:pPr>
              <w:jc w:val="center"/>
              <w:ind w:left="52"/>
              <w:spacing w:after="0"/>
              <w:rPr>
                <w:sz w:val="20"/>
                <w:szCs w:val="20"/>
                <w:color w:val="auto"/>
              </w:rPr>
            </w:pPr>
            <w:r>
              <w:rPr>
                <w:rFonts w:ascii="Arial" w:cs="Arial" w:eastAsia="Arial" w:hAnsi="Arial"/>
                <w:sz w:val="18"/>
                <w:szCs w:val="18"/>
                <w:color w:val="auto"/>
                <w:w w:val="89"/>
              </w:rPr>
              <w:t>3/16/06</w:t>
            </w:r>
          </w:p>
        </w:tc>
      </w:tr>
      <w:tr>
        <w:trPr>
          <w:trHeight w:val="216"/>
        </w:trPr>
        <w:tc>
          <w:tcPr>
            <w:tcW w:w="1120" w:type="dxa"/>
            <w:vAlign w:val="bottom"/>
          </w:tcPr>
          <w:p>
            <w:pPr>
              <w:jc w:val="center"/>
              <w:spacing w:after="0"/>
              <w:rPr>
                <w:sz w:val="20"/>
                <w:szCs w:val="20"/>
                <w:color w:val="auto"/>
              </w:rPr>
            </w:pPr>
            <w:r>
              <w:rPr>
                <w:rFonts w:ascii="Arial" w:cs="Arial" w:eastAsia="Arial" w:hAnsi="Arial"/>
                <w:sz w:val="18"/>
                <w:szCs w:val="18"/>
                <w:color w:val="auto"/>
                <w:w w:val="89"/>
              </w:rPr>
              <w:t>(000-15006)</w:t>
            </w:r>
          </w:p>
        </w:tc>
        <w:tc>
          <w:tcPr>
            <w:tcW w:w="1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tcPr>
          <w:p>
            <w:pPr>
              <w:spacing w:after="0"/>
              <w:rPr>
                <w:sz w:val="18"/>
                <w:szCs w:val="18"/>
                <w:color w:val="auto"/>
              </w:rPr>
            </w:pPr>
          </w:p>
        </w:tc>
      </w:tr>
      <w:tr>
        <w:trPr>
          <w:trHeight w:val="216"/>
        </w:trPr>
        <w:tc>
          <w:tcPr>
            <w:tcW w:w="1120" w:type="dxa"/>
            <w:vAlign w:val="bottom"/>
          </w:tcPr>
          <w:p>
            <w:pPr>
              <w:jc w:val="center"/>
              <w:spacing w:after="0"/>
              <w:rPr>
                <w:sz w:val="20"/>
                <w:szCs w:val="20"/>
                <w:color w:val="auto"/>
              </w:rPr>
            </w:pPr>
            <w:r>
              <w:rPr>
                <w:rFonts w:ascii="Arial" w:cs="Arial" w:eastAsia="Arial" w:hAnsi="Arial"/>
                <w:sz w:val="18"/>
                <w:szCs w:val="18"/>
                <w:color w:val="auto"/>
                <w:w w:val="98"/>
              </w:rPr>
              <w:t>10-K/A</w:t>
            </w:r>
          </w:p>
        </w:tc>
        <w:tc>
          <w:tcPr>
            <w:tcW w:w="660" w:type="dxa"/>
            <w:vAlign w:val="bottom"/>
            <w:gridSpan w:val="2"/>
          </w:tcPr>
          <w:p>
            <w:pPr>
              <w:jc w:val="center"/>
              <w:ind w:left="72"/>
              <w:spacing w:after="0"/>
              <w:rPr>
                <w:sz w:val="20"/>
                <w:szCs w:val="20"/>
                <w:color w:val="auto"/>
              </w:rPr>
            </w:pPr>
            <w:r>
              <w:rPr>
                <w:rFonts w:ascii="Arial" w:cs="Arial" w:eastAsia="Arial" w:hAnsi="Arial"/>
                <w:sz w:val="18"/>
                <w:szCs w:val="18"/>
                <w:color w:val="auto"/>
                <w:w w:val="85"/>
              </w:rPr>
              <w:t>10.7</w:t>
            </w:r>
          </w:p>
        </w:tc>
        <w:tc>
          <w:tcPr>
            <w:tcW w:w="880" w:type="dxa"/>
            <w:vAlign w:val="bottom"/>
            <w:gridSpan w:val="2"/>
          </w:tcPr>
          <w:p>
            <w:pPr>
              <w:jc w:val="center"/>
              <w:ind w:left="52"/>
              <w:spacing w:after="0"/>
              <w:rPr>
                <w:sz w:val="20"/>
                <w:szCs w:val="20"/>
                <w:color w:val="auto"/>
              </w:rPr>
            </w:pPr>
            <w:r>
              <w:rPr>
                <w:rFonts w:ascii="Arial" w:cs="Arial" w:eastAsia="Arial" w:hAnsi="Arial"/>
                <w:sz w:val="18"/>
                <w:szCs w:val="18"/>
                <w:color w:val="auto"/>
                <w:w w:val="88"/>
              </w:rPr>
              <w:t>12/23/10</w:t>
            </w:r>
          </w:p>
        </w:tc>
      </w:tr>
      <w:tr>
        <w:trPr>
          <w:trHeight w:val="216"/>
        </w:trPr>
        <w:tc>
          <w:tcPr>
            <w:tcW w:w="1120" w:type="dxa"/>
            <w:vAlign w:val="bottom"/>
          </w:tcPr>
          <w:p>
            <w:pPr>
              <w:jc w:val="center"/>
              <w:spacing w:after="0"/>
              <w:rPr>
                <w:sz w:val="20"/>
                <w:szCs w:val="20"/>
                <w:color w:val="auto"/>
              </w:rPr>
            </w:pPr>
            <w:r>
              <w:rPr>
                <w:rFonts w:ascii="Arial" w:cs="Arial" w:eastAsia="Arial" w:hAnsi="Arial"/>
                <w:sz w:val="18"/>
                <w:szCs w:val="18"/>
                <w:color w:val="auto"/>
                <w:w w:val="89"/>
              </w:rPr>
              <w:t>(000-15006)</w:t>
            </w:r>
          </w:p>
        </w:tc>
        <w:tc>
          <w:tcPr>
            <w:tcW w:w="1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tcPr>
          <w:p>
            <w:pPr>
              <w:spacing w:after="0"/>
              <w:rPr>
                <w:sz w:val="18"/>
                <w:szCs w:val="18"/>
                <w:color w:val="auto"/>
              </w:rPr>
            </w:pPr>
          </w:p>
        </w:tc>
      </w:tr>
      <w:tr>
        <w:trPr>
          <w:trHeight w:val="216"/>
        </w:trPr>
        <w:tc>
          <w:tcPr>
            <w:tcW w:w="1120" w:type="dxa"/>
            <w:vAlign w:val="bottom"/>
          </w:tcPr>
          <w:p>
            <w:pPr>
              <w:jc w:val="center"/>
              <w:spacing w:after="0"/>
              <w:rPr>
                <w:sz w:val="20"/>
                <w:szCs w:val="20"/>
                <w:color w:val="auto"/>
              </w:rPr>
            </w:pPr>
            <w:r>
              <w:rPr>
                <w:rFonts w:ascii="Arial" w:cs="Arial" w:eastAsia="Arial" w:hAnsi="Arial"/>
                <w:sz w:val="18"/>
                <w:szCs w:val="18"/>
                <w:color w:val="auto"/>
                <w:w w:val="98"/>
              </w:rPr>
              <w:t>10-K/A</w:t>
            </w:r>
          </w:p>
        </w:tc>
        <w:tc>
          <w:tcPr>
            <w:tcW w:w="660" w:type="dxa"/>
            <w:vAlign w:val="bottom"/>
            <w:gridSpan w:val="2"/>
          </w:tcPr>
          <w:p>
            <w:pPr>
              <w:jc w:val="center"/>
              <w:ind w:left="72"/>
              <w:spacing w:after="0"/>
              <w:rPr>
                <w:sz w:val="20"/>
                <w:szCs w:val="20"/>
                <w:color w:val="auto"/>
              </w:rPr>
            </w:pPr>
            <w:r>
              <w:rPr>
                <w:rFonts w:ascii="Arial" w:cs="Arial" w:eastAsia="Arial" w:hAnsi="Arial"/>
                <w:sz w:val="18"/>
                <w:szCs w:val="18"/>
                <w:color w:val="auto"/>
                <w:w w:val="85"/>
              </w:rPr>
              <w:t>10.8</w:t>
            </w:r>
          </w:p>
        </w:tc>
        <w:tc>
          <w:tcPr>
            <w:tcW w:w="880" w:type="dxa"/>
            <w:vAlign w:val="bottom"/>
            <w:gridSpan w:val="2"/>
          </w:tcPr>
          <w:p>
            <w:pPr>
              <w:jc w:val="center"/>
              <w:ind w:left="52"/>
              <w:spacing w:after="0"/>
              <w:rPr>
                <w:sz w:val="20"/>
                <w:szCs w:val="20"/>
                <w:color w:val="auto"/>
              </w:rPr>
            </w:pPr>
            <w:r>
              <w:rPr>
                <w:rFonts w:ascii="Arial" w:cs="Arial" w:eastAsia="Arial" w:hAnsi="Arial"/>
                <w:sz w:val="18"/>
                <w:szCs w:val="18"/>
                <w:color w:val="auto"/>
                <w:w w:val="88"/>
              </w:rPr>
              <w:t>12/23/10</w:t>
            </w:r>
          </w:p>
        </w:tc>
      </w:tr>
      <w:tr>
        <w:trPr>
          <w:trHeight w:val="216"/>
        </w:trPr>
        <w:tc>
          <w:tcPr>
            <w:tcW w:w="1120" w:type="dxa"/>
            <w:vAlign w:val="bottom"/>
          </w:tcPr>
          <w:p>
            <w:pPr>
              <w:jc w:val="center"/>
              <w:spacing w:after="0"/>
              <w:rPr>
                <w:sz w:val="20"/>
                <w:szCs w:val="20"/>
                <w:color w:val="auto"/>
              </w:rPr>
            </w:pPr>
            <w:r>
              <w:rPr>
                <w:rFonts w:ascii="Arial" w:cs="Arial" w:eastAsia="Arial" w:hAnsi="Arial"/>
                <w:sz w:val="18"/>
                <w:szCs w:val="18"/>
                <w:color w:val="auto"/>
                <w:w w:val="89"/>
              </w:rPr>
              <w:t>(000-15006)</w:t>
            </w:r>
          </w:p>
        </w:tc>
        <w:tc>
          <w:tcPr>
            <w:tcW w:w="1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tcPr>
          <w:p>
            <w:pPr>
              <w:spacing w:after="0"/>
              <w:rPr>
                <w:sz w:val="18"/>
                <w:szCs w:val="18"/>
                <w:color w:val="auto"/>
              </w:rPr>
            </w:pPr>
          </w:p>
        </w:tc>
      </w:tr>
      <w:tr>
        <w:trPr>
          <w:trHeight w:val="216"/>
        </w:trPr>
        <w:tc>
          <w:tcPr>
            <w:tcW w:w="1120" w:type="dxa"/>
            <w:vAlign w:val="bottom"/>
          </w:tcPr>
          <w:p>
            <w:pPr>
              <w:jc w:val="center"/>
              <w:spacing w:after="0"/>
              <w:rPr>
                <w:sz w:val="20"/>
                <w:szCs w:val="20"/>
                <w:color w:val="auto"/>
              </w:rPr>
            </w:pPr>
            <w:r>
              <w:rPr>
                <w:rFonts w:ascii="Arial" w:cs="Arial" w:eastAsia="Arial" w:hAnsi="Arial"/>
                <w:sz w:val="18"/>
                <w:szCs w:val="18"/>
                <w:color w:val="auto"/>
                <w:w w:val="98"/>
              </w:rPr>
              <w:t>10-K/A</w:t>
            </w:r>
          </w:p>
        </w:tc>
        <w:tc>
          <w:tcPr>
            <w:tcW w:w="660" w:type="dxa"/>
            <w:vAlign w:val="bottom"/>
            <w:gridSpan w:val="2"/>
          </w:tcPr>
          <w:p>
            <w:pPr>
              <w:jc w:val="center"/>
              <w:ind w:left="72"/>
              <w:spacing w:after="0"/>
              <w:rPr>
                <w:sz w:val="20"/>
                <w:szCs w:val="20"/>
                <w:color w:val="auto"/>
              </w:rPr>
            </w:pPr>
            <w:r>
              <w:rPr>
                <w:rFonts w:ascii="Arial" w:cs="Arial" w:eastAsia="Arial" w:hAnsi="Arial"/>
                <w:sz w:val="18"/>
                <w:szCs w:val="18"/>
                <w:color w:val="auto"/>
                <w:w w:val="85"/>
              </w:rPr>
              <w:t>10.9</w:t>
            </w:r>
          </w:p>
        </w:tc>
        <w:tc>
          <w:tcPr>
            <w:tcW w:w="880" w:type="dxa"/>
            <w:vAlign w:val="bottom"/>
            <w:gridSpan w:val="2"/>
          </w:tcPr>
          <w:p>
            <w:pPr>
              <w:jc w:val="center"/>
              <w:ind w:left="52"/>
              <w:spacing w:after="0"/>
              <w:rPr>
                <w:sz w:val="20"/>
                <w:szCs w:val="20"/>
                <w:color w:val="auto"/>
              </w:rPr>
            </w:pPr>
            <w:r>
              <w:rPr>
                <w:rFonts w:ascii="Arial" w:cs="Arial" w:eastAsia="Arial" w:hAnsi="Arial"/>
                <w:sz w:val="18"/>
                <w:szCs w:val="18"/>
                <w:color w:val="auto"/>
                <w:w w:val="88"/>
              </w:rPr>
              <w:t>12/23/10</w:t>
            </w:r>
          </w:p>
        </w:tc>
      </w:tr>
      <w:tr>
        <w:trPr>
          <w:trHeight w:val="222"/>
        </w:trPr>
        <w:tc>
          <w:tcPr>
            <w:tcW w:w="1120" w:type="dxa"/>
            <w:vAlign w:val="bottom"/>
          </w:tcPr>
          <w:p>
            <w:pPr>
              <w:jc w:val="center"/>
              <w:spacing w:after="0"/>
              <w:rPr>
                <w:sz w:val="20"/>
                <w:szCs w:val="20"/>
                <w:color w:val="auto"/>
              </w:rPr>
            </w:pPr>
            <w:r>
              <w:rPr>
                <w:rFonts w:ascii="Arial" w:cs="Arial" w:eastAsia="Arial" w:hAnsi="Arial"/>
                <w:sz w:val="18"/>
                <w:szCs w:val="18"/>
                <w:color w:val="auto"/>
                <w:w w:val="89"/>
              </w:rPr>
              <w:t>(000-15006)</w:t>
            </w:r>
          </w:p>
        </w:tc>
        <w:tc>
          <w:tcPr>
            <w:tcW w:w="16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20" w:type="dxa"/>
            <w:vAlign w:val="bottom"/>
          </w:tcPr>
          <w:p>
            <w:pPr>
              <w:spacing w:after="0"/>
              <w:rPr>
                <w:sz w:val="19"/>
                <w:szCs w:val="19"/>
                <w:color w:val="auto"/>
              </w:rPr>
            </w:pPr>
          </w:p>
        </w:tc>
      </w:tr>
    </w:tbl>
    <w:p>
      <w:pPr>
        <w:sectPr>
          <w:pgSz w:w="11900" w:h="16838" w:orient="portrait"/>
          <w:cols w:equalWidth="0" w:num="2">
            <w:col w:w="7300" w:space="320"/>
            <w:col w:w="2660"/>
          </w:cols>
          <w:pgMar w:left="240" w:top="131" w:right="1379" w:bottom="1440" w:gutter="0" w:footer="0" w:header="0"/>
        </w:sectPr>
      </w:pPr>
    </w:p>
    <w:bookmarkStart w:id="108" w:name="page109"/>
    <w:bookmarkEnd w:id="108"/>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85" w:lineRule="exact"/>
        <w:rPr>
          <w:sz w:val="20"/>
          <w:szCs w:val="20"/>
          <w:color w:val="auto"/>
        </w:rPr>
      </w:pPr>
    </w:p>
    <w:p>
      <w:pPr>
        <w:ind w:left="1360"/>
        <w:spacing w:after="0"/>
        <w:tabs>
          <w:tab w:leader="none" w:pos="4340" w:val="left"/>
        </w:tabs>
        <w:rPr>
          <w:sz w:val="20"/>
          <w:szCs w:val="20"/>
          <w:color w:val="auto"/>
        </w:rPr>
      </w:pPr>
      <w:r>
        <w:rPr>
          <w:rFonts w:ascii="Arial" w:cs="Arial" w:eastAsia="Arial" w:hAnsi="Arial"/>
          <w:sz w:val="14"/>
          <w:szCs w:val="14"/>
          <w:b w:val="1"/>
          <w:bCs w:val="1"/>
          <w:color w:val="auto"/>
        </w:rPr>
        <w:t>No.</w:t>
      </w:r>
      <w:r>
        <w:rPr>
          <w:sz w:val="20"/>
          <w:szCs w:val="20"/>
          <w:color w:val="auto"/>
        </w:rPr>
        <w:tab/>
      </w:r>
      <w:r>
        <w:rPr>
          <w:rFonts w:ascii="Arial" w:cs="Arial" w:eastAsia="Arial" w:hAnsi="Arial"/>
          <w:sz w:val="14"/>
          <w:szCs w:val="14"/>
          <w:b w:val="1"/>
          <w:bCs w:val="1"/>
          <w:color w:val="auto"/>
        </w:rPr>
        <w:t>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734060</wp:posOffset>
            </wp:positionH>
            <wp:positionV relativeFrom="paragraph">
              <wp:posOffset>0</wp:posOffset>
            </wp:positionV>
            <wp:extent cx="3996055" cy="889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3996055" cy="8890"/>
                    </a:xfrm>
                    <a:prstGeom prst="rect">
                      <a:avLst/>
                    </a:prstGeom>
                    <a:noFill/>
                  </pic:spPr>
                </pic:pic>
              </a:graphicData>
            </a:graphic>
          </wp:anchor>
        </w:drawing>
      </w:r>
    </w:p>
    <w:p>
      <w:pPr>
        <w:ind w:left="1940" w:right="480" w:hanging="556"/>
        <w:spacing w:after="0" w:line="299" w:lineRule="auto"/>
        <w:tabs>
          <w:tab w:leader="none" w:pos="1920" w:val="left"/>
        </w:tabs>
        <w:rPr>
          <w:sz w:val="20"/>
          <w:szCs w:val="20"/>
          <w:color w:val="auto"/>
        </w:rPr>
      </w:pPr>
      <w:r>
        <w:rPr>
          <w:rFonts w:ascii="Arial" w:cs="Arial" w:eastAsia="Arial" w:hAnsi="Arial"/>
          <w:sz w:val="18"/>
          <w:szCs w:val="18"/>
          <w:color w:val="auto"/>
        </w:rPr>
        <w:t>10.10</w:t>
      </w:r>
      <w:r>
        <w:rPr>
          <w:sz w:val="20"/>
          <w:szCs w:val="20"/>
          <w:color w:val="auto"/>
        </w:rPr>
        <w:tab/>
      </w:r>
      <w:r>
        <w:rPr>
          <w:rFonts w:ascii="Arial" w:cs="Arial" w:eastAsia="Arial" w:hAnsi="Arial"/>
          <w:sz w:val="15"/>
          <w:szCs w:val="15"/>
          <w:color w:val="auto"/>
        </w:rPr>
        <w:t>Seventh Amendment to Lease by and between the Company and the Massachusetts Development Finance Agency dated as of June 22, 2010</w:t>
      </w:r>
    </w:p>
    <w:p>
      <w:pPr>
        <w:spacing w:after="0" w:line="1" w:lineRule="exact"/>
        <w:rPr>
          <w:sz w:val="20"/>
          <w:szCs w:val="20"/>
          <w:color w:val="auto"/>
        </w:rPr>
      </w:pPr>
    </w:p>
    <w:p>
      <w:pPr>
        <w:ind w:left="1940" w:right="160" w:hanging="550"/>
        <w:spacing w:after="0" w:line="250" w:lineRule="auto"/>
        <w:tabs>
          <w:tab w:leader="none" w:pos="1920" w:val="left"/>
        </w:tabs>
        <w:rPr>
          <w:sz w:val="20"/>
          <w:szCs w:val="20"/>
          <w:color w:val="auto"/>
        </w:rPr>
      </w:pPr>
      <w:r>
        <w:rPr>
          <w:rFonts w:ascii="Arial" w:cs="Arial" w:eastAsia="Arial" w:hAnsi="Arial"/>
          <w:sz w:val="18"/>
          <w:szCs w:val="18"/>
          <w:color w:val="auto"/>
        </w:rPr>
        <w:t>10.11</w:t>
        <w:tab/>
        <w:t>Lease Agreement dated as of October 21, 2005 by and between Phillipsburg Associates, L.P. and the Company.</w:t>
      </w:r>
    </w:p>
    <w:p>
      <w:pPr>
        <w:spacing w:after="0" w:line="1" w:lineRule="exact"/>
        <w:rPr>
          <w:sz w:val="20"/>
          <w:szCs w:val="20"/>
          <w:color w:val="auto"/>
        </w:rPr>
      </w:pPr>
    </w:p>
    <w:p>
      <w:pPr>
        <w:ind w:left="1940" w:right="400" w:hanging="556"/>
        <w:spacing w:after="0" w:line="250" w:lineRule="auto"/>
        <w:tabs>
          <w:tab w:leader="none" w:pos="1920" w:val="left"/>
        </w:tabs>
        <w:rPr>
          <w:sz w:val="20"/>
          <w:szCs w:val="20"/>
          <w:color w:val="auto"/>
        </w:rPr>
      </w:pPr>
      <w:r>
        <w:rPr>
          <w:rFonts w:ascii="Arial" w:cs="Arial" w:eastAsia="Arial" w:hAnsi="Arial"/>
          <w:sz w:val="18"/>
          <w:szCs w:val="18"/>
          <w:color w:val="auto"/>
        </w:rPr>
        <w:t>10.12</w:t>
        <w:tab/>
        <w:t>First Amendment to Lease between Phillipsburg Associates, L.P. and the Company dated October 11, 2010</w:t>
      </w:r>
    </w:p>
    <w:p>
      <w:pPr>
        <w:spacing w:after="0" w:line="1" w:lineRule="exact"/>
        <w:rPr>
          <w:sz w:val="20"/>
          <w:szCs w:val="20"/>
          <w:color w:val="auto"/>
        </w:rPr>
      </w:pPr>
    </w:p>
    <w:p>
      <w:pPr>
        <w:ind w:left="1940" w:hanging="556"/>
        <w:spacing w:after="0" w:line="250" w:lineRule="auto"/>
        <w:tabs>
          <w:tab w:leader="none" w:pos="1920" w:val="left"/>
        </w:tabs>
        <w:rPr>
          <w:sz w:val="20"/>
          <w:szCs w:val="20"/>
          <w:color w:val="auto"/>
        </w:rPr>
      </w:pPr>
      <w:r>
        <w:rPr>
          <w:rFonts w:ascii="Arial" w:cs="Arial" w:eastAsia="Arial" w:hAnsi="Arial"/>
          <w:sz w:val="18"/>
          <w:szCs w:val="18"/>
          <w:color w:val="auto"/>
        </w:rPr>
        <w:t>10.13</w:t>
        <w:tab/>
        <w:t>Subordination, Non-Disturbance and Attornment Agreement between Bank of America and the Company dated October 11, 2010</w:t>
      </w:r>
    </w:p>
    <w:p>
      <w:pPr>
        <w:spacing w:after="0" w:line="1" w:lineRule="exact"/>
        <w:rPr>
          <w:sz w:val="20"/>
          <w:szCs w:val="20"/>
          <w:color w:val="auto"/>
        </w:rPr>
      </w:pPr>
    </w:p>
    <w:p>
      <w:pPr>
        <w:ind w:left="1280" w:right="80" w:hanging="43"/>
        <w:spacing w:after="0" w:line="281" w:lineRule="auto"/>
        <w:rPr>
          <w:sz w:val="20"/>
          <w:szCs w:val="20"/>
          <w:color w:val="auto"/>
        </w:rPr>
      </w:pPr>
      <w:r>
        <w:rPr>
          <w:rFonts w:ascii="Arial" w:cs="Arial" w:eastAsia="Arial" w:hAnsi="Arial"/>
          <w:sz w:val="16"/>
          <w:szCs w:val="16"/>
          <w:i w:val="1"/>
          <w:iCs w:val="1"/>
          <w:color w:val="auto"/>
        </w:rPr>
        <w:t xml:space="preserve">Material Contracts—License, Collaboration, Supply and Distribution Agreements </w:t>
      </w:r>
      <w:r>
        <w:rPr>
          <w:rFonts w:ascii="Arial" w:cs="Arial" w:eastAsia="Arial" w:hAnsi="Arial"/>
          <w:sz w:val="16"/>
          <w:szCs w:val="16"/>
          <w:color w:val="auto"/>
        </w:rPr>
        <w:t>*10.14 License and Royalty Agreement by and between Pfizer Inc and the Company</w:t>
      </w:r>
    </w:p>
    <w:p>
      <w:pPr>
        <w:spacing w:after="0" w:line="1" w:lineRule="exact"/>
        <w:rPr>
          <w:sz w:val="20"/>
          <w:szCs w:val="20"/>
          <w:color w:val="auto"/>
        </w:rPr>
      </w:pPr>
    </w:p>
    <w:p>
      <w:pPr>
        <w:ind w:left="1940"/>
        <w:spacing w:after="0"/>
        <w:rPr>
          <w:sz w:val="20"/>
          <w:szCs w:val="20"/>
          <w:color w:val="auto"/>
        </w:rPr>
      </w:pPr>
      <w:r>
        <w:rPr>
          <w:rFonts w:ascii="Arial" w:cs="Arial" w:eastAsia="Arial" w:hAnsi="Arial"/>
          <w:sz w:val="18"/>
          <w:szCs w:val="18"/>
          <w:color w:val="auto"/>
        </w:rPr>
        <w:t>dated as of December 1, 2000</w:t>
      </w:r>
    </w:p>
    <w:p>
      <w:pPr>
        <w:spacing w:after="0" w:line="9" w:lineRule="exact"/>
        <w:rPr>
          <w:sz w:val="20"/>
          <w:szCs w:val="20"/>
          <w:color w:val="auto"/>
        </w:rPr>
      </w:pPr>
    </w:p>
    <w:p>
      <w:pPr>
        <w:ind w:left="1940" w:right="280" w:hanging="644"/>
        <w:spacing w:after="0" w:line="250" w:lineRule="auto"/>
        <w:tabs>
          <w:tab w:leader="none" w:pos="1920" w:val="left"/>
        </w:tabs>
        <w:rPr>
          <w:sz w:val="20"/>
          <w:szCs w:val="20"/>
          <w:color w:val="auto"/>
        </w:rPr>
      </w:pPr>
      <w:r>
        <w:rPr>
          <w:rFonts w:ascii="Arial" w:cs="Arial" w:eastAsia="Arial" w:hAnsi="Arial"/>
          <w:sz w:val="18"/>
          <w:szCs w:val="18"/>
          <w:color w:val="auto"/>
        </w:rPr>
        <w:t>*10.15</w:t>
        <w:tab/>
        <w:t>Amendment to License and Royalty Agreement by and between Pfizer Inc and the Company dated as of December 1, 2000</w:t>
      </w:r>
    </w:p>
    <w:p>
      <w:pPr>
        <w:spacing w:after="0" w:line="1" w:lineRule="exact"/>
        <w:rPr>
          <w:sz w:val="20"/>
          <w:szCs w:val="20"/>
          <w:color w:val="auto"/>
        </w:rPr>
      </w:pPr>
    </w:p>
    <w:p>
      <w:pPr>
        <w:ind w:left="1940" w:right="600" w:hanging="644"/>
        <w:spacing w:after="0" w:line="281" w:lineRule="auto"/>
        <w:tabs>
          <w:tab w:leader="none" w:pos="1920" w:val="left"/>
        </w:tabs>
        <w:rPr>
          <w:sz w:val="20"/>
          <w:szCs w:val="20"/>
          <w:color w:val="auto"/>
        </w:rPr>
      </w:pPr>
      <w:r>
        <w:rPr>
          <w:rFonts w:ascii="Arial" w:cs="Arial" w:eastAsia="Arial" w:hAnsi="Arial"/>
          <w:sz w:val="18"/>
          <w:szCs w:val="18"/>
          <w:color w:val="auto"/>
        </w:rPr>
        <w:t>*10.16</w:t>
      </w:r>
      <w:r>
        <w:rPr>
          <w:sz w:val="20"/>
          <w:szCs w:val="20"/>
          <w:color w:val="auto"/>
        </w:rPr>
        <w:tab/>
      </w:r>
      <w:r>
        <w:rPr>
          <w:rFonts w:ascii="Arial" w:cs="Arial" w:eastAsia="Arial" w:hAnsi="Arial"/>
          <w:sz w:val="16"/>
          <w:szCs w:val="16"/>
          <w:color w:val="auto"/>
        </w:rPr>
        <w:t>Collaborative Research and Development Agreement by and between Pfizer Inc. and the Company dated as of December 1, 2000</w:t>
      </w:r>
    </w:p>
    <w:p>
      <w:pPr>
        <w:spacing w:after="0" w:line="1" w:lineRule="exact"/>
        <w:rPr>
          <w:sz w:val="20"/>
          <w:szCs w:val="20"/>
          <w:color w:val="auto"/>
        </w:rPr>
      </w:pPr>
    </w:p>
    <w:p>
      <w:pPr>
        <w:ind w:left="1940" w:right="300" w:hanging="644"/>
        <w:spacing w:after="0" w:line="250" w:lineRule="auto"/>
        <w:tabs>
          <w:tab w:leader="none" w:pos="1920" w:val="left"/>
        </w:tabs>
        <w:rPr>
          <w:sz w:val="20"/>
          <w:szCs w:val="20"/>
          <w:color w:val="auto"/>
        </w:rPr>
      </w:pPr>
      <w:r>
        <w:rPr>
          <w:rFonts w:ascii="Arial" w:cs="Arial" w:eastAsia="Arial" w:hAnsi="Arial"/>
          <w:sz w:val="18"/>
          <w:szCs w:val="18"/>
          <w:color w:val="auto"/>
        </w:rPr>
        <w:t>*10.17</w:t>
        <w:tab/>
        <w:t>License Agreement between the Company and SmithKline Beecham PLC dated as of December 1, 1997</w:t>
      </w:r>
    </w:p>
    <w:p>
      <w:pPr>
        <w:spacing w:after="0" w:line="1" w:lineRule="exact"/>
        <w:rPr>
          <w:sz w:val="20"/>
          <w:szCs w:val="20"/>
          <w:color w:val="auto"/>
        </w:rPr>
      </w:pPr>
    </w:p>
    <w:p>
      <w:pPr>
        <w:ind w:left="1940" w:right="240" w:hanging="556"/>
        <w:spacing w:after="0" w:line="250" w:lineRule="auto"/>
        <w:tabs>
          <w:tab w:leader="none" w:pos="1920" w:val="left"/>
        </w:tabs>
        <w:rPr>
          <w:sz w:val="20"/>
          <w:szCs w:val="20"/>
          <w:color w:val="auto"/>
        </w:rPr>
      </w:pPr>
      <w:r>
        <w:rPr>
          <w:rFonts w:ascii="Arial" w:cs="Arial" w:eastAsia="Arial" w:hAnsi="Arial"/>
          <w:sz w:val="18"/>
          <w:szCs w:val="18"/>
          <w:color w:val="auto"/>
        </w:rPr>
        <w:t>10.18</w:t>
        <w:tab/>
        <w:t>Amendment Agreement, dated January 9, 2003, between the Company and SmithKline Beecham PLC</w:t>
      </w:r>
    </w:p>
    <w:p>
      <w:pPr>
        <w:spacing w:after="0" w:line="1" w:lineRule="exact"/>
        <w:rPr>
          <w:sz w:val="20"/>
          <w:szCs w:val="20"/>
          <w:color w:val="auto"/>
        </w:rPr>
      </w:pPr>
    </w:p>
    <w:p>
      <w:pPr>
        <w:ind w:left="1940" w:right="600" w:hanging="556"/>
        <w:spacing w:after="0" w:line="250" w:lineRule="auto"/>
        <w:tabs>
          <w:tab w:leader="none" w:pos="1920" w:val="left"/>
        </w:tabs>
        <w:rPr>
          <w:sz w:val="20"/>
          <w:szCs w:val="20"/>
          <w:color w:val="auto"/>
        </w:rPr>
      </w:pPr>
      <w:r>
        <w:rPr>
          <w:rFonts w:ascii="Arial" w:cs="Arial" w:eastAsia="Arial" w:hAnsi="Arial"/>
          <w:sz w:val="18"/>
          <w:szCs w:val="18"/>
          <w:color w:val="auto"/>
        </w:rPr>
        <w:t>10.19</w:t>
        <w:tab/>
        <w:t>License Agreement, dated as of January 31, 2003, by and between the Company and Elan Drug Delivery Limited</w:t>
      </w:r>
    </w:p>
    <w:p>
      <w:pPr>
        <w:spacing w:after="0" w:line="1" w:lineRule="exact"/>
        <w:rPr>
          <w:sz w:val="20"/>
          <w:szCs w:val="20"/>
          <w:color w:val="auto"/>
        </w:rPr>
      </w:pPr>
    </w:p>
    <w:p>
      <w:pPr>
        <w:ind w:left="1940" w:right="340" w:hanging="556"/>
        <w:spacing w:after="0" w:line="250" w:lineRule="auto"/>
        <w:tabs>
          <w:tab w:leader="none" w:pos="1920" w:val="left"/>
        </w:tabs>
        <w:rPr>
          <w:sz w:val="20"/>
          <w:szCs w:val="20"/>
          <w:color w:val="auto"/>
        </w:rPr>
      </w:pPr>
      <w:r>
        <w:rPr>
          <w:rFonts w:ascii="Arial" w:cs="Arial" w:eastAsia="Arial" w:hAnsi="Arial"/>
          <w:sz w:val="18"/>
          <w:szCs w:val="18"/>
          <w:color w:val="auto"/>
        </w:rPr>
        <w:t>10.20</w:t>
        <w:tab/>
        <w:t>License and Clinical Trials Agreement, effective as of February 27, 1995, between the Company and the James N. Gamble Institute of Medical Research</w:t>
      </w:r>
    </w:p>
    <w:p>
      <w:pPr>
        <w:spacing w:after="0" w:line="1" w:lineRule="exact"/>
        <w:rPr>
          <w:sz w:val="20"/>
          <w:szCs w:val="20"/>
          <w:color w:val="auto"/>
        </w:rPr>
      </w:pPr>
    </w:p>
    <w:p>
      <w:pPr>
        <w:ind w:left="1940" w:right="400" w:hanging="556"/>
        <w:spacing w:after="0" w:line="250" w:lineRule="auto"/>
        <w:tabs>
          <w:tab w:leader="none" w:pos="1920" w:val="left"/>
        </w:tabs>
        <w:rPr>
          <w:sz w:val="20"/>
          <w:szCs w:val="20"/>
          <w:color w:val="auto"/>
        </w:rPr>
      </w:pPr>
      <w:r>
        <w:rPr>
          <w:rFonts w:ascii="Arial" w:cs="Arial" w:eastAsia="Arial" w:hAnsi="Arial"/>
          <w:sz w:val="18"/>
          <w:szCs w:val="18"/>
          <w:color w:val="auto"/>
        </w:rPr>
        <w:t>10.21</w:t>
        <w:tab/>
        <w:t>Amendment Agreement between Cincinnati Children's Hospital Medical Center and the Company dated November 17, 2003</w:t>
      </w:r>
    </w:p>
    <w:p>
      <w:pPr>
        <w:spacing w:after="0" w:line="1" w:lineRule="exact"/>
        <w:rPr>
          <w:sz w:val="20"/>
          <w:szCs w:val="20"/>
          <w:color w:val="auto"/>
        </w:rPr>
      </w:pPr>
    </w:p>
    <w:p>
      <w:pPr>
        <w:jc w:val="center"/>
        <w:ind w:left="1380"/>
        <w:spacing w:after="0"/>
        <w:tabs>
          <w:tab w:leader="none" w:pos="140" w:val="left"/>
        </w:tabs>
        <w:rPr>
          <w:sz w:val="20"/>
          <w:szCs w:val="20"/>
          <w:color w:val="auto"/>
        </w:rPr>
      </w:pPr>
      <w:r>
        <w:rPr>
          <w:rFonts w:ascii="Arial" w:cs="Arial" w:eastAsia="Arial" w:hAnsi="Arial"/>
          <w:sz w:val="18"/>
          <w:szCs w:val="18"/>
          <w:color w:val="auto"/>
        </w:rPr>
        <w:t>10.22</w:t>
      </w:r>
      <w:r>
        <w:rPr>
          <w:sz w:val="20"/>
          <w:szCs w:val="20"/>
          <w:color w:val="auto"/>
        </w:rPr>
        <w:tab/>
      </w:r>
      <w:r>
        <w:rPr>
          <w:rFonts w:ascii="Arial" w:cs="Arial" w:eastAsia="Arial" w:hAnsi="Arial"/>
          <w:sz w:val="15"/>
          <w:szCs w:val="15"/>
          <w:color w:val="auto"/>
        </w:rPr>
        <w:t>License Agreement, dated as of November 25, 1988, by and among The Johns</w:t>
      </w:r>
    </w:p>
    <w:p>
      <w:pPr>
        <w:spacing w:after="0" w:line="9" w:lineRule="exact"/>
        <w:rPr>
          <w:sz w:val="20"/>
          <w:szCs w:val="20"/>
          <w:color w:val="auto"/>
        </w:rPr>
      </w:pPr>
    </w:p>
    <w:p>
      <w:pPr>
        <w:jc w:val="center"/>
        <w:ind w:left="1400"/>
        <w:spacing w:after="0"/>
        <w:rPr>
          <w:sz w:val="20"/>
          <w:szCs w:val="20"/>
          <w:color w:val="auto"/>
        </w:rPr>
      </w:pPr>
      <w:r>
        <w:rPr>
          <w:rFonts w:ascii="Arial" w:cs="Arial" w:eastAsia="Arial" w:hAnsi="Arial"/>
          <w:sz w:val="18"/>
          <w:szCs w:val="18"/>
          <w:color w:val="auto"/>
        </w:rPr>
        <w:t>Hopkins University, Brigham and Women's Hospital and the Company</w:t>
      </w:r>
    </w:p>
    <w:p>
      <w:pPr>
        <w:spacing w:after="0" w:line="9" w:lineRule="exact"/>
        <w:rPr>
          <w:sz w:val="20"/>
          <w:szCs w:val="20"/>
          <w:color w:val="auto"/>
        </w:rPr>
      </w:pPr>
    </w:p>
    <w:p>
      <w:pPr>
        <w:ind w:left="1940" w:hanging="556"/>
        <w:spacing w:after="0" w:line="250" w:lineRule="auto"/>
        <w:tabs>
          <w:tab w:leader="none" w:pos="1920" w:val="left"/>
        </w:tabs>
        <w:rPr>
          <w:sz w:val="20"/>
          <w:szCs w:val="20"/>
          <w:color w:val="auto"/>
        </w:rPr>
      </w:pPr>
      <w:r>
        <w:rPr>
          <w:rFonts w:ascii="Arial" w:cs="Arial" w:eastAsia="Arial" w:hAnsi="Arial"/>
          <w:sz w:val="18"/>
          <w:szCs w:val="18"/>
          <w:color w:val="auto"/>
        </w:rPr>
        <w:t>10.23</w:t>
        <w:tab/>
        <w:t>Purchase Agreement, dated as of May 16, 2005, by and between the Company and PRF Vaccine Holdings LLC</w:t>
      </w:r>
    </w:p>
    <w:p>
      <w:pPr>
        <w:spacing w:after="0" w:line="1" w:lineRule="exact"/>
        <w:rPr>
          <w:sz w:val="20"/>
          <w:szCs w:val="20"/>
          <w:color w:val="auto"/>
        </w:rPr>
      </w:pPr>
    </w:p>
    <w:p>
      <w:pPr>
        <w:ind w:left="1940" w:right="220" w:hanging="556"/>
        <w:spacing w:after="0" w:line="323" w:lineRule="auto"/>
        <w:tabs>
          <w:tab w:leader="none" w:pos="1920" w:val="left"/>
        </w:tabs>
        <w:rPr>
          <w:sz w:val="20"/>
          <w:szCs w:val="20"/>
          <w:color w:val="auto"/>
        </w:rPr>
      </w:pPr>
      <w:r>
        <w:rPr>
          <w:rFonts w:ascii="Arial" w:cs="Arial" w:eastAsia="Arial" w:hAnsi="Arial"/>
          <w:sz w:val="18"/>
          <w:szCs w:val="18"/>
          <w:color w:val="auto"/>
        </w:rPr>
        <w:t>10.24</w:t>
      </w:r>
      <w:r>
        <w:rPr>
          <w:sz w:val="20"/>
          <w:szCs w:val="20"/>
          <w:color w:val="auto"/>
        </w:rPr>
        <w:tab/>
      </w:r>
      <w:r>
        <w:rPr>
          <w:rFonts w:ascii="Arial" w:cs="Arial" w:eastAsia="Arial" w:hAnsi="Arial"/>
          <w:sz w:val="16"/>
          <w:szCs w:val="16"/>
          <w:color w:val="auto"/>
        </w:rPr>
        <w:t>Amendment Agreement to Purchase Agreement between the Company and PRF Vaccine Holdings LLC, dated as of March 14, 2006</w:t>
      </w:r>
    </w:p>
    <w:p>
      <w:pPr>
        <w:spacing w:after="0" w:line="147" w:lineRule="exact"/>
        <w:rPr>
          <w:sz w:val="20"/>
          <w:szCs w:val="20"/>
          <w:color w:val="auto"/>
        </w:rPr>
      </w:pPr>
    </w:p>
    <w:p>
      <w:pPr>
        <w:ind w:left="5580"/>
        <w:spacing w:after="0"/>
        <w:rPr>
          <w:sz w:val="20"/>
          <w:szCs w:val="20"/>
          <w:color w:val="auto"/>
        </w:rPr>
      </w:pPr>
      <w:r>
        <w:rPr>
          <w:rFonts w:ascii="Arial" w:cs="Arial" w:eastAsia="Arial" w:hAnsi="Arial"/>
          <w:sz w:val="18"/>
          <w:szCs w:val="18"/>
          <w:color w:val="auto"/>
        </w:rPr>
        <w:t>103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62" w:lineRule="exact"/>
        <w:rPr>
          <w:sz w:val="20"/>
          <w:szCs w:val="20"/>
          <w:color w:val="auto"/>
        </w:rPr>
      </w:pPr>
    </w:p>
    <w:p>
      <w:pPr>
        <w:ind w:left="480"/>
        <w:spacing w:after="0"/>
        <w:rPr>
          <w:sz w:val="20"/>
          <w:szCs w:val="20"/>
          <w:color w:val="auto"/>
        </w:rPr>
      </w:pPr>
      <w:r>
        <w:rPr>
          <w:rFonts w:ascii="Arial" w:cs="Arial" w:eastAsia="Arial" w:hAnsi="Arial"/>
          <w:sz w:val="14"/>
          <w:szCs w:val="14"/>
          <w:b w:val="1"/>
          <w:bCs w:val="1"/>
          <w:color w:val="auto"/>
        </w:rPr>
        <w:t>Incorporated by Reference to</w:t>
      </w:r>
    </w:p>
    <w:tbl>
      <w:tblPr>
        <w:tblLayout w:type="fixed"/>
        <w:tblInd w:w="0" w:type="dxa"/>
        <w:tblCellMar>
          <w:top w:w="0" w:type="dxa"/>
          <w:left w:w="0" w:type="dxa"/>
          <w:bottom w:w="0" w:type="dxa"/>
          <w:right w:w="0" w:type="dxa"/>
        </w:tblCellMar>
      </w:tblPr>
      <w:tr>
        <w:trPr>
          <w:trHeight w:val="129"/>
        </w:trPr>
        <w:tc>
          <w:tcPr>
            <w:tcW w:w="1120" w:type="dxa"/>
            <w:vAlign w:val="bottom"/>
            <w:tcBorders>
              <w:top w:val="single" w:sz="8" w:color="auto"/>
            </w:tcBorders>
          </w:tcPr>
          <w:p>
            <w:pPr>
              <w:jc w:val="center"/>
              <w:spacing w:after="0" w:line="129" w:lineRule="exact"/>
              <w:rPr>
                <w:sz w:val="20"/>
                <w:szCs w:val="20"/>
                <w:color w:val="auto"/>
              </w:rPr>
            </w:pPr>
            <w:r>
              <w:rPr>
                <w:rFonts w:ascii="Arial" w:cs="Arial" w:eastAsia="Arial" w:hAnsi="Arial"/>
                <w:sz w:val="14"/>
                <w:szCs w:val="14"/>
                <w:b w:val="1"/>
                <w:bCs w:val="1"/>
                <w:color w:val="auto"/>
                <w:w w:val="90"/>
              </w:rPr>
              <w:t>Form and</w:t>
            </w:r>
          </w:p>
        </w:tc>
        <w:tc>
          <w:tcPr>
            <w:tcW w:w="160" w:type="dxa"/>
            <w:vAlign w:val="bottom"/>
            <w:tcBorders>
              <w:top w:val="single" w:sz="8" w:color="auto"/>
            </w:tcBorders>
          </w:tcPr>
          <w:p>
            <w:pPr>
              <w:spacing w:after="0"/>
              <w:rPr>
                <w:sz w:val="11"/>
                <w:szCs w:val="11"/>
                <w:color w:val="auto"/>
              </w:rPr>
            </w:pPr>
          </w:p>
        </w:tc>
        <w:tc>
          <w:tcPr>
            <w:tcW w:w="500" w:type="dxa"/>
            <w:vAlign w:val="bottom"/>
            <w:tcBorders>
              <w:top w:val="single" w:sz="8" w:color="auto"/>
            </w:tcBorders>
          </w:tcPr>
          <w:p>
            <w:pPr>
              <w:jc w:val="center"/>
              <w:spacing w:after="0" w:line="129" w:lineRule="exact"/>
              <w:rPr>
                <w:sz w:val="20"/>
                <w:szCs w:val="20"/>
                <w:color w:val="auto"/>
              </w:rPr>
            </w:pPr>
            <w:r>
              <w:rPr>
                <w:rFonts w:ascii="Arial" w:cs="Arial" w:eastAsia="Arial" w:hAnsi="Arial"/>
                <w:sz w:val="14"/>
                <w:szCs w:val="14"/>
                <w:b w:val="1"/>
                <w:bCs w:val="1"/>
                <w:color w:val="auto"/>
                <w:w w:val="89"/>
              </w:rPr>
              <w:t>Exhibit</w:t>
            </w:r>
          </w:p>
        </w:tc>
        <w:tc>
          <w:tcPr>
            <w:tcW w:w="160" w:type="dxa"/>
            <w:vAlign w:val="bottom"/>
            <w:tcBorders>
              <w:top w:val="single" w:sz="8" w:color="auto"/>
            </w:tcBorders>
          </w:tcPr>
          <w:p>
            <w:pPr>
              <w:spacing w:after="0"/>
              <w:rPr>
                <w:sz w:val="11"/>
                <w:szCs w:val="11"/>
                <w:color w:val="auto"/>
              </w:rPr>
            </w:pPr>
          </w:p>
        </w:tc>
        <w:tc>
          <w:tcPr>
            <w:tcW w:w="720" w:type="dxa"/>
            <w:vAlign w:val="bottom"/>
            <w:tcBorders>
              <w:top w:val="single" w:sz="8" w:color="auto"/>
            </w:tcBorders>
          </w:tcPr>
          <w:p>
            <w:pPr>
              <w:jc w:val="center"/>
              <w:spacing w:after="0" w:line="129" w:lineRule="exact"/>
              <w:rPr>
                <w:sz w:val="20"/>
                <w:szCs w:val="20"/>
                <w:color w:val="auto"/>
              </w:rPr>
            </w:pPr>
            <w:r>
              <w:rPr>
                <w:rFonts w:ascii="Arial" w:cs="Arial" w:eastAsia="Arial" w:hAnsi="Arial"/>
                <w:sz w:val="14"/>
                <w:szCs w:val="14"/>
                <w:b w:val="1"/>
                <w:bCs w:val="1"/>
                <w:color w:val="auto"/>
                <w:w w:val="90"/>
              </w:rPr>
              <w:t>SEC</w:t>
            </w:r>
          </w:p>
        </w:tc>
      </w:tr>
      <w:tr>
        <w:trPr>
          <w:trHeight w:val="161"/>
        </w:trPr>
        <w:tc>
          <w:tcPr>
            <w:tcW w:w="11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8"/>
              </w:rPr>
              <w:t>SEC File No.</w:t>
            </w:r>
          </w:p>
        </w:tc>
        <w:tc>
          <w:tcPr>
            <w:tcW w:w="160" w:type="dxa"/>
            <w:vAlign w:val="bottom"/>
          </w:tcPr>
          <w:p>
            <w:pPr>
              <w:spacing w:after="0"/>
              <w:rPr>
                <w:sz w:val="14"/>
                <w:szCs w:val="14"/>
                <w:color w:val="auto"/>
              </w:rPr>
            </w:pPr>
          </w:p>
        </w:tc>
        <w:tc>
          <w:tcPr>
            <w:tcW w:w="5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8"/>
              </w:rPr>
              <w:t>No.</w:t>
            </w:r>
          </w:p>
        </w:tc>
        <w:tc>
          <w:tcPr>
            <w:tcW w:w="160" w:type="dxa"/>
            <w:vAlign w:val="bottom"/>
          </w:tcPr>
          <w:p>
            <w:pPr>
              <w:spacing w:after="0"/>
              <w:rPr>
                <w:sz w:val="14"/>
                <w:szCs w:val="14"/>
                <w:color w:val="auto"/>
              </w:rPr>
            </w:pPr>
          </w:p>
        </w:tc>
        <w:tc>
          <w:tcPr>
            <w:tcW w:w="7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Filing Date</w:t>
            </w:r>
          </w:p>
        </w:tc>
      </w:tr>
      <w:tr>
        <w:trPr>
          <w:trHeight w:val="201"/>
        </w:trPr>
        <w:tc>
          <w:tcPr>
            <w:tcW w:w="1120" w:type="dxa"/>
            <w:vAlign w:val="bottom"/>
          </w:tcPr>
          <w:p>
            <w:pPr>
              <w:jc w:val="center"/>
              <w:spacing w:after="0" w:line="201" w:lineRule="exact"/>
              <w:rPr>
                <w:sz w:val="20"/>
                <w:szCs w:val="20"/>
                <w:color w:val="auto"/>
              </w:rPr>
            </w:pPr>
            <w:r>
              <w:rPr>
                <w:rFonts w:ascii="Arial" w:cs="Arial" w:eastAsia="Arial" w:hAnsi="Arial"/>
                <w:sz w:val="18"/>
                <w:szCs w:val="18"/>
                <w:color w:val="auto"/>
                <w:w w:val="89"/>
              </w:rPr>
              <w:t>10-Q</w:t>
            </w:r>
          </w:p>
        </w:tc>
        <w:tc>
          <w:tcPr>
            <w:tcW w:w="160" w:type="dxa"/>
            <w:vAlign w:val="bottom"/>
          </w:tcPr>
          <w:p>
            <w:pPr>
              <w:spacing w:after="0"/>
              <w:rPr>
                <w:sz w:val="17"/>
                <w:szCs w:val="17"/>
                <w:color w:val="auto"/>
              </w:rPr>
            </w:pPr>
          </w:p>
        </w:tc>
        <w:tc>
          <w:tcPr>
            <w:tcW w:w="500" w:type="dxa"/>
            <w:vAlign w:val="bottom"/>
          </w:tcPr>
          <w:p>
            <w:pPr>
              <w:jc w:val="center"/>
              <w:spacing w:after="0" w:line="201" w:lineRule="exact"/>
              <w:rPr>
                <w:sz w:val="20"/>
                <w:szCs w:val="20"/>
                <w:color w:val="auto"/>
              </w:rPr>
            </w:pPr>
            <w:r>
              <w:rPr>
                <w:rFonts w:ascii="Arial" w:cs="Arial" w:eastAsia="Arial" w:hAnsi="Arial"/>
                <w:sz w:val="18"/>
                <w:szCs w:val="18"/>
                <w:color w:val="auto"/>
                <w:w w:val="85"/>
              </w:rPr>
              <w:t>10.1</w:t>
            </w:r>
          </w:p>
        </w:tc>
        <w:tc>
          <w:tcPr>
            <w:tcW w:w="160" w:type="dxa"/>
            <w:vAlign w:val="bottom"/>
          </w:tcPr>
          <w:p>
            <w:pPr>
              <w:spacing w:after="0"/>
              <w:rPr>
                <w:sz w:val="17"/>
                <w:szCs w:val="17"/>
                <w:color w:val="auto"/>
              </w:rPr>
            </w:pPr>
          </w:p>
        </w:tc>
        <w:tc>
          <w:tcPr>
            <w:tcW w:w="720" w:type="dxa"/>
            <w:vAlign w:val="bottom"/>
          </w:tcPr>
          <w:p>
            <w:pPr>
              <w:jc w:val="center"/>
              <w:spacing w:after="0" w:line="201" w:lineRule="exact"/>
              <w:rPr>
                <w:sz w:val="20"/>
                <w:szCs w:val="20"/>
                <w:color w:val="auto"/>
              </w:rPr>
            </w:pPr>
            <w:r>
              <w:rPr>
                <w:rFonts w:ascii="Arial" w:cs="Arial" w:eastAsia="Arial" w:hAnsi="Arial"/>
                <w:sz w:val="18"/>
                <w:szCs w:val="18"/>
                <w:color w:val="auto"/>
                <w:w w:val="91"/>
              </w:rPr>
              <w:t>8/5/10</w:t>
            </w:r>
          </w:p>
        </w:tc>
      </w:tr>
      <w:tr>
        <w:trPr>
          <w:trHeight w:val="216"/>
        </w:trPr>
        <w:tc>
          <w:tcPr>
            <w:tcW w:w="1120" w:type="dxa"/>
            <w:vAlign w:val="bottom"/>
          </w:tcPr>
          <w:p>
            <w:pPr>
              <w:jc w:val="center"/>
              <w:spacing w:after="0"/>
              <w:rPr>
                <w:sz w:val="20"/>
                <w:szCs w:val="20"/>
                <w:color w:val="auto"/>
              </w:rPr>
            </w:pPr>
            <w:r>
              <w:rPr>
                <w:rFonts w:ascii="Arial" w:cs="Arial" w:eastAsia="Arial" w:hAnsi="Arial"/>
                <w:sz w:val="18"/>
                <w:szCs w:val="18"/>
                <w:color w:val="auto"/>
                <w:w w:val="89"/>
              </w:rPr>
              <w:t>(000-15006)</w:t>
            </w:r>
          </w:p>
        </w:tc>
        <w:tc>
          <w:tcPr>
            <w:tcW w:w="1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tcPr>
          <w:p>
            <w:pPr>
              <w:spacing w:after="0"/>
              <w:rPr>
                <w:sz w:val="18"/>
                <w:szCs w:val="18"/>
                <w:color w:val="auto"/>
              </w:rPr>
            </w:pPr>
          </w:p>
        </w:tc>
      </w:tr>
      <w:tr>
        <w:trPr>
          <w:trHeight w:val="216"/>
        </w:trPr>
        <w:tc>
          <w:tcPr>
            <w:tcW w:w="1120" w:type="dxa"/>
            <w:vAlign w:val="bottom"/>
          </w:tcPr>
          <w:p>
            <w:pPr>
              <w:jc w:val="center"/>
              <w:spacing w:after="0"/>
              <w:rPr>
                <w:sz w:val="20"/>
                <w:szCs w:val="20"/>
                <w:color w:val="auto"/>
              </w:rPr>
            </w:pPr>
            <w:r>
              <w:rPr>
                <w:rFonts w:ascii="Arial" w:cs="Arial" w:eastAsia="Arial" w:hAnsi="Arial"/>
                <w:sz w:val="18"/>
                <w:szCs w:val="18"/>
                <w:color w:val="auto"/>
                <w:w w:val="85"/>
              </w:rPr>
              <w:t>S-4</w:t>
            </w:r>
          </w:p>
        </w:tc>
        <w:tc>
          <w:tcPr>
            <w:tcW w:w="660" w:type="dxa"/>
            <w:vAlign w:val="bottom"/>
            <w:gridSpan w:val="2"/>
          </w:tcPr>
          <w:p>
            <w:pPr>
              <w:jc w:val="center"/>
              <w:ind w:left="52"/>
              <w:spacing w:after="0"/>
              <w:rPr>
                <w:sz w:val="20"/>
                <w:szCs w:val="20"/>
                <w:color w:val="auto"/>
              </w:rPr>
            </w:pPr>
            <w:r>
              <w:rPr>
                <w:rFonts w:ascii="Arial" w:cs="Arial" w:eastAsia="Arial" w:hAnsi="Arial"/>
                <w:sz w:val="18"/>
                <w:szCs w:val="18"/>
                <w:color w:val="auto"/>
                <w:w w:val="88"/>
              </w:rPr>
              <w:t>10.10</w:t>
            </w:r>
          </w:p>
        </w:tc>
        <w:tc>
          <w:tcPr>
            <w:tcW w:w="880" w:type="dxa"/>
            <w:vAlign w:val="bottom"/>
            <w:gridSpan w:val="2"/>
          </w:tcPr>
          <w:p>
            <w:pPr>
              <w:jc w:val="center"/>
              <w:ind w:left="52"/>
              <w:spacing w:after="0"/>
              <w:rPr>
                <w:sz w:val="20"/>
                <w:szCs w:val="20"/>
                <w:color w:val="auto"/>
              </w:rPr>
            </w:pPr>
            <w:r>
              <w:rPr>
                <w:rFonts w:ascii="Arial" w:cs="Arial" w:eastAsia="Arial" w:hAnsi="Arial"/>
                <w:sz w:val="18"/>
                <w:szCs w:val="18"/>
                <w:color w:val="auto"/>
                <w:w w:val="89"/>
              </w:rPr>
              <w:t>1/18/08</w:t>
            </w:r>
          </w:p>
        </w:tc>
      </w:tr>
      <w:tr>
        <w:trPr>
          <w:trHeight w:val="216"/>
        </w:trPr>
        <w:tc>
          <w:tcPr>
            <w:tcW w:w="1120" w:type="dxa"/>
            <w:vAlign w:val="bottom"/>
          </w:tcPr>
          <w:p>
            <w:pPr>
              <w:jc w:val="center"/>
              <w:spacing w:after="0"/>
              <w:rPr>
                <w:sz w:val="20"/>
                <w:szCs w:val="20"/>
                <w:color w:val="auto"/>
              </w:rPr>
            </w:pPr>
            <w:r>
              <w:rPr>
                <w:rFonts w:ascii="Arial" w:cs="Arial" w:eastAsia="Arial" w:hAnsi="Arial"/>
                <w:sz w:val="18"/>
                <w:szCs w:val="18"/>
                <w:color w:val="auto"/>
                <w:w w:val="90"/>
              </w:rPr>
              <w:t>(333-148291)</w:t>
            </w:r>
          </w:p>
        </w:tc>
        <w:tc>
          <w:tcPr>
            <w:tcW w:w="1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tcPr>
          <w:p>
            <w:pPr>
              <w:spacing w:after="0"/>
              <w:rPr>
                <w:sz w:val="18"/>
                <w:szCs w:val="18"/>
                <w:color w:val="auto"/>
              </w:rPr>
            </w:pPr>
          </w:p>
        </w:tc>
      </w:tr>
      <w:tr>
        <w:trPr>
          <w:trHeight w:val="216"/>
        </w:trPr>
        <w:tc>
          <w:tcPr>
            <w:tcW w:w="1120" w:type="dxa"/>
            <w:vAlign w:val="bottom"/>
          </w:tcPr>
          <w:p>
            <w:pPr>
              <w:jc w:val="center"/>
              <w:spacing w:after="0"/>
              <w:rPr>
                <w:sz w:val="20"/>
                <w:szCs w:val="20"/>
                <w:color w:val="auto"/>
              </w:rPr>
            </w:pPr>
            <w:r>
              <w:rPr>
                <w:rFonts w:ascii="Arial" w:cs="Arial" w:eastAsia="Arial" w:hAnsi="Arial"/>
                <w:sz w:val="18"/>
                <w:szCs w:val="18"/>
                <w:color w:val="auto"/>
                <w:w w:val="94"/>
              </w:rPr>
              <w:t>10-Q/A</w:t>
            </w:r>
          </w:p>
        </w:tc>
        <w:tc>
          <w:tcPr>
            <w:tcW w:w="660" w:type="dxa"/>
            <w:vAlign w:val="bottom"/>
            <w:gridSpan w:val="2"/>
          </w:tcPr>
          <w:p>
            <w:pPr>
              <w:jc w:val="center"/>
              <w:ind w:left="72"/>
              <w:spacing w:after="0"/>
              <w:rPr>
                <w:sz w:val="20"/>
                <w:szCs w:val="20"/>
                <w:color w:val="auto"/>
              </w:rPr>
            </w:pPr>
            <w:r>
              <w:rPr>
                <w:rFonts w:ascii="Arial" w:cs="Arial" w:eastAsia="Arial" w:hAnsi="Arial"/>
                <w:sz w:val="18"/>
                <w:szCs w:val="18"/>
                <w:color w:val="auto"/>
                <w:w w:val="85"/>
              </w:rPr>
              <w:t>10.1</w:t>
            </w:r>
          </w:p>
        </w:tc>
        <w:tc>
          <w:tcPr>
            <w:tcW w:w="880" w:type="dxa"/>
            <w:vAlign w:val="bottom"/>
            <w:gridSpan w:val="2"/>
          </w:tcPr>
          <w:p>
            <w:pPr>
              <w:jc w:val="center"/>
              <w:ind w:left="52"/>
              <w:spacing w:after="0"/>
              <w:rPr>
                <w:sz w:val="20"/>
                <w:szCs w:val="20"/>
                <w:color w:val="auto"/>
              </w:rPr>
            </w:pPr>
            <w:r>
              <w:rPr>
                <w:rFonts w:ascii="Arial" w:cs="Arial" w:eastAsia="Arial" w:hAnsi="Arial"/>
                <w:sz w:val="18"/>
                <w:szCs w:val="18"/>
                <w:color w:val="auto"/>
                <w:w w:val="88"/>
              </w:rPr>
              <w:t>12/23/10</w:t>
            </w:r>
          </w:p>
        </w:tc>
      </w:tr>
      <w:tr>
        <w:trPr>
          <w:trHeight w:val="216"/>
        </w:trPr>
        <w:tc>
          <w:tcPr>
            <w:tcW w:w="1120" w:type="dxa"/>
            <w:vAlign w:val="bottom"/>
          </w:tcPr>
          <w:p>
            <w:pPr>
              <w:jc w:val="center"/>
              <w:spacing w:after="0"/>
              <w:rPr>
                <w:sz w:val="20"/>
                <w:szCs w:val="20"/>
                <w:color w:val="auto"/>
              </w:rPr>
            </w:pPr>
            <w:r>
              <w:rPr>
                <w:rFonts w:ascii="Arial" w:cs="Arial" w:eastAsia="Arial" w:hAnsi="Arial"/>
                <w:sz w:val="18"/>
                <w:szCs w:val="18"/>
                <w:color w:val="auto"/>
                <w:w w:val="89"/>
              </w:rPr>
              <w:t>(000-15006)</w:t>
            </w:r>
          </w:p>
        </w:tc>
        <w:tc>
          <w:tcPr>
            <w:tcW w:w="1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tcPr>
          <w:p>
            <w:pPr>
              <w:spacing w:after="0"/>
              <w:rPr>
                <w:sz w:val="18"/>
                <w:szCs w:val="18"/>
                <w:color w:val="auto"/>
              </w:rPr>
            </w:pPr>
          </w:p>
        </w:tc>
      </w:tr>
      <w:tr>
        <w:trPr>
          <w:trHeight w:val="216"/>
        </w:trPr>
        <w:tc>
          <w:tcPr>
            <w:tcW w:w="1120" w:type="dxa"/>
            <w:vAlign w:val="bottom"/>
          </w:tcPr>
          <w:p>
            <w:pPr>
              <w:jc w:val="center"/>
              <w:spacing w:after="0"/>
              <w:rPr>
                <w:sz w:val="20"/>
                <w:szCs w:val="20"/>
                <w:color w:val="auto"/>
              </w:rPr>
            </w:pPr>
            <w:r>
              <w:rPr>
                <w:rFonts w:ascii="Arial" w:cs="Arial" w:eastAsia="Arial" w:hAnsi="Arial"/>
                <w:sz w:val="18"/>
                <w:szCs w:val="18"/>
                <w:color w:val="auto"/>
                <w:w w:val="94"/>
              </w:rPr>
              <w:t>10-Q/A</w:t>
            </w:r>
          </w:p>
        </w:tc>
        <w:tc>
          <w:tcPr>
            <w:tcW w:w="660" w:type="dxa"/>
            <w:vAlign w:val="bottom"/>
            <w:gridSpan w:val="2"/>
          </w:tcPr>
          <w:p>
            <w:pPr>
              <w:jc w:val="center"/>
              <w:ind w:left="72"/>
              <w:spacing w:after="0"/>
              <w:rPr>
                <w:sz w:val="20"/>
                <w:szCs w:val="20"/>
                <w:color w:val="auto"/>
              </w:rPr>
            </w:pPr>
            <w:r>
              <w:rPr>
                <w:rFonts w:ascii="Arial" w:cs="Arial" w:eastAsia="Arial" w:hAnsi="Arial"/>
                <w:sz w:val="18"/>
                <w:szCs w:val="18"/>
                <w:color w:val="auto"/>
                <w:w w:val="85"/>
              </w:rPr>
              <w:t>10.2</w:t>
            </w:r>
          </w:p>
        </w:tc>
        <w:tc>
          <w:tcPr>
            <w:tcW w:w="880" w:type="dxa"/>
            <w:vAlign w:val="bottom"/>
            <w:gridSpan w:val="2"/>
          </w:tcPr>
          <w:p>
            <w:pPr>
              <w:jc w:val="center"/>
              <w:ind w:left="52"/>
              <w:spacing w:after="0"/>
              <w:rPr>
                <w:sz w:val="20"/>
                <w:szCs w:val="20"/>
                <w:color w:val="auto"/>
              </w:rPr>
            </w:pPr>
            <w:r>
              <w:rPr>
                <w:rFonts w:ascii="Arial" w:cs="Arial" w:eastAsia="Arial" w:hAnsi="Arial"/>
                <w:sz w:val="18"/>
                <w:szCs w:val="18"/>
                <w:color w:val="auto"/>
                <w:w w:val="88"/>
              </w:rPr>
              <w:t>12/23/10</w:t>
            </w:r>
          </w:p>
        </w:tc>
      </w:tr>
      <w:tr>
        <w:trPr>
          <w:trHeight w:val="222"/>
        </w:trPr>
        <w:tc>
          <w:tcPr>
            <w:tcW w:w="1120" w:type="dxa"/>
            <w:vAlign w:val="bottom"/>
          </w:tcPr>
          <w:p>
            <w:pPr>
              <w:jc w:val="center"/>
              <w:spacing w:after="0"/>
              <w:rPr>
                <w:sz w:val="20"/>
                <w:szCs w:val="20"/>
                <w:color w:val="auto"/>
              </w:rPr>
            </w:pPr>
            <w:r>
              <w:rPr>
                <w:rFonts w:ascii="Arial" w:cs="Arial" w:eastAsia="Arial" w:hAnsi="Arial"/>
                <w:sz w:val="18"/>
                <w:szCs w:val="18"/>
                <w:color w:val="auto"/>
                <w:w w:val="89"/>
              </w:rPr>
              <w:t>(000-15006)</w:t>
            </w:r>
          </w:p>
        </w:tc>
        <w:tc>
          <w:tcPr>
            <w:tcW w:w="16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20" w:type="dxa"/>
            <w:vAlign w:val="bottom"/>
          </w:tcPr>
          <w:p>
            <w:pPr>
              <w:spacing w:after="0"/>
              <w:rPr>
                <w:sz w:val="19"/>
                <w:szCs w:val="19"/>
                <w:color w:val="auto"/>
              </w:rPr>
            </w:pPr>
          </w:p>
        </w:tc>
      </w:tr>
      <w:tr>
        <w:trPr>
          <w:trHeight w:val="426"/>
        </w:trPr>
        <w:tc>
          <w:tcPr>
            <w:tcW w:w="1120" w:type="dxa"/>
            <w:vAlign w:val="bottom"/>
          </w:tcPr>
          <w:p>
            <w:pPr>
              <w:jc w:val="center"/>
              <w:spacing w:after="0"/>
              <w:rPr>
                <w:sz w:val="20"/>
                <w:szCs w:val="20"/>
                <w:color w:val="auto"/>
              </w:rPr>
            </w:pPr>
            <w:r>
              <w:rPr>
                <w:rFonts w:ascii="Arial" w:cs="Arial" w:eastAsia="Arial" w:hAnsi="Arial"/>
                <w:sz w:val="18"/>
                <w:szCs w:val="18"/>
                <w:color w:val="auto"/>
                <w:w w:val="94"/>
              </w:rPr>
              <w:t>10-K</w:t>
            </w:r>
          </w:p>
        </w:tc>
        <w:tc>
          <w:tcPr>
            <w:tcW w:w="660" w:type="dxa"/>
            <w:vAlign w:val="bottom"/>
            <w:gridSpan w:val="2"/>
          </w:tcPr>
          <w:p>
            <w:pPr>
              <w:jc w:val="center"/>
              <w:ind w:left="52"/>
              <w:spacing w:after="0"/>
              <w:rPr>
                <w:sz w:val="20"/>
                <w:szCs w:val="20"/>
                <w:color w:val="auto"/>
              </w:rPr>
            </w:pPr>
            <w:r>
              <w:rPr>
                <w:rFonts w:ascii="Arial" w:cs="Arial" w:eastAsia="Arial" w:hAnsi="Arial"/>
                <w:sz w:val="18"/>
                <w:szCs w:val="18"/>
                <w:color w:val="auto"/>
                <w:w w:val="88"/>
              </w:rPr>
              <w:t>10.13</w:t>
            </w:r>
          </w:p>
        </w:tc>
        <w:tc>
          <w:tcPr>
            <w:tcW w:w="880" w:type="dxa"/>
            <w:vAlign w:val="bottom"/>
            <w:gridSpan w:val="2"/>
          </w:tcPr>
          <w:p>
            <w:pPr>
              <w:jc w:val="center"/>
              <w:ind w:left="52"/>
              <w:spacing w:after="0"/>
              <w:rPr>
                <w:sz w:val="20"/>
                <w:szCs w:val="20"/>
                <w:color w:val="auto"/>
              </w:rPr>
            </w:pPr>
            <w:r>
              <w:rPr>
                <w:rFonts w:ascii="Arial" w:cs="Arial" w:eastAsia="Arial" w:hAnsi="Arial"/>
                <w:sz w:val="18"/>
                <w:szCs w:val="18"/>
                <w:color w:val="auto"/>
                <w:w w:val="89"/>
              </w:rPr>
              <w:t>3/27/01</w:t>
            </w:r>
          </w:p>
        </w:tc>
      </w:tr>
      <w:tr>
        <w:trPr>
          <w:trHeight w:val="216"/>
        </w:trPr>
        <w:tc>
          <w:tcPr>
            <w:tcW w:w="1120" w:type="dxa"/>
            <w:vAlign w:val="bottom"/>
          </w:tcPr>
          <w:p>
            <w:pPr>
              <w:jc w:val="center"/>
              <w:spacing w:after="0"/>
              <w:rPr>
                <w:sz w:val="20"/>
                <w:szCs w:val="20"/>
                <w:color w:val="auto"/>
              </w:rPr>
            </w:pPr>
            <w:r>
              <w:rPr>
                <w:rFonts w:ascii="Arial" w:cs="Arial" w:eastAsia="Arial" w:hAnsi="Arial"/>
                <w:sz w:val="18"/>
                <w:szCs w:val="18"/>
                <w:color w:val="auto"/>
                <w:w w:val="89"/>
              </w:rPr>
              <w:t>(000-15006)</w:t>
            </w:r>
          </w:p>
        </w:tc>
        <w:tc>
          <w:tcPr>
            <w:tcW w:w="1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tcPr>
          <w:p>
            <w:pPr>
              <w:spacing w:after="0"/>
              <w:rPr>
                <w:sz w:val="18"/>
                <w:szCs w:val="18"/>
                <w:color w:val="auto"/>
              </w:rPr>
            </w:pPr>
          </w:p>
        </w:tc>
      </w:tr>
      <w:tr>
        <w:trPr>
          <w:trHeight w:val="216"/>
        </w:trPr>
        <w:tc>
          <w:tcPr>
            <w:tcW w:w="1120" w:type="dxa"/>
            <w:vAlign w:val="bottom"/>
          </w:tcPr>
          <w:p>
            <w:pPr>
              <w:jc w:val="center"/>
              <w:spacing w:after="0"/>
              <w:rPr>
                <w:sz w:val="20"/>
                <w:szCs w:val="20"/>
                <w:color w:val="auto"/>
              </w:rPr>
            </w:pPr>
            <w:r>
              <w:rPr>
                <w:rFonts w:ascii="Arial" w:cs="Arial" w:eastAsia="Arial" w:hAnsi="Arial"/>
                <w:sz w:val="18"/>
                <w:szCs w:val="18"/>
                <w:color w:val="auto"/>
                <w:w w:val="94"/>
              </w:rPr>
              <w:t>10-K</w:t>
            </w:r>
          </w:p>
        </w:tc>
        <w:tc>
          <w:tcPr>
            <w:tcW w:w="660" w:type="dxa"/>
            <w:vAlign w:val="bottom"/>
            <w:gridSpan w:val="2"/>
          </w:tcPr>
          <w:p>
            <w:pPr>
              <w:jc w:val="center"/>
              <w:ind w:left="52"/>
              <w:spacing w:after="0"/>
              <w:rPr>
                <w:sz w:val="20"/>
                <w:szCs w:val="20"/>
                <w:color w:val="auto"/>
              </w:rPr>
            </w:pPr>
            <w:r>
              <w:rPr>
                <w:rFonts w:ascii="Arial" w:cs="Arial" w:eastAsia="Arial" w:hAnsi="Arial"/>
                <w:sz w:val="18"/>
                <w:szCs w:val="18"/>
                <w:color w:val="auto"/>
                <w:w w:val="88"/>
              </w:rPr>
              <w:t>10.14</w:t>
            </w:r>
          </w:p>
        </w:tc>
        <w:tc>
          <w:tcPr>
            <w:tcW w:w="880" w:type="dxa"/>
            <w:vAlign w:val="bottom"/>
            <w:gridSpan w:val="2"/>
          </w:tcPr>
          <w:p>
            <w:pPr>
              <w:jc w:val="center"/>
              <w:ind w:left="52"/>
              <w:spacing w:after="0"/>
              <w:rPr>
                <w:sz w:val="20"/>
                <w:szCs w:val="20"/>
                <w:color w:val="auto"/>
              </w:rPr>
            </w:pPr>
            <w:r>
              <w:rPr>
                <w:rFonts w:ascii="Arial" w:cs="Arial" w:eastAsia="Arial" w:hAnsi="Arial"/>
                <w:sz w:val="18"/>
                <w:szCs w:val="18"/>
                <w:color w:val="auto"/>
                <w:w w:val="89"/>
              </w:rPr>
              <w:t>3/27/01</w:t>
            </w:r>
          </w:p>
        </w:tc>
      </w:tr>
      <w:tr>
        <w:trPr>
          <w:trHeight w:val="216"/>
        </w:trPr>
        <w:tc>
          <w:tcPr>
            <w:tcW w:w="1120" w:type="dxa"/>
            <w:vAlign w:val="bottom"/>
          </w:tcPr>
          <w:p>
            <w:pPr>
              <w:jc w:val="center"/>
              <w:spacing w:after="0"/>
              <w:rPr>
                <w:sz w:val="20"/>
                <w:szCs w:val="20"/>
                <w:color w:val="auto"/>
              </w:rPr>
            </w:pPr>
            <w:r>
              <w:rPr>
                <w:rFonts w:ascii="Arial" w:cs="Arial" w:eastAsia="Arial" w:hAnsi="Arial"/>
                <w:sz w:val="18"/>
                <w:szCs w:val="18"/>
                <w:color w:val="auto"/>
                <w:w w:val="89"/>
              </w:rPr>
              <w:t>(000-15006)</w:t>
            </w:r>
          </w:p>
        </w:tc>
        <w:tc>
          <w:tcPr>
            <w:tcW w:w="1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tcPr>
          <w:p>
            <w:pPr>
              <w:spacing w:after="0"/>
              <w:rPr>
                <w:sz w:val="18"/>
                <w:szCs w:val="18"/>
                <w:color w:val="auto"/>
              </w:rPr>
            </w:pPr>
          </w:p>
        </w:tc>
      </w:tr>
      <w:tr>
        <w:trPr>
          <w:trHeight w:val="216"/>
        </w:trPr>
        <w:tc>
          <w:tcPr>
            <w:tcW w:w="1120" w:type="dxa"/>
            <w:vAlign w:val="bottom"/>
          </w:tcPr>
          <w:p>
            <w:pPr>
              <w:jc w:val="center"/>
              <w:spacing w:after="0"/>
              <w:rPr>
                <w:sz w:val="20"/>
                <w:szCs w:val="20"/>
                <w:color w:val="auto"/>
              </w:rPr>
            </w:pPr>
            <w:r>
              <w:rPr>
                <w:rFonts w:ascii="Arial" w:cs="Arial" w:eastAsia="Arial" w:hAnsi="Arial"/>
                <w:sz w:val="18"/>
                <w:szCs w:val="18"/>
                <w:color w:val="auto"/>
                <w:w w:val="94"/>
              </w:rPr>
              <w:t>10-K</w:t>
            </w:r>
          </w:p>
        </w:tc>
        <w:tc>
          <w:tcPr>
            <w:tcW w:w="660" w:type="dxa"/>
            <w:vAlign w:val="bottom"/>
            <w:gridSpan w:val="2"/>
          </w:tcPr>
          <w:p>
            <w:pPr>
              <w:jc w:val="center"/>
              <w:ind w:left="52"/>
              <w:spacing w:after="0"/>
              <w:rPr>
                <w:sz w:val="20"/>
                <w:szCs w:val="20"/>
                <w:color w:val="auto"/>
              </w:rPr>
            </w:pPr>
            <w:r>
              <w:rPr>
                <w:rFonts w:ascii="Arial" w:cs="Arial" w:eastAsia="Arial" w:hAnsi="Arial"/>
                <w:sz w:val="18"/>
                <w:szCs w:val="18"/>
                <w:color w:val="auto"/>
                <w:w w:val="88"/>
              </w:rPr>
              <w:t>10.15</w:t>
            </w:r>
          </w:p>
        </w:tc>
        <w:tc>
          <w:tcPr>
            <w:tcW w:w="880" w:type="dxa"/>
            <w:vAlign w:val="bottom"/>
            <w:gridSpan w:val="2"/>
          </w:tcPr>
          <w:p>
            <w:pPr>
              <w:jc w:val="center"/>
              <w:ind w:left="52"/>
              <w:spacing w:after="0"/>
              <w:rPr>
                <w:sz w:val="20"/>
                <w:szCs w:val="20"/>
                <w:color w:val="auto"/>
              </w:rPr>
            </w:pPr>
            <w:r>
              <w:rPr>
                <w:rFonts w:ascii="Arial" w:cs="Arial" w:eastAsia="Arial" w:hAnsi="Arial"/>
                <w:sz w:val="18"/>
                <w:szCs w:val="18"/>
                <w:color w:val="auto"/>
                <w:w w:val="89"/>
              </w:rPr>
              <w:t>3/27/01</w:t>
            </w:r>
          </w:p>
        </w:tc>
      </w:tr>
      <w:tr>
        <w:trPr>
          <w:trHeight w:val="216"/>
        </w:trPr>
        <w:tc>
          <w:tcPr>
            <w:tcW w:w="1120" w:type="dxa"/>
            <w:vAlign w:val="bottom"/>
          </w:tcPr>
          <w:p>
            <w:pPr>
              <w:jc w:val="center"/>
              <w:spacing w:after="0"/>
              <w:rPr>
                <w:sz w:val="20"/>
                <w:szCs w:val="20"/>
                <w:color w:val="auto"/>
              </w:rPr>
            </w:pPr>
            <w:r>
              <w:rPr>
                <w:rFonts w:ascii="Arial" w:cs="Arial" w:eastAsia="Arial" w:hAnsi="Arial"/>
                <w:sz w:val="18"/>
                <w:szCs w:val="18"/>
                <w:color w:val="auto"/>
                <w:w w:val="89"/>
              </w:rPr>
              <w:t>(000-15006)</w:t>
            </w:r>
          </w:p>
        </w:tc>
        <w:tc>
          <w:tcPr>
            <w:tcW w:w="1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tcPr>
          <w:p>
            <w:pPr>
              <w:spacing w:after="0"/>
              <w:rPr>
                <w:sz w:val="18"/>
                <w:szCs w:val="18"/>
                <w:color w:val="auto"/>
              </w:rPr>
            </w:pPr>
          </w:p>
        </w:tc>
      </w:tr>
      <w:tr>
        <w:trPr>
          <w:trHeight w:val="216"/>
        </w:trPr>
        <w:tc>
          <w:tcPr>
            <w:tcW w:w="1120" w:type="dxa"/>
            <w:vAlign w:val="bottom"/>
          </w:tcPr>
          <w:p>
            <w:pPr>
              <w:jc w:val="center"/>
              <w:spacing w:after="0"/>
              <w:rPr>
                <w:sz w:val="20"/>
                <w:szCs w:val="20"/>
                <w:color w:val="auto"/>
              </w:rPr>
            </w:pPr>
            <w:r>
              <w:rPr>
                <w:rFonts w:ascii="Arial" w:cs="Arial" w:eastAsia="Arial" w:hAnsi="Arial"/>
                <w:sz w:val="18"/>
                <w:szCs w:val="18"/>
                <w:color w:val="auto"/>
                <w:w w:val="94"/>
              </w:rPr>
              <w:t>10-K</w:t>
            </w:r>
          </w:p>
        </w:tc>
        <w:tc>
          <w:tcPr>
            <w:tcW w:w="660" w:type="dxa"/>
            <w:vAlign w:val="bottom"/>
            <w:gridSpan w:val="2"/>
          </w:tcPr>
          <w:p>
            <w:pPr>
              <w:jc w:val="center"/>
              <w:ind w:left="52"/>
              <w:spacing w:after="0"/>
              <w:rPr>
                <w:sz w:val="20"/>
                <w:szCs w:val="20"/>
                <w:color w:val="auto"/>
              </w:rPr>
            </w:pPr>
            <w:r>
              <w:rPr>
                <w:rFonts w:ascii="Arial" w:cs="Arial" w:eastAsia="Arial" w:hAnsi="Arial"/>
                <w:sz w:val="18"/>
                <w:szCs w:val="18"/>
                <w:color w:val="auto"/>
                <w:w w:val="88"/>
              </w:rPr>
              <w:t>10.20</w:t>
            </w:r>
          </w:p>
        </w:tc>
        <w:tc>
          <w:tcPr>
            <w:tcW w:w="880" w:type="dxa"/>
            <w:vAlign w:val="bottom"/>
            <w:gridSpan w:val="2"/>
          </w:tcPr>
          <w:p>
            <w:pPr>
              <w:jc w:val="center"/>
              <w:ind w:left="52"/>
              <w:spacing w:after="0"/>
              <w:rPr>
                <w:sz w:val="20"/>
                <w:szCs w:val="20"/>
                <w:color w:val="auto"/>
              </w:rPr>
            </w:pPr>
            <w:r>
              <w:rPr>
                <w:rFonts w:ascii="Arial" w:cs="Arial" w:eastAsia="Arial" w:hAnsi="Arial"/>
                <w:sz w:val="18"/>
                <w:szCs w:val="18"/>
                <w:color w:val="auto"/>
                <w:w w:val="89"/>
              </w:rPr>
              <w:t>3/28/00</w:t>
            </w:r>
          </w:p>
        </w:tc>
      </w:tr>
      <w:tr>
        <w:trPr>
          <w:trHeight w:val="216"/>
        </w:trPr>
        <w:tc>
          <w:tcPr>
            <w:tcW w:w="1120" w:type="dxa"/>
            <w:vAlign w:val="bottom"/>
          </w:tcPr>
          <w:p>
            <w:pPr>
              <w:jc w:val="center"/>
              <w:spacing w:after="0"/>
              <w:rPr>
                <w:sz w:val="20"/>
                <w:szCs w:val="20"/>
                <w:color w:val="auto"/>
              </w:rPr>
            </w:pPr>
            <w:r>
              <w:rPr>
                <w:rFonts w:ascii="Arial" w:cs="Arial" w:eastAsia="Arial" w:hAnsi="Arial"/>
                <w:sz w:val="18"/>
                <w:szCs w:val="18"/>
                <w:color w:val="auto"/>
                <w:w w:val="89"/>
              </w:rPr>
              <w:t>(000-15006)</w:t>
            </w:r>
          </w:p>
        </w:tc>
        <w:tc>
          <w:tcPr>
            <w:tcW w:w="1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tcPr>
          <w:p>
            <w:pPr>
              <w:spacing w:after="0"/>
              <w:rPr>
                <w:sz w:val="18"/>
                <w:szCs w:val="18"/>
                <w:color w:val="auto"/>
              </w:rPr>
            </w:pPr>
          </w:p>
        </w:tc>
      </w:tr>
      <w:tr>
        <w:trPr>
          <w:trHeight w:val="216"/>
        </w:trPr>
        <w:tc>
          <w:tcPr>
            <w:tcW w:w="1120" w:type="dxa"/>
            <w:vAlign w:val="bottom"/>
          </w:tcPr>
          <w:p>
            <w:pPr>
              <w:jc w:val="center"/>
              <w:spacing w:after="0"/>
              <w:rPr>
                <w:sz w:val="20"/>
                <w:szCs w:val="20"/>
                <w:color w:val="auto"/>
              </w:rPr>
            </w:pPr>
            <w:r>
              <w:rPr>
                <w:rFonts w:ascii="Arial" w:cs="Arial" w:eastAsia="Arial" w:hAnsi="Arial"/>
                <w:sz w:val="18"/>
                <w:szCs w:val="18"/>
                <w:color w:val="auto"/>
                <w:w w:val="98"/>
              </w:rPr>
              <w:t>10-K/A</w:t>
            </w:r>
          </w:p>
        </w:tc>
        <w:tc>
          <w:tcPr>
            <w:tcW w:w="660" w:type="dxa"/>
            <w:vAlign w:val="bottom"/>
            <w:gridSpan w:val="2"/>
          </w:tcPr>
          <w:p>
            <w:pPr>
              <w:jc w:val="center"/>
              <w:ind w:left="52"/>
              <w:spacing w:after="0"/>
              <w:rPr>
                <w:sz w:val="20"/>
                <w:szCs w:val="20"/>
                <w:color w:val="auto"/>
              </w:rPr>
            </w:pPr>
            <w:r>
              <w:rPr>
                <w:rFonts w:ascii="Arial" w:cs="Arial" w:eastAsia="Arial" w:hAnsi="Arial"/>
                <w:sz w:val="18"/>
                <w:szCs w:val="18"/>
                <w:color w:val="auto"/>
                <w:w w:val="88"/>
              </w:rPr>
              <w:t>10.21</w:t>
            </w:r>
          </w:p>
        </w:tc>
        <w:tc>
          <w:tcPr>
            <w:tcW w:w="880" w:type="dxa"/>
            <w:vAlign w:val="bottom"/>
            <w:gridSpan w:val="2"/>
          </w:tcPr>
          <w:p>
            <w:pPr>
              <w:jc w:val="center"/>
              <w:ind w:left="52"/>
              <w:spacing w:after="0"/>
              <w:rPr>
                <w:sz w:val="20"/>
                <w:szCs w:val="20"/>
                <w:color w:val="auto"/>
              </w:rPr>
            </w:pPr>
            <w:r>
              <w:rPr>
                <w:rFonts w:ascii="Arial" w:cs="Arial" w:eastAsia="Arial" w:hAnsi="Arial"/>
                <w:sz w:val="18"/>
                <w:szCs w:val="18"/>
                <w:color w:val="auto"/>
                <w:w w:val="89"/>
              </w:rPr>
              <w:t>9/12/03</w:t>
            </w:r>
          </w:p>
        </w:tc>
      </w:tr>
      <w:tr>
        <w:trPr>
          <w:trHeight w:val="216"/>
        </w:trPr>
        <w:tc>
          <w:tcPr>
            <w:tcW w:w="1120" w:type="dxa"/>
            <w:vAlign w:val="bottom"/>
          </w:tcPr>
          <w:p>
            <w:pPr>
              <w:jc w:val="center"/>
              <w:spacing w:after="0"/>
              <w:rPr>
                <w:sz w:val="20"/>
                <w:szCs w:val="20"/>
                <w:color w:val="auto"/>
              </w:rPr>
            </w:pPr>
            <w:r>
              <w:rPr>
                <w:rFonts w:ascii="Arial" w:cs="Arial" w:eastAsia="Arial" w:hAnsi="Arial"/>
                <w:sz w:val="18"/>
                <w:szCs w:val="18"/>
                <w:color w:val="auto"/>
                <w:w w:val="89"/>
              </w:rPr>
              <w:t>(000-15006)</w:t>
            </w:r>
          </w:p>
        </w:tc>
        <w:tc>
          <w:tcPr>
            <w:tcW w:w="1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tcPr>
          <w:p>
            <w:pPr>
              <w:spacing w:after="0"/>
              <w:rPr>
                <w:sz w:val="18"/>
                <w:szCs w:val="18"/>
                <w:color w:val="auto"/>
              </w:rPr>
            </w:pPr>
          </w:p>
        </w:tc>
      </w:tr>
      <w:tr>
        <w:trPr>
          <w:trHeight w:val="216"/>
        </w:trPr>
        <w:tc>
          <w:tcPr>
            <w:tcW w:w="1120" w:type="dxa"/>
            <w:vAlign w:val="bottom"/>
          </w:tcPr>
          <w:p>
            <w:pPr>
              <w:jc w:val="center"/>
              <w:spacing w:after="0"/>
              <w:rPr>
                <w:sz w:val="20"/>
                <w:szCs w:val="20"/>
                <w:color w:val="auto"/>
              </w:rPr>
            </w:pPr>
            <w:r>
              <w:rPr>
                <w:rFonts w:ascii="Arial" w:cs="Arial" w:eastAsia="Arial" w:hAnsi="Arial"/>
                <w:sz w:val="18"/>
                <w:szCs w:val="18"/>
                <w:color w:val="auto"/>
                <w:w w:val="98"/>
              </w:rPr>
              <w:t>10-K/A</w:t>
            </w:r>
          </w:p>
        </w:tc>
        <w:tc>
          <w:tcPr>
            <w:tcW w:w="660" w:type="dxa"/>
            <w:vAlign w:val="bottom"/>
            <w:gridSpan w:val="2"/>
          </w:tcPr>
          <w:p>
            <w:pPr>
              <w:jc w:val="center"/>
              <w:ind w:left="52"/>
              <w:spacing w:after="0"/>
              <w:rPr>
                <w:sz w:val="20"/>
                <w:szCs w:val="20"/>
                <w:color w:val="auto"/>
              </w:rPr>
            </w:pPr>
            <w:r>
              <w:rPr>
                <w:rFonts w:ascii="Arial" w:cs="Arial" w:eastAsia="Arial" w:hAnsi="Arial"/>
                <w:sz w:val="18"/>
                <w:szCs w:val="18"/>
                <w:color w:val="auto"/>
                <w:w w:val="88"/>
              </w:rPr>
              <w:t>10.22</w:t>
            </w:r>
          </w:p>
        </w:tc>
        <w:tc>
          <w:tcPr>
            <w:tcW w:w="880" w:type="dxa"/>
            <w:vAlign w:val="bottom"/>
            <w:gridSpan w:val="2"/>
          </w:tcPr>
          <w:p>
            <w:pPr>
              <w:jc w:val="center"/>
              <w:ind w:left="52"/>
              <w:spacing w:after="0"/>
              <w:rPr>
                <w:sz w:val="20"/>
                <w:szCs w:val="20"/>
                <w:color w:val="auto"/>
              </w:rPr>
            </w:pPr>
            <w:r>
              <w:rPr>
                <w:rFonts w:ascii="Arial" w:cs="Arial" w:eastAsia="Arial" w:hAnsi="Arial"/>
                <w:sz w:val="18"/>
                <w:szCs w:val="18"/>
                <w:color w:val="auto"/>
                <w:w w:val="89"/>
              </w:rPr>
              <w:t>9/12/03</w:t>
            </w:r>
          </w:p>
        </w:tc>
      </w:tr>
      <w:tr>
        <w:trPr>
          <w:trHeight w:val="216"/>
        </w:trPr>
        <w:tc>
          <w:tcPr>
            <w:tcW w:w="1120" w:type="dxa"/>
            <w:vAlign w:val="bottom"/>
          </w:tcPr>
          <w:p>
            <w:pPr>
              <w:jc w:val="center"/>
              <w:spacing w:after="0"/>
              <w:rPr>
                <w:sz w:val="20"/>
                <w:szCs w:val="20"/>
                <w:color w:val="auto"/>
              </w:rPr>
            </w:pPr>
            <w:r>
              <w:rPr>
                <w:rFonts w:ascii="Arial" w:cs="Arial" w:eastAsia="Arial" w:hAnsi="Arial"/>
                <w:sz w:val="18"/>
                <w:szCs w:val="18"/>
                <w:color w:val="auto"/>
                <w:w w:val="89"/>
              </w:rPr>
              <w:t>(000-15006)</w:t>
            </w:r>
          </w:p>
        </w:tc>
        <w:tc>
          <w:tcPr>
            <w:tcW w:w="1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tcPr>
          <w:p>
            <w:pPr>
              <w:spacing w:after="0"/>
              <w:rPr>
                <w:sz w:val="18"/>
                <w:szCs w:val="18"/>
                <w:color w:val="auto"/>
              </w:rPr>
            </w:pPr>
          </w:p>
        </w:tc>
      </w:tr>
      <w:tr>
        <w:trPr>
          <w:trHeight w:val="216"/>
        </w:trPr>
        <w:tc>
          <w:tcPr>
            <w:tcW w:w="1120" w:type="dxa"/>
            <w:vAlign w:val="bottom"/>
          </w:tcPr>
          <w:p>
            <w:pPr>
              <w:jc w:val="center"/>
              <w:spacing w:after="0"/>
              <w:rPr>
                <w:sz w:val="20"/>
                <w:szCs w:val="20"/>
                <w:color w:val="auto"/>
              </w:rPr>
            </w:pPr>
            <w:r>
              <w:rPr>
                <w:rFonts w:ascii="Arial" w:cs="Arial" w:eastAsia="Arial" w:hAnsi="Arial"/>
                <w:sz w:val="18"/>
                <w:szCs w:val="18"/>
                <w:color w:val="auto"/>
                <w:w w:val="98"/>
              </w:rPr>
              <w:t>10-K/A</w:t>
            </w:r>
          </w:p>
        </w:tc>
        <w:tc>
          <w:tcPr>
            <w:tcW w:w="660" w:type="dxa"/>
            <w:vAlign w:val="bottom"/>
            <w:gridSpan w:val="2"/>
          </w:tcPr>
          <w:p>
            <w:pPr>
              <w:jc w:val="center"/>
              <w:ind w:left="52"/>
              <w:spacing w:after="0"/>
              <w:rPr>
                <w:sz w:val="20"/>
                <w:szCs w:val="20"/>
                <w:color w:val="auto"/>
              </w:rPr>
            </w:pPr>
            <w:r>
              <w:rPr>
                <w:rFonts w:ascii="Arial" w:cs="Arial" w:eastAsia="Arial" w:hAnsi="Arial"/>
                <w:sz w:val="18"/>
                <w:szCs w:val="18"/>
                <w:color w:val="auto"/>
                <w:w w:val="88"/>
              </w:rPr>
              <w:t>10.23</w:t>
            </w:r>
          </w:p>
        </w:tc>
        <w:tc>
          <w:tcPr>
            <w:tcW w:w="880" w:type="dxa"/>
            <w:vAlign w:val="bottom"/>
            <w:gridSpan w:val="2"/>
          </w:tcPr>
          <w:p>
            <w:pPr>
              <w:jc w:val="center"/>
              <w:ind w:left="52"/>
              <w:spacing w:after="0"/>
              <w:rPr>
                <w:sz w:val="20"/>
                <w:szCs w:val="20"/>
                <w:color w:val="auto"/>
              </w:rPr>
            </w:pPr>
            <w:r>
              <w:rPr>
                <w:rFonts w:ascii="Arial" w:cs="Arial" w:eastAsia="Arial" w:hAnsi="Arial"/>
                <w:sz w:val="18"/>
                <w:szCs w:val="18"/>
                <w:color w:val="auto"/>
                <w:w w:val="89"/>
              </w:rPr>
              <w:t>9/12/03</w:t>
            </w:r>
          </w:p>
        </w:tc>
      </w:tr>
      <w:tr>
        <w:trPr>
          <w:trHeight w:val="222"/>
        </w:trPr>
        <w:tc>
          <w:tcPr>
            <w:tcW w:w="1120" w:type="dxa"/>
            <w:vAlign w:val="bottom"/>
          </w:tcPr>
          <w:p>
            <w:pPr>
              <w:jc w:val="center"/>
              <w:spacing w:after="0"/>
              <w:rPr>
                <w:sz w:val="20"/>
                <w:szCs w:val="20"/>
                <w:color w:val="auto"/>
              </w:rPr>
            </w:pPr>
            <w:r>
              <w:rPr>
                <w:rFonts w:ascii="Arial" w:cs="Arial" w:eastAsia="Arial" w:hAnsi="Arial"/>
                <w:sz w:val="18"/>
                <w:szCs w:val="18"/>
                <w:color w:val="auto"/>
                <w:w w:val="89"/>
              </w:rPr>
              <w:t>(000-15006)</w:t>
            </w:r>
          </w:p>
        </w:tc>
        <w:tc>
          <w:tcPr>
            <w:tcW w:w="16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20" w:type="dxa"/>
            <w:vAlign w:val="bottom"/>
          </w:tcPr>
          <w:p>
            <w:pPr>
              <w:spacing w:after="0"/>
              <w:rPr>
                <w:sz w:val="19"/>
                <w:szCs w:val="19"/>
                <w:color w:val="auto"/>
              </w:rPr>
            </w:pPr>
          </w:p>
        </w:tc>
      </w:tr>
      <w:tr>
        <w:trPr>
          <w:trHeight w:val="426"/>
        </w:trPr>
        <w:tc>
          <w:tcPr>
            <w:tcW w:w="1120" w:type="dxa"/>
            <w:vAlign w:val="bottom"/>
          </w:tcPr>
          <w:p>
            <w:pPr>
              <w:jc w:val="center"/>
              <w:spacing w:after="0"/>
              <w:rPr>
                <w:sz w:val="20"/>
                <w:szCs w:val="20"/>
                <w:color w:val="auto"/>
              </w:rPr>
            </w:pPr>
            <w:r>
              <w:rPr>
                <w:rFonts w:ascii="Arial" w:cs="Arial" w:eastAsia="Arial" w:hAnsi="Arial"/>
                <w:sz w:val="18"/>
                <w:szCs w:val="18"/>
                <w:color w:val="auto"/>
                <w:w w:val="98"/>
              </w:rPr>
              <w:t>10-K/A</w:t>
            </w:r>
          </w:p>
        </w:tc>
        <w:tc>
          <w:tcPr>
            <w:tcW w:w="660" w:type="dxa"/>
            <w:vAlign w:val="bottom"/>
            <w:gridSpan w:val="2"/>
          </w:tcPr>
          <w:p>
            <w:pPr>
              <w:jc w:val="center"/>
              <w:ind w:left="52"/>
              <w:spacing w:after="0"/>
              <w:rPr>
                <w:sz w:val="20"/>
                <w:szCs w:val="20"/>
                <w:color w:val="auto"/>
              </w:rPr>
            </w:pPr>
            <w:r>
              <w:rPr>
                <w:rFonts w:ascii="Arial" w:cs="Arial" w:eastAsia="Arial" w:hAnsi="Arial"/>
                <w:sz w:val="18"/>
                <w:szCs w:val="18"/>
                <w:color w:val="auto"/>
                <w:w w:val="88"/>
              </w:rPr>
              <w:t>10.10</w:t>
            </w:r>
          </w:p>
        </w:tc>
        <w:tc>
          <w:tcPr>
            <w:tcW w:w="880" w:type="dxa"/>
            <w:vAlign w:val="bottom"/>
            <w:gridSpan w:val="2"/>
          </w:tcPr>
          <w:p>
            <w:pPr>
              <w:jc w:val="center"/>
              <w:ind w:left="52"/>
              <w:spacing w:after="0"/>
              <w:rPr>
                <w:sz w:val="20"/>
                <w:szCs w:val="20"/>
                <w:color w:val="auto"/>
              </w:rPr>
            </w:pPr>
            <w:r>
              <w:rPr>
                <w:rFonts w:ascii="Arial" w:cs="Arial" w:eastAsia="Arial" w:hAnsi="Arial"/>
                <w:sz w:val="18"/>
                <w:szCs w:val="18"/>
                <w:color w:val="auto"/>
                <w:w w:val="88"/>
              </w:rPr>
              <w:t>12/23/10</w:t>
            </w:r>
          </w:p>
        </w:tc>
      </w:tr>
      <w:tr>
        <w:trPr>
          <w:trHeight w:val="216"/>
        </w:trPr>
        <w:tc>
          <w:tcPr>
            <w:tcW w:w="1120" w:type="dxa"/>
            <w:vAlign w:val="bottom"/>
          </w:tcPr>
          <w:p>
            <w:pPr>
              <w:jc w:val="center"/>
              <w:spacing w:after="0"/>
              <w:rPr>
                <w:sz w:val="20"/>
                <w:szCs w:val="20"/>
                <w:color w:val="auto"/>
              </w:rPr>
            </w:pPr>
            <w:r>
              <w:rPr>
                <w:rFonts w:ascii="Arial" w:cs="Arial" w:eastAsia="Arial" w:hAnsi="Arial"/>
                <w:sz w:val="18"/>
                <w:szCs w:val="18"/>
                <w:color w:val="auto"/>
                <w:w w:val="89"/>
              </w:rPr>
              <w:t>(000-15006)</w:t>
            </w:r>
          </w:p>
        </w:tc>
        <w:tc>
          <w:tcPr>
            <w:tcW w:w="1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tcPr>
          <w:p>
            <w:pPr>
              <w:spacing w:after="0"/>
              <w:rPr>
                <w:sz w:val="18"/>
                <w:szCs w:val="18"/>
                <w:color w:val="auto"/>
              </w:rPr>
            </w:pPr>
          </w:p>
        </w:tc>
      </w:tr>
      <w:tr>
        <w:trPr>
          <w:trHeight w:val="216"/>
        </w:trPr>
        <w:tc>
          <w:tcPr>
            <w:tcW w:w="1120" w:type="dxa"/>
            <w:vAlign w:val="bottom"/>
          </w:tcPr>
          <w:p>
            <w:pPr>
              <w:jc w:val="center"/>
              <w:spacing w:after="0"/>
              <w:rPr>
                <w:sz w:val="20"/>
                <w:szCs w:val="20"/>
                <w:color w:val="auto"/>
              </w:rPr>
            </w:pPr>
            <w:r>
              <w:rPr>
                <w:rFonts w:ascii="Arial" w:cs="Arial" w:eastAsia="Arial" w:hAnsi="Arial"/>
                <w:sz w:val="18"/>
                <w:szCs w:val="18"/>
                <w:color w:val="auto"/>
                <w:w w:val="98"/>
              </w:rPr>
              <w:t>10-K/A</w:t>
            </w:r>
          </w:p>
        </w:tc>
        <w:tc>
          <w:tcPr>
            <w:tcW w:w="660" w:type="dxa"/>
            <w:vAlign w:val="bottom"/>
            <w:gridSpan w:val="2"/>
          </w:tcPr>
          <w:p>
            <w:pPr>
              <w:jc w:val="center"/>
              <w:ind w:left="52"/>
              <w:spacing w:after="0"/>
              <w:rPr>
                <w:sz w:val="20"/>
                <w:szCs w:val="20"/>
                <w:color w:val="auto"/>
              </w:rPr>
            </w:pPr>
            <w:r>
              <w:rPr>
                <w:rFonts w:ascii="Arial" w:cs="Arial" w:eastAsia="Arial" w:hAnsi="Arial"/>
                <w:sz w:val="18"/>
                <w:szCs w:val="18"/>
                <w:color w:val="auto"/>
                <w:w w:val="88"/>
              </w:rPr>
              <w:t>10.28</w:t>
            </w:r>
          </w:p>
        </w:tc>
        <w:tc>
          <w:tcPr>
            <w:tcW w:w="880" w:type="dxa"/>
            <w:vAlign w:val="bottom"/>
            <w:gridSpan w:val="2"/>
          </w:tcPr>
          <w:p>
            <w:pPr>
              <w:jc w:val="center"/>
              <w:ind w:left="52"/>
              <w:spacing w:after="0"/>
              <w:rPr>
                <w:sz w:val="20"/>
                <w:szCs w:val="20"/>
                <w:color w:val="auto"/>
              </w:rPr>
            </w:pPr>
            <w:r>
              <w:rPr>
                <w:rFonts w:ascii="Arial" w:cs="Arial" w:eastAsia="Arial" w:hAnsi="Arial"/>
                <w:sz w:val="18"/>
                <w:szCs w:val="18"/>
                <w:color w:val="auto"/>
                <w:w w:val="89"/>
              </w:rPr>
              <w:t>9/12/03</w:t>
            </w:r>
          </w:p>
        </w:tc>
      </w:tr>
      <w:tr>
        <w:trPr>
          <w:trHeight w:val="216"/>
        </w:trPr>
        <w:tc>
          <w:tcPr>
            <w:tcW w:w="1120" w:type="dxa"/>
            <w:vAlign w:val="bottom"/>
          </w:tcPr>
          <w:p>
            <w:pPr>
              <w:jc w:val="center"/>
              <w:spacing w:after="0"/>
              <w:rPr>
                <w:sz w:val="20"/>
                <w:szCs w:val="20"/>
                <w:color w:val="auto"/>
              </w:rPr>
            </w:pPr>
            <w:r>
              <w:rPr>
                <w:rFonts w:ascii="Arial" w:cs="Arial" w:eastAsia="Arial" w:hAnsi="Arial"/>
                <w:sz w:val="18"/>
                <w:szCs w:val="18"/>
                <w:color w:val="auto"/>
                <w:w w:val="89"/>
              </w:rPr>
              <w:t>(000-15006)</w:t>
            </w:r>
          </w:p>
        </w:tc>
        <w:tc>
          <w:tcPr>
            <w:tcW w:w="1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tcPr>
          <w:p>
            <w:pPr>
              <w:spacing w:after="0"/>
              <w:rPr>
                <w:sz w:val="18"/>
                <w:szCs w:val="18"/>
                <w:color w:val="auto"/>
              </w:rPr>
            </w:pPr>
          </w:p>
        </w:tc>
      </w:tr>
      <w:tr>
        <w:trPr>
          <w:trHeight w:val="216"/>
        </w:trPr>
        <w:tc>
          <w:tcPr>
            <w:tcW w:w="1120" w:type="dxa"/>
            <w:vAlign w:val="bottom"/>
          </w:tcPr>
          <w:p>
            <w:pPr>
              <w:jc w:val="center"/>
              <w:spacing w:after="0"/>
              <w:rPr>
                <w:sz w:val="20"/>
                <w:szCs w:val="20"/>
                <w:color w:val="auto"/>
              </w:rPr>
            </w:pPr>
            <w:r>
              <w:rPr>
                <w:rFonts w:ascii="Arial" w:cs="Arial" w:eastAsia="Arial" w:hAnsi="Arial"/>
                <w:sz w:val="18"/>
                <w:szCs w:val="18"/>
                <w:color w:val="auto"/>
                <w:w w:val="92"/>
              </w:rPr>
              <w:t>8-K</w:t>
            </w:r>
          </w:p>
        </w:tc>
        <w:tc>
          <w:tcPr>
            <w:tcW w:w="660" w:type="dxa"/>
            <w:vAlign w:val="bottom"/>
            <w:gridSpan w:val="2"/>
          </w:tcPr>
          <w:p>
            <w:pPr>
              <w:jc w:val="center"/>
              <w:ind w:left="72"/>
              <w:spacing w:after="0"/>
              <w:rPr>
                <w:sz w:val="20"/>
                <w:szCs w:val="20"/>
                <w:color w:val="auto"/>
              </w:rPr>
            </w:pPr>
            <w:r>
              <w:rPr>
                <w:rFonts w:ascii="Arial" w:cs="Arial" w:eastAsia="Arial" w:hAnsi="Arial"/>
                <w:sz w:val="18"/>
                <w:szCs w:val="18"/>
                <w:color w:val="auto"/>
                <w:w w:val="85"/>
              </w:rPr>
              <w:t>10.1</w:t>
            </w:r>
          </w:p>
        </w:tc>
        <w:tc>
          <w:tcPr>
            <w:tcW w:w="880" w:type="dxa"/>
            <w:vAlign w:val="bottom"/>
            <w:gridSpan w:val="2"/>
          </w:tcPr>
          <w:p>
            <w:pPr>
              <w:jc w:val="center"/>
              <w:ind w:left="52"/>
              <w:spacing w:after="0"/>
              <w:rPr>
                <w:sz w:val="20"/>
                <w:szCs w:val="20"/>
                <w:color w:val="auto"/>
              </w:rPr>
            </w:pPr>
            <w:r>
              <w:rPr>
                <w:rFonts w:ascii="Arial" w:cs="Arial" w:eastAsia="Arial" w:hAnsi="Arial"/>
                <w:sz w:val="18"/>
                <w:szCs w:val="18"/>
                <w:color w:val="auto"/>
                <w:w w:val="89"/>
              </w:rPr>
              <w:t>5/18/05</w:t>
            </w:r>
          </w:p>
        </w:tc>
      </w:tr>
      <w:tr>
        <w:trPr>
          <w:trHeight w:val="216"/>
        </w:trPr>
        <w:tc>
          <w:tcPr>
            <w:tcW w:w="1120" w:type="dxa"/>
            <w:vAlign w:val="bottom"/>
          </w:tcPr>
          <w:p>
            <w:pPr>
              <w:jc w:val="center"/>
              <w:spacing w:after="0"/>
              <w:rPr>
                <w:sz w:val="20"/>
                <w:szCs w:val="20"/>
                <w:color w:val="auto"/>
              </w:rPr>
            </w:pPr>
            <w:r>
              <w:rPr>
                <w:rFonts w:ascii="Arial" w:cs="Arial" w:eastAsia="Arial" w:hAnsi="Arial"/>
                <w:sz w:val="18"/>
                <w:szCs w:val="18"/>
                <w:color w:val="auto"/>
                <w:w w:val="89"/>
              </w:rPr>
              <w:t>(000-15006)</w:t>
            </w:r>
          </w:p>
        </w:tc>
        <w:tc>
          <w:tcPr>
            <w:tcW w:w="1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tcPr>
          <w:p>
            <w:pPr>
              <w:spacing w:after="0"/>
              <w:rPr>
                <w:sz w:val="18"/>
                <w:szCs w:val="18"/>
                <w:color w:val="auto"/>
              </w:rPr>
            </w:pPr>
          </w:p>
        </w:tc>
      </w:tr>
      <w:tr>
        <w:trPr>
          <w:trHeight w:val="216"/>
        </w:trPr>
        <w:tc>
          <w:tcPr>
            <w:tcW w:w="1120" w:type="dxa"/>
            <w:vAlign w:val="bottom"/>
          </w:tcPr>
          <w:p>
            <w:pPr>
              <w:jc w:val="center"/>
              <w:spacing w:after="0"/>
              <w:rPr>
                <w:sz w:val="20"/>
                <w:szCs w:val="20"/>
                <w:color w:val="auto"/>
              </w:rPr>
            </w:pPr>
            <w:r>
              <w:rPr>
                <w:rFonts w:ascii="Arial" w:cs="Arial" w:eastAsia="Arial" w:hAnsi="Arial"/>
                <w:sz w:val="18"/>
                <w:szCs w:val="18"/>
                <w:color w:val="auto"/>
                <w:w w:val="92"/>
              </w:rPr>
              <w:t>8-K</w:t>
            </w:r>
          </w:p>
        </w:tc>
        <w:tc>
          <w:tcPr>
            <w:tcW w:w="660" w:type="dxa"/>
            <w:vAlign w:val="bottom"/>
            <w:gridSpan w:val="2"/>
          </w:tcPr>
          <w:p>
            <w:pPr>
              <w:jc w:val="center"/>
              <w:ind w:left="72"/>
              <w:spacing w:after="0"/>
              <w:rPr>
                <w:sz w:val="20"/>
                <w:szCs w:val="20"/>
                <w:color w:val="auto"/>
              </w:rPr>
            </w:pPr>
            <w:r>
              <w:rPr>
                <w:rFonts w:ascii="Arial" w:cs="Arial" w:eastAsia="Arial" w:hAnsi="Arial"/>
                <w:sz w:val="18"/>
                <w:szCs w:val="18"/>
                <w:color w:val="auto"/>
                <w:w w:val="85"/>
              </w:rPr>
              <w:t>10.1</w:t>
            </w:r>
          </w:p>
        </w:tc>
        <w:tc>
          <w:tcPr>
            <w:tcW w:w="880" w:type="dxa"/>
            <w:vAlign w:val="bottom"/>
            <w:gridSpan w:val="2"/>
          </w:tcPr>
          <w:p>
            <w:pPr>
              <w:jc w:val="center"/>
              <w:ind w:left="52"/>
              <w:spacing w:after="0"/>
              <w:rPr>
                <w:sz w:val="20"/>
                <w:szCs w:val="20"/>
                <w:color w:val="auto"/>
              </w:rPr>
            </w:pPr>
            <w:r>
              <w:rPr>
                <w:rFonts w:ascii="Arial" w:cs="Arial" w:eastAsia="Arial" w:hAnsi="Arial"/>
                <w:sz w:val="18"/>
                <w:szCs w:val="18"/>
                <w:color w:val="auto"/>
                <w:w w:val="89"/>
              </w:rPr>
              <w:t>3/15/06</w:t>
            </w:r>
          </w:p>
        </w:tc>
      </w:tr>
      <w:tr>
        <w:trPr>
          <w:trHeight w:val="222"/>
        </w:trPr>
        <w:tc>
          <w:tcPr>
            <w:tcW w:w="1120" w:type="dxa"/>
            <w:vAlign w:val="bottom"/>
          </w:tcPr>
          <w:p>
            <w:pPr>
              <w:jc w:val="center"/>
              <w:spacing w:after="0"/>
              <w:rPr>
                <w:sz w:val="20"/>
                <w:szCs w:val="20"/>
                <w:color w:val="auto"/>
              </w:rPr>
            </w:pPr>
            <w:r>
              <w:rPr>
                <w:rFonts w:ascii="Arial" w:cs="Arial" w:eastAsia="Arial" w:hAnsi="Arial"/>
                <w:sz w:val="18"/>
                <w:szCs w:val="18"/>
                <w:color w:val="auto"/>
                <w:w w:val="89"/>
              </w:rPr>
              <w:t>(000-15006)</w:t>
            </w:r>
          </w:p>
        </w:tc>
        <w:tc>
          <w:tcPr>
            <w:tcW w:w="16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20" w:type="dxa"/>
            <w:vAlign w:val="bottom"/>
          </w:tcPr>
          <w:p>
            <w:pPr>
              <w:spacing w:after="0"/>
              <w:rPr>
                <w:sz w:val="19"/>
                <w:szCs w:val="19"/>
                <w:color w:val="auto"/>
              </w:rPr>
            </w:pPr>
          </w:p>
        </w:tc>
      </w:tr>
    </w:tbl>
    <w:p>
      <w:pPr>
        <w:sectPr>
          <w:pgSz w:w="11900" w:h="16838" w:orient="portrait"/>
          <w:cols w:equalWidth="0" w:num="2">
            <w:col w:w="7440" w:space="180"/>
            <w:col w:w="2660"/>
          </w:cols>
          <w:pgMar w:left="240" w:top="131" w:right="1379" w:bottom="1440" w:gutter="0" w:footer="0" w:header="0"/>
        </w:sectPr>
      </w:pPr>
    </w:p>
    <w:bookmarkStart w:id="109" w:name="page110"/>
    <w:bookmarkEnd w:id="109"/>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85" w:lineRule="exact"/>
        <w:rPr>
          <w:sz w:val="20"/>
          <w:szCs w:val="20"/>
          <w:color w:val="auto"/>
        </w:rPr>
      </w:pPr>
    </w:p>
    <w:p>
      <w:pPr>
        <w:ind w:left="1360"/>
        <w:spacing w:after="0"/>
        <w:tabs>
          <w:tab w:leader="none" w:pos="4340" w:val="left"/>
        </w:tabs>
        <w:rPr>
          <w:sz w:val="20"/>
          <w:szCs w:val="20"/>
          <w:color w:val="auto"/>
        </w:rPr>
      </w:pPr>
      <w:r>
        <w:rPr>
          <w:rFonts w:ascii="Arial" w:cs="Arial" w:eastAsia="Arial" w:hAnsi="Arial"/>
          <w:sz w:val="14"/>
          <w:szCs w:val="14"/>
          <w:b w:val="1"/>
          <w:bCs w:val="1"/>
          <w:color w:val="auto"/>
        </w:rPr>
        <w:t>No.</w:t>
      </w:r>
      <w:r>
        <w:rPr>
          <w:sz w:val="20"/>
          <w:szCs w:val="20"/>
          <w:color w:val="auto"/>
        </w:rPr>
        <w:tab/>
      </w:r>
      <w:r>
        <w:rPr>
          <w:rFonts w:ascii="Arial" w:cs="Arial" w:eastAsia="Arial" w:hAnsi="Arial"/>
          <w:sz w:val="14"/>
          <w:szCs w:val="14"/>
          <w:b w:val="1"/>
          <w:bCs w:val="1"/>
          <w:color w:val="auto"/>
        </w:rPr>
        <w:t>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734060</wp:posOffset>
            </wp:positionH>
            <wp:positionV relativeFrom="paragraph">
              <wp:posOffset>0</wp:posOffset>
            </wp:positionV>
            <wp:extent cx="3996055" cy="889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3996055" cy="8890"/>
                    </a:xfrm>
                    <a:prstGeom prst="rect">
                      <a:avLst/>
                    </a:prstGeom>
                    <a:noFill/>
                  </pic:spPr>
                </pic:pic>
              </a:graphicData>
            </a:graphic>
          </wp:anchor>
        </w:drawing>
      </w:r>
    </w:p>
    <w:p>
      <w:pPr>
        <w:ind w:left="1940" w:right="580" w:hanging="644"/>
        <w:spacing w:after="0" w:line="280" w:lineRule="auto"/>
        <w:tabs>
          <w:tab w:leader="none" w:pos="1920" w:val="left"/>
        </w:tabs>
        <w:rPr>
          <w:sz w:val="20"/>
          <w:szCs w:val="20"/>
          <w:color w:val="auto"/>
        </w:rPr>
      </w:pPr>
      <w:r>
        <w:rPr>
          <w:rFonts w:ascii="Arial" w:cs="Arial" w:eastAsia="Arial" w:hAnsi="Arial"/>
          <w:sz w:val="18"/>
          <w:szCs w:val="18"/>
          <w:color w:val="auto"/>
        </w:rPr>
        <w:t>*10.25</w:t>
      </w:r>
      <w:r>
        <w:rPr>
          <w:sz w:val="20"/>
          <w:szCs w:val="20"/>
          <w:color w:val="auto"/>
        </w:rPr>
        <w:tab/>
      </w:r>
      <w:r>
        <w:rPr>
          <w:rFonts w:ascii="Arial" w:cs="Arial" w:eastAsia="Arial" w:hAnsi="Arial"/>
          <w:sz w:val="16"/>
          <w:szCs w:val="16"/>
          <w:color w:val="auto"/>
        </w:rPr>
        <w:t>Exclusive License Agreement dated February 1, 2003 by and between Thomas Jefferson University ("TJU") and the Company</w:t>
      </w:r>
    </w:p>
    <w:p>
      <w:pPr>
        <w:spacing w:after="0" w:line="1" w:lineRule="exact"/>
        <w:rPr>
          <w:sz w:val="20"/>
          <w:szCs w:val="20"/>
          <w:color w:val="auto"/>
        </w:rPr>
      </w:pPr>
    </w:p>
    <w:p>
      <w:pPr>
        <w:ind w:left="1940" w:right="40" w:hanging="644"/>
        <w:spacing w:after="0" w:line="250" w:lineRule="auto"/>
        <w:tabs>
          <w:tab w:leader="none" w:pos="1920" w:val="left"/>
        </w:tabs>
        <w:rPr>
          <w:sz w:val="20"/>
          <w:szCs w:val="20"/>
          <w:color w:val="auto"/>
        </w:rPr>
      </w:pPr>
      <w:r>
        <w:rPr>
          <w:rFonts w:ascii="Arial" w:cs="Arial" w:eastAsia="Arial" w:hAnsi="Arial"/>
          <w:sz w:val="18"/>
          <w:szCs w:val="18"/>
          <w:color w:val="auto"/>
        </w:rPr>
        <w:t>*10.26</w:t>
        <w:tab/>
        <w:t>Amendment to License Agreement between Thomas Jefferson University and the Company dated March 27, 2008</w:t>
      </w:r>
    </w:p>
    <w:p>
      <w:pPr>
        <w:spacing w:after="0" w:line="1" w:lineRule="exact"/>
        <w:rPr>
          <w:sz w:val="20"/>
          <w:szCs w:val="20"/>
          <w:color w:val="auto"/>
        </w:rPr>
      </w:pPr>
    </w:p>
    <w:p>
      <w:pPr>
        <w:ind w:left="1940" w:right="520" w:hanging="644"/>
        <w:spacing w:after="0" w:line="250" w:lineRule="auto"/>
        <w:tabs>
          <w:tab w:leader="none" w:pos="1920" w:val="left"/>
        </w:tabs>
        <w:rPr>
          <w:sz w:val="20"/>
          <w:szCs w:val="20"/>
          <w:color w:val="auto"/>
        </w:rPr>
      </w:pPr>
      <w:r>
        <w:rPr>
          <w:rFonts w:ascii="Arial" w:cs="Arial" w:eastAsia="Arial" w:hAnsi="Arial"/>
          <w:sz w:val="18"/>
          <w:szCs w:val="18"/>
          <w:color w:val="auto"/>
        </w:rPr>
        <w:t>*10.27</w:t>
        <w:tab/>
        <w:t>License Agreement dated as of November 1, 2005 by and between The Rockefeller University and the Company</w:t>
      </w:r>
    </w:p>
    <w:p>
      <w:pPr>
        <w:spacing w:after="0" w:line="1" w:lineRule="exact"/>
        <w:rPr>
          <w:sz w:val="20"/>
          <w:szCs w:val="20"/>
          <w:color w:val="auto"/>
        </w:rPr>
      </w:pPr>
    </w:p>
    <w:p>
      <w:pPr>
        <w:ind w:left="1940" w:right="780" w:hanging="644"/>
        <w:spacing w:after="0" w:line="250" w:lineRule="auto"/>
        <w:tabs>
          <w:tab w:leader="none" w:pos="1920" w:val="left"/>
        </w:tabs>
        <w:rPr>
          <w:sz w:val="20"/>
          <w:szCs w:val="20"/>
          <w:color w:val="auto"/>
        </w:rPr>
      </w:pPr>
      <w:r>
        <w:rPr>
          <w:rFonts w:ascii="Arial" w:cs="Arial" w:eastAsia="Arial" w:hAnsi="Arial"/>
          <w:sz w:val="18"/>
          <w:szCs w:val="18"/>
          <w:color w:val="auto"/>
        </w:rPr>
        <w:t>*10.28</w:t>
        <w:tab/>
        <w:t>License Agreement dated September 1, 2006 by and between Duke University and the Company</w:t>
      </w:r>
    </w:p>
    <w:p>
      <w:pPr>
        <w:spacing w:after="0" w:line="1" w:lineRule="exact"/>
        <w:rPr>
          <w:sz w:val="20"/>
          <w:szCs w:val="20"/>
          <w:color w:val="auto"/>
        </w:rPr>
      </w:pPr>
    </w:p>
    <w:p>
      <w:pPr>
        <w:ind w:left="1940" w:right="660" w:hanging="556"/>
        <w:spacing w:after="0" w:line="250" w:lineRule="auto"/>
        <w:tabs>
          <w:tab w:leader="none" w:pos="1920" w:val="left"/>
        </w:tabs>
        <w:rPr>
          <w:sz w:val="20"/>
          <w:szCs w:val="20"/>
          <w:color w:val="auto"/>
        </w:rPr>
      </w:pPr>
      <w:r>
        <w:rPr>
          <w:rFonts w:ascii="Arial" w:cs="Arial" w:eastAsia="Arial" w:hAnsi="Arial"/>
          <w:sz w:val="18"/>
          <w:szCs w:val="18"/>
          <w:color w:val="auto"/>
        </w:rPr>
        <w:t>10.29</w:t>
        <w:tab/>
        <w:t>Amendment to License Agreement between Duke University and the Company dated April 2, 2008</w:t>
      </w:r>
    </w:p>
    <w:p>
      <w:pPr>
        <w:spacing w:after="0" w:line="1" w:lineRule="exact"/>
        <w:rPr>
          <w:sz w:val="20"/>
          <w:szCs w:val="20"/>
          <w:color w:val="auto"/>
        </w:rPr>
      </w:pPr>
    </w:p>
    <w:p>
      <w:pPr>
        <w:ind w:left="1940" w:right="80" w:hanging="644"/>
        <w:spacing w:after="0" w:line="250" w:lineRule="auto"/>
        <w:tabs>
          <w:tab w:leader="none" w:pos="1920" w:val="left"/>
        </w:tabs>
        <w:rPr>
          <w:sz w:val="20"/>
          <w:szCs w:val="20"/>
          <w:color w:val="auto"/>
        </w:rPr>
      </w:pPr>
      <w:r>
        <w:rPr>
          <w:rFonts w:ascii="Arial" w:cs="Arial" w:eastAsia="Arial" w:hAnsi="Arial"/>
          <w:sz w:val="18"/>
          <w:szCs w:val="18"/>
          <w:color w:val="auto"/>
        </w:rPr>
        <w:t>*10.30</w:t>
        <w:tab/>
        <w:t>License Agreement between Duke University, The Johns Hopkins University and the Company dated December 31, 2003</w:t>
      </w:r>
    </w:p>
    <w:p>
      <w:pPr>
        <w:spacing w:after="0" w:line="1" w:lineRule="exact"/>
        <w:rPr>
          <w:sz w:val="20"/>
          <w:szCs w:val="20"/>
          <w:color w:val="auto"/>
        </w:rPr>
      </w:pPr>
    </w:p>
    <w:p>
      <w:pPr>
        <w:ind w:left="1940" w:right="420" w:hanging="644"/>
        <w:spacing w:after="0" w:line="281" w:lineRule="auto"/>
        <w:tabs>
          <w:tab w:leader="none" w:pos="1920" w:val="left"/>
        </w:tabs>
        <w:rPr>
          <w:sz w:val="20"/>
          <w:szCs w:val="20"/>
          <w:color w:val="auto"/>
        </w:rPr>
      </w:pPr>
      <w:r>
        <w:rPr>
          <w:rFonts w:ascii="Arial" w:cs="Arial" w:eastAsia="Arial" w:hAnsi="Arial"/>
          <w:sz w:val="18"/>
          <w:szCs w:val="18"/>
          <w:color w:val="auto"/>
        </w:rPr>
        <w:t>*10.31</w:t>
      </w:r>
      <w:r>
        <w:rPr>
          <w:sz w:val="20"/>
          <w:szCs w:val="20"/>
          <w:color w:val="auto"/>
        </w:rPr>
        <w:tab/>
      </w:r>
      <w:r>
        <w:rPr>
          <w:rFonts w:ascii="Arial" w:cs="Arial" w:eastAsia="Arial" w:hAnsi="Arial"/>
          <w:sz w:val="16"/>
          <w:szCs w:val="16"/>
          <w:color w:val="auto"/>
        </w:rPr>
        <w:t>Amendment to License Agreement between Duke University, The Johns Hopkins University and the Company dated April 2, 2008</w:t>
      </w:r>
    </w:p>
    <w:p>
      <w:pPr>
        <w:spacing w:after="0" w:line="1" w:lineRule="exact"/>
        <w:rPr>
          <w:sz w:val="20"/>
          <w:szCs w:val="20"/>
          <w:color w:val="auto"/>
        </w:rPr>
      </w:pPr>
    </w:p>
    <w:p>
      <w:pPr>
        <w:ind w:left="1940" w:right="80" w:hanging="644"/>
        <w:spacing w:after="0" w:line="281" w:lineRule="auto"/>
        <w:tabs>
          <w:tab w:leader="none" w:pos="1920" w:val="left"/>
        </w:tabs>
        <w:rPr>
          <w:sz w:val="20"/>
          <w:szCs w:val="20"/>
          <w:color w:val="auto"/>
        </w:rPr>
      </w:pPr>
      <w:r>
        <w:rPr>
          <w:rFonts w:ascii="Arial" w:cs="Arial" w:eastAsia="Arial" w:hAnsi="Arial"/>
          <w:sz w:val="18"/>
          <w:szCs w:val="18"/>
          <w:color w:val="auto"/>
        </w:rPr>
        <w:t>*10.32</w:t>
      </w:r>
      <w:r>
        <w:rPr>
          <w:sz w:val="20"/>
          <w:szCs w:val="20"/>
          <w:color w:val="auto"/>
        </w:rPr>
        <w:tab/>
      </w:r>
      <w:r>
        <w:rPr>
          <w:rFonts w:ascii="Arial" w:cs="Arial" w:eastAsia="Arial" w:hAnsi="Arial"/>
          <w:sz w:val="16"/>
          <w:szCs w:val="16"/>
          <w:color w:val="auto"/>
        </w:rPr>
        <w:t>Assignment and License Agreement, as amended, dated April 6, 2004 by and among Medarex, Inc., GenPharm International, Inc. and the Company</w:t>
      </w:r>
    </w:p>
    <w:p>
      <w:pPr>
        <w:spacing w:after="0" w:line="1" w:lineRule="exact"/>
        <w:rPr>
          <w:sz w:val="20"/>
          <w:szCs w:val="20"/>
          <w:color w:val="auto"/>
        </w:rPr>
      </w:pPr>
    </w:p>
    <w:p>
      <w:pPr>
        <w:ind w:left="1940" w:hanging="644"/>
        <w:spacing w:after="0" w:line="250" w:lineRule="auto"/>
        <w:tabs>
          <w:tab w:leader="none" w:pos="1920" w:val="left"/>
        </w:tabs>
        <w:rPr>
          <w:sz w:val="20"/>
          <w:szCs w:val="20"/>
          <w:color w:val="auto"/>
        </w:rPr>
      </w:pPr>
      <w:r>
        <w:rPr>
          <w:rFonts w:ascii="Arial" w:cs="Arial" w:eastAsia="Arial" w:hAnsi="Arial"/>
          <w:sz w:val="18"/>
          <w:szCs w:val="18"/>
          <w:color w:val="auto"/>
        </w:rPr>
        <w:t>*10.33</w:t>
        <w:tab/>
        <w:t>Research and Commercialization Agreement, as amended, dated as of April 6, 2004 by and among Medarex, Inc., GenPharm International, Inc. and the Company</w:t>
      </w:r>
    </w:p>
    <w:p>
      <w:pPr>
        <w:spacing w:after="0" w:line="1" w:lineRule="exact"/>
        <w:rPr>
          <w:sz w:val="20"/>
          <w:szCs w:val="20"/>
          <w:color w:val="auto"/>
        </w:rPr>
      </w:pPr>
    </w:p>
    <w:p>
      <w:pPr>
        <w:ind w:left="1940" w:right="120" w:hanging="644"/>
        <w:spacing w:after="0" w:line="250" w:lineRule="auto"/>
        <w:tabs>
          <w:tab w:leader="none" w:pos="1920" w:val="left"/>
        </w:tabs>
        <w:rPr>
          <w:sz w:val="20"/>
          <w:szCs w:val="20"/>
          <w:color w:val="auto"/>
        </w:rPr>
      </w:pPr>
      <w:r>
        <w:rPr>
          <w:rFonts w:ascii="Arial" w:cs="Arial" w:eastAsia="Arial" w:hAnsi="Arial"/>
          <w:sz w:val="18"/>
          <w:szCs w:val="18"/>
          <w:color w:val="auto"/>
        </w:rPr>
        <w:t>*10.34</w:t>
        <w:tab/>
        <w:t>Supply Agreement dated August 18, 2006 by and between the Company and Biosyn</w:t>
      </w:r>
    </w:p>
    <w:p>
      <w:pPr>
        <w:spacing w:after="0" w:line="1" w:lineRule="exact"/>
        <w:rPr>
          <w:sz w:val="20"/>
          <w:szCs w:val="20"/>
          <w:color w:val="auto"/>
        </w:rPr>
      </w:pPr>
    </w:p>
    <w:p>
      <w:pPr>
        <w:ind w:left="1940" w:right="80" w:hanging="556"/>
        <w:spacing w:after="0" w:line="250" w:lineRule="auto"/>
        <w:tabs>
          <w:tab w:leader="none" w:pos="1920" w:val="left"/>
        </w:tabs>
        <w:rPr>
          <w:sz w:val="20"/>
          <w:szCs w:val="20"/>
          <w:color w:val="auto"/>
        </w:rPr>
      </w:pPr>
      <w:r>
        <w:rPr>
          <w:rFonts w:ascii="Arial" w:cs="Arial" w:eastAsia="Arial" w:hAnsi="Arial"/>
          <w:sz w:val="18"/>
          <w:szCs w:val="18"/>
          <w:color w:val="auto"/>
        </w:rPr>
        <w:t>10.35</w:t>
        <w:tab/>
        <w:t>License and Development Agreement dated as of April 16, 2008 between the Company and Pfizer Vaccines, LLC</w:t>
      </w:r>
    </w:p>
    <w:p>
      <w:pPr>
        <w:spacing w:after="0" w:line="1" w:lineRule="exact"/>
        <w:rPr>
          <w:sz w:val="20"/>
          <w:szCs w:val="20"/>
          <w:color w:val="auto"/>
        </w:rPr>
      </w:pPr>
    </w:p>
    <w:p>
      <w:pPr>
        <w:ind w:left="1940" w:right="120" w:hanging="644"/>
        <w:spacing w:after="0" w:line="250" w:lineRule="auto"/>
        <w:tabs>
          <w:tab w:leader="none" w:pos="1920" w:val="left"/>
        </w:tabs>
        <w:rPr>
          <w:sz w:val="20"/>
          <w:szCs w:val="20"/>
          <w:color w:val="auto"/>
        </w:rPr>
      </w:pPr>
      <w:r>
        <w:rPr>
          <w:rFonts w:ascii="Arial" w:cs="Arial" w:eastAsia="Arial" w:hAnsi="Arial"/>
          <w:sz w:val="18"/>
          <w:szCs w:val="18"/>
          <w:color w:val="auto"/>
        </w:rPr>
        <w:t>*10.36</w:t>
        <w:tab/>
        <w:t>Research Collaboration and Commercialization Agreement effective October 20, 2006 between the Company and the Ludwig Institute for Cancer Research</w:t>
      </w:r>
    </w:p>
    <w:p>
      <w:pPr>
        <w:spacing w:after="0" w:line="1" w:lineRule="exact"/>
        <w:rPr>
          <w:sz w:val="20"/>
          <w:szCs w:val="20"/>
          <w:color w:val="auto"/>
        </w:rPr>
      </w:pPr>
    </w:p>
    <w:p>
      <w:pPr>
        <w:ind w:left="1280"/>
        <w:spacing w:after="0"/>
        <w:tabs>
          <w:tab w:leader="none" w:pos="1920" w:val="left"/>
        </w:tabs>
        <w:rPr>
          <w:sz w:val="20"/>
          <w:szCs w:val="20"/>
          <w:color w:val="auto"/>
        </w:rPr>
      </w:pPr>
      <w:r>
        <w:rPr>
          <w:rFonts w:ascii="Arial" w:cs="Arial" w:eastAsia="Arial" w:hAnsi="Arial"/>
          <w:sz w:val="18"/>
          <w:szCs w:val="18"/>
          <w:color w:val="auto"/>
        </w:rPr>
        <w:t>*10.37</w:t>
      </w:r>
      <w:r>
        <w:rPr>
          <w:sz w:val="20"/>
          <w:szCs w:val="20"/>
          <w:color w:val="auto"/>
        </w:rPr>
        <w:tab/>
      </w:r>
      <w:r>
        <w:rPr>
          <w:rFonts w:ascii="Arial" w:cs="Arial" w:eastAsia="Arial" w:hAnsi="Arial"/>
          <w:sz w:val="16"/>
          <w:szCs w:val="16"/>
          <w:color w:val="auto"/>
        </w:rPr>
        <w:t>Vaccine Adjuvant License and Collaboration Agreement dated on May 30,</w:t>
      </w:r>
    </w:p>
    <w:p>
      <w:pPr>
        <w:spacing w:after="0" w:line="9" w:lineRule="exact"/>
        <w:rPr>
          <w:sz w:val="20"/>
          <w:szCs w:val="20"/>
          <w:color w:val="auto"/>
        </w:rPr>
      </w:pPr>
    </w:p>
    <w:p>
      <w:pPr>
        <w:ind w:left="1940"/>
        <w:spacing w:after="0"/>
        <w:rPr>
          <w:sz w:val="20"/>
          <w:szCs w:val="20"/>
          <w:color w:val="auto"/>
        </w:rPr>
      </w:pPr>
      <w:r>
        <w:rPr>
          <w:rFonts w:ascii="Arial" w:cs="Arial" w:eastAsia="Arial" w:hAnsi="Arial"/>
          <w:sz w:val="18"/>
          <w:szCs w:val="18"/>
          <w:color w:val="auto"/>
        </w:rPr>
        <w:t>2008 between the Company and 3M Innovation Properties Company</w:t>
      </w:r>
    </w:p>
    <w:p>
      <w:pPr>
        <w:spacing w:after="0" w:line="9" w:lineRule="exact"/>
        <w:rPr>
          <w:sz w:val="20"/>
          <w:szCs w:val="20"/>
          <w:color w:val="auto"/>
        </w:rPr>
      </w:pPr>
    </w:p>
    <w:p>
      <w:pPr>
        <w:ind w:left="1280"/>
        <w:spacing w:after="0"/>
        <w:tabs>
          <w:tab w:leader="none" w:pos="1920" w:val="left"/>
        </w:tabs>
        <w:rPr>
          <w:sz w:val="20"/>
          <w:szCs w:val="20"/>
          <w:color w:val="auto"/>
        </w:rPr>
      </w:pPr>
      <w:r>
        <w:rPr>
          <w:rFonts w:ascii="Arial" w:cs="Arial" w:eastAsia="Arial" w:hAnsi="Arial"/>
          <w:sz w:val="18"/>
          <w:szCs w:val="18"/>
          <w:color w:val="auto"/>
        </w:rPr>
        <w:t>*10.38</w:t>
      </w:r>
      <w:r>
        <w:rPr>
          <w:sz w:val="20"/>
          <w:szCs w:val="20"/>
          <w:color w:val="auto"/>
        </w:rPr>
        <w:tab/>
      </w:r>
      <w:r>
        <w:rPr>
          <w:rFonts w:ascii="Arial" w:cs="Arial" w:eastAsia="Arial" w:hAnsi="Arial"/>
          <w:sz w:val="15"/>
          <w:szCs w:val="15"/>
          <w:color w:val="auto"/>
        </w:rPr>
        <w:t>Exclusive Patent and Know-How License Agreement dated as of</w:t>
      </w:r>
    </w:p>
    <w:p>
      <w:pPr>
        <w:spacing w:after="0" w:line="9" w:lineRule="exact"/>
        <w:rPr>
          <w:sz w:val="20"/>
          <w:szCs w:val="20"/>
          <w:color w:val="auto"/>
        </w:rPr>
      </w:pPr>
    </w:p>
    <w:p>
      <w:pPr>
        <w:ind w:left="1940"/>
        <w:spacing w:after="0"/>
        <w:rPr>
          <w:sz w:val="20"/>
          <w:szCs w:val="20"/>
          <w:color w:val="auto"/>
        </w:rPr>
      </w:pPr>
      <w:r>
        <w:rPr>
          <w:rFonts w:ascii="Arial" w:cs="Arial" w:eastAsia="Arial" w:hAnsi="Arial"/>
          <w:sz w:val="16"/>
          <w:szCs w:val="16"/>
          <w:color w:val="auto"/>
        </w:rPr>
        <w:t>November 5, 2008 between the Company and the University of Southampton</w:t>
      </w:r>
    </w:p>
    <w:p>
      <w:pPr>
        <w:spacing w:after="0" w:line="32" w:lineRule="exact"/>
        <w:rPr>
          <w:sz w:val="20"/>
          <w:szCs w:val="20"/>
          <w:color w:val="auto"/>
        </w:rPr>
      </w:pPr>
    </w:p>
    <w:p>
      <w:pPr>
        <w:ind w:left="1940" w:right="120" w:hanging="644"/>
        <w:spacing w:after="0" w:line="261" w:lineRule="auto"/>
        <w:tabs>
          <w:tab w:leader="none" w:pos="1920" w:val="left"/>
        </w:tabs>
        <w:rPr>
          <w:sz w:val="20"/>
          <w:szCs w:val="20"/>
          <w:color w:val="auto"/>
        </w:rPr>
      </w:pPr>
      <w:r>
        <w:rPr>
          <w:rFonts w:ascii="Arial" w:cs="Arial" w:eastAsia="Arial" w:hAnsi="Arial"/>
          <w:sz w:val="18"/>
          <w:szCs w:val="18"/>
          <w:color w:val="auto"/>
        </w:rPr>
        <w:t>*10.39</w:t>
        <w:tab/>
        <w:t>License and Assignment Agreement, between Amgen Inc. and the Company dated March 16, 2009</w:t>
      </w:r>
    </w:p>
    <w:p>
      <w:pPr>
        <w:spacing w:after="0" w:line="192" w:lineRule="exact"/>
        <w:rPr>
          <w:sz w:val="20"/>
          <w:szCs w:val="20"/>
          <w:color w:val="auto"/>
        </w:rPr>
      </w:pPr>
    </w:p>
    <w:p>
      <w:pPr>
        <w:ind w:left="5580"/>
        <w:spacing w:after="0"/>
        <w:rPr>
          <w:sz w:val="20"/>
          <w:szCs w:val="20"/>
          <w:color w:val="auto"/>
        </w:rPr>
      </w:pPr>
      <w:r>
        <w:rPr>
          <w:rFonts w:ascii="Arial" w:cs="Arial" w:eastAsia="Arial" w:hAnsi="Arial"/>
          <w:sz w:val="18"/>
          <w:szCs w:val="18"/>
          <w:color w:val="auto"/>
        </w:rPr>
        <w:t>104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62" w:lineRule="exact"/>
        <w:rPr>
          <w:sz w:val="20"/>
          <w:szCs w:val="20"/>
          <w:color w:val="auto"/>
        </w:rPr>
      </w:pPr>
    </w:p>
    <w:p>
      <w:pPr>
        <w:ind w:left="480"/>
        <w:spacing w:after="0"/>
        <w:rPr>
          <w:sz w:val="20"/>
          <w:szCs w:val="20"/>
          <w:color w:val="auto"/>
        </w:rPr>
      </w:pPr>
      <w:r>
        <w:rPr>
          <w:rFonts w:ascii="Arial" w:cs="Arial" w:eastAsia="Arial" w:hAnsi="Arial"/>
          <w:sz w:val="14"/>
          <w:szCs w:val="14"/>
          <w:b w:val="1"/>
          <w:bCs w:val="1"/>
          <w:color w:val="auto"/>
        </w:rPr>
        <w:t>Incorporated by Reference to</w:t>
      </w:r>
    </w:p>
    <w:tbl>
      <w:tblPr>
        <w:tblLayout w:type="fixed"/>
        <w:tblInd w:w="0" w:type="dxa"/>
        <w:tblCellMar>
          <w:top w:w="0" w:type="dxa"/>
          <w:left w:w="0" w:type="dxa"/>
          <w:bottom w:w="0" w:type="dxa"/>
          <w:right w:w="0" w:type="dxa"/>
        </w:tblCellMar>
      </w:tblPr>
      <w:tr>
        <w:trPr>
          <w:trHeight w:val="129"/>
        </w:trPr>
        <w:tc>
          <w:tcPr>
            <w:tcW w:w="1120" w:type="dxa"/>
            <w:vAlign w:val="bottom"/>
            <w:tcBorders>
              <w:top w:val="single" w:sz="8" w:color="auto"/>
            </w:tcBorders>
          </w:tcPr>
          <w:p>
            <w:pPr>
              <w:jc w:val="center"/>
              <w:spacing w:after="0" w:line="129" w:lineRule="exact"/>
              <w:rPr>
                <w:sz w:val="20"/>
                <w:szCs w:val="20"/>
                <w:color w:val="auto"/>
              </w:rPr>
            </w:pPr>
            <w:r>
              <w:rPr>
                <w:rFonts w:ascii="Arial" w:cs="Arial" w:eastAsia="Arial" w:hAnsi="Arial"/>
                <w:sz w:val="14"/>
                <w:szCs w:val="14"/>
                <w:b w:val="1"/>
                <w:bCs w:val="1"/>
                <w:color w:val="auto"/>
                <w:w w:val="90"/>
              </w:rPr>
              <w:t>Form and</w:t>
            </w:r>
          </w:p>
        </w:tc>
        <w:tc>
          <w:tcPr>
            <w:tcW w:w="160" w:type="dxa"/>
            <w:vAlign w:val="bottom"/>
            <w:tcBorders>
              <w:top w:val="single" w:sz="8" w:color="auto"/>
            </w:tcBorders>
          </w:tcPr>
          <w:p>
            <w:pPr>
              <w:spacing w:after="0"/>
              <w:rPr>
                <w:sz w:val="11"/>
                <w:szCs w:val="11"/>
                <w:color w:val="auto"/>
              </w:rPr>
            </w:pPr>
          </w:p>
        </w:tc>
        <w:tc>
          <w:tcPr>
            <w:tcW w:w="500" w:type="dxa"/>
            <w:vAlign w:val="bottom"/>
            <w:tcBorders>
              <w:top w:val="single" w:sz="8" w:color="auto"/>
            </w:tcBorders>
          </w:tcPr>
          <w:p>
            <w:pPr>
              <w:jc w:val="center"/>
              <w:spacing w:after="0" w:line="129" w:lineRule="exact"/>
              <w:rPr>
                <w:sz w:val="20"/>
                <w:szCs w:val="20"/>
                <w:color w:val="auto"/>
              </w:rPr>
            </w:pPr>
            <w:r>
              <w:rPr>
                <w:rFonts w:ascii="Arial" w:cs="Arial" w:eastAsia="Arial" w:hAnsi="Arial"/>
                <w:sz w:val="14"/>
                <w:szCs w:val="14"/>
                <w:b w:val="1"/>
                <w:bCs w:val="1"/>
                <w:color w:val="auto"/>
                <w:w w:val="89"/>
              </w:rPr>
              <w:t>Exhibit</w:t>
            </w:r>
          </w:p>
        </w:tc>
        <w:tc>
          <w:tcPr>
            <w:tcW w:w="160" w:type="dxa"/>
            <w:vAlign w:val="bottom"/>
            <w:tcBorders>
              <w:top w:val="single" w:sz="8" w:color="auto"/>
            </w:tcBorders>
          </w:tcPr>
          <w:p>
            <w:pPr>
              <w:spacing w:after="0"/>
              <w:rPr>
                <w:sz w:val="11"/>
                <w:szCs w:val="11"/>
                <w:color w:val="auto"/>
              </w:rPr>
            </w:pPr>
          </w:p>
        </w:tc>
        <w:tc>
          <w:tcPr>
            <w:tcW w:w="720" w:type="dxa"/>
            <w:vAlign w:val="bottom"/>
            <w:tcBorders>
              <w:top w:val="single" w:sz="8" w:color="auto"/>
            </w:tcBorders>
          </w:tcPr>
          <w:p>
            <w:pPr>
              <w:jc w:val="center"/>
              <w:spacing w:after="0" w:line="129" w:lineRule="exact"/>
              <w:rPr>
                <w:sz w:val="20"/>
                <w:szCs w:val="20"/>
                <w:color w:val="auto"/>
              </w:rPr>
            </w:pPr>
            <w:r>
              <w:rPr>
                <w:rFonts w:ascii="Arial" w:cs="Arial" w:eastAsia="Arial" w:hAnsi="Arial"/>
                <w:sz w:val="14"/>
                <w:szCs w:val="14"/>
                <w:b w:val="1"/>
                <w:bCs w:val="1"/>
                <w:color w:val="auto"/>
                <w:w w:val="90"/>
              </w:rPr>
              <w:t>SEC</w:t>
            </w:r>
          </w:p>
        </w:tc>
      </w:tr>
      <w:tr>
        <w:trPr>
          <w:trHeight w:val="161"/>
        </w:trPr>
        <w:tc>
          <w:tcPr>
            <w:tcW w:w="11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8"/>
              </w:rPr>
              <w:t>SEC File No.</w:t>
            </w:r>
          </w:p>
        </w:tc>
        <w:tc>
          <w:tcPr>
            <w:tcW w:w="160" w:type="dxa"/>
            <w:vAlign w:val="bottom"/>
          </w:tcPr>
          <w:p>
            <w:pPr>
              <w:spacing w:after="0"/>
              <w:rPr>
                <w:sz w:val="14"/>
                <w:szCs w:val="14"/>
                <w:color w:val="auto"/>
              </w:rPr>
            </w:pPr>
          </w:p>
        </w:tc>
        <w:tc>
          <w:tcPr>
            <w:tcW w:w="5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8"/>
              </w:rPr>
              <w:t>No.</w:t>
            </w:r>
          </w:p>
        </w:tc>
        <w:tc>
          <w:tcPr>
            <w:tcW w:w="160" w:type="dxa"/>
            <w:vAlign w:val="bottom"/>
          </w:tcPr>
          <w:p>
            <w:pPr>
              <w:spacing w:after="0"/>
              <w:rPr>
                <w:sz w:val="14"/>
                <w:szCs w:val="14"/>
                <w:color w:val="auto"/>
              </w:rPr>
            </w:pPr>
          </w:p>
        </w:tc>
        <w:tc>
          <w:tcPr>
            <w:tcW w:w="7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Filing Date</w:t>
            </w:r>
          </w:p>
        </w:tc>
      </w:tr>
      <w:tr>
        <w:trPr>
          <w:trHeight w:val="201"/>
        </w:trPr>
        <w:tc>
          <w:tcPr>
            <w:tcW w:w="1120" w:type="dxa"/>
            <w:vAlign w:val="bottom"/>
          </w:tcPr>
          <w:p>
            <w:pPr>
              <w:jc w:val="center"/>
              <w:spacing w:after="0" w:line="201" w:lineRule="exact"/>
              <w:rPr>
                <w:sz w:val="20"/>
                <w:szCs w:val="20"/>
                <w:color w:val="auto"/>
              </w:rPr>
            </w:pPr>
            <w:r>
              <w:rPr>
                <w:rFonts w:ascii="Arial" w:cs="Arial" w:eastAsia="Arial" w:hAnsi="Arial"/>
                <w:sz w:val="18"/>
                <w:szCs w:val="18"/>
                <w:color w:val="auto"/>
                <w:w w:val="85"/>
              </w:rPr>
              <w:t>S-4</w:t>
            </w:r>
          </w:p>
        </w:tc>
        <w:tc>
          <w:tcPr>
            <w:tcW w:w="160" w:type="dxa"/>
            <w:vAlign w:val="bottom"/>
          </w:tcPr>
          <w:p>
            <w:pPr>
              <w:spacing w:after="0"/>
              <w:rPr>
                <w:sz w:val="17"/>
                <w:szCs w:val="17"/>
                <w:color w:val="auto"/>
              </w:rPr>
            </w:pPr>
          </w:p>
        </w:tc>
        <w:tc>
          <w:tcPr>
            <w:tcW w:w="500" w:type="dxa"/>
            <w:vAlign w:val="bottom"/>
          </w:tcPr>
          <w:p>
            <w:pPr>
              <w:jc w:val="center"/>
              <w:spacing w:after="0" w:line="201" w:lineRule="exact"/>
              <w:rPr>
                <w:sz w:val="20"/>
                <w:szCs w:val="20"/>
                <w:color w:val="auto"/>
              </w:rPr>
            </w:pPr>
            <w:r>
              <w:rPr>
                <w:rFonts w:ascii="Arial" w:cs="Arial" w:eastAsia="Arial" w:hAnsi="Arial"/>
                <w:sz w:val="18"/>
                <w:szCs w:val="18"/>
                <w:color w:val="auto"/>
                <w:w w:val="85"/>
              </w:rPr>
              <w:t>10.1</w:t>
            </w:r>
          </w:p>
        </w:tc>
        <w:tc>
          <w:tcPr>
            <w:tcW w:w="160" w:type="dxa"/>
            <w:vAlign w:val="bottom"/>
          </w:tcPr>
          <w:p>
            <w:pPr>
              <w:spacing w:after="0"/>
              <w:rPr>
                <w:sz w:val="17"/>
                <w:szCs w:val="17"/>
                <w:color w:val="auto"/>
              </w:rPr>
            </w:pPr>
          </w:p>
        </w:tc>
        <w:tc>
          <w:tcPr>
            <w:tcW w:w="720" w:type="dxa"/>
            <w:vAlign w:val="bottom"/>
          </w:tcPr>
          <w:p>
            <w:pPr>
              <w:jc w:val="center"/>
              <w:spacing w:after="0" w:line="201" w:lineRule="exact"/>
              <w:rPr>
                <w:sz w:val="20"/>
                <w:szCs w:val="20"/>
                <w:color w:val="auto"/>
              </w:rPr>
            </w:pPr>
            <w:r>
              <w:rPr>
                <w:rFonts w:ascii="Arial" w:cs="Arial" w:eastAsia="Arial" w:hAnsi="Arial"/>
                <w:sz w:val="18"/>
                <w:szCs w:val="18"/>
                <w:color w:val="auto"/>
                <w:w w:val="89"/>
              </w:rPr>
              <w:t>1/18/08</w:t>
            </w:r>
          </w:p>
        </w:tc>
      </w:tr>
      <w:tr>
        <w:trPr>
          <w:trHeight w:val="216"/>
        </w:trPr>
        <w:tc>
          <w:tcPr>
            <w:tcW w:w="1120" w:type="dxa"/>
            <w:vAlign w:val="bottom"/>
          </w:tcPr>
          <w:p>
            <w:pPr>
              <w:jc w:val="center"/>
              <w:spacing w:after="0"/>
              <w:rPr>
                <w:sz w:val="20"/>
                <w:szCs w:val="20"/>
                <w:color w:val="auto"/>
              </w:rPr>
            </w:pPr>
            <w:r>
              <w:rPr>
                <w:rFonts w:ascii="Arial" w:cs="Arial" w:eastAsia="Arial" w:hAnsi="Arial"/>
                <w:sz w:val="18"/>
                <w:szCs w:val="18"/>
                <w:color w:val="auto"/>
                <w:w w:val="90"/>
              </w:rPr>
              <w:t>(333-148291)</w:t>
            </w:r>
          </w:p>
        </w:tc>
        <w:tc>
          <w:tcPr>
            <w:tcW w:w="1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tcPr>
          <w:p>
            <w:pPr>
              <w:spacing w:after="0"/>
              <w:rPr>
                <w:sz w:val="18"/>
                <w:szCs w:val="18"/>
                <w:color w:val="auto"/>
              </w:rPr>
            </w:pPr>
          </w:p>
        </w:tc>
      </w:tr>
      <w:tr>
        <w:trPr>
          <w:trHeight w:val="216"/>
        </w:trPr>
        <w:tc>
          <w:tcPr>
            <w:tcW w:w="1120" w:type="dxa"/>
            <w:vAlign w:val="bottom"/>
          </w:tcPr>
          <w:p>
            <w:pPr>
              <w:jc w:val="center"/>
              <w:spacing w:after="0"/>
              <w:rPr>
                <w:sz w:val="20"/>
                <w:szCs w:val="20"/>
                <w:color w:val="auto"/>
              </w:rPr>
            </w:pPr>
            <w:r>
              <w:rPr>
                <w:rFonts w:ascii="Arial" w:cs="Arial" w:eastAsia="Arial" w:hAnsi="Arial"/>
                <w:sz w:val="18"/>
                <w:szCs w:val="18"/>
                <w:color w:val="auto"/>
                <w:w w:val="98"/>
              </w:rPr>
              <w:t>10-K/A</w:t>
            </w:r>
          </w:p>
        </w:tc>
        <w:tc>
          <w:tcPr>
            <w:tcW w:w="660" w:type="dxa"/>
            <w:vAlign w:val="bottom"/>
            <w:gridSpan w:val="2"/>
          </w:tcPr>
          <w:p>
            <w:pPr>
              <w:jc w:val="center"/>
              <w:ind w:left="52"/>
              <w:spacing w:after="0"/>
              <w:rPr>
                <w:sz w:val="20"/>
                <w:szCs w:val="20"/>
                <w:color w:val="auto"/>
              </w:rPr>
            </w:pPr>
            <w:r>
              <w:rPr>
                <w:rFonts w:ascii="Arial" w:cs="Arial" w:eastAsia="Arial" w:hAnsi="Arial"/>
                <w:sz w:val="18"/>
                <w:szCs w:val="18"/>
                <w:color w:val="auto"/>
                <w:w w:val="88"/>
              </w:rPr>
              <w:t>10.12</w:t>
            </w:r>
          </w:p>
        </w:tc>
        <w:tc>
          <w:tcPr>
            <w:tcW w:w="880" w:type="dxa"/>
            <w:vAlign w:val="bottom"/>
            <w:gridSpan w:val="2"/>
          </w:tcPr>
          <w:p>
            <w:pPr>
              <w:jc w:val="center"/>
              <w:ind w:left="52"/>
              <w:spacing w:after="0"/>
              <w:rPr>
                <w:sz w:val="20"/>
                <w:szCs w:val="20"/>
                <w:color w:val="auto"/>
              </w:rPr>
            </w:pPr>
            <w:r>
              <w:rPr>
                <w:rFonts w:ascii="Arial" w:cs="Arial" w:eastAsia="Arial" w:hAnsi="Arial"/>
                <w:sz w:val="18"/>
                <w:szCs w:val="18"/>
                <w:color w:val="auto"/>
                <w:w w:val="88"/>
              </w:rPr>
              <w:t>12/23/10</w:t>
            </w:r>
          </w:p>
        </w:tc>
      </w:tr>
      <w:tr>
        <w:trPr>
          <w:trHeight w:val="216"/>
        </w:trPr>
        <w:tc>
          <w:tcPr>
            <w:tcW w:w="1120" w:type="dxa"/>
            <w:vAlign w:val="bottom"/>
          </w:tcPr>
          <w:p>
            <w:pPr>
              <w:jc w:val="center"/>
              <w:spacing w:after="0"/>
              <w:rPr>
                <w:sz w:val="20"/>
                <w:szCs w:val="20"/>
                <w:color w:val="auto"/>
              </w:rPr>
            </w:pPr>
            <w:r>
              <w:rPr>
                <w:rFonts w:ascii="Arial" w:cs="Arial" w:eastAsia="Arial" w:hAnsi="Arial"/>
                <w:sz w:val="18"/>
                <w:szCs w:val="18"/>
                <w:color w:val="auto"/>
                <w:w w:val="89"/>
              </w:rPr>
              <w:t>(000-15006)</w:t>
            </w:r>
          </w:p>
        </w:tc>
        <w:tc>
          <w:tcPr>
            <w:tcW w:w="1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tcPr>
          <w:p>
            <w:pPr>
              <w:spacing w:after="0"/>
              <w:rPr>
                <w:sz w:val="18"/>
                <w:szCs w:val="18"/>
                <w:color w:val="auto"/>
              </w:rPr>
            </w:pPr>
          </w:p>
        </w:tc>
      </w:tr>
      <w:tr>
        <w:trPr>
          <w:trHeight w:val="216"/>
        </w:trPr>
        <w:tc>
          <w:tcPr>
            <w:tcW w:w="1120" w:type="dxa"/>
            <w:vAlign w:val="bottom"/>
          </w:tcPr>
          <w:p>
            <w:pPr>
              <w:jc w:val="center"/>
              <w:spacing w:after="0"/>
              <w:rPr>
                <w:sz w:val="20"/>
                <w:szCs w:val="20"/>
                <w:color w:val="auto"/>
              </w:rPr>
            </w:pPr>
            <w:r>
              <w:rPr>
                <w:rFonts w:ascii="Arial" w:cs="Arial" w:eastAsia="Arial" w:hAnsi="Arial"/>
                <w:sz w:val="18"/>
                <w:szCs w:val="18"/>
                <w:color w:val="auto"/>
                <w:w w:val="85"/>
              </w:rPr>
              <w:t>S-4</w:t>
            </w:r>
          </w:p>
        </w:tc>
        <w:tc>
          <w:tcPr>
            <w:tcW w:w="660" w:type="dxa"/>
            <w:vAlign w:val="bottom"/>
            <w:gridSpan w:val="2"/>
          </w:tcPr>
          <w:p>
            <w:pPr>
              <w:jc w:val="center"/>
              <w:ind w:left="72"/>
              <w:spacing w:after="0"/>
              <w:rPr>
                <w:sz w:val="20"/>
                <w:szCs w:val="20"/>
                <w:color w:val="auto"/>
              </w:rPr>
            </w:pPr>
            <w:r>
              <w:rPr>
                <w:rFonts w:ascii="Arial" w:cs="Arial" w:eastAsia="Arial" w:hAnsi="Arial"/>
                <w:sz w:val="18"/>
                <w:szCs w:val="18"/>
                <w:color w:val="auto"/>
                <w:w w:val="85"/>
              </w:rPr>
              <w:t>10.2</w:t>
            </w:r>
          </w:p>
        </w:tc>
        <w:tc>
          <w:tcPr>
            <w:tcW w:w="880" w:type="dxa"/>
            <w:vAlign w:val="bottom"/>
            <w:gridSpan w:val="2"/>
          </w:tcPr>
          <w:p>
            <w:pPr>
              <w:jc w:val="center"/>
              <w:ind w:left="52"/>
              <w:spacing w:after="0"/>
              <w:rPr>
                <w:sz w:val="20"/>
                <w:szCs w:val="20"/>
                <w:color w:val="auto"/>
              </w:rPr>
            </w:pPr>
            <w:r>
              <w:rPr>
                <w:rFonts w:ascii="Arial" w:cs="Arial" w:eastAsia="Arial" w:hAnsi="Arial"/>
                <w:sz w:val="18"/>
                <w:szCs w:val="18"/>
                <w:color w:val="auto"/>
                <w:w w:val="89"/>
              </w:rPr>
              <w:t>1/18/08</w:t>
            </w:r>
          </w:p>
        </w:tc>
      </w:tr>
      <w:tr>
        <w:trPr>
          <w:trHeight w:val="216"/>
        </w:trPr>
        <w:tc>
          <w:tcPr>
            <w:tcW w:w="1120" w:type="dxa"/>
            <w:vAlign w:val="bottom"/>
          </w:tcPr>
          <w:p>
            <w:pPr>
              <w:jc w:val="center"/>
              <w:spacing w:after="0"/>
              <w:rPr>
                <w:sz w:val="20"/>
                <w:szCs w:val="20"/>
                <w:color w:val="auto"/>
              </w:rPr>
            </w:pPr>
            <w:r>
              <w:rPr>
                <w:rFonts w:ascii="Arial" w:cs="Arial" w:eastAsia="Arial" w:hAnsi="Arial"/>
                <w:sz w:val="18"/>
                <w:szCs w:val="18"/>
                <w:color w:val="auto"/>
                <w:w w:val="90"/>
              </w:rPr>
              <w:t>(333-148291)</w:t>
            </w:r>
          </w:p>
        </w:tc>
        <w:tc>
          <w:tcPr>
            <w:tcW w:w="1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tcPr>
          <w:p>
            <w:pPr>
              <w:spacing w:after="0"/>
              <w:rPr>
                <w:sz w:val="18"/>
                <w:szCs w:val="18"/>
                <w:color w:val="auto"/>
              </w:rPr>
            </w:pPr>
          </w:p>
        </w:tc>
      </w:tr>
      <w:tr>
        <w:trPr>
          <w:trHeight w:val="216"/>
        </w:trPr>
        <w:tc>
          <w:tcPr>
            <w:tcW w:w="1120" w:type="dxa"/>
            <w:vAlign w:val="bottom"/>
          </w:tcPr>
          <w:p>
            <w:pPr>
              <w:jc w:val="center"/>
              <w:spacing w:after="0"/>
              <w:rPr>
                <w:sz w:val="20"/>
                <w:szCs w:val="20"/>
                <w:color w:val="auto"/>
              </w:rPr>
            </w:pPr>
            <w:r>
              <w:rPr>
                <w:rFonts w:ascii="Arial" w:cs="Arial" w:eastAsia="Arial" w:hAnsi="Arial"/>
                <w:sz w:val="18"/>
                <w:szCs w:val="18"/>
                <w:color w:val="auto"/>
                <w:w w:val="85"/>
              </w:rPr>
              <w:t>S-4</w:t>
            </w:r>
          </w:p>
        </w:tc>
        <w:tc>
          <w:tcPr>
            <w:tcW w:w="660" w:type="dxa"/>
            <w:vAlign w:val="bottom"/>
            <w:gridSpan w:val="2"/>
          </w:tcPr>
          <w:p>
            <w:pPr>
              <w:jc w:val="center"/>
              <w:ind w:left="72"/>
              <w:spacing w:after="0"/>
              <w:rPr>
                <w:sz w:val="20"/>
                <w:szCs w:val="20"/>
                <w:color w:val="auto"/>
              </w:rPr>
            </w:pPr>
            <w:r>
              <w:rPr>
                <w:rFonts w:ascii="Arial" w:cs="Arial" w:eastAsia="Arial" w:hAnsi="Arial"/>
                <w:sz w:val="18"/>
                <w:szCs w:val="18"/>
                <w:color w:val="auto"/>
                <w:w w:val="85"/>
              </w:rPr>
              <w:t>10.3</w:t>
            </w:r>
          </w:p>
        </w:tc>
        <w:tc>
          <w:tcPr>
            <w:tcW w:w="880" w:type="dxa"/>
            <w:vAlign w:val="bottom"/>
            <w:gridSpan w:val="2"/>
          </w:tcPr>
          <w:p>
            <w:pPr>
              <w:jc w:val="center"/>
              <w:ind w:left="52"/>
              <w:spacing w:after="0"/>
              <w:rPr>
                <w:sz w:val="20"/>
                <w:szCs w:val="20"/>
                <w:color w:val="auto"/>
              </w:rPr>
            </w:pPr>
            <w:r>
              <w:rPr>
                <w:rFonts w:ascii="Arial" w:cs="Arial" w:eastAsia="Arial" w:hAnsi="Arial"/>
                <w:sz w:val="18"/>
                <w:szCs w:val="18"/>
                <w:color w:val="auto"/>
                <w:w w:val="89"/>
              </w:rPr>
              <w:t>1/18/08</w:t>
            </w:r>
          </w:p>
        </w:tc>
      </w:tr>
      <w:tr>
        <w:trPr>
          <w:trHeight w:val="216"/>
        </w:trPr>
        <w:tc>
          <w:tcPr>
            <w:tcW w:w="1120" w:type="dxa"/>
            <w:vAlign w:val="bottom"/>
          </w:tcPr>
          <w:p>
            <w:pPr>
              <w:jc w:val="center"/>
              <w:spacing w:after="0"/>
              <w:rPr>
                <w:sz w:val="20"/>
                <w:szCs w:val="20"/>
                <w:color w:val="auto"/>
              </w:rPr>
            </w:pPr>
            <w:r>
              <w:rPr>
                <w:rFonts w:ascii="Arial" w:cs="Arial" w:eastAsia="Arial" w:hAnsi="Arial"/>
                <w:sz w:val="18"/>
                <w:szCs w:val="18"/>
                <w:color w:val="auto"/>
                <w:w w:val="90"/>
              </w:rPr>
              <w:t>(333-148291)</w:t>
            </w:r>
          </w:p>
        </w:tc>
        <w:tc>
          <w:tcPr>
            <w:tcW w:w="1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tcPr>
          <w:p>
            <w:pPr>
              <w:spacing w:after="0"/>
              <w:rPr>
                <w:sz w:val="18"/>
                <w:szCs w:val="18"/>
                <w:color w:val="auto"/>
              </w:rPr>
            </w:pPr>
          </w:p>
        </w:tc>
      </w:tr>
      <w:tr>
        <w:trPr>
          <w:trHeight w:val="216"/>
        </w:trPr>
        <w:tc>
          <w:tcPr>
            <w:tcW w:w="1120" w:type="dxa"/>
            <w:vAlign w:val="bottom"/>
          </w:tcPr>
          <w:p>
            <w:pPr>
              <w:jc w:val="center"/>
              <w:spacing w:after="0"/>
              <w:rPr>
                <w:sz w:val="20"/>
                <w:szCs w:val="20"/>
                <w:color w:val="auto"/>
              </w:rPr>
            </w:pPr>
            <w:r>
              <w:rPr>
                <w:rFonts w:ascii="Arial" w:cs="Arial" w:eastAsia="Arial" w:hAnsi="Arial"/>
                <w:sz w:val="18"/>
                <w:szCs w:val="18"/>
                <w:color w:val="auto"/>
                <w:w w:val="98"/>
              </w:rPr>
              <w:t>10-K/A</w:t>
            </w:r>
          </w:p>
        </w:tc>
        <w:tc>
          <w:tcPr>
            <w:tcW w:w="660" w:type="dxa"/>
            <w:vAlign w:val="bottom"/>
            <w:gridSpan w:val="2"/>
          </w:tcPr>
          <w:p>
            <w:pPr>
              <w:jc w:val="center"/>
              <w:ind w:left="72"/>
              <w:spacing w:after="0"/>
              <w:rPr>
                <w:sz w:val="20"/>
                <w:szCs w:val="20"/>
                <w:color w:val="auto"/>
              </w:rPr>
            </w:pPr>
            <w:r>
              <w:rPr>
                <w:rFonts w:ascii="Arial" w:cs="Arial" w:eastAsia="Arial" w:hAnsi="Arial"/>
                <w:sz w:val="18"/>
                <w:szCs w:val="18"/>
                <w:color w:val="auto"/>
                <w:w w:val="85"/>
              </w:rPr>
              <w:t>10.5</w:t>
            </w:r>
          </w:p>
        </w:tc>
        <w:tc>
          <w:tcPr>
            <w:tcW w:w="880" w:type="dxa"/>
            <w:vAlign w:val="bottom"/>
            <w:gridSpan w:val="2"/>
          </w:tcPr>
          <w:p>
            <w:pPr>
              <w:jc w:val="center"/>
              <w:ind w:left="52"/>
              <w:spacing w:after="0"/>
              <w:rPr>
                <w:sz w:val="20"/>
                <w:szCs w:val="20"/>
                <w:color w:val="auto"/>
              </w:rPr>
            </w:pPr>
            <w:r>
              <w:rPr>
                <w:rFonts w:ascii="Arial" w:cs="Arial" w:eastAsia="Arial" w:hAnsi="Arial"/>
                <w:sz w:val="18"/>
                <w:szCs w:val="18"/>
                <w:color w:val="auto"/>
                <w:w w:val="88"/>
              </w:rPr>
              <w:t>12/23/10</w:t>
            </w:r>
          </w:p>
        </w:tc>
      </w:tr>
      <w:tr>
        <w:trPr>
          <w:trHeight w:val="216"/>
        </w:trPr>
        <w:tc>
          <w:tcPr>
            <w:tcW w:w="1120" w:type="dxa"/>
            <w:vAlign w:val="bottom"/>
          </w:tcPr>
          <w:p>
            <w:pPr>
              <w:jc w:val="center"/>
              <w:spacing w:after="0"/>
              <w:rPr>
                <w:sz w:val="20"/>
                <w:szCs w:val="20"/>
                <w:color w:val="auto"/>
              </w:rPr>
            </w:pPr>
            <w:r>
              <w:rPr>
                <w:rFonts w:ascii="Arial" w:cs="Arial" w:eastAsia="Arial" w:hAnsi="Arial"/>
                <w:sz w:val="18"/>
                <w:szCs w:val="18"/>
                <w:color w:val="auto"/>
                <w:w w:val="89"/>
              </w:rPr>
              <w:t>(000-15006)</w:t>
            </w:r>
          </w:p>
        </w:tc>
        <w:tc>
          <w:tcPr>
            <w:tcW w:w="1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tcPr>
          <w:p>
            <w:pPr>
              <w:spacing w:after="0"/>
              <w:rPr>
                <w:sz w:val="18"/>
                <w:szCs w:val="18"/>
                <w:color w:val="auto"/>
              </w:rPr>
            </w:pPr>
          </w:p>
        </w:tc>
      </w:tr>
      <w:tr>
        <w:trPr>
          <w:trHeight w:val="216"/>
        </w:trPr>
        <w:tc>
          <w:tcPr>
            <w:tcW w:w="1120" w:type="dxa"/>
            <w:vAlign w:val="bottom"/>
          </w:tcPr>
          <w:p>
            <w:pPr>
              <w:jc w:val="center"/>
              <w:spacing w:after="0"/>
              <w:rPr>
                <w:sz w:val="20"/>
                <w:szCs w:val="20"/>
                <w:color w:val="auto"/>
              </w:rPr>
            </w:pPr>
            <w:r>
              <w:rPr>
                <w:rFonts w:ascii="Arial" w:cs="Arial" w:eastAsia="Arial" w:hAnsi="Arial"/>
                <w:sz w:val="18"/>
                <w:szCs w:val="18"/>
                <w:color w:val="auto"/>
                <w:w w:val="98"/>
              </w:rPr>
              <w:t>10-K/A</w:t>
            </w:r>
          </w:p>
        </w:tc>
        <w:tc>
          <w:tcPr>
            <w:tcW w:w="660" w:type="dxa"/>
            <w:vAlign w:val="bottom"/>
            <w:gridSpan w:val="2"/>
          </w:tcPr>
          <w:p>
            <w:pPr>
              <w:jc w:val="center"/>
              <w:ind w:left="72"/>
              <w:spacing w:after="0"/>
              <w:rPr>
                <w:sz w:val="20"/>
                <w:szCs w:val="20"/>
                <w:color w:val="auto"/>
              </w:rPr>
            </w:pPr>
            <w:r>
              <w:rPr>
                <w:rFonts w:ascii="Arial" w:cs="Arial" w:eastAsia="Arial" w:hAnsi="Arial"/>
                <w:sz w:val="18"/>
                <w:szCs w:val="18"/>
                <w:color w:val="auto"/>
                <w:w w:val="84"/>
              </w:rPr>
              <w:t>10.11</w:t>
            </w:r>
          </w:p>
        </w:tc>
        <w:tc>
          <w:tcPr>
            <w:tcW w:w="880" w:type="dxa"/>
            <w:vAlign w:val="bottom"/>
            <w:gridSpan w:val="2"/>
          </w:tcPr>
          <w:p>
            <w:pPr>
              <w:jc w:val="center"/>
              <w:ind w:left="52"/>
              <w:spacing w:after="0"/>
              <w:rPr>
                <w:sz w:val="20"/>
                <w:szCs w:val="20"/>
                <w:color w:val="auto"/>
              </w:rPr>
            </w:pPr>
            <w:r>
              <w:rPr>
                <w:rFonts w:ascii="Arial" w:cs="Arial" w:eastAsia="Arial" w:hAnsi="Arial"/>
                <w:sz w:val="18"/>
                <w:szCs w:val="18"/>
                <w:color w:val="auto"/>
                <w:w w:val="88"/>
              </w:rPr>
              <w:t>12/23/10</w:t>
            </w:r>
          </w:p>
        </w:tc>
      </w:tr>
      <w:tr>
        <w:trPr>
          <w:trHeight w:val="216"/>
        </w:trPr>
        <w:tc>
          <w:tcPr>
            <w:tcW w:w="1120" w:type="dxa"/>
            <w:vAlign w:val="bottom"/>
          </w:tcPr>
          <w:p>
            <w:pPr>
              <w:jc w:val="center"/>
              <w:spacing w:after="0"/>
              <w:rPr>
                <w:sz w:val="20"/>
                <w:szCs w:val="20"/>
                <w:color w:val="auto"/>
              </w:rPr>
            </w:pPr>
            <w:r>
              <w:rPr>
                <w:rFonts w:ascii="Arial" w:cs="Arial" w:eastAsia="Arial" w:hAnsi="Arial"/>
                <w:sz w:val="18"/>
                <w:szCs w:val="18"/>
                <w:color w:val="auto"/>
                <w:w w:val="89"/>
              </w:rPr>
              <w:t>(000-15006)</w:t>
            </w:r>
          </w:p>
        </w:tc>
        <w:tc>
          <w:tcPr>
            <w:tcW w:w="1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tcPr>
          <w:p>
            <w:pPr>
              <w:spacing w:after="0"/>
              <w:rPr>
                <w:sz w:val="18"/>
                <w:szCs w:val="18"/>
                <w:color w:val="auto"/>
              </w:rPr>
            </w:pPr>
          </w:p>
        </w:tc>
      </w:tr>
      <w:tr>
        <w:trPr>
          <w:trHeight w:val="216"/>
        </w:trPr>
        <w:tc>
          <w:tcPr>
            <w:tcW w:w="1120" w:type="dxa"/>
            <w:vAlign w:val="bottom"/>
          </w:tcPr>
          <w:p>
            <w:pPr>
              <w:jc w:val="center"/>
              <w:spacing w:after="0"/>
              <w:rPr>
                <w:sz w:val="20"/>
                <w:szCs w:val="20"/>
                <w:color w:val="auto"/>
              </w:rPr>
            </w:pPr>
            <w:r>
              <w:rPr>
                <w:rFonts w:ascii="Arial" w:cs="Arial" w:eastAsia="Arial" w:hAnsi="Arial"/>
                <w:sz w:val="18"/>
                <w:szCs w:val="18"/>
                <w:color w:val="auto"/>
                <w:w w:val="98"/>
              </w:rPr>
              <w:t>10-K/A</w:t>
            </w:r>
          </w:p>
        </w:tc>
        <w:tc>
          <w:tcPr>
            <w:tcW w:w="660" w:type="dxa"/>
            <w:vAlign w:val="bottom"/>
            <w:gridSpan w:val="2"/>
          </w:tcPr>
          <w:p>
            <w:pPr>
              <w:jc w:val="center"/>
              <w:ind w:left="52"/>
              <w:spacing w:after="0"/>
              <w:rPr>
                <w:sz w:val="20"/>
                <w:szCs w:val="20"/>
                <w:color w:val="auto"/>
              </w:rPr>
            </w:pPr>
            <w:r>
              <w:rPr>
                <w:rFonts w:ascii="Arial" w:cs="Arial" w:eastAsia="Arial" w:hAnsi="Arial"/>
                <w:sz w:val="18"/>
                <w:szCs w:val="18"/>
                <w:color w:val="auto"/>
                <w:w w:val="88"/>
              </w:rPr>
              <w:t>10.13</w:t>
            </w:r>
          </w:p>
        </w:tc>
        <w:tc>
          <w:tcPr>
            <w:tcW w:w="880" w:type="dxa"/>
            <w:vAlign w:val="bottom"/>
            <w:gridSpan w:val="2"/>
          </w:tcPr>
          <w:p>
            <w:pPr>
              <w:jc w:val="center"/>
              <w:ind w:left="52"/>
              <w:spacing w:after="0"/>
              <w:rPr>
                <w:sz w:val="20"/>
                <w:szCs w:val="20"/>
                <w:color w:val="auto"/>
              </w:rPr>
            </w:pPr>
            <w:r>
              <w:rPr>
                <w:rFonts w:ascii="Arial" w:cs="Arial" w:eastAsia="Arial" w:hAnsi="Arial"/>
                <w:sz w:val="18"/>
                <w:szCs w:val="18"/>
                <w:color w:val="auto"/>
                <w:w w:val="88"/>
              </w:rPr>
              <w:t>12/23/10</w:t>
            </w:r>
          </w:p>
        </w:tc>
      </w:tr>
      <w:tr>
        <w:trPr>
          <w:trHeight w:val="216"/>
        </w:trPr>
        <w:tc>
          <w:tcPr>
            <w:tcW w:w="1120" w:type="dxa"/>
            <w:vAlign w:val="bottom"/>
          </w:tcPr>
          <w:p>
            <w:pPr>
              <w:jc w:val="center"/>
              <w:spacing w:after="0"/>
              <w:rPr>
                <w:sz w:val="20"/>
                <w:szCs w:val="20"/>
                <w:color w:val="auto"/>
              </w:rPr>
            </w:pPr>
            <w:r>
              <w:rPr>
                <w:rFonts w:ascii="Arial" w:cs="Arial" w:eastAsia="Arial" w:hAnsi="Arial"/>
                <w:sz w:val="18"/>
                <w:szCs w:val="18"/>
                <w:color w:val="auto"/>
                <w:w w:val="89"/>
              </w:rPr>
              <w:t>(000-15006)</w:t>
            </w:r>
          </w:p>
        </w:tc>
        <w:tc>
          <w:tcPr>
            <w:tcW w:w="1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tcPr>
          <w:p>
            <w:pPr>
              <w:spacing w:after="0"/>
              <w:rPr>
                <w:sz w:val="18"/>
                <w:szCs w:val="18"/>
                <w:color w:val="auto"/>
              </w:rPr>
            </w:pPr>
          </w:p>
        </w:tc>
      </w:tr>
      <w:tr>
        <w:trPr>
          <w:trHeight w:val="216"/>
        </w:trPr>
        <w:tc>
          <w:tcPr>
            <w:tcW w:w="1120" w:type="dxa"/>
            <w:vAlign w:val="bottom"/>
          </w:tcPr>
          <w:p>
            <w:pPr>
              <w:jc w:val="center"/>
              <w:spacing w:after="0"/>
              <w:rPr>
                <w:sz w:val="20"/>
                <w:szCs w:val="20"/>
                <w:color w:val="auto"/>
              </w:rPr>
            </w:pPr>
            <w:r>
              <w:rPr>
                <w:rFonts w:ascii="Arial" w:cs="Arial" w:eastAsia="Arial" w:hAnsi="Arial"/>
                <w:sz w:val="18"/>
                <w:szCs w:val="18"/>
                <w:color w:val="auto"/>
                <w:w w:val="85"/>
              </w:rPr>
              <w:t>S-4</w:t>
            </w:r>
          </w:p>
        </w:tc>
        <w:tc>
          <w:tcPr>
            <w:tcW w:w="660" w:type="dxa"/>
            <w:vAlign w:val="bottom"/>
            <w:gridSpan w:val="2"/>
          </w:tcPr>
          <w:p>
            <w:pPr>
              <w:jc w:val="center"/>
              <w:ind w:left="72"/>
              <w:spacing w:after="0"/>
              <w:rPr>
                <w:sz w:val="20"/>
                <w:szCs w:val="20"/>
                <w:color w:val="auto"/>
              </w:rPr>
            </w:pPr>
            <w:r>
              <w:rPr>
                <w:rFonts w:ascii="Arial" w:cs="Arial" w:eastAsia="Arial" w:hAnsi="Arial"/>
                <w:sz w:val="18"/>
                <w:szCs w:val="18"/>
                <w:color w:val="auto"/>
                <w:w w:val="85"/>
              </w:rPr>
              <w:t>10.4</w:t>
            </w:r>
          </w:p>
        </w:tc>
        <w:tc>
          <w:tcPr>
            <w:tcW w:w="880" w:type="dxa"/>
            <w:vAlign w:val="bottom"/>
            <w:gridSpan w:val="2"/>
          </w:tcPr>
          <w:p>
            <w:pPr>
              <w:jc w:val="center"/>
              <w:ind w:left="52"/>
              <w:spacing w:after="0"/>
              <w:rPr>
                <w:sz w:val="20"/>
                <w:szCs w:val="20"/>
                <w:color w:val="auto"/>
              </w:rPr>
            </w:pPr>
            <w:r>
              <w:rPr>
                <w:rFonts w:ascii="Arial" w:cs="Arial" w:eastAsia="Arial" w:hAnsi="Arial"/>
                <w:sz w:val="18"/>
                <w:szCs w:val="18"/>
                <w:color w:val="auto"/>
                <w:w w:val="89"/>
              </w:rPr>
              <w:t>1/18/08</w:t>
            </w:r>
          </w:p>
        </w:tc>
      </w:tr>
      <w:tr>
        <w:trPr>
          <w:trHeight w:val="216"/>
        </w:trPr>
        <w:tc>
          <w:tcPr>
            <w:tcW w:w="1120" w:type="dxa"/>
            <w:vAlign w:val="bottom"/>
          </w:tcPr>
          <w:p>
            <w:pPr>
              <w:jc w:val="center"/>
              <w:spacing w:after="0"/>
              <w:rPr>
                <w:sz w:val="20"/>
                <w:szCs w:val="20"/>
                <w:color w:val="auto"/>
              </w:rPr>
            </w:pPr>
            <w:r>
              <w:rPr>
                <w:rFonts w:ascii="Arial" w:cs="Arial" w:eastAsia="Arial" w:hAnsi="Arial"/>
                <w:sz w:val="18"/>
                <w:szCs w:val="18"/>
                <w:color w:val="auto"/>
                <w:w w:val="90"/>
              </w:rPr>
              <w:t>(333-148291)</w:t>
            </w:r>
          </w:p>
        </w:tc>
        <w:tc>
          <w:tcPr>
            <w:tcW w:w="1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tcPr>
          <w:p>
            <w:pPr>
              <w:spacing w:after="0"/>
              <w:rPr>
                <w:sz w:val="18"/>
                <w:szCs w:val="18"/>
                <w:color w:val="auto"/>
              </w:rPr>
            </w:pPr>
          </w:p>
        </w:tc>
      </w:tr>
      <w:tr>
        <w:trPr>
          <w:trHeight w:val="216"/>
        </w:trPr>
        <w:tc>
          <w:tcPr>
            <w:tcW w:w="1120" w:type="dxa"/>
            <w:vAlign w:val="bottom"/>
          </w:tcPr>
          <w:p>
            <w:pPr>
              <w:jc w:val="center"/>
              <w:spacing w:after="0"/>
              <w:rPr>
                <w:sz w:val="20"/>
                <w:szCs w:val="20"/>
                <w:color w:val="auto"/>
              </w:rPr>
            </w:pPr>
            <w:r>
              <w:rPr>
                <w:rFonts w:ascii="Arial" w:cs="Arial" w:eastAsia="Arial" w:hAnsi="Arial"/>
                <w:sz w:val="18"/>
                <w:szCs w:val="18"/>
                <w:color w:val="auto"/>
                <w:w w:val="85"/>
              </w:rPr>
              <w:t>S-4</w:t>
            </w:r>
          </w:p>
        </w:tc>
        <w:tc>
          <w:tcPr>
            <w:tcW w:w="660" w:type="dxa"/>
            <w:vAlign w:val="bottom"/>
            <w:gridSpan w:val="2"/>
          </w:tcPr>
          <w:p>
            <w:pPr>
              <w:jc w:val="center"/>
              <w:ind w:left="72"/>
              <w:spacing w:after="0"/>
              <w:rPr>
                <w:sz w:val="20"/>
                <w:szCs w:val="20"/>
                <w:color w:val="auto"/>
              </w:rPr>
            </w:pPr>
            <w:r>
              <w:rPr>
                <w:rFonts w:ascii="Arial" w:cs="Arial" w:eastAsia="Arial" w:hAnsi="Arial"/>
                <w:sz w:val="18"/>
                <w:szCs w:val="18"/>
                <w:color w:val="auto"/>
                <w:w w:val="85"/>
              </w:rPr>
              <w:t>10.5</w:t>
            </w:r>
          </w:p>
        </w:tc>
        <w:tc>
          <w:tcPr>
            <w:tcW w:w="880" w:type="dxa"/>
            <w:vAlign w:val="bottom"/>
            <w:gridSpan w:val="2"/>
          </w:tcPr>
          <w:p>
            <w:pPr>
              <w:jc w:val="center"/>
              <w:ind w:left="52"/>
              <w:spacing w:after="0"/>
              <w:rPr>
                <w:sz w:val="20"/>
                <w:szCs w:val="20"/>
                <w:color w:val="auto"/>
              </w:rPr>
            </w:pPr>
            <w:r>
              <w:rPr>
                <w:rFonts w:ascii="Arial" w:cs="Arial" w:eastAsia="Arial" w:hAnsi="Arial"/>
                <w:sz w:val="18"/>
                <w:szCs w:val="18"/>
                <w:color w:val="auto"/>
                <w:w w:val="89"/>
              </w:rPr>
              <w:t>1/18/08</w:t>
            </w:r>
          </w:p>
        </w:tc>
      </w:tr>
      <w:tr>
        <w:trPr>
          <w:trHeight w:val="222"/>
        </w:trPr>
        <w:tc>
          <w:tcPr>
            <w:tcW w:w="1120" w:type="dxa"/>
            <w:vAlign w:val="bottom"/>
          </w:tcPr>
          <w:p>
            <w:pPr>
              <w:jc w:val="center"/>
              <w:spacing w:after="0"/>
              <w:rPr>
                <w:sz w:val="20"/>
                <w:szCs w:val="20"/>
                <w:color w:val="auto"/>
              </w:rPr>
            </w:pPr>
            <w:r>
              <w:rPr>
                <w:rFonts w:ascii="Arial" w:cs="Arial" w:eastAsia="Arial" w:hAnsi="Arial"/>
                <w:sz w:val="18"/>
                <w:szCs w:val="18"/>
                <w:color w:val="auto"/>
                <w:w w:val="90"/>
              </w:rPr>
              <w:t>(333-148291)</w:t>
            </w:r>
          </w:p>
        </w:tc>
        <w:tc>
          <w:tcPr>
            <w:tcW w:w="16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20" w:type="dxa"/>
            <w:vAlign w:val="bottom"/>
          </w:tcPr>
          <w:p>
            <w:pPr>
              <w:spacing w:after="0"/>
              <w:rPr>
                <w:sz w:val="19"/>
                <w:szCs w:val="19"/>
                <w:color w:val="auto"/>
              </w:rPr>
            </w:pPr>
          </w:p>
        </w:tc>
      </w:tr>
      <w:tr>
        <w:trPr>
          <w:trHeight w:val="426"/>
        </w:trPr>
        <w:tc>
          <w:tcPr>
            <w:tcW w:w="1120" w:type="dxa"/>
            <w:vAlign w:val="bottom"/>
          </w:tcPr>
          <w:p>
            <w:pPr>
              <w:jc w:val="center"/>
              <w:spacing w:after="0"/>
              <w:rPr>
                <w:sz w:val="20"/>
                <w:szCs w:val="20"/>
                <w:color w:val="auto"/>
              </w:rPr>
            </w:pPr>
            <w:r>
              <w:rPr>
                <w:rFonts w:ascii="Arial" w:cs="Arial" w:eastAsia="Arial" w:hAnsi="Arial"/>
                <w:sz w:val="18"/>
                <w:szCs w:val="18"/>
                <w:color w:val="auto"/>
                <w:w w:val="85"/>
              </w:rPr>
              <w:t>S-4</w:t>
            </w:r>
          </w:p>
        </w:tc>
        <w:tc>
          <w:tcPr>
            <w:tcW w:w="660" w:type="dxa"/>
            <w:vAlign w:val="bottom"/>
            <w:gridSpan w:val="2"/>
          </w:tcPr>
          <w:p>
            <w:pPr>
              <w:jc w:val="center"/>
              <w:ind w:left="72"/>
              <w:spacing w:after="0"/>
              <w:rPr>
                <w:sz w:val="20"/>
                <w:szCs w:val="20"/>
                <w:color w:val="auto"/>
              </w:rPr>
            </w:pPr>
            <w:r>
              <w:rPr>
                <w:rFonts w:ascii="Arial" w:cs="Arial" w:eastAsia="Arial" w:hAnsi="Arial"/>
                <w:sz w:val="18"/>
                <w:szCs w:val="18"/>
                <w:color w:val="auto"/>
                <w:w w:val="85"/>
              </w:rPr>
              <w:t>10.9</w:t>
            </w:r>
          </w:p>
        </w:tc>
        <w:tc>
          <w:tcPr>
            <w:tcW w:w="880" w:type="dxa"/>
            <w:vAlign w:val="bottom"/>
            <w:gridSpan w:val="2"/>
          </w:tcPr>
          <w:p>
            <w:pPr>
              <w:jc w:val="center"/>
              <w:ind w:left="52"/>
              <w:spacing w:after="0"/>
              <w:rPr>
                <w:sz w:val="20"/>
                <w:szCs w:val="20"/>
                <w:color w:val="auto"/>
              </w:rPr>
            </w:pPr>
            <w:r>
              <w:rPr>
                <w:rFonts w:ascii="Arial" w:cs="Arial" w:eastAsia="Arial" w:hAnsi="Arial"/>
                <w:sz w:val="18"/>
                <w:szCs w:val="18"/>
                <w:color w:val="auto"/>
                <w:w w:val="89"/>
              </w:rPr>
              <w:t>1/18/08</w:t>
            </w:r>
          </w:p>
        </w:tc>
      </w:tr>
      <w:tr>
        <w:trPr>
          <w:trHeight w:val="216"/>
        </w:trPr>
        <w:tc>
          <w:tcPr>
            <w:tcW w:w="1120" w:type="dxa"/>
            <w:vAlign w:val="bottom"/>
          </w:tcPr>
          <w:p>
            <w:pPr>
              <w:jc w:val="center"/>
              <w:spacing w:after="0"/>
              <w:rPr>
                <w:sz w:val="20"/>
                <w:szCs w:val="20"/>
                <w:color w:val="auto"/>
              </w:rPr>
            </w:pPr>
            <w:r>
              <w:rPr>
                <w:rFonts w:ascii="Arial" w:cs="Arial" w:eastAsia="Arial" w:hAnsi="Arial"/>
                <w:sz w:val="18"/>
                <w:szCs w:val="18"/>
                <w:color w:val="auto"/>
                <w:w w:val="90"/>
              </w:rPr>
              <w:t>(333-148291)</w:t>
            </w:r>
          </w:p>
        </w:tc>
        <w:tc>
          <w:tcPr>
            <w:tcW w:w="1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tcPr>
          <w:p>
            <w:pPr>
              <w:spacing w:after="0"/>
              <w:rPr>
                <w:sz w:val="18"/>
                <w:szCs w:val="18"/>
                <w:color w:val="auto"/>
              </w:rPr>
            </w:pPr>
          </w:p>
        </w:tc>
      </w:tr>
      <w:tr>
        <w:trPr>
          <w:trHeight w:val="216"/>
        </w:trPr>
        <w:tc>
          <w:tcPr>
            <w:tcW w:w="1120" w:type="dxa"/>
            <w:vAlign w:val="bottom"/>
          </w:tcPr>
          <w:p>
            <w:pPr>
              <w:jc w:val="center"/>
              <w:spacing w:after="0"/>
              <w:rPr>
                <w:sz w:val="20"/>
                <w:szCs w:val="20"/>
                <w:color w:val="auto"/>
              </w:rPr>
            </w:pPr>
            <w:r>
              <w:rPr>
                <w:rFonts w:ascii="Arial" w:cs="Arial" w:eastAsia="Arial" w:hAnsi="Arial"/>
                <w:sz w:val="18"/>
                <w:szCs w:val="18"/>
                <w:color w:val="auto"/>
                <w:w w:val="89"/>
              </w:rPr>
              <w:t>10-Q</w:t>
            </w:r>
          </w:p>
        </w:tc>
        <w:tc>
          <w:tcPr>
            <w:tcW w:w="660" w:type="dxa"/>
            <w:vAlign w:val="bottom"/>
            <w:gridSpan w:val="2"/>
          </w:tcPr>
          <w:p>
            <w:pPr>
              <w:jc w:val="center"/>
              <w:ind w:left="72"/>
              <w:spacing w:after="0"/>
              <w:rPr>
                <w:sz w:val="20"/>
                <w:szCs w:val="20"/>
                <w:color w:val="auto"/>
              </w:rPr>
            </w:pPr>
            <w:r>
              <w:rPr>
                <w:rFonts w:ascii="Arial" w:cs="Arial" w:eastAsia="Arial" w:hAnsi="Arial"/>
                <w:sz w:val="18"/>
                <w:szCs w:val="18"/>
                <w:color w:val="auto"/>
                <w:w w:val="85"/>
              </w:rPr>
              <w:t>10.1</w:t>
            </w:r>
          </w:p>
        </w:tc>
        <w:tc>
          <w:tcPr>
            <w:tcW w:w="880" w:type="dxa"/>
            <w:vAlign w:val="bottom"/>
            <w:gridSpan w:val="2"/>
          </w:tcPr>
          <w:p>
            <w:pPr>
              <w:jc w:val="center"/>
              <w:ind w:left="52"/>
              <w:spacing w:after="0"/>
              <w:rPr>
                <w:sz w:val="20"/>
                <w:szCs w:val="20"/>
                <w:color w:val="auto"/>
              </w:rPr>
            </w:pPr>
            <w:r>
              <w:rPr>
                <w:rFonts w:ascii="Arial" w:cs="Arial" w:eastAsia="Arial" w:hAnsi="Arial"/>
                <w:sz w:val="18"/>
                <w:szCs w:val="18"/>
                <w:color w:val="auto"/>
                <w:w w:val="89"/>
              </w:rPr>
              <w:t>5/19/08</w:t>
            </w:r>
          </w:p>
        </w:tc>
      </w:tr>
      <w:tr>
        <w:trPr>
          <w:trHeight w:val="216"/>
        </w:trPr>
        <w:tc>
          <w:tcPr>
            <w:tcW w:w="1120" w:type="dxa"/>
            <w:vAlign w:val="bottom"/>
          </w:tcPr>
          <w:p>
            <w:pPr>
              <w:jc w:val="center"/>
              <w:spacing w:after="0"/>
              <w:rPr>
                <w:sz w:val="20"/>
                <w:szCs w:val="20"/>
                <w:color w:val="auto"/>
              </w:rPr>
            </w:pPr>
            <w:r>
              <w:rPr>
                <w:rFonts w:ascii="Arial" w:cs="Arial" w:eastAsia="Arial" w:hAnsi="Arial"/>
                <w:sz w:val="18"/>
                <w:szCs w:val="18"/>
                <w:color w:val="auto"/>
                <w:w w:val="89"/>
              </w:rPr>
              <w:t>(000-15006)</w:t>
            </w:r>
          </w:p>
        </w:tc>
        <w:tc>
          <w:tcPr>
            <w:tcW w:w="1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tcPr>
          <w:p>
            <w:pPr>
              <w:spacing w:after="0"/>
              <w:rPr>
                <w:sz w:val="18"/>
                <w:szCs w:val="18"/>
                <w:color w:val="auto"/>
              </w:rPr>
            </w:pPr>
          </w:p>
        </w:tc>
      </w:tr>
      <w:tr>
        <w:trPr>
          <w:trHeight w:val="216"/>
        </w:trPr>
        <w:tc>
          <w:tcPr>
            <w:tcW w:w="1120" w:type="dxa"/>
            <w:vAlign w:val="bottom"/>
          </w:tcPr>
          <w:p>
            <w:pPr>
              <w:jc w:val="center"/>
              <w:spacing w:after="0"/>
              <w:rPr>
                <w:sz w:val="20"/>
                <w:szCs w:val="20"/>
                <w:color w:val="auto"/>
              </w:rPr>
            </w:pPr>
            <w:r>
              <w:rPr>
                <w:rFonts w:ascii="Arial" w:cs="Arial" w:eastAsia="Arial" w:hAnsi="Arial"/>
                <w:sz w:val="18"/>
                <w:szCs w:val="18"/>
                <w:color w:val="auto"/>
                <w:w w:val="94"/>
              </w:rPr>
              <w:t>10-K</w:t>
            </w:r>
          </w:p>
        </w:tc>
        <w:tc>
          <w:tcPr>
            <w:tcW w:w="660" w:type="dxa"/>
            <w:vAlign w:val="bottom"/>
            <w:gridSpan w:val="2"/>
          </w:tcPr>
          <w:p>
            <w:pPr>
              <w:jc w:val="center"/>
              <w:ind w:left="52"/>
              <w:spacing w:after="0"/>
              <w:rPr>
                <w:sz w:val="20"/>
                <w:szCs w:val="20"/>
                <w:color w:val="auto"/>
              </w:rPr>
            </w:pPr>
            <w:r>
              <w:rPr>
                <w:rFonts w:ascii="Arial" w:cs="Arial" w:eastAsia="Arial" w:hAnsi="Arial"/>
                <w:sz w:val="18"/>
                <w:szCs w:val="18"/>
                <w:color w:val="auto"/>
                <w:w w:val="88"/>
              </w:rPr>
              <w:t>10.45</w:t>
            </w:r>
          </w:p>
        </w:tc>
        <w:tc>
          <w:tcPr>
            <w:tcW w:w="880" w:type="dxa"/>
            <w:vAlign w:val="bottom"/>
            <w:gridSpan w:val="2"/>
          </w:tcPr>
          <w:p>
            <w:pPr>
              <w:jc w:val="center"/>
              <w:ind w:left="52"/>
              <w:spacing w:after="0"/>
              <w:rPr>
                <w:sz w:val="20"/>
                <w:szCs w:val="20"/>
                <w:color w:val="auto"/>
              </w:rPr>
            </w:pPr>
            <w:r>
              <w:rPr>
                <w:rFonts w:ascii="Arial" w:cs="Arial" w:eastAsia="Arial" w:hAnsi="Arial"/>
                <w:sz w:val="18"/>
                <w:szCs w:val="18"/>
                <w:color w:val="auto"/>
                <w:w w:val="91"/>
              </w:rPr>
              <w:t>3/2/09</w:t>
            </w:r>
          </w:p>
        </w:tc>
      </w:tr>
      <w:tr>
        <w:trPr>
          <w:trHeight w:val="222"/>
        </w:trPr>
        <w:tc>
          <w:tcPr>
            <w:tcW w:w="1120" w:type="dxa"/>
            <w:vAlign w:val="bottom"/>
          </w:tcPr>
          <w:p>
            <w:pPr>
              <w:jc w:val="center"/>
              <w:spacing w:after="0"/>
              <w:rPr>
                <w:sz w:val="20"/>
                <w:szCs w:val="20"/>
                <w:color w:val="auto"/>
              </w:rPr>
            </w:pPr>
            <w:r>
              <w:rPr>
                <w:rFonts w:ascii="Arial" w:cs="Arial" w:eastAsia="Arial" w:hAnsi="Arial"/>
                <w:sz w:val="18"/>
                <w:szCs w:val="18"/>
                <w:color w:val="auto"/>
                <w:w w:val="89"/>
              </w:rPr>
              <w:t>(000-15006)</w:t>
            </w:r>
          </w:p>
        </w:tc>
        <w:tc>
          <w:tcPr>
            <w:tcW w:w="16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20" w:type="dxa"/>
            <w:vAlign w:val="bottom"/>
          </w:tcPr>
          <w:p>
            <w:pPr>
              <w:spacing w:after="0"/>
              <w:rPr>
                <w:sz w:val="19"/>
                <w:szCs w:val="19"/>
                <w:color w:val="auto"/>
              </w:rPr>
            </w:pPr>
          </w:p>
        </w:tc>
      </w:tr>
      <w:tr>
        <w:trPr>
          <w:trHeight w:val="426"/>
        </w:trPr>
        <w:tc>
          <w:tcPr>
            <w:tcW w:w="1120" w:type="dxa"/>
            <w:vAlign w:val="bottom"/>
          </w:tcPr>
          <w:p>
            <w:pPr>
              <w:jc w:val="center"/>
              <w:spacing w:after="0"/>
              <w:rPr>
                <w:sz w:val="20"/>
                <w:szCs w:val="20"/>
                <w:color w:val="auto"/>
              </w:rPr>
            </w:pPr>
            <w:r>
              <w:rPr>
                <w:rFonts w:ascii="Arial" w:cs="Arial" w:eastAsia="Arial" w:hAnsi="Arial"/>
                <w:sz w:val="18"/>
                <w:szCs w:val="18"/>
                <w:color w:val="auto"/>
                <w:w w:val="94"/>
              </w:rPr>
              <w:t>10-K</w:t>
            </w:r>
          </w:p>
        </w:tc>
        <w:tc>
          <w:tcPr>
            <w:tcW w:w="660" w:type="dxa"/>
            <w:vAlign w:val="bottom"/>
            <w:gridSpan w:val="2"/>
          </w:tcPr>
          <w:p>
            <w:pPr>
              <w:jc w:val="center"/>
              <w:ind w:left="52"/>
              <w:spacing w:after="0"/>
              <w:rPr>
                <w:sz w:val="20"/>
                <w:szCs w:val="20"/>
                <w:color w:val="auto"/>
              </w:rPr>
            </w:pPr>
            <w:r>
              <w:rPr>
                <w:rFonts w:ascii="Arial" w:cs="Arial" w:eastAsia="Arial" w:hAnsi="Arial"/>
                <w:sz w:val="18"/>
                <w:szCs w:val="18"/>
                <w:color w:val="auto"/>
                <w:w w:val="88"/>
              </w:rPr>
              <w:t>10.46</w:t>
            </w:r>
          </w:p>
        </w:tc>
        <w:tc>
          <w:tcPr>
            <w:tcW w:w="880" w:type="dxa"/>
            <w:vAlign w:val="bottom"/>
            <w:gridSpan w:val="2"/>
          </w:tcPr>
          <w:p>
            <w:pPr>
              <w:jc w:val="center"/>
              <w:ind w:left="52"/>
              <w:spacing w:after="0"/>
              <w:rPr>
                <w:sz w:val="20"/>
                <w:szCs w:val="20"/>
                <w:color w:val="auto"/>
              </w:rPr>
            </w:pPr>
            <w:r>
              <w:rPr>
                <w:rFonts w:ascii="Arial" w:cs="Arial" w:eastAsia="Arial" w:hAnsi="Arial"/>
                <w:sz w:val="18"/>
                <w:szCs w:val="18"/>
                <w:color w:val="auto"/>
                <w:w w:val="91"/>
              </w:rPr>
              <w:t>3/2/09</w:t>
            </w:r>
          </w:p>
        </w:tc>
      </w:tr>
      <w:tr>
        <w:trPr>
          <w:trHeight w:val="216"/>
        </w:trPr>
        <w:tc>
          <w:tcPr>
            <w:tcW w:w="1120" w:type="dxa"/>
            <w:vAlign w:val="bottom"/>
          </w:tcPr>
          <w:p>
            <w:pPr>
              <w:jc w:val="center"/>
              <w:spacing w:after="0"/>
              <w:rPr>
                <w:sz w:val="20"/>
                <w:szCs w:val="20"/>
                <w:color w:val="auto"/>
              </w:rPr>
            </w:pPr>
            <w:r>
              <w:rPr>
                <w:rFonts w:ascii="Arial" w:cs="Arial" w:eastAsia="Arial" w:hAnsi="Arial"/>
                <w:sz w:val="18"/>
                <w:szCs w:val="18"/>
                <w:color w:val="auto"/>
                <w:w w:val="89"/>
              </w:rPr>
              <w:t>(000-15006)</w:t>
            </w:r>
          </w:p>
        </w:tc>
        <w:tc>
          <w:tcPr>
            <w:tcW w:w="1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tcPr>
          <w:p>
            <w:pPr>
              <w:spacing w:after="0"/>
              <w:rPr>
                <w:sz w:val="18"/>
                <w:szCs w:val="18"/>
                <w:color w:val="auto"/>
              </w:rPr>
            </w:pPr>
          </w:p>
        </w:tc>
      </w:tr>
      <w:tr>
        <w:trPr>
          <w:trHeight w:val="216"/>
        </w:trPr>
        <w:tc>
          <w:tcPr>
            <w:tcW w:w="1120" w:type="dxa"/>
            <w:vAlign w:val="bottom"/>
          </w:tcPr>
          <w:p>
            <w:pPr>
              <w:jc w:val="center"/>
              <w:spacing w:after="0"/>
              <w:rPr>
                <w:sz w:val="20"/>
                <w:szCs w:val="20"/>
                <w:color w:val="auto"/>
              </w:rPr>
            </w:pPr>
            <w:r>
              <w:rPr>
                <w:rFonts w:ascii="Arial" w:cs="Arial" w:eastAsia="Arial" w:hAnsi="Arial"/>
                <w:sz w:val="18"/>
                <w:szCs w:val="18"/>
                <w:color w:val="auto"/>
                <w:w w:val="94"/>
              </w:rPr>
              <w:t>10-K</w:t>
            </w:r>
          </w:p>
        </w:tc>
        <w:tc>
          <w:tcPr>
            <w:tcW w:w="660" w:type="dxa"/>
            <w:vAlign w:val="bottom"/>
            <w:gridSpan w:val="2"/>
          </w:tcPr>
          <w:p>
            <w:pPr>
              <w:jc w:val="center"/>
              <w:ind w:left="52"/>
              <w:spacing w:after="0"/>
              <w:rPr>
                <w:sz w:val="20"/>
                <w:szCs w:val="20"/>
                <w:color w:val="auto"/>
              </w:rPr>
            </w:pPr>
            <w:r>
              <w:rPr>
                <w:rFonts w:ascii="Arial" w:cs="Arial" w:eastAsia="Arial" w:hAnsi="Arial"/>
                <w:sz w:val="18"/>
                <w:szCs w:val="18"/>
                <w:color w:val="auto"/>
                <w:w w:val="88"/>
              </w:rPr>
              <w:t>10.47</w:t>
            </w:r>
          </w:p>
        </w:tc>
        <w:tc>
          <w:tcPr>
            <w:tcW w:w="880" w:type="dxa"/>
            <w:vAlign w:val="bottom"/>
            <w:gridSpan w:val="2"/>
          </w:tcPr>
          <w:p>
            <w:pPr>
              <w:jc w:val="center"/>
              <w:ind w:left="52"/>
              <w:spacing w:after="0"/>
              <w:rPr>
                <w:sz w:val="20"/>
                <w:szCs w:val="20"/>
                <w:color w:val="auto"/>
              </w:rPr>
            </w:pPr>
            <w:r>
              <w:rPr>
                <w:rFonts w:ascii="Arial" w:cs="Arial" w:eastAsia="Arial" w:hAnsi="Arial"/>
                <w:sz w:val="18"/>
                <w:szCs w:val="18"/>
                <w:color w:val="auto"/>
                <w:w w:val="91"/>
              </w:rPr>
              <w:t>3/2/09</w:t>
            </w:r>
          </w:p>
        </w:tc>
      </w:tr>
      <w:tr>
        <w:trPr>
          <w:trHeight w:val="216"/>
        </w:trPr>
        <w:tc>
          <w:tcPr>
            <w:tcW w:w="1120" w:type="dxa"/>
            <w:vAlign w:val="bottom"/>
          </w:tcPr>
          <w:p>
            <w:pPr>
              <w:jc w:val="center"/>
              <w:spacing w:after="0"/>
              <w:rPr>
                <w:sz w:val="20"/>
                <w:szCs w:val="20"/>
                <w:color w:val="auto"/>
              </w:rPr>
            </w:pPr>
            <w:r>
              <w:rPr>
                <w:rFonts w:ascii="Arial" w:cs="Arial" w:eastAsia="Arial" w:hAnsi="Arial"/>
                <w:sz w:val="18"/>
                <w:szCs w:val="18"/>
                <w:color w:val="auto"/>
                <w:w w:val="89"/>
              </w:rPr>
              <w:t>(000-15006)</w:t>
            </w:r>
          </w:p>
        </w:tc>
        <w:tc>
          <w:tcPr>
            <w:tcW w:w="1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tcPr>
          <w:p>
            <w:pPr>
              <w:spacing w:after="0"/>
              <w:rPr>
                <w:sz w:val="18"/>
                <w:szCs w:val="18"/>
                <w:color w:val="auto"/>
              </w:rPr>
            </w:pPr>
          </w:p>
        </w:tc>
      </w:tr>
      <w:tr>
        <w:trPr>
          <w:trHeight w:val="216"/>
        </w:trPr>
        <w:tc>
          <w:tcPr>
            <w:tcW w:w="1120" w:type="dxa"/>
            <w:vAlign w:val="bottom"/>
          </w:tcPr>
          <w:p>
            <w:pPr>
              <w:jc w:val="center"/>
              <w:spacing w:after="0"/>
              <w:rPr>
                <w:sz w:val="20"/>
                <w:szCs w:val="20"/>
                <w:color w:val="auto"/>
              </w:rPr>
            </w:pPr>
            <w:r>
              <w:rPr>
                <w:rFonts w:ascii="Arial" w:cs="Arial" w:eastAsia="Arial" w:hAnsi="Arial"/>
                <w:sz w:val="18"/>
                <w:szCs w:val="18"/>
                <w:color w:val="auto"/>
                <w:w w:val="98"/>
              </w:rPr>
              <w:t>10-K/A</w:t>
            </w:r>
          </w:p>
        </w:tc>
        <w:tc>
          <w:tcPr>
            <w:tcW w:w="660" w:type="dxa"/>
            <w:vAlign w:val="bottom"/>
            <w:gridSpan w:val="2"/>
          </w:tcPr>
          <w:p>
            <w:pPr>
              <w:jc w:val="center"/>
              <w:ind w:left="72"/>
              <w:spacing w:after="0"/>
              <w:rPr>
                <w:sz w:val="20"/>
                <w:szCs w:val="20"/>
                <w:color w:val="auto"/>
              </w:rPr>
            </w:pPr>
            <w:r>
              <w:rPr>
                <w:rFonts w:ascii="Arial" w:cs="Arial" w:eastAsia="Arial" w:hAnsi="Arial"/>
                <w:sz w:val="18"/>
                <w:szCs w:val="18"/>
                <w:color w:val="auto"/>
                <w:w w:val="85"/>
              </w:rPr>
              <w:t>10.1</w:t>
            </w:r>
          </w:p>
        </w:tc>
        <w:tc>
          <w:tcPr>
            <w:tcW w:w="880" w:type="dxa"/>
            <w:vAlign w:val="bottom"/>
            <w:gridSpan w:val="2"/>
          </w:tcPr>
          <w:p>
            <w:pPr>
              <w:jc w:val="center"/>
              <w:ind w:left="52"/>
              <w:spacing w:after="0"/>
              <w:rPr>
                <w:sz w:val="20"/>
                <w:szCs w:val="20"/>
                <w:color w:val="auto"/>
              </w:rPr>
            </w:pPr>
            <w:r>
              <w:rPr>
                <w:rFonts w:ascii="Arial" w:cs="Arial" w:eastAsia="Arial" w:hAnsi="Arial"/>
                <w:sz w:val="18"/>
                <w:szCs w:val="18"/>
                <w:color w:val="auto"/>
                <w:w w:val="88"/>
              </w:rPr>
              <w:t>12/23/10</w:t>
            </w:r>
          </w:p>
        </w:tc>
      </w:tr>
      <w:tr>
        <w:trPr>
          <w:trHeight w:val="222"/>
        </w:trPr>
        <w:tc>
          <w:tcPr>
            <w:tcW w:w="1120" w:type="dxa"/>
            <w:vAlign w:val="bottom"/>
          </w:tcPr>
          <w:p>
            <w:pPr>
              <w:jc w:val="center"/>
              <w:spacing w:after="0"/>
              <w:rPr>
                <w:sz w:val="20"/>
                <w:szCs w:val="20"/>
                <w:color w:val="auto"/>
              </w:rPr>
            </w:pPr>
            <w:r>
              <w:rPr>
                <w:rFonts w:ascii="Arial" w:cs="Arial" w:eastAsia="Arial" w:hAnsi="Arial"/>
                <w:sz w:val="18"/>
                <w:szCs w:val="18"/>
                <w:color w:val="auto"/>
                <w:w w:val="89"/>
              </w:rPr>
              <w:t>(000-15006)</w:t>
            </w:r>
          </w:p>
        </w:tc>
        <w:tc>
          <w:tcPr>
            <w:tcW w:w="16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20" w:type="dxa"/>
            <w:vAlign w:val="bottom"/>
          </w:tcPr>
          <w:p>
            <w:pPr>
              <w:spacing w:after="0"/>
              <w:rPr>
                <w:sz w:val="19"/>
                <w:szCs w:val="19"/>
                <w:color w:val="auto"/>
              </w:rPr>
            </w:pPr>
          </w:p>
        </w:tc>
      </w:tr>
    </w:tbl>
    <w:p>
      <w:pPr>
        <w:sectPr>
          <w:pgSz w:w="11900" w:h="16838" w:orient="portrait"/>
          <w:cols w:equalWidth="0" w:num="2">
            <w:col w:w="7440" w:space="180"/>
            <w:col w:w="2660"/>
          </w:cols>
          <w:pgMar w:left="240" w:top="131" w:right="1379" w:bottom="1440" w:gutter="0" w:footer="0" w:header="0"/>
        </w:sectPr>
      </w:pPr>
    </w:p>
    <w:bookmarkStart w:id="110" w:name="page111"/>
    <w:bookmarkEnd w:id="110"/>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85" w:lineRule="exact"/>
        <w:rPr>
          <w:sz w:val="20"/>
          <w:szCs w:val="20"/>
          <w:color w:val="auto"/>
        </w:rPr>
      </w:pPr>
    </w:p>
    <w:p>
      <w:pPr>
        <w:ind w:left="1360"/>
        <w:spacing w:after="0"/>
        <w:tabs>
          <w:tab w:leader="none" w:pos="4340" w:val="left"/>
        </w:tabs>
        <w:rPr>
          <w:sz w:val="20"/>
          <w:szCs w:val="20"/>
          <w:color w:val="auto"/>
        </w:rPr>
      </w:pPr>
      <w:r>
        <w:rPr>
          <w:rFonts w:ascii="Arial" w:cs="Arial" w:eastAsia="Arial" w:hAnsi="Arial"/>
          <w:sz w:val="14"/>
          <w:szCs w:val="14"/>
          <w:b w:val="1"/>
          <w:bCs w:val="1"/>
          <w:color w:val="auto"/>
        </w:rPr>
        <w:t>No.</w:t>
      </w:r>
      <w:r>
        <w:rPr>
          <w:sz w:val="20"/>
          <w:szCs w:val="20"/>
          <w:color w:val="auto"/>
        </w:rPr>
        <w:tab/>
      </w:r>
      <w:r>
        <w:rPr>
          <w:rFonts w:ascii="Arial" w:cs="Arial" w:eastAsia="Arial" w:hAnsi="Arial"/>
          <w:sz w:val="14"/>
          <w:szCs w:val="14"/>
          <w:b w:val="1"/>
          <w:bCs w:val="1"/>
          <w:color w:val="auto"/>
        </w:rPr>
        <w:t>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734060</wp:posOffset>
            </wp:positionH>
            <wp:positionV relativeFrom="paragraph">
              <wp:posOffset>0</wp:posOffset>
            </wp:positionV>
            <wp:extent cx="3996055" cy="8890"/>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3996055" cy="8890"/>
                    </a:xfrm>
                    <a:prstGeom prst="rect">
                      <a:avLst/>
                    </a:prstGeom>
                    <a:noFill/>
                  </pic:spPr>
                </pic:pic>
              </a:graphicData>
            </a:graphic>
          </wp:anchor>
        </w:drawing>
      </w:r>
    </w:p>
    <w:p>
      <w:pPr>
        <w:ind w:left="1940" w:right="120" w:hanging="644"/>
        <w:spacing w:after="0" w:line="249" w:lineRule="auto"/>
        <w:tabs>
          <w:tab w:leader="none" w:pos="1920" w:val="left"/>
        </w:tabs>
        <w:rPr>
          <w:sz w:val="20"/>
          <w:szCs w:val="20"/>
          <w:color w:val="auto"/>
        </w:rPr>
      </w:pPr>
      <w:r>
        <w:rPr>
          <w:rFonts w:ascii="Arial" w:cs="Arial" w:eastAsia="Arial" w:hAnsi="Arial"/>
          <w:sz w:val="18"/>
          <w:szCs w:val="18"/>
          <w:color w:val="auto"/>
        </w:rPr>
        <w:t>*10.40</w:t>
        <w:tab/>
        <w:t>Collaboration Agreement dated June 18, 2004 between Seattle Genetics and CuraGen</w:t>
      </w:r>
    </w:p>
    <w:p>
      <w:pPr>
        <w:spacing w:after="0" w:line="1" w:lineRule="exact"/>
        <w:rPr>
          <w:sz w:val="20"/>
          <w:szCs w:val="20"/>
          <w:color w:val="auto"/>
        </w:rPr>
      </w:pPr>
    </w:p>
    <w:p>
      <w:pPr>
        <w:ind w:left="1940" w:hanging="644"/>
        <w:spacing w:after="0" w:line="250" w:lineRule="auto"/>
        <w:tabs>
          <w:tab w:leader="none" w:pos="1920" w:val="left"/>
        </w:tabs>
        <w:rPr>
          <w:sz w:val="20"/>
          <w:szCs w:val="20"/>
          <w:color w:val="auto"/>
        </w:rPr>
      </w:pPr>
      <w:r>
        <w:rPr>
          <w:rFonts w:ascii="Arial" w:cs="Arial" w:eastAsia="Arial" w:hAnsi="Arial"/>
          <w:sz w:val="18"/>
          <w:szCs w:val="18"/>
          <w:color w:val="auto"/>
        </w:rPr>
        <w:t>*10.41</w:t>
        <w:tab/>
        <w:t>Second Restated Collaboration Agreement dated April 12, 2004 and amended October 19, 2004 between Abgenix Inc. and CuraGen</w:t>
      </w:r>
    </w:p>
    <w:p>
      <w:pPr>
        <w:spacing w:after="0" w:line="1" w:lineRule="exact"/>
        <w:rPr>
          <w:sz w:val="20"/>
          <w:szCs w:val="20"/>
          <w:color w:val="auto"/>
        </w:rPr>
      </w:pPr>
    </w:p>
    <w:p>
      <w:pPr>
        <w:ind w:left="1940" w:right="940" w:hanging="556"/>
        <w:spacing w:after="0" w:line="250" w:lineRule="auto"/>
        <w:tabs>
          <w:tab w:leader="none" w:pos="1920" w:val="left"/>
        </w:tabs>
        <w:rPr>
          <w:sz w:val="20"/>
          <w:szCs w:val="20"/>
          <w:color w:val="auto"/>
        </w:rPr>
      </w:pPr>
      <w:r>
        <w:rPr>
          <w:rFonts w:ascii="Arial" w:cs="Arial" w:eastAsia="Arial" w:hAnsi="Arial"/>
          <w:sz w:val="18"/>
          <w:szCs w:val="18"/>
          <w:color w:val="auto"/>
        </w:rPr>
        <w:t>10.42</w:t>
        <w:tab/>
        <w:t>Amgen Letter Agreement, by and between CuraGen and Amgen Fremont, Inc. dated May 2, 2009</w:t>
      </w:r>
    </w:p>
    <w:p>
      <w:pPr>
        <w:spacing w:after="0" w:line="1" w:lineRule="exact"/>
        <w:rPr>
          <w:sz w:val="20"/>
          <w:szCs w:val="20"/>
          <w:color w:val="auto"/>
        </w:rPr>
      </w:pPr>
    </w:p>
    <w:p>
      <w:pPr>
        <w:ind w:left="1940" w:right="420" w:hanging="644"/>
        <w:spacing w:after="0" w:line="250" w:lineRule="auto"/>
        <w:tabs>
          <w:tab w:leader="none" w:pos="1920" w:val="left"/>
        </w:tabs>
        <w:rPr>
          <w:sz w:val="20"/>
          <w:szCs w:val="20"/>
          <w:color w:val="auto"/>
        </w:rPr>
      </w:pPr>
      <w:r>
        <w:rPr>
          <w:rFonts w:ascii="Arial" w:cs="Arial" w:eastAsia="Arial" w:hAnsi="Arial"/>
          <w:sz w:val="18"/>
          <w:szCs w:val="18"/>
          <w:color w:val="auto"/>
        </w:rPr>
        <w:t>*10.43</w:t>
        <w:tab/>
        <w:t>Transfer and Termination Agreement, dated as of April 21, 2008 by and between TopoTarget A/S and CuraGen</w:t>
      </w:r>
    </w:p>
    <w:p>
      <w:pPr>
        <w:spacing w:after="0" w:line="1" w:lineRule="exact"/>
        <w:rPr>
          <w:sz w:val="20"/>
          <w:szCs w:val="20"/>
          <w:color w:val="auto"/>
        </w:rPr>
      </w:pPr>
    </w:p>
    <w:p>
      <w:pPr>
        <w:ind w:left="1280"/>
        <w:spacing w:after="0"/>
        <w:tabs>
          <w:tab w:leader="none" w:pos="1920" w:val="left"/>
        </w:tabs>
        <w:rPr>
          <w:sz w:val="20"/>
          <w:szCs w:val="20"/>
          <w:color w:val="auto"/>
        </w:rPr>
      </w:pPr>
      <w:r>
        <w:rPr>
          <w:rFonts w:ascii="Arial" w:cs="Arial" w:eastAsia="Arial" w:hAnsi="Arial"/>
          <w:sz w:val="18"/>
          <w:szCs w:val="18"/>
          <w:color w:val="auto"/>
        </w:rPr>
        <w:t>*10.44</w:t>
      </w:r>
      <w:r>
        <w:rPr>
          <w:sz w:val="20"/>
          <w:szCs w:val="20"/>
          <w:color w:val="auto"/>
        </w:rPr>
        <w:tab/>
      </w:r>
      <w:r>
        <w:rPr>
          <w:rFonts w:ascii="Arial" w:cs="Arial" w:eastAsia="Arial" w:hAnsi="Arial"/>
          <w:sz w:val="15"/>
          <w:szCs w:val="15"/>
          <w:color w:val="auto"/>
        </w:rPr>
        <w:t>License Agreement between Medarex and Company dated September 17,</w:t>
      </w:r>
    </w:p>
    <w:p>
      <w:pPr>
        <w:spacing w:after="0" w:line="9" w:lineRule="exact"/>
        <w:rPr>
          <w:sz w:val="20"/>
          <w:szCs w:val="20"/>
          <w:color w:val="auto"/>
        </w:rPr>
      </w:pPr>
    </w:p>
    <w:p>
      <w:pPr>
        <w:ind w:left="1940"/>
        <w:spacing w:after="0"/>
        <w:rPr>
          <w:sz w:val="20"/>
          <w:szCs w:val="20"/>
          <w:color w:val="auto"/>
        </w:rPr>
      </w:pPr>
      <w:r>
        <w:rPr>
          <w:rFonts w:ascii="Arial" w:cs="Arial" w:eastAsia="Arial" w:hAnsi="Arial"/>
          <w:sz w:val="18"/>
          <w:szCs w:val="18"/>
          <w:color w:val="auto"/>
        </w:rPr>
        <w:t>2010</w:t>
      </w:r>
    </w:p>
    <w:p>
      <w:pPr>
        <w:spacing w:after="0" w:line="9" w:lineRule="exact"/>
        <w:rPr>
          <w:sz w:val="20"/>
          <w:szCs w:val="20"/>
          <w:color w:val="auto"/>
        </w:rPr>
      </w:pPr>
    </w:p>
    <w:p>
      <w:pPr>
        <w:ind w:left="1240"/>
        <w:spacing w:after="0"/>
        <w:rPr>
          <w:sz w:val="20"/>
          <w:szCs w:val="20"/>
          <w:color w:val="auto"/>
        </w:rPr>
      </w:pPr>
      <w:r>
        <w:rPr>
          <w:rFonts w:ascii="Arial" w:cs="Arial" w:eastAsia="Arial" w:hAnsi="Arial"/>
          <w:sz w:val="18"/>
          <w:szCs w:val="18"/>
          <w:i w:val="1"/>
          <w:iCs w:val="1"/>
          <w:color w:val="auto"/>
        </w:rPr>
        <w:t>Material Contracts—Stock Purchase, Financing and Credit Agreements</w:t>
      </w:r>
    </w:p>
    <w:p>
      <w:pPr>
        <w:spacing w:after="0" w:line="9" w:lineRule="exact"/>
        <w:rPr>
          <w:sz w:val="20"/>
          <w:szCs w:val="20"/>
          <w:color w:val="auto"/>
        </w:rPr>
      </w:pPr>
    </w:p>
    <w:p>
      <w:pPr>
        <w:ind w:left="1940" w:right="260" w:hanging="644"/>
        <w:spacing w:after="0" w:line="300" w:lineRule="auto"/>
        <w:tabs>
          <w:tab w:leader="none" w:pos="1920" w:val="left"/>
        </w:tabs>
        <w:rPr>
          <w:sz w:val="20"/>
          <w:szCs w:val="20"/>
          <w:color w:val="auto"/>
        </w:rPr>
      </w:pPr>
      <w:r>
        <w:rPr>
          <w:rFonts w:ascii="Arial" w:cs="Arial" w:eastAsia="Arial" w:hAnsi="Arial"/>
          <w:sz w:val="18"/>
          <w:szCs w:val="18"/>
          <w:color w:val="auto"/>
        </w:rPr>
        <w:t>*10.45</w:t>
      </w:r>
      <w:r>
        <w:rPr>
          <w:sz w:val="20"/>
          <w:szCs w:val="20"/>
          <w:color w:val="auto"/>
        </w:rPr>
        <w:tab/>
      </w:r>
      <w:r>
        <w:rPr>
          <w:rFonts w:ascii="Arial" w:cs="Arial" w:eastAsia="Arial" w:hAnsi="Arial"/>
          <w:sz w:val="15"/>
          <w:szCs w:val="15"/>
          <w:color w:val="auto"/>
        </w:rPr>
        <w:t>Security Agreement, by and between the Company and the Massachusetts Development Finance Agency, dated as of December 22, 2003</w:t>
      </w:r>
    </w:p>
    <w:p>
      <w:pPr>
        <w:spacing w:after="0" w:line="1" w:lineRule="exact"/>
        <w:rPr>
          <w:sz w:val="20"/>
          <w:szCs w:val="20"/>
          <w:color w:val="auto"/>
        </w:rPr>
      </w:pPr>
    </w:p>
    <w:p>
      <w:pPr>
        <w:jc w:val="center"/>
        <w:ind w:left="1040"/>
        <w:spacing w:after="0"/>
        <w:tabs>
          <w:tab w:leader="none" w:pos="140" w:val="left"/>
        </w:tabs>
        <w:rPr>
          <w:sz w:val="20"/>
          <w:szCs w:val="20"/>
          <w:color w:val="auto"/>
        </w:rPr>
      </w:pPr>
      <w:r>
        <w:rPr>
          <w:rFonts w:ascii="Arial" w:cs="Arial" w:eastAsia="Arial" w:hAnsi="Arial"/>
          <w:sz w:val="18"/>
          <w:szCs w:val="18"/>
          <w:color w:val="auto"/>
        </w:rPr>
        <w:t>*10.46</w:t>
      </w:r>
      <w:r>
        <w:rPr>
          <w:sz w:val="20"/>
          <w:szCs w:val="20"/>
          <w:color w:val="auto"/>
        </w:rPr>
        <w:tab/>
      </w:r>
      <w:r>
        <w:rPr>
          <w:rFonts w:ascii="Arial" w:cs="Arial" w:eastAsia="Arial" w:hAnsi="Arial"/>
          <w:sz w:val="15"/>
          <w:szCs w:val="15"/>
          <w:color w:val="auto"/>
        </w:rPr>
        <w:t>Secured Promissory Note: Equipment Loan, by and between the Company</w:t>
      </w:r>
    </w:p>
    <w:p>
      <w:pPr>
        <w:spacing w:after="0" w:line="9" w:lineRule="exact"/>
        <w:rPr>
          <w:sz w:val="20"/>
          <w:szCs w:val="20"/>
          <w:color w:val="auto"/>
        </w:rPr>
      </w:pPr>
    </w:p>
    <w:p>
      <w:pPr>
        <w:ind w:left="1940" w:right="880"/>
        <w:spacing w:after="0" w:line="250" w:lineRule="auto"/>
        <w:rPr>
          <w:sz w:val="20"/>
          <w:szCs w:val="20"/>
          <w:color w:val="auto"/>
        </w:rPr>
      </w:pPr>
      <w:r>
        <w:rPr>
          <w:rFonts w:ascii="Arial" w:cs="Arial" w:eastAsia="Arial" w:hAnsi="Arial"/>
          <w:sz w:val="18"/>
          <w:szCs w:val="18"/>
          <w:color w:val="auto"/>
        </w:rPr>
        <w:t>and the Massachusetts Development Finance Agency, dated as of December 22, 2003</w:t>
      </w:r>
    </w:p>
    <w:p>
      <w:pPr>
        <w:spacing w:after="0" w:line="1" w:lineRule="exact"/>
        <w:rPr>
          <w:sz w:val="20"/>
          <w:szCs w:val="20"/>
          <w:color w:val="auto"/>
        </w:rPr>
      </w:pPr>
    </w:p>
    <w:p>
      <w:pPr>
        <w:ind w:left="1940" w:right="160" w:hanging="556"/>
        <w:spacing w:after="0" w:line="281" w:lineRule="auto"/>
        <w:tabs>
          <w:tab w:leader="none" w:pos="1920" w:val="left"/>
        </w:tabs>
        <w:rPr>
          <w:sz w:val="20"/>
          <w:szCs w:val="20"/>
          <w:color w:val="auto"/>
        </w:rPr>
      </w:pPr>
      <w:r>
        <w:rPr>
          <w:rFonts w:ascii="Arial" w:cs="Arial" w:eastAsia="Arial" w:hAnsi="Arial"/>
          <w:sz w:val="18"/>
          <w:szCs w:val="18"/>
          <w:color w:val="auto"/>
        </w:rPr>
        <w:t>10.47</w:t>
      </w:r>
      <w:r>
        <w:rPr>
          <w:sz w:val="20"/>
          <w:szCs w:val="20"/>
          <w:color w:val="auto"/>
        </w:rPr>
        <w:tab/>
      </w:r>
      <w:r>
        <w:rPr>
          <w:rFonts w:ascii="Arial" w:cs="Arial" w:eastAsia="Arial" w:hAnsi="Arial"/>
          <w:sz w:val="16"/>
          <w:szCs w:val="16"/>
          <w:color w:val="auto"/>
        </w:rPr>
        <w:t>Amendment to Loan Documents, between the Company and Massachusetts Development Finance Agency dated January 1, 2009</w:t>
      </w:r>
    </w:p>
    <w:p>
      <w:pPr>
        <w:spacing w:after="0" w:line="1" w:lineRule="exact"/>
        <w:rPr>
          <w:sz w:val="20"/>
          <w:szCs w:val="20"/>
          <w:color w:val="auto"/>
        </w:rPr>
      </w:pPr>
    </w:p>
    <w:p>
      <w:pPr>
        <w:ind w:left="1940" w:right="480" w:hanging="556"/>
        <w:spacing w:after="0" w:line="281" w:lineRule="auto"/>
        <w:tabs>
          <w:tab w:leader="none" w:pos="1920" w:val="left"/>
        </w:tabs>
        <w:rPr>
          <w:sz w:val="20"/>
          <w:szCs w:val="20"/>
          <w:color w:val="auto"/>
        </w:rPr>
      </w:pPr>
      <w:r>
        <w:rPr>
          <w:rFonts w:ascii="Arial" w:cs="Arial" w:eastAsia="Arial" w:hAnsi="Arial"/>
          <w:sz w:val="18"/>
          <w:szCs w:val="18"/>
          <w:color w:val="auto"/>
        </w:rPr>
        <w:t>10.48</w:t>
      </w:r>
      <w:r>
        <w:rPr>
          <w:sz w:val="20"/>
          <w:szCs w:val="20"/>
          <w:color w:val="auto"/>
        </w:rPr>
        <w:tab/>
      </w:r>
      <w:r>
        <w:rPr>
          <w:rFonts w:ascii="Arial" w:cs="Arial" w:eastAsia="Arial" w:hAnsi="Arial"/>
          <w:sz w:val="16"/>
          <w:szCs w:val="16"/>
          <w:color w:val="auto"/>
        </w:rPr>
        <w:t>Allonge to Promissory Note, between the Company and Massachusetts Development Finance Agency dated January 1, 2009</w:t>
      </w:r>
    </w:p>
    <w:p>
      <w:pPr>
        <w:spacing w:after="0" w:line="1" w:lineRule="exact"/>
        <w:rPr>
          <w:sz w:val="20"/>
          <w:szCs w:val="20"/>
          <w:color w:val="auto"/>
        </w:rPr>
      </w:pPr>
    </w:p>
    <w:p>
      <w:pPr>
        <w:ind w:left="1940" w:right="680" w:hanging="556"/>
        <w:spacing w:after="0" w:line="300" w:lineRule="auto"/>
        <w:tabs>
          <w:tab w:leader="none" w:pos="1920" w:val="left"/>
        </w:tabs>
        <w:rPr>
          <w:sz w:val="20"/>
          <w:szCs w:val="20"/>
          <w:color w:val="auto"/>
        </w:rPr>
      </w:pPr>
      <w:r>
        <w:rPr>
          <w:rFonts w:ascii="Arial" w:cs="Arial" w:eastAsia="Arial" w:hAnsi="Arial"/>
          <w:sz w:val="18"/>
          <w:szCs w:val="18"/>
          <w:color w:val="auto"/>
        </w:rPr>
        <w:t>10.49</w:t>
      </w:r>
      <w:r>
        <w:rPr>
          <w:sz w:val="20"/>
          <w:szCs w:val="20"/>
          <w:color w:val="auto"/>
        </w:rPr>
        <w:tab/>
      </w:r>
      <w:r>
        <w:rPr>
          <w:rFonts w:ascii="Arial" w:cs="Arial" w:eastAsia="Arial" w:hAnsi="Arial"/>
          <w:sz w:val="15"/>
          <w:szCs w:val="15"/>
          <w:color w:val="auto"/>
        </w:rPr>
        <w:t>Amendment to Security Agreement, between the Company and Massachusetts Development Finance Agency dated January 1, 2009</w:t>
      </w:r>
    </w:p>
    <w:p>
      <w:pPr>
        <w:spacing w:after="0" w:line="1" w:lineRule="exact"/>
        <w:rPr>
          <w:sz w:val="20"/>
          <w:szCs w:val="20"/>
          <w:color w:val="auto"/>
        </w:rPr>
      </w:pPr>
    </w:p>
    <w:p>
      <w:pPr>
        <w:ind w:left="1940" w:right="100" w:hanging="644"/>
        <w:spacing w:after="0" w:line="250" w:lineRule="auto"/>
        <w:tabs>
          <w:tab w:leader="none" w:pos="1920" w:val="left"/>
        </w:tabs>
        <w:rPr>
          <w:sz w:val="20"/>
          <w:szCs w:val="20"/>
          <w:color w:val="auto"/>
        </w:rPr>
      </w:pPr>
      <w:r>
        <w:rPr>
          <w:rFonts w:ascii="Arial" w:cs="Arial" w:eastAsia="Arial" w:hAnsi="Arial"/>
          <w:sz w:val="18"/>
          <w:szCs w:val="18"/>
          <w:color w:val="auto"/>
        </w:rPr>
        <w:t>*10.50</w:t>
        <w:tab/>
        <w:t>Common Stock Purchase Agreement dated as of April 16, 2008 between the Company and Pfizer Vaccines, LLC</w:t>
      </w:r>
    </w:p>
    <w:p>
      <w:pPr>
        <w:spacing w:after="0" w:line="1" w:lineRule="exact"/>
        <w:rPr>
          <w:sz w:val="20"/>
          <w:szCs w:val="20"/>
          <w:color w:val="auto"/>
        </w:rPr>
      </w:pPr>
    </w:p>
    <w:p>
      <w:pPr>
        <w:ind w:left="1940" w:hanging="556"/>
        <w:spacing w:after="0" w:line="250" w:lineRule="auto"/>
        <w:tabs>
          <w:tab w:leader="none" w:pos="1920" w:val="left"/>
        </w:tabs>
        <w:rPr>
          <w:sz w:val="20"/>
          <w:szCs w:val="20"/>
          <w:color w:val="auto"/>
        </w:rPr>
      </w:pPr>
      <w:r>
        <w:rPr>
          <w:rFonts w:ascii="Arial" w:cs="Arial" w:eastAsia="Arial" w:hAnsi="Arial"/>
          <w:sz w:val="18"/>
          <w:szCs w:val="18"/>
          <w:color w:val="auto"/>
        </w:rPr>
        <w:t>10.51</w:t>
        <w:tab/>
        <w:t>Loan and Security Agreement, dated as of December 30, 2010, by and among Celldex Therapeutics, Inc., Celldex Research Corporation and MidCap Financial, LLC.</w:t>
      </w:r>
    </w:p>
    <w:p>
      <w:pPr>
        <w:spacing w:after="0" w:line="1" w:lineRule="exact"/>
        <w:rPr>
          <w:sz w:val="20"/>
          <w:szCs w:val="20"/>
          <w:color w:val="auto"/>
        </w:rPr>
      </w:pPr>
    </w:p>
    <w:p>
      <w:pPr>
        <w:ind w:left="1940" w:right="100" w:hanging="556"/>
        <w:spacing w:after="0" w:line="250" w:lineRule="auto"/>
        <w:tabs>
          <w:tab w:leader="none" w:pos="1920" w:val="left"/>
        </w:tabs>
        <w:rPr>
          <w:sz w:val="20"/>
          <w:szCs w:val="20"/>
          <w:color w:val="auto"/>
        </w:rPr>
      </w:pPr>
      <w:r>
        <w:rPr>
          <w:rFonts w:ascii="Arial" w:cs="Arial" w:eastAsia="Arial" w:hAnsi="Arial"/>
          <w:sz w:val="18"/>
          <w:szCs w:val="18"/>
          <w:color w:val="auto"/>
        </w:rPr>
        <w:t>10.52</w:t>
        <w:tab/>
        <w:t>Promissory Note issued by Celldex Therapeutics, Inc. and Celldex Research Corporation to MidCap Financial, LLC.</w:t>
      </w:r>
    </w:p>
    <w:p>
      <w:pPr>
        <w:spacing w:after="0" w:line="1" w:lineRule="exact"/>
        <w:rPr>
          <w:sz w:val="20"/>
          <w:szCs w:val="20"/>
          <w:color w:val="auto"/>
        </w:rPr>
      </w:pPr>
    </w:p>
    <w:p>
      <w:pPr>
        <w:ind w:left="1940" w:right="140" w:hanging="556"/>
        <w:spacing w:after="0" w:line="302" w:lineRule="auto"/>
        <w:tabs>
          <w:tab w:leader="none" w:pos="1920" w:val="left"/>
        </w:tabs>
        <w:rPr>
          <w:sz w:val="20"/>
          <w:szCs w:val="20"/>
          <w:color w:val="auto"/>
        </w:rPr>
      </w:pPr>
      <w:r>
        <w:rPr>
          <w:rFonts w:ascii="Arial" w:cs="Arial" w:eastAsia="Arial" w:hAnsi="Arial"/>
          <w:sz w:val="18"/>
          <w:szCs w:val="18"/>
          <w:color w:val="auto"/>
        </w:rPr>
        <w:t>10.53</w:t>
      </w:r>
      <w:r>
        <w:rPr>
          <w:sz w:val="20"/>
          <w:szCs w:val="20"/>
          <w:color w:val="auto"/>
        </w:rPr>
        <w:tab/>
      </w:r>
      <w:r>
        <w:rPr>
          <w:rFonts w:ascii="Arial" w:cs="Arial" w:eastAsia="Arial" w:hAnsi="Arial"/>
          <w:sz w:val="16"/>
          <w:szCs w:val="16"/>
          <w:color w:val="auto"/>
        </w:rPr>
        <w:t>Joinder and First Loan Modification Agreement, dated as of March 7, 2011, by and among Celldex Therapeutics, Inc., Celldex Research Corporation, MidCap Funding V, LLC and General Electric Capital Corporation.</w:t>
      </w:r>
    </w:p>
    <w:p>
      <w:pPr>
        <w:spacing w:after="0" w:line="163" w:lineRule="exact"/>
        <w:rPr>
          <w:sz w:val="20"/>
          <w:szCs w:val="20"/>
          <w:color w:val="auto"/>
        </w:rPr>
      </w:pPr>
    </w:p>
    <w:p>
      <w:pPr>
        <w:ind w:left="5580"/>
        <w:spacing w:after="0"/>
        <w:rPr>
          <w:sz w:val="20"/>
          <w:szCs w:val="20"/>
          <w:color w:val="auto"/>
        </w:rPr>
      </w:pPr>
      <w:r>
        <w:rPr>
          <w:rFonts w:ascii="Arial" w:cs="Arial" w:eastAsia="Arial" w:hAnsi="Arial"/>
          <w:sz w:val="18"/>
          <w:szCs w:val="18"/>
          <w:color w:val="auto"/>
        </w:rPr>
        <w:t>105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62" w:lineRule="exact"/>
        <w:rPr>
          <w:sz w:val="20"/>
          <w:szCs w:val="20"/>
          <w:color w:val="auto"/>
        </w:rPr>
      </w:pPr>
    </w:p>
    <w:p>
      <w:pPr>
        <w:ind w:left="480"/>
        <w:spacing w:after="0"/>
        <w:rPr>
          <w:sz w:val="20"/>
          <w:szCs w:val="20"/>
          <w:color w:val="auto"/>
        </w:rPr>
      </w:pPr>
      <w:r>
        <w:rPr>
          <w:rFonts w:ascii="Arial" w:cs="Arial" w:eastAsia="Arial" w:hAnsi="Arial"/>
          <w:sz w:val="14"/>
          <w:szCs w:val="14"/>
          <w:b w:val="1"/>
          <w:bCs w:val="1"/>
          <w:color w:val="auto"/>
        </w:rPr>
        <w:t>Incorporated by Reference to</w:t>
      </w:r>
    </w:p>
    <w:tbl>
      <w:tblPr>
        <w:tblLayout w:type="fixed"/>
        <w:tblInd w:w="0" w:type="dxa"/>
        <w:tblCellMar>
          <w:top w:w="0" w:type="dxa"/>
          <w:left w:w="0" w:type="dxa"/>
          <w:bottom w:w="0" w:type="dxa"/>
          <w:right w:w="0" w:type="dxa"/>
        </w:tblCellMar>
      </w:tblPr>
      <w:tr>
        <w:trPr>
          <w:trHeight w:val="129"/>
        </w:trPr>
        <w:tc>
          <w:tcPr>
            <w:tcW w:w="1120" w:type="dxa"/>
            <w:vAlign w:val="bottom"/>
            <w:tcBorders>
              <w:top w:val="single" w:sz="8" w:color="auto"/>
            </w:tcBorders>
          </w:tcPr>
          <w:p>
            <w:pPr>
              <w:jc w:val="center"/>
              <w:spacing w:after="0" w:line="129" w:lineRule="exact"/>
              <w:rPr>
                <w:sz w:val="20"/>
                <w:szCs w:val="20"/>
                <w:color w:val="auto"/>
              </w:rPr>
            </w:pPr>
            <w:r>
              <w:rPr>
                <w:rFonts w:ascii="Arial" w:cs="Arial" w:eastAsia="Arial" w:hAnsi="Arial"/>
                <w:sz w:val="14"/>
                <w:szCs w:val="14"/>
                <w:b w:val="1"/>
                <w:bCs w:val="1"/>
                <w:color w:val="auto"/>
                <w:w w:val="90"/>
              </w:rPr>
              <w:t>Form and</w:t>
            </w:r>
          </w:p>
        </w:tc>
        <w:tc>
          <w:tcPr>
            <w:tcW w:w="160" w:type="dxa"/>
            <w:vAlign w:val="bottom"/>
            <w:tcBorders>
              <w:top w:val="single" w:sz="8" w:color="auto"/>
            </w:tcBorders>
          </w:tcPr>
          <w:p>
            <w:pPr>
              <w:spacing w:after="0"/>
              <w:rPr>
                <w:sz w:val="11"/>
                <w:szCs w:val="11"/>
                <w:color w:val="auto"/>
              </w:rPr>
            </w:pPr>
          </w:p>
        </w:tc>
        <w:tc>
          <w:tcPr>
            <w:tcW w:w="500" w:type="dxa"/>
            <w:vAlign w:val="bottom"/>
            <w:tcBorders>
              <w:top w:val="single" w:sz="8" w:color="auto"/>
            </w:tcBorders>
          </w:tcPr>
          <w:p>
            <w:pPr>
              <w:jc w:val="center"/>
              <w:spacing w:after="0" w:line="129" w:lineRule="exact"/>
              <w:rPr>
                <w:sz w:val="20"/>
                <w:szCs w:val="20"/>
                <w:color w:val="auto"/>
              </w:rPr>
            </w:pPr>
            <w:r>
              <w:rPr>
                <w:rFonts w:ascii="Arial" w:cs="Arial" w:eastAsia="Arial" w:hAnsi="Arial"/>
                <w:sz w:val="14"/>
                <w:szCs w:val="14"/>
                <w:b w:val="1"/>
                <w:bCs w:val="1"/>
                <w:color w:val="auto"/>
                <w:w w:val="89"/>
              </w:rPr>
              <w:t>Exhibit</w:t>
            </w:r>
          </w:p>
        </w:tc>
        <w:tc>
          <w:tcPr>
            <w:tcW w:w="160" w:type="dxa"/>
            <w:vAlign w:val="bottom"/>
            <w:tcBorders>
              <w:top w:val="single" w:sz="8" w:color="auto"/>
            </w:tcBorders>
          </w:tcPr>
          <w:p>
            <w:pPr>
              <w:spacing w:after="0"/>
              <w:rPr>
                <w:sz w:val="11"/>
                <w:szCs w:val="11"/>
                <w:color w:val="auto"/>
              </w:rPr>
            </w:pPr>
          </w:p>
        </w:tc>
        <w:tc>
          <w:tcPr>
            <w:tcW w:w="720" w:type="dxa"/>
            <w:vAlign w:val="bottom"/>
            <w:tcBorders>
              <w:top w:val="single" w:sz="8" w:color="auto"/>
            </w:tcBorders>
          </w:tcPr>
          <w:p>
            <w:pPr>
              <w:jc w:val="center"/>
              <w:spacing w:after="0" w:line="129" w:lineRule="exact"/>
              <w:rPr>
                <w:sz w:val="20"/>
                <w:szCs w:val="20"/>
                <w:color w:val="auto"/>
              </w:rPr>
            </w:pPr>
            <w:r>
              <w:rPr>
                <w:rFonts w:ascii="Arial" w:cs="Arial" w:eastAsia="Arial" w:hAnsi="Arial"/>
                <w:sz w:val="14"/>
                <w:szCs w:val="14"/>
                <w:b w:val="1"/>
                <w:bCs w:val="1"/>
                <w:color w:val="auto"/>
                <w:w w:val="90"/>
              </w:rPr>
              <w:t>SEC</w:t>
            </w:r>
          </w:p>
        </w:tc>
      </w:tr>
      <w:tr>
        <w:trPr>
          <w:trHeight w:val="161"/>
        </w:trPr>
        <w:tc>
          <w:tcPr>
            <w:tcW w:w="11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8"/>
              </w:rPr>
              <w:t>SEC File No.</w:t>
            </w:r>
          </w:p>
        </w:tc>
        <w:tc>
          <w:tcPr>
            <w:tcW w:w="160" w:type="dxa"/>
            <w:vAlign w:val="bottom"/>
          </w:tcPr>
          <w:p>
            <w:pPr>
              <w:spacing w:after="0"/>
              <w:rPr>
                <w:sz w:val="14"/>
                <w:szCs w:val="14"/>
                <w:color w:val="auto"/>
              </w:rPr>
            </w:pPr>
          </w:p>
        </w:tc>
        <w:tc>
          <w:tcPr>
            <w:tcW w:w="5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8"/>
              </w:rPr>
              <w:t>No.</w:t>
            </w:r>
          </w:p>
        </w:tc>
        <w:tc>
          <w:tcPr>
            <w:tcW w:w="160" w:type="dxa"/>
            <w:vAlign w:val="bottom"/>
          </w:tcPr>
          <w:p>
            <w:pPr>
              <w:spacing w:after="0"/>
              <w:rPr>
                <w:sz w:val="14"/>
                <w:szCs w:val="14"/>
                <w:color w:val="auto"/>
              </w:rPr>
            </w:pPr>
          </w:p>
        </w:tc>
        <w:tc>
          <w:tcPr>
            <w:tcW w:w="7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Filing Date</w:t>
            </w:r>
          </w:p>
        </w:tc>
      </w:tr>
      <w:tr>
        <w:trPr>
          <w:trHeight w:val="201"/>
        </w:trPr>
        <w:tc>
          <w:tcPr>
            <w:tcW w:w="1120" w:type="dxa"/>
            <w:vAlign w:val="bottom"/>
          </w:tcPr>
          <w:p>
            <w:pPr>
              <w:jc w:val="center"/>
              <w:spacing w:after="0" w:line="201" w:lineRule="exact"/>
              <w:rPr>
                <w:sz w:val="20"/>
                <w:szCs w:val="20"/>
                <w:color w:val="auto"/>
              </w:rPr>
            </w:pPr>
            <w:r>
              <w:rPr>
                <w:rFonts w:ascii="Arial" w:cs="Arial" w:eastAsia="Arial" w:hAnsi="Arial"/>
                <w:sz w:val="18"/>
                <w:szCs w:val="18"/>
                <w:color w:val="auto"/>
                <w:w w:val="94"/>
              </w:rPr>
              <w:t>10-K</w:t>
            </w:r>
          </w:p>
        </w:tc>
        <w:tc>
          <w:tcPr>
            <w:tcW w:w="160" w:type="dxa"/>
            <w:vAlign w:val="bottom"/>
          </w:tcPr>
          <w:p>
            <w:pPr>
              <w:spacing w:after="0"/>
              <w:rPr>
                <w:sz w:val="17"/>
                <w:szCs w:val="17"/>
                <w:color w:val="auto"/>
              </w:rPr>
            </w:pPr>
          </w:p>
        </w:tc>
        <w:tc>
          <w:tcPr>
            <w:tcW w:w="500" w:type="dxa"/>
            <w:vAlign w:val="bottom"/>
          </w:tcPr>
          <w:p>
            <w:pPr>
              <w:jc w:val="center"/>
              <w:spacing w:after="0" w:line="201" w:lineRule="exact"/>
              <w:rPr>
                <w:sz w:val="20"/>
                <w:szCs w:val="20"/>
                <w:color w:val="auto"/>
              </w:rPr>
            </w:pPr>
            <w:r>
              <w:rPr>
                <w:rFonts w:ascii="Arial" w:cs="Arial" w:eastAsia="Arial" w:hAnsi="Arial"/>
                <w:sz w:val="18"/>
                <w:szCs w:val="18"/>
                <w:color w:val="auto"/>
                <w:w w:val="88"/>
              </w:rPr>
              <w:t>10.27</w:t>
            </w:r>
          </w:p>
        </w:tc>
        <w:tc>
          <w:tcPr>
            <w:tcW w:w="160" w:type="dxa"/>
            <w:vAlign w:val="bottom"/>
          </w:tcPr>
          <w:p>
            <w:pPr>
              <w:spacing w:after="0"/>
              <w:rPr>
                <w:sz w:val="17"/>
                <w:szCs w:val="17"/>
                <w:color w:val="auto"/>
              </w:rPr>
            </w:pPr>
          </w:p>
        </w:tc>
        <w:tc>
          <w:tcPr>
            <w:tcW w:w="720" w:type="dxa"/>
            <w:vAlign w:val="bottom"/>
          </w:tcPr>
          <w:p>
            <w:pPr>
              <w:jc w:val="center"/>
              <w:spacing w:after="0" w:line="201" w:lineRule="exact"/>
              <w:rPr>
                <w:sz w:val="20"/>
                <w:szCs w:val="20"/>
                <w:color w:val="auto"/>
              </w:rPr>
            </w:pPr>
            <w:r>
              <w:rPr>
                <w:rFonts w:ascii="Arial" w:cs="Arial" w:eastAsia="Arial" w:hAnsi="Arial"/>
                <w:sz w:val="18"/>
                <w:szCs w:val="18"/>
                <w:color w:val="auto"/>
                <w:w w:val="89"/>
              </w:rPr>
              <w:t>3/12/10</w:t>
            </w:r>
          </w:p>
        </w:tc>
      </w:tr>
      <w:tr>
        <w:trPr>
          <w:trHeight w:val="216"/>
        </w:trPr>
        <w:tc>
          <w:tcPr>
            <w:tcW w:w="1120" w:type="dxa"/>
            <w:vAlign w:val="bottom"/>
          </w:tcPr>
          <w:p>
            <w:pPr>
              <w:jc w:val="center"/>
              <w:spacing w:after="0"/>
              <w:rPr>
                <w:sz w:val="20"/>
                <w:szCs w:val="20"/>
                <w:color w:val="auto"/>
              </w:rPr>
            </w:pPr>
            <w:r>
              <w:rPr>
                <w:rFonts w:ascii="Arial" w:cs="Arial" w:eastAsia="Arial" w:hAnsi="Arial"/>
                <w:sz w:val="18"/>
                <w:szCs w:val="18"/>
                <w:color w:val="auto"/>
                <w:w w:val="89"/>
              </w:rPr>
              <w:t>(000-15006)</w:t>
            </w:r>
          </w:p>
        </w:tc>
        <w:tc>
          <w:tcPr>
            <w:tcW w:w="1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tcPr>
          <w:p>
            <w:pPr>
              <w:spacing w:after="0"/>
              <w:rPr>
                <w:sz w:val="18"/>
                <w:szCs w:val="18"/>
                <w:color w:val="auto"/>
              </w:rPr>
            </w:pPr>
          </w:p>
        </w:tc>
      </w:tr>
      <w:tr>
        <w:trPr>
          <w:trHeight w:val="216"/>
        </w:trPr>
        <w:tc>
          <w:tcPr>
            <w:tcW w:w="1120" w:type="dxa"/>
            <w:vAlign w:val="bottom"/>
          </w:tcPr>
          <w:p>
            <w:pPr>
              <w:jc w:val="center"/>
              <w:spacing w:after="0"/>
              <w:rPr>
                <w:sz w:val="20"/>
                <w:szCs w:val="20"/>
                <w:color w:val="auto"/>
              </w:rPr>
            </w:pPr>
            <w:r>
              <w:rPr>
                <w:rFonts w:ascii="Arial" w:cs="Arial" w:eastAsia="Arial" w:hAnsi="Arial"/>
                <w:sz w:val="18"/>
                <w:szCs w:val="18"/>
                <w:color w:val="auto"/>
                <w:w w:val="94"/>
              </w:rPr>
              <w:t>10-K</w:t>
            </w:r>
          </w:p>
        </w:tc>
        <w:tc>
          <w:tcPr>
            <w:tcW w:w="660" w:type="dxa"/>
            <w:vAlign w:val="bottom"/>
            <w:gridSpan w:val="2"/>
          </w:tcPr>
          <w:p>
            <w:pPr>
              <w:jc w:val="center"/>
              <w:ind w:left="52"/>
              <w:spacing w:after="0"/>
              <w:rPr>
                <w:sz w:val="20"/>
                <w:szCs w:val="20"/>
                <w:color w:val="auto"/>
              </w:rPr>
            </w:pPr>
            <w:r>
              <w:rPr>
                <w:rFonts w:ascii="Arial" w:cs="Arial" w:eastAsia="Arial" w:hAnsi="Arial"/>
                <w:sz w:val="18"/>
                <w:szCs w:val="18"/>
                <w:color w:val="auto"/>
                <w:w w:val="88"/>
              </w:rPr>
              <w:t>10.28</w:t>
            </w:r>
          </w:p>
        </w:tc>
        <w:tc>
          <w:tcPr>
            <w:tcW w:w="880" w:type="dxa"/>
            <w:vAlign w:val="bottom"/>
            <w:gridSpan w:val="2"/>
          </w:tcPr>
          <w:p>
            <w:pPr>
              <w:jc w:val="center"/>
              <w:ind w:left="52"/>
              <w:spacing w:after="0"/>
              <w:rPr>
                <w:sz w:val="20"/>
                <w:szCs w:val="20"/>
                <w:color w:val="auto"/>
              </w:rPr>
            </w:pPr>
            <w:r>
              <w:rPr>
                <w:rFonts w:ascii="Arial" w:cs="Arial" w:eastAsia="Arial" w:hAnsi="Arial"/>
                <w:sz w:val="18"/>
                <w:szCs w:val="18"/>
                <w:color w:val="auto"/>
                <w:w w:val="89"/>
              </w:rPr>
              <w:t>3/12/10</w:t>
            </w:r>
          </w:p>
        </w:tc>
      </w:tr>
      <w:tr>
        <w:trPr>
          <w:trHeight w:val="216"/>
        </w:trPr>
        <w:tc>
          <w:tcPr>
            <w:tcW w:w="1120" w:type="dxa"/>
            <w:vAlign w:val="bottom"/>
          </w:tcPr>
          <w:p>
            <w:pPr>
              <w:jc w:val="center"/>
              <w:spacing w:after="0"/>
              <w:rPr>
                <w:sz w:val="20"/>
                <w:szCs w:val="20"/>
                <w:color w:val="auto"/>
              </w:rPr>
            </w:pPr>
            <w:r>
              <w:rPr>
                <w:rFonts w:ascii="Arial" w:cs="Arial" w:eastAsia="Arial" w:hAnsi="Arial"/>
                <w:sz w:val="18"/>
                <w:szCs w:val="18"/>
                <w:color w:val="auto"/>
                <w:w w:val="89"/>
              </w:rPr>
              <w:t>(000-15006)</w:t>
            </w:r>
          </w:p>
        </w:tc>
        <w:tc>
          <w:tcPr>
            <w:tcW w:w="1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tcPr>
          <w:p>
            <w:pPr>
              <w:spacing w:after="0"/>
              <w:rPr>
                <w:sz w:val="18"/>
                <w:szCs w:val="18"/>
                <w:color w:val="auto"/>
              </w:rPr>
            </w:pPr>
          </w:p>
        </w:tc>
      </w:tr>
      <w:tr>
        <w:trPr>
          <w:trHeight w:val="216"/>
        </w:trPr>
        <w:tc>
          <w:tcPr>
            <w:tcW w:w="1120" w:type="dxa"/>
            <w:vAlign w:val="bottom"/>
          </w:tcPr>
          <w:p>
            <w:pPr>
              <w:jc w:val="center"/>
              <w:spacing w:after="0"/>
              <w:rPr>
                <w:sz w:val="20"/>
                <w:szCs w:val="20"/>
                <w:color w:val="auto"/>
              </w:rPr>
            </w:pPr>
            <w:r>
              <w:rPr>
                <w:rFonts w:ascii="Arial" w:cs="Arial" w:eastAsia="Arial" w:hAnsi="Arial"/>
                <w:sz w:val="18"/>
                <w:szCs w:val="18"/>
                <w:color w:val="auto"/>
                <w:w w:val="94"/>
              </w:rPr>
              <w:t>10-K</w:t>
            </w:r>
          </w:p>
        </w:tc>
        <w:tc>
          <w:tcPr>
            <w:tcW w:w="660" w:type="dxa"/>
            <w:vAlign w:val="bottom"/>
            <w:gridSpan w:val="2"/>
          </w:tcPr>
          <w:p>
            <w:pPr>
              <w:jc w:val="center"/>
              <w:ind w:left="52"/>
              <w:spacing w:after="0"/>
              <w:rPr>
                <w:sz w:val="20"/>
                <w:szCs w:val="20"/>
                <w:color w:val="auto"/>
              </w:rPr>
            </w:pPr>
            <w:r>
              <w:rPr>
                <w:rFonts w:ascii="Arial" w:cs="Arial" w:eastAsia="Arial" w:hAnsi="Arial"/>
                <w:sz w:val="18"/>
                <w:szCs w:val="18"/>
                <w:color w:val="auto"/>
                <w:w w:val="88"/>
              </w:rPr>
              <w:t>10.29</w:t>
            </w:r>
          </w:p>
        </w:tc>
        <w:tc>
          <w:tcPr>
            <w:tcW w:w="880" w:type="dxa"/>
            <w:vAlign w:val="bottom"/>
            <w:gridSpan w:val="2"/>
          </w:tcPr>
          <w:p>
            <w:pPr>
              <w:jc w:val="center"/>
              <w:ind w:left="52"/>
              <w:spacing w:after="0"/>
              <w:rPr>
                <w:sz w:val="20"/>
                <w:szCs w:val="20"/>
                <w:color w:val="auto"/>
              </w:rPr>
            </w:pPr>
            <w:r>
              <w:rPr>
                <w:rFonts w:ascii="Arial" w:cs="Arial" w:eastAsia="Arial" w:hAnsi="Arial"/>
                <w:sz w:val="18"/>
                <w:szCs w:val="18"/>
                <w:color w:val="auto"/>
                <w:w w:val="89"/>
              </w:rPr>
              <w:t>3/12/10</w:t>
            </w:r>
          </w:p>
        </w:tc>
      </w:tr>
      <w:tr>
        <w:trPr>
          <w:trHeight w:val="216"/>
        </w:trPr>
        <w:tc>
          <w:tcPr>
            <w:tcW w:w="1120" w:type="dxa"/>
            <w:vAlign w:val="bottom"/>
          </w:tcPr>
          <w:p>
            <w:pPr>
              <w:jc w:val="center"/>
              <w:spacing w:after="0"/>
              <w:rPr>
                <w:sz w:val="20"/>
                <w:szCs w:val="20"/>
                <w:color w:val="auto"/>
              </w:rPr>
            </w:pPr>
            <w:r>
              <w:rPr>
                <w:rFonts w:ascii="Arial" w:cs="Arial" w:eastAsia="Arial" w:hAnsi="Arial"/>
                <w:sz w:val="18"/>
                <w:szCs w:val="18"/>
                <w:color w:val="auto"/>
                <w:w w:val="89"/>
              </w:rPr>
              <w:t>(000-15006)</w:t>
            </w:r>
          </w:p>
        </w:tc>
        <w:tc>
          <w:tcPr>
            <w:tcW w:w="1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tcPr>
          <w:p>
            <w:pPr>
              <w:spacing w:after="0"/>
              <w:rPr>
                <w:sz w:val="18"/>
                <w:szCs w:val="18"/>
                <w:color w:val="auto"/>
              </w:rPr>
            </w:pPr>
          </w:p>
        </w:tc>
      </w:tr>
      <w:tr>
        <w:trPr>
          <w:trHeight w:val="216"/>
        </w:trPr>
        <w:tc>
          <w:tcPr>
            <w:tcW w:w="1120" w:type="dxa"/>
            <w:vAlign w:val="bottom"/>
          </w:tcPr>
          <w:p>
            <w:pPr>
              <w:jc w:val="center"/>
              <w:spacing w:after="0"/>
              <w:rPr>
                <w:sz w:val="20"/>
                <w:szCs w:val="20"/>
                <w:color w:val="auto"/>
              </w:rPr>
            </w:pPr>
            <w:r>
              <w:rPr>
                <w:rFonts w:ascii="Arial" w:cs="Arial" w:eastAsia="Arial" w:hAnsi="Arial"/>
                <w:sz w:val="18"/>
                <w:szCs w:val="18"/>
                <w:color w:val="auto"/>
                <w:w w:val="94"/>
              </w:rPr>
              <w:t>10-K</w:t>
            </w:r>
          </w:p>
        </w:tc>
        <w:tc>
          <w:tcPr>
            <w:tcW w:w="660" w:type="dxa"/>
            <w:vAlign w:val="bottom"/>
            <w:gridSpan w:val="2"/>
          </w:tcPr>
          <w:p>
            <w:pPr>
              <w:jc w:val="center"/>
              <w:ind w:left="52"/>
              <w:spacing w:after="0"/>
              <w:rPr>
                <w:sz w:val="20"/>
                <w:szCs w:val="20"/>
                <w:color w:val="auto"/>
              </w:rPr>
            </w:pPr>
            <w:r>
              <w:rPr>
                <w:rFonts w:ascii="Arial" w:cs="Arial" w:eastAsia="Arial" w:hAnsi="Arial"/>
                <w:sz w:val="18"/>
                <w:szCs w:val="18"/>
                <w:color w:val="auto"/>
                <w:w w:val="88"/>
              </w:rPr>
              <w:t>10.30</w:t>
            </w:r>
          </w:p>
        </w:tc>
        <w:tc>
          <w:tcPr>
            <w:tcW w:w="880" w:type="dxa"/>
            <w:vAlign w:val="bottom"/>
            <w:gridSpan w:val="2"/>
          </w:tcPr>
          <w:p>
            <w:pPr>
              <w:jc w:val="center"/>
              <w:ind w:left="52"/>
              <w:spacing w:after="0"/>
              <w:rPr>
                <w:sz w:val="20"/>
                <w:szCs w:val="20"/>
                <w:color w:val="auto"/>
              </w:rPr>
            </w:pPr>
            <w:r>
              <w:rPr>
                <w:rFonts w:ascii="Arial" w:cs="Arial" w:eastAsia="Arial" w:hAnsi="Arial"/>
                <w:sz w:val="18"/>
                <w:szCs w:val="18"/>
                <w:color w:val="auto"/>
                <w:w w:val="89"/>
              </w:rPr>
              <w:t>3/12/10</w:t>
            </w:r>
          </w:p>
        </w:tc>
      </w:tr>
      <w:tr>
        <w:trPr>
          <w:trHeight w:val="216"/>
        </w:trPr>
        <w:tc>
          <w:tcPr>
            <w:tcW w:w="1120" w:type="dxa"/>
            <w:vAlign w:val="bottom"/>
          </w:tcPr>
          <w:p>
            <w:pPr>
              <w:jc w:val="center"/>
              <w:spacing w:after="0"/>
              <w:rPr>
                <w:sz w:val="20"/>
                <w:szCs w:val="20"/>
                <w:color w:val="auto"/>
              </w:rPr>
            </w:pPr>
            <w:r>
              <w:rPr>
                <w:rFonts w:ascii="Arial" w:cs="Arial" w:eastAsia="Arial" w:hAnsi="Arial"/>
                <w:sz w:val="18"/>
                <w:szCs w:val="18"/>
                <w:color w:val="auto"/>
                <w:w w:val="89"/>
              </w:rPr>
              <w:t>(000-15006)</w:t>
            </w:r>
          </w:p>
        </w:tc>
        <w:tc>
          <w:tcPr>
            <w:tcW w:w="1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tcPr>
          <w:p>
            <w:pPr>
              <w:spacing w:after="0"/>
              <w:rPr>
                <w:sz w:val="18"/>
                <w:szCs w:val="18"/>
                <w:color w:val="auto"/>
              </w:rPr>
            </w:pPr>
          </w:p>
        </w:tc>
      </w:tr>
      <w:tr>
        <w:trPr>
          <w:trHeight w:val="216"/>
        </w:trPr>
        <w:tc>
          <w:tcPr>
            <w:tcW w:w="1120" w:type="dxa"/>
            <w:vAlign w:val="bottom"/>
          </w:tcPr>
          <w:p>
            <w:pPr>
              <w:jc w:val="center"/>
              <w:spacing w:after="0"/>
              <w:rPr>
                <w:sz w:val="20"/>
                <w:szCs w:val="20"/>
                <w:color w:val="auto"/>
              </w:rPr>
            </w:pPr>
            <w:r>
              <w:rPr>
                <w:rFonts w:ascii="Arial" w:cs="Arial" w:eastAsia="Arial" w:hAnsi="Arial"/>
                <w:sz w:val="18"/>
                <w:szCs w:val="18"/>
                <w:color w:val="auto"/>
                <w:w w:val="94"/>
              </w:rPr>
              <w:t>10-Q/A</w:t>
            </w:r>
          </w:p>
        </w:tc>
        <w:tc>
          <w:tcPr>
            <w:tcW w:w="660" w:type="dxa"/>
            <w:vAlign w:val="bottom"/>
            <w:gridSpan w:val="2"/>
          </w:tcPr>
          <w:p>
            <w:pPr>
              <w:jc w:val="center"/>
              <w:ind w:left="72"/>
              <w:spacing w:after="0"/>
              <w:rPr>
                <w:sz w:val="20"/>
                <w:szCs w:val="20"/>
                <w:color w:val="auto"/>
              </w:rPr>
            </w:pPr>
            <w:r>
              <w:rPr>
                <w:rFonts w:ascii="Arial" w:cs="Arial" w:eastAsia="Arial" w:hAnsi="Arial"/>
                <w:sz w:val="18"/>
                <w:szCs w:val="18"/>
                <w:color w:val="auto"/>
                <w:w w:val="85"/>
              </w:rPr>
              <w:t>10.3</w:t>
            </w:r>
          </w:p>
        </w:tc>
        <w:tc>
          <w:tcPr>
            <w:tcW w:w="880" w:type="dxa"/>
            <w:vAlign w:val="bottom"/>
            <w:gridSpan w:val="2"/>
          </w:tcPr>
          <w:p>
            <w:pPr>
              <w:jc w:val="center"/>
              <w:ind w:left="52"/>
              <w:spacing w:after="0"/>
              <w:rPr>
                <w:sz w:val="20"/>
                <w:szCs w:val="20"/>
                <w:color w:val="auto"/>
              </w:rPr>
            </w:pPr>
            <w:r>
              <w:rPr>
                <w:rFonts w:ascii="Arial" w:cs="Arial" w:eastAsia="Arial" w:hAnsi="Arial"/>
                <w:sz w:val="18"/>
                <w:szCs w:val="18"/>
                <w:color w:val="auto"/>
                <w:w w:val="88"/>
              </w:rPr>
              <w:t>12/23/10</w:t>
            </w:r>
          </w:p>
        </w:tc>
      </w:tr>
      <w:tr>
        <w:trPr>
          <w:trHeight w:val="222"/>
        </w:trPr>
        <w:tc>
          <w:tcPr>
            <w:tcW w:w="1120" w:type="dxa"/>
            <w:vAlign w:val="bottom"/>
          </w:tcPr>
          <w:p>
            <w:pPr>
              <w:jc w:val="center"/>
              <w:spacing w:after="0"/>
              <w:rPr>
                <w:sz w:val="20"/>
                <w:szCs w:val="20"/>
                <w:color w:val="auto"/>
              </w:rPr>
            </w:pPr>
            <w:r>
              <w:rPr>
                <w:rFonts w:ascii="Arial" w:cs="Arial" w:eastAsia="Arial" w:hAnsi="Arial"/>
                <w:sz w:val="18"/>
                <w:szCs w:val="18"/>
                <w:color w:val="auto"/>
                <w:w w:val="89"/>
              </w:rPr>
              <w:t>(000-15006)</w:t>
            </w:r>
          </w:p>
        </w:tc>
        <w:tc>
          <w:tcPr>
            <w:tcW w:w="16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20" w:type="dxa"/>
            <w:vAlign w:val="bottom"/>
          </w:tcPr>
          <w:p>
            <w:pPr>
              <w:spacing w:after="0"/>
              <w:rPr>
                <w:sz w:val="19"/>
                <w:szCs w:val="19"/>
                <w:color w:val="auto"/>
              </w:rPr>
            </w:pPr>
          </w:p>
        </w:tc>
      </w:tr>
      <w:tr>
        <w:trPr>
          <w:trHeight w:val="426"/>
        </w:trPr>
        <w:tc>
          <w:tcPr>
            <w:tcW w:w="1120" w:type="dxa"/>
            <w:vAlign w:val="bottom"/>
          </w:tcPr>
          <w:p>
            <w:pPr>
              <w:jc w:val="center"/>
              <w:spacing w:after="0"/>
              <w:rPr>
                <w:sz w:val="20"/>
                <w:szCs w:val="20"/>
                <w:color w:val="auto"/>
              </w:rPr>
            </w:pPr>
            <w:r>
              <w:rPr>
                <w:rFonts w:ascii="Arial" w:cs="Arial" w:eastAsia="Arial" w:hAnsi="Arial"/>
                <w:sz w:val="18"/>
                <w:szCs w:val="18"/>
                <w:color w:val="auto"/>
                <w:w w:val="89"/>
              </w:rPr>
              <w:t>10-Q</w:t>
            </w:r>
          </w:p>
        </w:tc>
        <w:tc>
          <w:tcPr>
            <w:tcW w:w="660" w:type="dxa"/>
            <w:vAlign w:val="bottom"/>
            <w:gridSpan w:val="2"/>
          </w:tcPr>
          <w:p>
            <w:pPr>
              <w:jc w:val="center"/>
              <w:ind w:left="72"/>
              <w:spacing w:after="0"/>
              <w:rPr>
                <w:sz w:val="20"/>
                <w:szCs w:val="20"/>
                <w:color w:val="auto"/>
              </w:rPr>
            </w:pPr>
            <w:r>
              <w:rPr>
                <w:rFonts w:ascii="Arial" w:cs="Arial" w:eastAsia="Arial" w:hAnsi="Arial"/>
                <w:sz w:val="18"/>
                <w:szCs w:val="18"/>
                <w:color w:val="auto"/>
                <w:w w:val="85"/>
              </w:rPr>
              <w:t>10.2</w:t>
            </w:r>
          </w:p>
        </w:tc>
        <w:tc>
          <w:tcPr>
            <w:tcW w:w="880" w:type="dxa"/>
            <w:vAlign w:val="bottom"/>
            <w:gridSpan w:val="2"/>
          </w:tcPr>
          <w:p>
            <w:pPr>
              <w:jc w:val="center"/>
              <w:ind w:left="52"/>
              <w:spacing w:after="0"/>
              <w:rPr>
                <w:sz w:val="20"/>
                <w:szCs w:val="20"/>
                <w:color w:val="auto"/>
              </w:rPr>
            </w:pPr>
            <w:r>
              <w:rPr>
                <w:rFonts w:ascii="Arial" w:cs="Arial" w:eastAsia="Arial" w:hAnsi="Arial"/>
                <w:sz w:val="18"/>
                <w:szCs w:val="18"/>
                <w:color w:val="auto"/>
                <w:w w:val="89"/>
              </w:rPr>
              <w:t>4/30/04</w:t>
            </w:r>
          </w:p>
        </w:tc>
      </w:tr>
      <w:tr>
        <w:trPr>
          <w:trHeight w:val="216"/>
        </w:trPr>
        <w:tc>
          <w:tcPr>
            <w:tcW w:w="1120" w:type="dxa"/>
            <w:vAlign w:val="bottom"/>
          </w:tcPr>
          <w:p>
            <w:pPr>
              <w:jc w:val="center"/>
              <w:spacing w:after="0"/>
              <w:rPr>
                <w:sz w:val="20"/>
                <w:szCs w:val="20"/>
                <w:color w:val="auto"/>
              </w:rPr>
            </w:pPr>
            <w:r>
              <w:rPr>
                <w:rFonts w:ascii="Arial" w:cs="Arial" w:eastAsia="Arial" w:hAnsi="Arial"/>
                <w:sz w:val="18"/>
                <w:szCs w:val="18"/>
                <w:color w:val="auto"/>
                <w:w w:val="89"/>
              </w:rPr>
              <w:t>(000-15006)</w:t>
            </w:r>
          </w:p>
        </w:tc>
        <w:tc>
          <w:tcPr>
            <w:tcW w:w="1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tcPr>
          <w:p>
            <w:pPr>
              <w:spacing w:after="0"/>
              <w:rPr>
                <w:sz w:val="18"/>
                <w:szCs w:val="18"/>
                <w:color w:val="auto"/>
              </w:rPr>
            </w:pPr>
          </w:p>
        </w:tc>
      </w:tr>
      <w:tr>
        <w:trPr>
          <w:trHeight w:val="216"/>
        </w:trPr>
        <w:tc>
          <w:tcPr>
            <w:tcW w:w="1120" w:type="dxa"/>
            <w:vAlign w:val="bottom"/>
          </w:tcPr>
          <w:p>
            <w:pPr>
              <w:jc w:val="center"/>
              <w:spacing w:after="0"/>
              <w:rPr>
                <w:sz w:val="20"/>
                <w:szCs w:val="20"/>
                <w:color w:val="auto"/>
              </w:rPr>
            </w:pPr>
            <w:r>
              <w:rPr>
                <w:rFonts w:ascii="Arial" w:cs="Arial" w:eastAsia="Arial" w:hAnsi="Arial"/>
                <w:sz w:val="18"/>
                <w:szCs w:val="18"/>
                <w:color w:val="auto"/>
                <w:w w:val="89"/>
              </w:rPr>
              <w:t>10-Q</w:t>
            </w:r>
          </w:p>
        </w:tc>
        <w:tc>
          <w:tcPr>
            <w:tcW w:w="660" w:type="dxa"/>
            <w:vAlign w:val="bottom"/>
            <w:gridSpan w:val="2"/>
          </w:tcPr>
          <w:p>
            <w:pPr>
              <w:jc w:val="center"/>
              <w:ind w:left="72"/>
              <w:spacing w:after="0"/>
              <w:rPr>
                <w:sz w:val="20"/>
                <w:szCs w:val="20"/>
                <w:color w:val="auto"/>
              </w:rPr>
            </w:pPr>
            <w:r>
              <w:rPr>
                <w:rFonts w:ascii="Arial" w:cs="Arial" w:eastAsia="Arial" w:hAnsi="Arial"/>
                <w:sz w:val="18"/>
                <w:szCs w:val="18"/>
                <w:color w:val="auto"/>
                <w:w w:val="85"/>
              </w:rPr>
              <w:t>10.3</w:t>
            </w:r>
          </w:p>
        </w:tc>
        <w:tc>
          <w:tcPr>
            <w:tcW w:w="880" w:type="dxa"/>
            <w:vAlign w:val="bottom"/>
            <w:gridSpan w:val="2"/>
          </w:tcPr>
          <w:p>
            <w:pPr>
              <w:jc w:val="center"/>
              <w:ind w:left="52"/>
              <w:spacing w:after="0"/>
              <w:rPr>
                <w:sz w:val="20"/>
                <w:szCs w:val="20"/>
                <w:color w:val="auto"/>
              </w:rPr>
            </w:pPr>
            <w:r>
              <w:rPr>
                <w:rFonts w:ascii="Arial" w:cs="Arial" w:eastAsia="Arial" w:hAnsi="Arial"/>
                <w:sz w:val="18"/>
                <w:szCs w:val="18"/>
                <w:color w:val="auto"/>
                <w:w w:val="89"/>
              </w:rPr>
              <w:t>4/30/04</w:t>
            </w:r>
          </w:p>
        </w:tc>
      </w:tr>
      <w:tr>
        <w:trPr>
          <w:trHeight w:val="222"/>
        </w:trPr>
        <w:tc>
          <w:tcPr>
            <w:tcW w:w="1120" w:type="dxa"/>
            <w:vAlign w:val="bottom"/>
          </w:tcPr>
          <w:p>
            <w:pPr>
              <w:jc w:val="center"/>
              <w:spacing w:after="0"/>
              <w:rPr>
                <w:sz w:val="20"/>
                <w:szCs w:val="20"/>
                <w:color w:val="auto"/>
              </w:rPr>
            </w:pPr>
            <w:r>
              <w:rPr>
                <w:rFonts w:ascii="Arial" w:cs="Arial" w:eastAsia="Arial" w:hAnsi="Arial"/>
                <w:sz w:val="18"/>
                <w:szCs w:val="18"/>
                <w:color w:val="auto"/>
                <w:w w:val="89"/>
              </w:rPr>
              <w:t>(000-15006)</w:t>
            </w:r>
          </w:p>
        </w:tc>
        <w:tc>
          <w:tcPr>
            <w:tcW w:w="16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20" w:type="dxa"/>
            <w:vAlign w:val="bottom"/>
          </w:tcPr>
          <w:p>
            <w:pPr>
              <w:spacing w:after="0"/>
              <w:rPr>
                <w:sz w:val="19"/>
                <w:szCs w:val="19"/>
                <w:color w:val="auto"/>
              </w:rPr>
            </w:pPr>
          </w:p>
        </w:tc>
      </w:tr>
      <w:tr>
        <w:trPr>
          <w:trHeight w:val="426"/>
        </w:trPr>
        <w:tc>
          <w:tcPr>
            <w:tcW w:w="1120" w:type="dxa"/>
            <w:vAlign w:val="bottom"/>
          </w:tcPr>
          <w:p>
            <w:pPr>
              <w:jc w:val="center"/>
              <w:spacing w:after="0"/>
              <w:rPr>
                <w:sz w:val="20"/>
                <w:szCs w:val="20"/>
                <w:color w:val="auto"/>
              </w:rPr>
            </w:pPr>
            <w:r>
              <w:rPr>
                <w:rFonts w:ascii="Arial" w:cs="Arial" w:eastAsia="Arial" w:hAnsi="Arial"/>
                <w:sz w:val="18"/>
                <w:szCs w:val="18"/>
                <w:color w:val="auto"/>
                <w:w w:val="98"/>
              </w:rPr>
              <w:t>10-K/A</w:t>
            </w:r>
          </w:p>
        </w:tc>
        <w:tc>
          <w:tcPr>
            <w:tcW w:w="660" w:type="dxa"/>
            <w:vAlign w:val="bottom"/>
            <w:gridSpan w:val="2"/>
          </w:tcPr>
          <w:p>
            <w:pPr>
              <w:jc w:val="center"/>
              <w:ind w:left="72"/>
              <w:spacing w:after="0"/>
              <w:rPr>
                <w:sz w:val="20"/>
                <w:szCs w:val="20"/>
                <w:color w:val="auto"/>
              </w:rPr>
            </w:pPr>
            <w:r>
              <w:rPr>
                <w:rFonts w:ascii="Arial" w:cs="Arial" w:eastAsia="Arial" w:hAnsi="Arial"/>
                <w:sz w:val="18"/>
                <w:szCs w:val="18"/>
                <w:color w:val="auto"/>
                <w:w w:val="85"/>
              </w:rPr>
              <w:t>10.2</w:t>
            </w:r>
          </w:p>
        </w:tc>
        <w:tc>
          <w:tcPr>
            <w:tcW w:w="880" w:type="dxa"/>
            <w:vAlign w:val="bottom"/>
            <w:gridSpan w:val="2"/>
          </w:tcPr>
          <w:p>
            <w:pPr>
              <w:jc w:val="center"/>
              <w:ind w:left="52"/>
              <w:spacing w:after="0"/>
              <w:rPr>
                <w:sz w:val="20"/>
                <w:szCs w:val="20"/>
                <w:color w:val="auto"/>
              </w:rPr>
            </w:pPr>
            <w:r>
              <w:rPr>
                <w:rFonts w:ascii="Arial" w:cs="Arial" w:eastAsia="Arial" w:hAnsi="Arial"/>
                <w:sz w:val="18"/>
                <w:szCs w:val="18"/>
                <w:color w:val="auto"/>
                <w:w w:val="88"/>
              </w:rPr>
              <w:t>12/23/10</w:t>
            </w:r>
          </w:p>
        </w:tc>
      </w:tr>
      <w:tr>
        <w:trPr>
          <w:trHeight w:val="216"/>
        </w:trPr>
        <w:tc>
          <w:tcPr>
            <w:tcW w:w="1120" w:type="dxa"/>
            <w:vAlign w:val="bottom"/>
          </w:tcPr>
          <w:p>
            <w:pPr>
              <w:jc w:val="center"/>
              <w:spacing w:after="0"/>
              <w:rPr>
                <w:sz w:val="20"/>
                <w:szCs w:val="20"/>
                <w:color w:val="auto"/>
              </w:rPr>
            </w:pPr>
            <w:r>
              <w:rPr>
                <w:rFonts w:ascii="Arial" w:cs="Arial" w:eastAsia="Arial" w:hAnsi="Arial"/>
                <w:sz w:val="18"/>
                <w:szCs w:val="18"/>
                <w:color w:val="auto"/>
                <w:w w:val="89"/>
              </w:rPr>
              <w:t>(000-15006)</w:t>
            </w:r>
          </w:p>
        </w:tc>
        <w:tc>
          <w:tcPr>
            <w:tcW w:w="1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tcPr>
          <w:p>
            <w:pPr>
              <w:spacing w:after="0"/>
              <w:rPr>
                <w:sz w:val="18"/>
                <w:szCs w:val="18"/>
                <w:color w:val="auto"/>
              </w:rPr>
            </w:pPr>
          </w:p>
        </w:tc>
      </w:tr>
      <w:tr>
        <w:trPr>
          <w:trHeight w:val="216"/>
        </w:trPr>
        <w:tc>
          <w:tcPr>
            <w:tcW w:w="1120" w:type="dxa"/>
            <w:vAlign w:val="bottom"/>
          </w:tcPr>
          <w:p>
            <w:pPr>
              <w:jc w:val="center"/>
              <w:spacing w:after="0"/>
              <w:rPr>
                <w:sz w:val="20"/>
                <w:szCs w:val="20"/>
                <w:color w:val="auto"/>
              </w:rPr>
            </w:pPr>
            <w:r>
              <w:rPr>
                <w:rFonts w:ascii="Arial" w:cs="Arial" w:eastAsia="Arial" w:hAnsi="Arial"/>
                <w:sz w:val="18"/>
                <w:szCs w:val="18"/>
                <w:color w:val="auto"/>
                <w:w w:val="98"/>
              </w:rPr>
              <w:t>10-K/A</w:t>
            </w:r>
          </w:p>
        </w:tc>
        <w:tc>
          <w:tcPr>
            <w:tcW w:w="660" w:type="dxa"/>
            <w:vAlign w:val="bottom"/>
            <w:gridSpan w:val="2"/>
          </w:tcPr>
          <w:p>
            <w:pPr>
              <w:jc w:val="center"/>
              <w:ind w:left="72"/>
              <w:spacing w:after="0"/>
              <w:rPr>
                <w:sz w:val="20"/>
                <w:szCs w:val="20"/>
                <w:color w:val="auto"/>
              </w:rPr>
            </w:pPr>
            <w:r>
              <w:rPr>
                <w:rFonts w:ascii="Arial" w:cs="Arial" w:eastAsia="Arial" w:hAnsi="Arial"/>
                <w:sz w:val="18"/>
                <w:szCs w:val="18"/>
                <w:color w:val="auto"/>
                <w:w w:val="85"/>
              </w:rPr>
              <w:t>10.3</w:t>
            </w:r>
          </w:p>
        </w:tc>
        <w:tc>
          <w:tcPr>
            <w:tcW w:w="880" w:type="dxa"/>
            <w:vAlign w:val="bottom"/>
            <w:gridSpan w:val="2"/>
          </w:tcPr>
          <w:p>
            <w:pPr>
              <w:jc w:val="center"/>
              <w:ind w:left="52"/>
              <w:spacing w:after="0"/>
              <w:rPr>
                <w:sz w:val="20"/>
                <w:szCs w:val="20"/>
                <w:color w:val="auto"/>
              </w:rPr>
            </w:pPr>
            <w:r>
              <w:rPr>
                <w:rFonts w:ascii="Arial" w:cs="Arial" w:eastAsia="Arial" w:hAnsi="Arial"/>
                <w:sz w:val="18"/>
                <w:szCs w:val="18"/>
                <w:color w:val="auto"/>
                <w:w w:val="88"/>
              </w:rPr>
              <w:t>12/23/10</w:t>
            </w:r>
          </w:p>
        </w:tc>
      </w:tr>
      <w:tr>
        <w:trPr>
          <w:trHeight w:val="216"/>
        </w:trPr>
        <w:tc>
          <w:tcPr>
            <w:tcW w:w="1120" w:type="dxa"/>
            <w:vAlign w:val="bottom"/>
          </w:tcPr>
          <w:p>
            <w:pPr>
              <w:jc w:val="center"/>
              <w:spacing w:after="0"/>
              <w:rPr>
                <w:sz w:val="20"/>
                <w:szCs w:val="20"/>
                <w:color w:val="auto"/>
              </w:rPr>
            </w:pPr>
            <w:r>
              <w:rPr>
                <w:rFonts w:ascii="Arial" w:cs="Arial" w:eastAsia="Arial" w:hAnsi="Arial"/>
                <w:sz w:val="18"/>
                <w:szCs w:val="18"/>
                <w:color w:val="auto"/>
                <w:w w:val="89"/>
              </w:rPr>
              <w:t>(000-15006)</w:t>
            </w:r>
          </w:p>
        </w:tc>
        <w:tc>
          <w:tcPr>
            <w:tcW w:w="1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tcPr>
          <w:p>
            <w:pPr>
              <w:spacing w:after="0"/>
              <w:rPr>
                <w:sz w:val="18"/>
                <w:szCs w:val="18"/>
                <w:color w:val="auto"/>
              </w:rPr>
            </w:pPr>
          </w:p>
        </w:tc>
      </w:tr>
      <w:tr>
        <w:trPr>
          <w:trHeight w:val="216"/>
        </w:trPr>
        <w:tc>
          <w:tcPr>
            <w:tcW w:w="1120" w:type="dxa"/>
            <w:vAlign w:val="bottom"/>
          </w:tcPr>
          <w:p>
            <w:pPr>
              <w:jc w:val="center"/>
              <w:spacing w:after="0"/>
              <w:rPr>
                <w:sz w:val="20"/>
                <w:szCs w:val="20"/>
                <w:color w:val="auto"/>
              </w:rPr>
            </w:pPr>
            <w:r>
              <w:rPr>
                <w:rFonts w:ascii="Arial" w:cs="Arial" w:eastAsia="Arial" w:hAnsi="Arial"/>
                <w:sz w:val="18"/>
                <w:szCs w:val="18"/>
                <w:color w:val="auto"/>
                <w:w w:val="98"/>
              </w:rPr>
              <w:t>10-K/A</w:t>
            </w:r>
          </w:p>
        </w:tc>
        <w:tc>
          <w:tcPr>
            <w:tcW w:w="660" w:type="dxa"/>
            <w:vAlign w:val="bottom"/>
            <w:gridSpan w:val="2"/>
          </w:tcPr>
          <w:p>
            <w:pPr>
              <w:jc w:val="center"/>
              <w:ind w:left="72"/>
              <w:spacing w:after="0"/>
              <w:rPr>
                <w:sz w:val="20"/>
                <w:szCs w:val="20"/>
                <w:color w:val="auto"/>
              </w:rPr>
            </w:pPr>
            <w:r>
              <w:rPr>
                <w:rFonts w:ascii="Arial" w:cs="Arial" w:eastAsia="Arial" w:hAnsi="Arial"/>
                <w:sz w:val="18"/>
                <w:szCs w:val="18"/>
                <w:color w:val="auto"/>
                <w:w w:val="85"/>
              </w:rPr>
              <w:t>10.4</w:t>
            </w:r>
          </w:p>
        </w:tc>
        <w:tc>
          <w:tcPr>
            <w:tcW w:w="880" w:type="dxa"/>
            <w:vAlign w:val="bottom"/>
            <w:gridSpan w:val="2"/>
          </w:tcPr>
          <w:p>
            <w:pPr>
              <w:jc w:val="center"/>
              <w:ind w:left="52"/>
              <w:spacing w:after="0"/>
              <w:rPr>
                <w:sz w:val="20"/>
                <w:szCs w:val="20"/>
                <w:color w:val="auto"/>
              </w:rPr>
            </w:pPr>
            <w:r>
              <w:rPr>
                <w:rFonts w:ascii="Arial" w:cs="Arial" w:eastAsia="Arial" w:hAnsi="Arial"/>
                <w:sz w:val="18"/>
                <w:szCs w:val="18"/>
                <w:color w:val="auto"/>
                <w:w w:val="88"/>
              </w:rPr>
              <w:t>12/23/10</w:t>
            </w:r>
          </w:p>
        </w:tc>
      </w:tr>
      <w:tr>
        <w:trPr>
          <w:trHeight w:val="216"/>
        </w:trPr>
        <w:tc>
          <w:tcPr>
            <w:tcW w:w="1120" w:type="dxa"/>
            <w:vAlign w:val="bottom"/>
          </w:tcPr>
          <w:p>
            <w:pPr>
              <w:jc w:val="center"/>
              <w:spacing w:after="0"/>
              <w:rPr>
                <w:sz w:val="20"/>
                <w:szCs w:val="20"/>
                <w:color w:val="auto"/>
              </w:rPr>
            </w:pPr>
            <w:r>
              <w:rPr>
                <w:rFonts w:ascii="Arial" w:cs="Arial" w:eastAsia="Arial" w:hAnsi="Arial"/>
                <w:sz w:val="18"/>
                <w:szCs w:val="18"/>
                <w:color w:val="auto"/>
                <w:w w:val="89"/>
              </w:rPr>
              <w:t>(000-15006)</w:t>
            </w:r>
          </w:p>
        </w:tc>
        <w:tc>
          <w:tcPr>
            <w:tcW w:w="1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tcPr>
          <w:p>
            <w:pPr>
              <w:spacing w:after="0"/>
              <w:rPr>
                <w:sz w:val="18"/>
                <w:szCs w:val="18"/>
                <w:color w:val="auto"/>
              </w:rPr>
            </w:pPr>
          </w:p>
        </w:tc>
      </w:tr>
      <w:tr>
        <w:trPr>
          <w:trHeight w:val="216"/>
        </w:trPr>
        <w:tc>
          <w:tcPr>
            <w:tcW w:w="1120" w:type="dxa"/>
            <w:vAlign w:val="bottom"/>
          </w:tcPr>
          <w:p>
            <w:pPr>
              <w:jc w:val="center"/>
              <w:spacing w:after="0"/>
              <w:rPr>
                <w:sz w:val="20"/>
                <w:szCs w:val="20"/>
                <w:color w:val="auto"/>
              </w:rPr>
            </w:pPr>
            <w:r>
              <w:rPr>
                <w:rFonts w:ascii="Arial" w:cs="Arial" w:eastAsia="Arial" w:hAnsi="Arial"/>
                <w:sz w:val="18"/>
                <w:szCs w:val="18"/>
                <w:color w:val="auto"/>
                <w:w w:val="89"/>
              </w:rPr>
              <w:t>10-Q</w:t>
            </w:r>
          </w:p>
        </w:tc>
        <w:tc>
          <w:tcPr>
            <w:tcW w:w="660" w:type="dxa"/>
            <w:vAlign w:val="bottom"/>
            <w:gridSpan w:val="2"/>
          </w:tcPr>
          <w:p>
            <w:pPr>
              <w:jc w:val="center"/>
              <w:ind w:left="72"/>
              <w:spacing w:after="0"/>
              <w:rPr>
                <w:sz w:val="20"/>
                <w:szCs w:val="20"/>
                <w:color w:val="auto"/>
              </w:rPr>
            </w:pPr>
            <w:r>
              <w:rPr>
                <w:rFonts w:ascii="Arial" w:cs="Arial" w:eastAsia="Arial" w:hAnsi="Arial"/>
                <w:sz w:val="18"/>
                <w:szCs w:val="18"/>
                <w:color w:val="auto"/>
                <w:w w:val="85"/>
              </w:rPr>
              <w:t>10.2</w:t>
            </w:r>
          </w:p>
        </w:tc>
        <w:tc>
          <w:tcPr>
            <w:tcW w:w="880" w:type="dxa"/>
            <w:vAlign w:val="bottom"/>
            <w:gridSpan w:val="2"/>
          </w:tcPr>
          <w:p>
            <w:pPr>
              <w:jc w:val="center"/>
              <w:ind w:left="52"/>
              <w:spacing w:after="0"/>
              <w:rPr>
                <w:sz w:val="20"/>
                <w:szCs w:val="20"/>
                <w:color w:val="auto"/>
              </w:rPr>
            </w:pPr>
            <w:r>
              <w:rPr>
                <w:rFonts w:ascii="Arial" w:cs="Arial" w:eastAsia="Arial" w:hAnsi="Arial"/>
                <w:sz w:val="18"/>
                <w:szCs w:val="18"/>
                <w:color w:val="auto"/>
                <w:w w:val="89"/>
              </w:rPr>
              <w:t>8/11/08</w:t>
            </w:r>
          </w:p>
        </w:tc>
      </w:tr>
      <w:tr>
        <w:trPr>
          <w:trHeight w:val="216"/>
        </w:trPr>
        <w:tc>
          <w:tcPr>
            <w:tcW w:w="1120" w:type="dxa"/>
            <w:vAlign w:val="bottom"/>
          </w:tcPr>
          <w:p>
            <w:pPr>
              <w:jc w:val="center"/>
              <w:spacing w:after="0"/>
              <w:rPr>
                <w:sz w:val="20"/>
                <w:szCs w:val="20"/>
                <w:color w:val="auto"/>
              </w:rPr>
            </w:pPr>
            <w:r>
              <w:rPr>
                <w:rFonts w:ascii="Arial" w:cs="Arial" w:eastAsia="Arial" w:hAnsi="Arial"/>
                <w:sz w:val="18"/>
                <w:szCs w:val="18"/>
                <w:color w:val="auto"/>
                <w:w w:val="89"/>
              </w:rPr>
              <w:t>(000-15006)</w:t>
            </w:r>
          </w:p>
        </w:tc>
        <w:tc>
          <w:tcPr>
            <w:tcW w:w="1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tcPr>
          <w:p>
            <w:pPr>
              <w:spacing w:after="0"/>
              <w:rPr>
                <w:sz w:val="18"/>
                <w:szCs w:val="18"/>
                <w:color w:val="auto"/>
              </w:rPr>
            </w:pPr>
          </w:p>
        </w:tc>
      </w:tr>
      <w:tr>
        <w:trPr>
          <w:trHeight w:val="216"/>
        </w:trPr>
        <w:tc>
          <w:tcPr>
            <w:tcW w:w="1120" w:type="dxa"/>
            <w:vAlign w:val="bottom"/>
          </w:tcPr>
          <w:p>
            <w:pPr>
              <w:jc w:val="center"/>
              <w:spacing w:after="0"/>
              <w:rPr>
                <w:sz w:val="20"/>
                <w:szCs w:val="20"/>
                <w:color w:val="auto"/>
              </w:rPr>
            </w:pPr>
            <w:r>
              <w:rPr>
                <w:rFonts w:ascii="Arial" w:cs="Arial" w:eastAsia="Arial" w:hAnsi="Arial"/>
                <w:sz w:val="18"/>
                <w:szCs w:val="18"/>
                <w:color w:val="auto"/>
                <w:w w:val="92"/>
              </w:rPr>
              <w:t>8-K</w:t>
            </w:r>
          </w:p>
        </w:tc>
        <w:tc>
          <w:tcPr>
            <w:tcW w:w="660" w:type="dxa"/>
            <w:vAlign w:val="bottom"/>
            <w:gridSpan w:val="2"/>
          </w:tcPr>
          <w:p>
            <w:pPr>
              <w:jc w:val="center"/>
              <w:ind w:left="52"/>
              <w:spacing w:after="0"/>
              <w:rPr>
                <w:sz w:val="20"/>
                <w:szCs w:val="20"/>
                <w:color w:val="auto"/>
              </w:rPr>
            </w:pPr>
            <w:r>
              <w:rPr>
                <w:rFonts w:ascii="Arial" w:cs="Arial" w:eastAsia="Arial" w:hAnsi="Arial"/>
                <w:sz w:val="18"/>
                <w:szCs w:val="18"/>
                <w:color w:val="auto"/>
                <w:w w:val="87"/>
              </w:rPr>
              <w:t>10.1.1</w:t>
            </w:r>
          </w:p>
        </w:tc>
        <w:tc>
          <w:tcPr>
            <w:tcW w:w="880" w:type="dxa"/>
            <w:vAlign w:val="bottom"/>
            <w:gridSpan w:val="2"/>
          </w:tcPr>
          <w:p>
            <w:pPr>
              <w:jc w:val="center"/>
              <w:ind w:left="72"/>
              <w:spacing w:after="0"/>
              <w:rPr>
                <w:sz w:val="20"/>
                <w:szCs w:val="20"/>
                <w:color w:val="auto"/>
              </w:rPr>
            </w:pPr>
            <w:r>
              <w:rPr>
                <w:rFonts w:ascii="Arial" w:cs="Arial" w:eastAsia="Arial" w:hAnsi="Arial"/>
                <w:sz w:val="18"/>
                <w:szCs w:val="18"/>
                <w:color w:val="auto"/>
                <w:w w:val="87"/>
              </w:rPr>
              <w:t>1/6/11</w:t>
            </w:r>
          </w:p>
        </w:tc>
      </w:tr>
      <w:tr>
        <w:trPr>
          <w:trHeight w:val="222"/>
        </w:trPr>
        <w:tc>
          <w:tcPr>
            <w:tcW w:w="1120" w:type="dxa"/>
            <w:vAlign w:val="bottom"/>
          </w:tcPr>
          <w:p>
            <w:pPr>
              <w:jc w:val="center"/>
              <w:spacing w:after="0"/>
              <w:rPr>
                <w:sz w:val="20"/>
                <w:szCs w:val="20"/>
                <w:color w:val="auto"/>
              </w:rPr>
            </w:pPr>
            <w:r>
              <w:rPr>
                <w:rFonts w:ascii="Arial" w:cs="Arial" w:eastAsia="Arial" w:hAnsi="Arial"/>
                <w:sz w:val="18"/>
                <w:szCs w:val="18"/>
                <w:color w:val="auto"/>
                <w:w w:val="89"/>
              </w:rPr>
              <w:t>(000-15006)</w:t>
            </w:r>
          </w:p>
        </w:tc>
        <w:tc>
          <w:tcPr>
            <w:tcW w:w="16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20" w:type="dxa"/>
            <w:vAlign w:val="bottom"/>
          </w:tcPr>
          <w:p>
            <w:pPr>
              <w:spacing w:after="0"/>
              <w:rPr>
                <w:sz w:val="19"/>
                <w:szCs w:val="19"/>
                <w:color w:val="auto"/>
              </w:rPr>
            </w:pPr>
          </w:p>
        </w:tc>
      </w:tr>
      <w:tr>
        <w:trPr>
          <w:trHeight w:val="426"/>
        </w:trPr>
        <w:tc>
          <w:tcPr>
            <w:tcW w:w="1120" w:type="dxa"/>
            <w:vAlign w:val="bottom"/>
          </w:tcPr>
          <w:p>
            <w:pPr>
              <w:jc w:val="center"/>
              <w:spacing w:after="0"/>
              <w:rPr>
                <w:sz w:val="20"/>
                <w:szCs w:val="20"/>
                <w:color w:val="auto"/>
              </w:rPr>
            </w:pPr>
            <w:r>
              <w:rPr>
                <w:rFonts w:ascii="Arial" w:cs="Arial" w:eastAsia="Arial" w:hAnsi="Arial"/>
                <w:sz w:val="18"/>
                <w:szCs w:val="18"/>
                <w:color w:val="auto"/>
                <w:w w:val="92"/>
              </w:rPr>
              <w:t>8-K</w:t>
            </w:r>
          </w:p>
        </w:tc>
        <w:tc>
          <w:tcPr>
            <w:tcW w:w="660" w:type="dxa"/>
            <w:vAlign w:val="bottom"/>
            <w:gridSpan w:val="2"/>
          </w:tcPr>
          <w:p>
            <w:pPr>
              <w:jc w:val="center"/>
              <w:ind w:left="52"/>
              <w:spacing w:after="0"/>
              <w:rPr>
                <w:sz w:val="20"/>
                <w:szCs w:val="20"/>
                <w:color w:val="auto"/>
              </w:rPr>
            </w:pPr>
            <w:r>
              <w:rPr>
                <w:rFonts w:ascii="Arial" w:cs="Arial" w:eastAsia="Arial" w:hAnsi="Arial"/>
                <w:sz w:val="18"/>
                <w:szCs w:val="18"/>
                <w:color w:val="auto"/>
                <w:w w:val="87"/>
              </w:rPr>
              <w:t>10.1.2</w:t>
            </w:r>
          </w:p>
        </w:tc>
        <w:tc>
          <w:tcPr>
            <w:tcW w:w="880" w:type="dxa"/>
            <w:vAlign w:val="bottom"/>
            <w:gridSpan w:val="2"/>
          </w:tcPr>
          <w:p>
            <w:pPr>
              <w:jc w:val="center"/>
              <w:ind w:left="72"/>
              <w:spacing w:after="0"/>
              <w:rPr>
                <w:sz w:val="20"/>
                <w:szCs w:val="20"/>
                <w:color w:val="auto"/>
              </w:rPr>
            </w:pPr>
            <w:r>
              <w:rPr>
                <w:rFonts w:ascii="Arial" w:cs="Arial" w:eastAsia="Arial" w:hAnsi="Arial"/>
                <w:sz w:val="18"/>
                <w:szCs w:val="18"/>
                <w:color w:val="auto"/>
                <w:w w:val="87"/>
              </w:rPr>
              <w:t>1/6/11</w:t>
            </w:r>
          </w:p>
        </w:tc>
      </w:tr>
      <w:tr>
        <w:trPr>
          <w:trHeight w:val="216"/>
        </w:trPr>
        <w:tc>
          <w:tcPr>
            <w:tcW w:w="1120" w:type="dxa"/>
            <w:vAlign w:val="bottom"/>
          </w:tcPr>
          <w:p>
            <w:pPr>
              <w:jc w:val="center"/>
              <w:spacing w:after="0"/>
              <w:rPr>
                <w:sz w:val="20"/>
                <w:szCs w:val="20"/>
                <w:color w:val="auto"/>
              </w:rPr>
            </w:pPr>
            <w:r>
              <w:rPr>
                <w:rFonts w:ascii="Arial" w:cs="Arial" w:eastAsia="Arial" w:hAnsi="Arial"/>
                <w:sz w:val="18"/>
                <w:szCs w:val="18"/>
                <w:color w:val="auto"/>
                <w:w w:val="89"/>
              </w:rPr>
              <w:t>(000-15006)</w:t>
            </w:r>
          </w:p>
        </w:tc>
        <w:tc>
          <w:tcPr>
            <w:tcW w:w="1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tcPr>
          <w:p>
            <w:pPr>
              <w:spacing w:after="0"/>
              <w:rPr>
                <w:sz w:val="18"/>
                <w:szCs w:val="18"/>
                <w:color w:val="auto"/>
              </w:rPr>
            </w:pPr>
          </w:p>
        </w:tc>
      </w:tr>
      <w:tr>
        <w:trPr>
          <w:trHeight w:val="222"/>
        </w:trPr>
        <w:tc>
          <w:tcPr>
            <w:tcW w:w="1120" w:type="dxa"/>
            <w:vAlign w:val="bottom"/>
          </w:tcPr>
          <w:p>
            <w:pPr>
              <w:jc w:val="center"/>
              <w:spacing w:after="0"/>
              <w:rPr>
                <w:sz w:val="20"/>
                <w:szCs w:val="20"/>
                <w:color w:val="auto"/>
              </w:rPr>
            </w:pPr>
            <w:r>
              <w:rPr>
                <w:rFonts w:ascii="Arial" w:cs="Arial" w:eastAsia="Arial" w:hAnsi="Arial"/>
                <w:sz w:val="18"/>
                <w:szCs w:val="18"/>
                <w:color w:val="auto"/>
                <w:w w:val="91"/>
              </w:rPr>
              <w:t>Filed herewith</w:t>
            </w:r>
          </w:p>
        </w:tc>
        <w:tc>
          <w:tcPr>
            <w:tcW w:w="16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20" w:type="dxa"/>
            <w:vAlign w:val="bottom"/>
          </w:tcPr>
          <w:p>
            <w:pPr>
              <w:spacing w:after="0"/>
              <w:rPr>
                <w:sz w:val="19"/>
                <w:szCs w:val="19"/>
                <w:color w:val="auto"/>
              </w:rPr>
            </w:pPr>
          </w:p>
        </w:tc>
      </w:tr>
    </w:tbl>
    <w:p>
      <w:pPr>
        <w:sectPr>
          <w:pgSz w:w="11900" w:h="16838" w:orient="portrait"/>
          <w:cols w:equalWidth="0" w:num="2">
            <w:col w:w="7400" w:space="220"/>
            <w:col w:w="2660"/>
          </w:cols>
          <w:pgMar w:left="240" w:top="131" w:right="1379" w:bottom="1440" w:gutter="0" w:footer="0" w:header="0"/>
        </w:sectPr>
      </w:pPr>
    </w:p>
    <w:bookmarkStart w:id="111" w:name="page112"/>
    <w:bookmarkEnd w:id="111"/>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7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1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48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240" w:type="dxa"/>
            <w:vAlign w:val="bottom"/>
            <w:tcBorders>
              <w:bottom w:val="single" w:sz="8" w:color="auto"/>
            </w:tcBorders>
            <w:gridSpan w:val="5"/>
          </w:tcPr>
          <w:p>
            <w:pPr>
              <w:jc w:val="center"/>
              <w:spacing w:after="0"/>
              <w:rPr>
                <w:sz w:val="20"/>
                <w:szCs w:val="20"/>
                <w:color w:val="auto"/>
              </w:rPr>
            </w:pPr>
            <w:r>
              <w:rPr>
                <w:rFonts w:ascii="Arial" w:cs="Arial" w:eastAsia="Arial" w:hAnsi="Arial"/>
                <w:sz w:val="14"/>
                <w:szCs w:val="14"/>
                <w:b w:val="1"/>
                <w:bCs w:val="1"/>
                <w:color w:val="auto"/>
                <w:w w:val="87"/>
              </w:rPr>
              <w:t>Incorporated by Reference to</w:t>
            </w:r>
          </w:p>
        </w:tc>
        <w:tc>
          <w:tcPr>
            <w:tcW w:w="0" w:type="dxa"/>
            <w:vAlign w:val="bottom"/>
          </w:tcPr>
          <w:p>
            <w:pPr>
              <w:spacing w:after="0"/>
              <w:rPr>
                <w:sz w:val="1"/>
                <w:szCs w:val="1"/>
                <w:color w:val="auto"/>
              </w:rPr>
            </w:pPr>
          </w:p>
        </w:tc>
      </w:tr>
      <w:tr>
        <w:trPr>
          <w:trHeight w:val="129"/>
        </w:trPr>
        <w:tc>
          <w:tcPr>
            <w:tcW w:w="11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48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00" w:type="dxa"/>
            <w:vAlign w:val="bottom"/>
          </w:tcPr>
          <w:p>
            <w:pPr>
              <w:jc w:val="center"/>
              <w:spacing w:after="0" w:line="129" w:lineRule="exact"/>
              <w:rPr>
                <w:sz w:val="20"/>
                <w:szCs w:val="20"/>
                <w:color w:val="auto"/>
              </w:rPr>
            </w:pPr>
            <w:r>
              <w:rPr>
                <w:rFonts w:ascii="Arial" w:cs="Arial" w:eastAsia="Arial" w:hAnsi="Arial"/>
                <w:sz w:val="14"/>
                <w:szCs w:val="14"/>
                <w:b w:val="1"/>
                <w:bCs w:val="1"/>
                <w:color w:val="auto"/>
                <w:w w:val="90"/>
              </w:rPr>
              <w:t>Form and</w:t>
            </w:r>
          </w:p>
        </w:tc>
        <w:tc>
          <w:tcPr>
            <w:tcW w:w="1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11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48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7"/>
              </w:rPr>
              <w:t>SEC File</w:t>
            </w:r>
          </w:p>
        </w:tc>
        <w:tc>
          <w:tcPr>
            <w:tcW w:w="160" w:type="dxa"/>
            <w:vAlign w:val="bottom"/>
          </w:tcPr>
          <w:p>
            <w:pPr>
              <w:spacing w:after="0"/>
              <w:rPr>
                <w:sz w:val="12"/>
                <w:szCs w:val="12"/>
                <w:color w:val="auto"/>
              </w:rPr>
            </w:pPr>
          </w:p>
        </w:tc>
        <w:tc>
          <w:tcPr>
            <w:tcW w:w="5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9"/>
              </w:rPr>
              <w:t>Exhibit</w:t>
            </w:r>
          </w:p>
        </w:tc>
        <w:tc>
          <w:tcPr>
            <w:tcW w:w="160" w:type="dxa"/>
            <w:vAlign w:val="bottom"/>
          </w:tcPr>
          <w:p>
            <w:pPr>
              <w:spacing w:after="0"/>
              <w:rPr>
                <w:sz w:val="12"/>
                <w:szCs w:val="12"/>
                <w:color w:val="auto"/>
              </w:rPr>
            </w:pPr>
          </w:p>
        </w:tc>
        <w:tc>
          <w:tcPr>
            <w:tcW w:w="7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0"/>
              </w:rPr>
              <w:t>SEC</w:t>
            </w:r>
          </w:p>
        </w:tc>
        <w:tc>
          <w:tcPr>
            <w:tcW w:w="0" w:type="dxa"/>
            <w:vAlign w:val="bottom"/>
          </w:tcPr>
          <w:p>
            <w:pPr>
              <w:spacing w:after="0"/>
              <w:rPr>
                <w:sz w:val="1"/>
                <w:szCs w:val="1"/>
                <w:color w:val="auto"/>
              </w:rPr>
            </w:pPr>
          </w:p>
        </w:tc>
      </w:tr>
      <w:tr>
        <w:trPr>
          <w:trHeight w:val="161"/>
        </w:trPr>
        <w:tc>
          <w:tcPr>
            <w:tcW w:w="1160" w:type="dxa"/>
            <w:vAlign w:val="bottom"/>
          </w:tcPr>
          <w:p>
            <w:pPr>
              <w:spacing w:after="0"/>
              <w:rPr>
                <w:sz w:val="14"/>
                <w:szCs w:val="14"/>
                <w:color w:val="auto"/>
              </w:rPr>
            </w:pPr>
          </w:p>
        </w:tc>
        <w:tc>
          <w:tcPr>
            <w:tcW w:w="620" w:type="dxa"/>
            <w:vAlign w:val="bottom"/>
            <w:tcBorders>
              <w:bottom w:val="single" w:sz="8" w:color="auto"/>
            </w:tcBorders>
          </w:tcPr>
          <w:p>
            <w:pPr>
              <w:jc w:val="right"/>
              <w:ind w:right="134"/>
              <w:spacing w:after="0"/>
              <w:rPr>
                <w:sz w:val="20"/>
                <w:szCs w:val="20"/>
                <w:color w:val="auto"/>
              </w:rPr>
            </w:pPr>
            <w:r>
              <w:rPr>
                <w:rFonts w:ascii="Arial" w:cs="Arial" w:eastAsia="Arial" w:hAnsi="Arial"/>
                <w:sz w:val="14"/>
                <w:szCs w:val="14"/>
                <w:b w:val="1"/>
                <w:bCs w:val="1"/>
                <w:color w:val="auto"/>
              </w:rPr>
              <w:t>No.</w:t>
            </w:r>
          </w:p>
        </w:tc>
        <w:tc>
          <w:tcPr>
            <w:tcW w:w="160" w:type="dxa"/>
            <w:vAlign w:val="bottom"/>
          </w:tcPr>
          <w:p>
            <w:pPr>
              <w:spacing w:after="0"/>
              <w:rPr>
                <w:sz w:val="14"/>
                <w:szCs w:val="14"/>
                <w:color w:val="auto"/>
              </w:rPr>
            </w:pPr>
          </w:p>
        </w:tc>
        <w:tc>
          <w:tcPr>
            <w:tcW w:w="1060" w:type="dxa"/>
            <w:vAlign w:val="bottom"/>
            <w:tcBorders>
              <w:bottom w:val="single" w:sz="8" w:color="auto"/>
            </w:tcBorders>
          </w:tcPr>
          <w:p>
            <w:pPr>
              <w:spacing w:after="0"/>
              <w:rPr>
                <w:sz w:val="14"/>
                <w:szCs w:val="14"/>
                <w:color w:val="auto"/>
              </w:rPr>
            </w:pPr>
          </w:p>
        </w:tc>
        <w:tc>
          <w:tcPr>
            <w:tcW w:w="4880" w:type="dxa"/>
            <w:vAlign w:val="bottom"/>
            <w:tcBorders>
              <w:bottom w:val="single" w:sz="8" w:color="auto"/>
            </w:tcBorders>
          </w:tcPr>
          <w:p>
            <w:pPr>
              <w:ind w:left="1560"/>
              <w:spacing w:after="0"/>
              <w:rPr>
                <w:sz w:val="20"/>
                <w:szCs w:val="20"/>
                <w:color w:val="auto"/>
              </w:rPr>
            </w:pPr>
            <w:r>
              <w:rPr>
                <w:rFonts w:ascii="Arial" w:cs="Arial" w:eastAsia="Arial" w:hAnsi="Arial"/>
                <w:sz w:val="14"/>
                <w:szCs w:val="14"/>
                <w:b w:val="1"/>
                <w:bCs w:val="1"/>
                <w:color w:val="auto"/>
              </w:rPr>
              <w:t>Description</w:t>
            </w:r>
          </w:p>
        </w:tc>
        <w:tc>
          <w:tcPr>
            <w:tcW w:w="160" w:type="dxa"/>
            <w:vAlign w:val="bottom"/>
          </w:tcPr>
          <w:p>
            <w:pPr>
              <w:spacing w:after="0"/>
              <w:rPr>
                <w:sz w:val="14"/>
                <w:szCs w:val="14"/>
                <w:color w:val="auto"/>
              </w:rPr>
            </w:pPr>
          </w:p>
        </w:tc>
        <w:tc>
          <w:tcPr>
            <w:tcW w:w="7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8"/>
              </w:rPr>
              <w:t>No.</w:t>
            </w:r>
          </w:p>
        </w:tc>
        <w:tc>
          <w:tcPr>
            <w:tcW w:w="160" w:type="dxa"/>
            <w:vAlign w:val="bottom"/>
          </w:tcPr>
          <w:p>
            <w:pPr>
              <w:spacing w:after="0"/>
              <w:rPr>
                <w:sz w:val="14"/>
                <w:szCs w:val="14"/>
                <w:color w:val="auto"/>
              </w:rPr>
            </w:pPr>
          </w:p>
        </w:tc>
        <w:tc>
          <w:tcPr>
            <w:tcW w:w="5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8"/>
              </w:rPr>
              <w:t>No.</w:t>
            </w:r>
          </w:p>
        </w:tc>
        <w:tc>
          <w:tcPr>
            <w:tcW w:w="160" w:type="dxa"/>
            <w:vAlign w:val="bottom"/>
          </w:tcPr>
          <w:p>
            <w:pPr>
              <w:spacing w:after="0"/>
              <w:rPr>
                <w:sz w:val="14"/>
                <w:szCs w:val="14"/>
                <w:color w:val="auto"/>
              </w:rPr>
            </w:pPr>
          </w:p>
        </w:tc>
        <w:tc>
          <w:tcPr>
            <w:tcW w:w="7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Filing Date</w:t>
            </w:r>
          </w:p>
        </w:tc>
        <w:tc>
          <w:tcPr>
            <w:tcW w:w="0" w:type="dxa"/>
            <w:vAlign w:val="bottom"/>
          </w:tcPr>
          <w:p>
            <w:pPr>
              <w:spacing w:after="0"/>
              <w:rPr>
                <w:sz w:val="1"/>
                <w:szCs w:val="1"/>
                <w:color w:val="auto"/>
              </w:rPr>
            </w:pPr>
          </w:p>
        </w:tc>
      </w:tr>
      <w:tr>
        <w:trPr>
          <w:trHeight w:val="201"/>
        </w:trPr>
        <w:tc>
          <w:tcPr>
            <w:tcW w:w="1160" w:type="dxa"/>
            <w:vAlign w:val="bottom"/>
          </w:tcPr>
          <w:p>
            <w:pPr>
              <w:spacing w:after="0"/>
              <w:rPr>
                <w:sz w:val="17"/>
                <w:szCs w:val="17"/>
                <w:color w:val="auto"/>
              </w:rPr>
            </w:pPr>
          </w:p>
        </w:tc>
        <w:tc>
          <w:tcPr>
            <w:tcW w:w="620" w:type="dxa"/>
            <w:vAlign w:val="bottom"/>
          </w:tcPr>
          <w:p>
            <w:pPr>
              <w:jc w:val="right"/>
              <w:spacing w:after="0" w:line="201" w:lineRule="exact"/>
              <w:rPr>
                <w:sz w:val="20"/>
                <w:szCs w:val="20"/>
                <w:color w:val="auto"/>
              </w:rPr>
            </w:pPr>
            <w:r>
              <w:rPr>
                <w:rFonts w:ascii="Arial" w:cs="Arial" w:eastAsia="Arial" w:hAnsi="Arial"/>
                <w:sz w:val="18"/>
                <w:szCs w:val="18"/>
                <w:color w:val="auto"/>
              </w:rPr>
              <w:t>10.54</w:t>
            </w:r>
          </w:p>
        </w:tc>
        <w:tc>
          <w:tcPr>
            <w:tcW w:w="160" w:type="dxa"/>
            <w:vAlign w:val="bottom"/>
          </w:tcPr>
          <w:p>
            <w:pPr>
              <w:spacing w:after="0"/>
              <w:rPr>
                <w:sz w:val="17"/>
                <w:szCs w:val="17"/>
                <w:color w:val="auto"/>
              </w:rPr>
            </w:pPr>
          </w:p>
        </w:tc>
        <w:tc>
          <w:tcPr>
            <w:tcW w:w="5940" w:type="dxa"/>
            <w:vAlign w:val="bottom"/>
            <w:gridSpan w:val="2"/>
          </w:tcPr>
          <w:p>
            <w:pPr>
              <w:spacing w:after="0" w:line="201" w:lineRule="exact"/>
              <w:rPr>
                <w:sz w:val="20"/>
                <w:szCs w:val="20"/>
                <w:color w:val="auto"/>
              </w:rPr>
            </w:pPr>
            <w:r>
              <w:rPr>
                <w:rFonts w:ascii="Arial" w:cs="Arial" w:eastAsia="Arial" w:hAnsi="Arial"/>
                <w:sz w:val="18"/>
                <w:szCs w:val="18"/>
                <w:color w:val="auto"/>
                <w:w w:val="97"/>
              </w:rPr>
              <w:t>Promissory Note issued by Celldex Therapeutics, Inc. and Celldex Research</w:t>
            </w:r>
          </w:p>
        </w:tc>
        <w:tc>
          <w:tcPr>
            <w:tcW w:w="160" w:type="dxa"/>
            <w:vAlign w:val="bottom"/>
          </w:tcPr>
          <w:p>
            <w:pPr>
              <w:spacing w:after="0"/>
              <w:rPr>
                <w:sz w:val="17"/>
                <w:szCs w:val="17"/>
                <w:color w:val="auto"/>
              </w:rPr>
            </w:pPr>
          </w:p>
        </w:tc>
        <w:tc>
          <w:tcPr>
            <w:tcW w:w="700" w:type="dxa"/>
            <w:vAlign w:val="bottom"/>
          </w:tcPr>
          <w:p>
            <w:pPr>
              <w:jc w:val="center"/>
              <w:spacing w:after="0" w:line="201" w:lineRule="exact"/>
              <w:rPr>
                <w:sz w:val="20"/>
                <w:szCs w:val="20"/>
                <w:color w:val="auto"/>
              </w:rPr>
            </w:pPr>
            <w:r>
              <w:rPr>
                <w:rFonts w:ascii="Arial" w:cs="Arial" w:eastAsia="Arial" w:hAnsi="Arial"/>
                <w:sz w:val="18"/>
                <w:szCs w:val="18"/>
                <w:color w:val="auto"/>
                <w:w w:val="92"/>
              </w:rPr>
              <w:t>Filed</w:t>
            </w:r>
          </w:p>
        </w:tc>
        <w:tc>
          <w:tcPr>
            <w:tcW w:w="16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6100" w:type="dxa"/>
            <w:vAlign w:val="bottom"/>
            <w:gridSpan w:val="3"/>
          </w:tcPr>
          <w:p>
            <w:pPr>
              <w:ind w:left="160"/>
              <w:spacing w:after="0"/>
              <w:rPr>
                <w:sz w:val="20"/>
                <w:szCs w:val="20"/>
                <w:color w:val="auto"/>
              </w:rPr>
            </w:pPr>
            <w:r>
              <w:rPr>
                <w:rFonts w:ascii="Arial" w:cs="Arial" w:eastAsia="Arial" w:hAnsi="Arial"/>
                <w:sz w:val="18"/>
                <w:szCs w:val="18"/>
                <w:color w:val="auto"/>
              </w:rPr>
              <w:t>Corporation to General Electric Capital Corporation.</w:t>
            </w:r>
          </w:p>
        </w:tc>
        <w:tc>
          <w:tcPr>
            <w:tcW w:w="160" w:type="dxa"/>
            <w:vAlign w:val="bottom"/>
          </w:tcPr>
          <w:p>
            <w:pPr>
              <w:spacing w:after="0"/>
              <w:rPr>
                <w:sz w:val="18"/>
                <w:szCs w:val="18"/>
                <w:color w:val="auto"/>
              </w:rPr>
            </w:pPr>
          </w:p>
        </w:tc>
        <w:tc>
          <w:tcPr>
            <w:tcW w:w="700" w:type="dxa"/>
            <w:vAlign w:val="bottom"/>
          </w:tcPr>
          <w:p>
            <w:pPr>
              <w:jc w:val="center"/>
              <w:spacing w:after="0"/>
              <w:rPr>
                <w:sz w:val="20"/>
                <w:szCs w:val="20"/>
                <w:color w:val="auto"/>
              </w:rPr>
            </w:pPr>
            <w:r>
              <w:rPr>
                <w:rFonts w:ascii="Arial" w:cs="Arial" w:eastAsia="Arial" w:hAnsi="Arial"/>
                <w:sz w:val="18"/>
                <w:szCs w:val="18"/>
                <w:color w:val="auto"/>
                <w:w w:val="91"/>
              </w:rPr>
              <w:t>herewith</w:t>
            </w:r>
          </w:p>
        </w:tc>
        <w:tc>
          <w:tcPr>
            <w:tcW w:w="1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780" w:type="dxa"/>
            <w:vAlign w:val="bottom"/>
            <w:gridSpan w:val="2"/>
          </w:tcPr>
          <w:p>
            <w:pPr>
              <w:jc w:val="right"/>
              <w:spacing w:after="0"/>
              <w:rPr>
                <w:sz w:val="20"/>
                <w:szCs w:val="20"/>
                <w:color w:val="auto"/>
              </w:rPr>
            </w:pPr>
            <w:r>
              <w:rPr>
                <w:rFonts w:ascii="Arial" w:cs="Arial" w:eastAsia="Arial" w:hAnsi="Arial"/>
                <w:sz w:val="18"/>
                <w:szCs w:val="18"/>
                <w:color w:val="auto"/>
              </w:rPr>
              <w:t>10.55</w:t>
            </w:r>
          </w:p>
        </w:tc>
        <w:tc>
          <w:tcPr>
            <w:tcW w:w="6100" w:type="dxa"/>
            <w:vAlign w:val="bottom"/>
            <w:gridSpan w:val="3"/>
          </w:tcPr>
          <w:p>
            <w:pPr>
              <w:ind w:left="160"/>
              <w:spacing w:after="0"/>
              <w:rPr>
                <w:sz w:val="20"/>
                <w:szCs w:val="20"/>
                <w:color w:val="auto"/>
              </w:rPr>
            </w:pPr>
            <w:r>
              <w:rPr>
                <w:rFonts w:ascii="Arial" w:cs="Arial" w:eastAsia="Arial" w:hAnsi="Arial"/>
                <w:sz w:val="18"/>
                <w:szCs w:val="18"/>
                <w:color w:val="auto"/>
                <w:w w:val="90"/>
              </w:rPr>
              <w:t>Sales Agreement, dated January 6, 2011, between Celldex Therapeutics, Inc. and</w:t>
            </w:r>
          </w:p>
        </w:tc>
        <w:tc>
          <w:tcPr>
            <w:tcW w:w="160" w:type="dxa"/>
            <w:vAlign w:val="bottom"/>
          </w:tcPr>
          <w:p>
            <w:pPr>
              <w:spacing w:after="0"/>
              <w:rPr>
                <w:sz w:val="18"/>
                <w:szCs w:val="18"/>
                <w:color w:val="auto"/>
              </w:rPr>
            </w:pPr>
          </w:p>
        </w:tc>
        <w:tc>
          <w:tcPr>
            <w:tcW w:w="700" w:type="dxa"/>
            <w:vAlign w:val="bottom"/>
          </w:tcPr>
          <w:p>
            <w:pPr>
              <w:jc w:val="center"/>
              <w:spacing w:after="0"/>
              <w:rPr>
                <w:sz w:val="20"/>
                <w:szCs w:val="20"/>
                <w:color w:val="auto"/>
              </w:rPr>
            </w:pPr>
            <w:r>
              <w:rPr>
                <w:rFonts w:ascii="Arial" w:cs="Arial" w:eastAsia="Arial" w:hAnsi="Arial"/>
                <w:sz w:val="18"/>
                <w:szCs w:val="18"/>
                <w:color w:val="auto"/>
                <w:w w:val="92"/>
              </w:rPr>
              <w:t>8-K</w:t>
            </w:r>
          </w:p>
        </w:tc>
        <w:tc>
          <w:tcPr>
            <w:tcW w:w="660" w:type="dxa"/>
            <w:vAlign w:val="bottom"/>
            <w:gridSpan w:val="2"/>
          </w:tcPr>
          <w:p>
            <w:pPr>
              <w:jc w:val="center"/>
              <w:ind w:left="52"/>
              <w:spacing w:after="0"/>
              <w:rPr>
                <w:sz w:val="20"/>
                <w:szCs w:val="20"/>
                <w:color w:val="auto"/>
              </w:rPr>
            </w:pPr>
            <w:r>
              <w:rPr>
                <w:rFonts w:ascii="Arial" w:cs="Arial" w:eastAsia="Arial" w:hAnsi="Arial"/>
                <w:sz w:val="18"/>
                <w:szCs w:val="18"/>
                <w:color w:val="auto"/>
                <w:w w:val="87"/>
              </w:rPr>
              <w:t>10.1.3</w:t>
            </w:r>
          </w:p>
        </w:tc>
        <w:tc>
          <w:tcPr>
            <w:tcW w:w="880" w:type="dxa"/>
            <w:vAlign w:val="bottom"/>
            <w:gridSpan w:val="2"/>
          </w:tcPr>
          <w:p>
            <w:pPr>
              <w:jc w:val="center"/>
              <w:ind w:left="72"/>
              <w:spacing w:after="0"/>
              <w:rPr>
                <w:sz w:val="20"/>
                <w:szCs w:val="20"/>
                <w:color w:val="auto"/>
              </w:rPr>
            </w:pPr>
            <w:r>
              <w:rPr>
                <w:rFonts w:ascii="Arial" w:cs="Arial" w:eastAsia="Arial" w:hAnsi="Arial"/>
                <w:sz w:val="18"/>
                <w:szCs w:val="18"/>
                <w:color w:val="auto"/>
                <w:w w:val="87"/>
              </w:rPr>
              <w:t>1/6/11</w:t>
            </w: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6100" w:type="dxa"/>
            <w:vAlign w:val="bottom"/>
            <w:gridSpan w:val="3"/>
          </w:tcPr>
          <w:p>
            <w:pPr>
              <w:ind w:left="160"/>
              <w:spacing w:after="0"/>
              <w:rPr>
                <w:sz w:val="20"/>
                <w:szCs w:val="20"/>
                <w:color w:val="auto"/>
              </w:rPr>
            </w:pPr>
            <w:r>
              <w:rPr>
                <w:rFonts w:ascii="Arial" w:cs="Arial" w:eastAsia="Arial" w:hAnsi="Arial"/>
                <w:sz w:val="18"/>
                <w:szCs w:val="18"/>
                <w:color w:val="auto"/>
              </w:rPr>
              <w:t>Cantor Fitzgerald &amp; Co.</w:t>
            </w:r>
          </w:p>
        </w:tc>
        <w:tc>
          <w:tcPr>
            <w:tcW w:w="860" w:type="dxa"/>
            <w:vAlign w:val="bottom"/>
            <w:gridSpan w:val="2"/>
          </w:tcPr>
          <w:p>
            <w:pPr>
              <w:jc w:val="right"/>
              <w:ind w:right="75"/>
              <w:spacing w:after="0"/>
              <w:rPr>
                <w:sz w:val="20"/>
                <w:szCs w:val="20"/>
                <w:color w:val="auto"/>
              </w:rPr>
            </w:pPr>
            <w:r>
              <w:rPr>
                <w:rFonts w:ascii="Arial" w:cs="Arial" w:eastAsia="Arial" w:hAnsi="Arial"/>
                <w:sz w:val="18"/>
                <w:szCs w:val="18"/>
                <w:color w:val="auto"/>
              </w:rPr>
              <w:t>(000-</w:t>
            </w:r>
          </w:p>
        </w:tc>
        <w:tc>
          <w:tcPr>
            <w:tcW w:w="1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1160" w:type="dxa"/>
            <w:vAlign w:val="bottom"/>
          </w:tcPr>
          <w:p>
            <w:pPr>
              <w:spacing w:after="0"/>
              <w:rPr>
                <w:sz w:val="19"/>
                <w:szCs w:val="19"/>
                <w:color w:val="auto"/>
              </w:rPr>
            </w:pPr>
          </w:p>
        </w:tc>
        <w:tc>
          <w:tcPr>
            <w:tcW w:w="6720" w:type="dxa"/>
            <w:vAlign w:val="bottom"/>
            <w:gridSpan w:val="4"/>
            <w:vMerge w:val="restart"/>
          </w:tcPr>
          <w:p>
            <w:pPr>
              <w:ind w:left="80"/>
              <w:spacing w:after="0"/>
              <w:rPr>
                <w:sz w:val="20"/>
                <w:szCs w:val="20"/>
                <w:color w:val="auto"/>
              </w:rPr>
            </w:pPr>
            <w:r>
              <w:rPr>
                <w:rFonts w:ascii="Arial" w:cs="Arial" w:eastAsia="Arial" w:hAnsi="Arial"/>
                <w:sz w:val="18"/>
                <w:szCs w:val="18"/>
                <w:i w:val="1"/>
                <w:iCs w:val="1"/>
                <w:color w:val="auto"/>
              </w:rPr>
              <w:t>Material Contracts—Management Contracts and Compensatory Plans</w:t>
            </w:r>
          </w:p>
        </w:tc>
        <w:tc>
          <w:tcPr>
            <w:tcW w:w="860" w:type="dxa"/>
            <w:vAlign w:val="bottom"/>
            <w:gridSpan w:val="2"/>
          </w:tcPr>
          <w:p>
            <w:pPr>
              <w:jc w:val="right"/>
              <w:ind w:right="15"/>
              <w:spacing w:after="0"/>
              <w:rPr>
                <w:sz w:val="20"/>
                <w:szCs w:val="20"/>
                <w:color w:val="auto"/>
              </w:rPr>
            </w:pPr>
            <w:r>
              <w:rPr>
                <w:rFonts w:ascii="Arial" w:cs="Arial" w:eastAsia="Arial" w:hAnsi="Arial"/>
                <w:sz w:val="18"/>
                <w:szCs w:val="18"/>
                <w:color w:val="auto"/>
              </w:rPr>
              <w:t>15006)</w:t>
            </w:r>
          </w:p>
        </w:tc>
        <w:tc>
          <w:tcPr>
            <w:tcW w:w="16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1160" w:type="dxa"/>
            <w:vAlign w:val="bottom"/>
          </w:tcPr>
          <w:p>
            <w:pPr>
              <w:spacing w:after="0"/>
              <w:rPr>
                <w:sz w:val="18"/>
                <w:szCs w:val="18"/>
                <w:color w:val="auto"/>
              </w:rPr>
            </w:pPr>
          </w:p>
        </w:tc>
        <w:tc>
          <w:tcPr>
            <w:tcW w:w="6720" w:type="dxa"/>
            <w:vAlign w:val="bottom"/>
            <w:gridSpan w:val="4"/>
            <w:vMerge w:val="continue"/>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†10.56</w:t>
            </w:r>
          </w:p>
        </w:tc>
        <w:tc>
          <w:tcPr>
            <w:tcW w:w="6100" w:type="dxa"/>
            <w:vAlign w:val="bottom"/>
            <w:gridSpan w:val="3"/>
          </w:tcPr>
          <w:p>
            <w:pPr>
              <w:ind w:left="160"/>
              <w:spacing w:after="0"/>
              <w:rPr>
                <w:sz w:val="20"/>
                <w:szCs w:val="20"/>
                <w:color w:val="auto"/>
              </w:rPr>
            </w:pPr>
            <w:r>
              <w:rPr>
                <w:rFonts w:ascii="Arial" w:cs="Arial" w:eastAsia="Arial" w:hAnsi="Arial"/>
                <w:sz w:val="18"/>
                <w:szCs w:val="18"/>
                <w:color w:val="auto"/>
              </w:rPr>
              <w:t>2008 Stock Option and Incentive Plan, as amended and restated</w:t>
            </w:r>
          </w:p>
        </w:tc>
        <w:tc>
          <w:tcPr>
            <w:tcW w:w="160" w:type="dxa"/>
            <w:vAlign w:val="bottom"/>
          </w:tcPr>
          <w:p>
            <w:pPr>
              <w:spacing w:after="0"/>
              <w:rPr>
                <w:sz w:val="18"/>
                <w:szCs w:val="18"/>
                <w:color w:val="auto"/>
              </w:rPr>
            </w:pPr>
          </w:p>
        </w:tc>
        <w:tc>
          <w:tcPr>
            <w:tcW w:w="700" w:type="dxa"/>
            <w:vAlign w:val="bottom"/>
          </w:tcPr>
          <w:p>
            <w:pPr>
              <w:jc w:val="center"/>
              <w:spacing w:after="0"/>
              <w:rPr>
                <w:sz w:val="20"/>
                <w:szCs w:val="20"/>
                <w:color w:val="auto"/>
              </w:rPr>
            </w:pPr>
            <w:r>
              <w:rPr>
                <w:rFonts w:ascii="Arial" w:cs="Arial" w:eastAsia="Arial" w:hAnsi="Arial"/>
                <w:sz w:val="18"/>
                <w:szCs w:val="18"/>
                <w:color w:val="auto"/>
                <w:w w:val="94"/>
              </w:rPr>
              <w:t>10-K</w:t>
            </w:r>
          </w:p>
        </w:tc>
        <w:tc>
          <w:tcPr>
            <w:tcW w:w="660" w:type="dxa"/>
            <w:vAlign w:val="bottom"/>
            <w:gridSpan w:val="2"/>
          </w:tcPr>
          <w:p>
            <w:pPr>
              <w:jc w:val="center"/>
              <w:ind w:left="52"/>
              <w:spacing w:after="0"/>
              <w:rPr>
                <w:sz w:val="20"/>
                <w:szCs w:val="20"/>
                <w:color w:val="auto"/>
              </w:rPr>
            </w:pPr>
            <w:r>
              <w:rPr>
                <w:rFonts w:ascii="Arial" w:cs="Arial" w:eastAsia="Arial" w:hAnsi="Arial"/>
                <w:sz w:val="18"/>
                <w:szCs w:val="18"/>
                <w:color w:val="auto"/>
                <w:w w:val="88"/>
              </w:rPr>
              <w:t>10.34</w:t>
            </w:r>
          </w:p>
        </w:tc>
        <w:tc>
          <w:tcPr>
            <w:tcW w:w="880" w:type="dxa"/>
            <w:vAlign w:val="bottom"/>
            <w:gridSpan w:val="2"/>
          </w:tcPr>
          <w:p>
            <w:pPr>
              <w:jc w:val="center"/>
              <w:ind w:left="52"/>
              <w:spacing w:after="0"/>
              <w:rPr>
                <w:sz w:val="20"/>
                <w:szCs w:val="20"/>
                <w:color w:val="auto"/>
              </w:rPr>
            </w:pPr>
            <w:r>
              <w:rPr>
                <w:rFonts w:ascii="Arial" w:cs="Arial" w:eastAsia="Arial" w:hAnsi="Arial"/>
                <w:sz w:val="18"/>
                <w:szCs w:val="18"/>
                <w:color w:val="auto"/>
                <w:w w:val="89"/>
              </w:rPr>
              <w:t>3/12/10</w:t>
            </w: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4880" w:type="dxa"/>
            <w:vAlign w:val="bottom"/>
          </w:tcPr>
          <w:p>
            <w:pPr>
              <w:spacing w:after="0"/>
              <w:rPr>
                <w:sz w:val="18"/>
                <w:szCs w:val="18"/>
                <w:color w:val="auto"/>
              </w:rPr>
            </w:pPr>
          </w:p>
        </w:tc>
        <w:tc>
          <w:tcPr>
            <w:tcW w:w="860" w:type="dxa"/>
            <w:vAlign w:val="bottom"/>
            <w:gridSpan w:val="2"/>
          </w:tcPr>
          <w:p>
            <w:pPr>
              <w:jc w:val="right"/>
              <w:ind w:right="75"/>
              <w:spacing w:after="0"/>
              <w:rPr>
                <w:sz w:val="20"/>
                <w:szCs w:val="20"/>
                <w:color w:val="auto"/>
              </w:rPr>
            </w:pPr>
            <w:r>
              <w:rPr>
                <w:rFonts w:ascii="Arial" w:cs="Arial" w:eastAsia="Arial" w:hAnsi="Arial"/>
                <w:sz w:val="18"/>
                <w:szCs w:val="18"/>
                <w:color w:val="auto"/>
              </w:rPr>
              <w:t>(000-</w:t>
            </w:r>
          </w:p>
        </w:tc>
        <w:tc>
          <w:tcPr>
            <w:tcW w:w="1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620" w:type="dxa"/>
            <w:vAlign w:val="bottom"/>
            <w:vMerge w:val="restart"/>
          </w:tcPr>
          <w:p>
            <w:pPr>
              <w:jc w:val="right"/>
              <w:spacing w:after="0"/>
              <w:rPr>
                <w:sz w:val="20"/>
                <w:szCs w:val="20"/>
                <w:color w:val="auto"/>
              </w:rPr>
            </w:pPr>
            <w:r>
              <w:rPr>
                <w:rFonts w:ascii="Arial" w:cs="Arial" w:eastAsia="Arial" w:hAnsi="Arial"/>
                <w:sz w:val="18"/>
                <w:szCs w:val="18"/>
                <w:b w:val="1"/>
                <w:bCs w:val="1"/>
                <w:color w:val="auto"/>
              </w:rPr>
              <w:t>†</w:t>
            </w:r>
            <w:r>
              <w:rPr>
                <w:rFonts w:ascii="Arial" w:cs="Arial" w:eastAsia="Arial" w:hAnsi="Arial"/>
                <w:sz w:val="18"/>
                <w:szCs w:val="18"/>
                <w:color w:val="auto"/>
              </w:rPr>
              <w:t>10.57</w:t>
            </w:r>
          </w:p>
        </w:tc>
        <w:tc>
          <w:tcPr>
            <w:tcW w:w="1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4880" w:type="dxa"/>
            <w:vAlign w:val="bottom"/>
          </w:tcPr>
          <w:p>
            <w:pPr>
              <w:spacing w:after="0"/>
              <w:rPr>
                <w:sz w:val="18"/>
                <w:szCs w:val="18"/>
                <w:color w:val="auto"/>
              </w:rPr>
            </w:pPr>
          </w:p>
        </w:tc>
        <w:tc>
          <w:tcPr>
            <w:tcW w:w="860" w:type="dxa"/>
            <w:vAlign w:val="bottom"/>
            <w:gridSpan w:val="2"/>
          </w:tcPr>
          <w:p>
            <w:pPr>
              <w:jc w:val="right"/>
              <w:ind w:right="15"/>
              <w:spacing w:after="0"/>
              <w:rPr>
                <w:sz w:val="20"/>
                <w:szCs w:val="20"/>
                <w:color w:val="auto"/>
              </w:rPr>
            </w:pPr>
            <w:r>
              <w:rPr>
                <w:rFonts w:ascii="Arial" w:cs="Arial" w:eastAsia="Arial" w:hAnsi="Arial"/>
                <w:sz w:val="18"/>
                <w:szCs w:val="18"/>
                <w:color w:val="auto"/>
              </w:rPr>
              <w:t>15006)</w:t>
            </w:r>
          </w:p>
        </w:tc>
        <w:tc>
          <w:tcPr>
            <w:tcW w:w="1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620" w:type="dxa"/>
            <w:vAlign w:val="bottom"/>
            <w:vMerge w:val="continue"/>
          </w:tcPr>
          <w:p>
            <w:pPr>
              <w:spacing w:after="0"/>
              <w:rPr>
                <w:sz w:val="18"/>
                <w:szCs w:val="18"/>
                <w:color w:val="auto"/>
              </w:rPr>
            </w:pPr>
          </w:p>
        </w:tc>
        <w:tc>
          <w:tcPr>
            <w:tcW w:w="6100" w:type="dxa"/>
            <w:vAlign w:val="bottom"/>
            <w:gridSpan w:val="3"/>
          </w:tcPr>
          <w:p>
            <w:pPr>
              <w:ind w:left="160"/>
              <w:spacing w:after="0"/>
              <w:rPr>
                <w:sz w:val="20"/>
                <w:szCs w:val="20"/>
                <w:color w:val="auto"/>
              </w:rPr>
            </w:pPr>
            <w:r>
              <w:rPr>
                <w:rFonts w:ascii="Arial" w:cs="Arial" w:eastAsia="Arial" w:hAnsi="Arial"/>
                <w:sz w:val="18"/>
                <w:szCs w:val="18"/>
                <w:color w:val="auto"/>
              </w:rPr>
              <w:t>2004 Employee Stock Purchase Plan, as amended and restated</w:t>
            </w:r>
          </w:p>
        </w:tc>
        <w:tc>
          <w:tcPr>
            <w:tcW w:w="160" w:type="dxa"/>
            <w:vAlign w:val="bottom"/>
          </w:tcPr>
          <w:p>
            <w:pPr>
              <w:spacing w:after="0"/>
              <w:rPr>
                <w:sz w:val="18"/>
                <w:szCs w:val="18"/>
                <w:color w:val="auto"/>
              </w:rPr>
            </w:pPr>
          </w:p>
        </w:tc>
        <w:tc>
          <w:tcPr>
            <w:tcW w:w="700" w:type="dxa"/>
            <w:vAlign w:val="bottom"/>
          </w:tcPr>
          <w:p>
            <w:pPr>
              <w:jc w:val="center"/>
              <w:spacing w:after="0"/>
              <w:rPr>
                <w:sz w:val="20"/>
                <w:szCs w:val="20"/>
                <w:color w:val="auto"/>
              </w:rPr>
            </w:pPr>
            <w:r>
              <w:rPr>
                <w:rFonts w:ascii="Arial" w:cs="Arial" w:eastAsia="Arial" w:hAnsi="Arial"/>
                <w:sz w:val="18"/>
                <w:szCs w:val="18"/>
                <w:color w:val="auto"/>
                <w:w w:val="94"/>
              </w:rPr>
              <w:t>10-K</w:t>
            </w:r>
          </w:p>
        </w:tc>
        <w:tc>
          <w:tcPr>
            <w:tcW w:w="660" w:type="dxa"/>
            <w:vAlign w:val="bottom"/>
            <w:gridSpan w:val="2"/>
          </w:tcPr>
          <w:p>
            <w:pPr>
              <w:jc w:val="center"/>
              <w:ind w:left="52"/>
              <w:spacing w:after="0"/>
              <w:rPr>
                <w:sz w:val="20"/>
                <w:szCs w:val="20"/>
                <w:color w:val="auto"/>
              </w:rPr>
            </w:pPr>
            <w:r>
              <w:rPr>
                <w:rFonts w:ascii="Arial" w:cs="Arial" w:eastAsia="Arial" w:hAnsi="Arial"/>
                <w:sz w:val="18"/>
                <w:szCs w:val="18"/>
                <w:color w:val="auto"/>
                <w:w w:val="88"/>
              </w:rPr>
              <w:t>10.35</w:t>
            </w:r>
          </w:p>
        </w:tc>
        <w:tc>
          <w:tcPr>
            <w:tcW w:w="880" w:type="dxa"/>
            <w:vAlign w:val="bottom"/>
            <w:gridSpan w:val="2"/>
          </w:tcPr>
          <w:p>
            <w:pPr>
              <w:jc w:val="center"/>
              <w:ind w:left="52"/>
              <w:spacing w:after="0"/>
              <w:rPr>
                <w:sz w:val="20"/>
                <w:szCs w:val="20"/>
                <w:color w:val="auto"/>
              </w:rPr>
            </w:pPr>
            <w:r>
              <w:rPr>
                <w:rFonts w:ascii="Arial" w:cs="Arial" w:eastAsia="Arial" w:hAnsi="Arial"/>
                <w:sz w:val="18"/>
                <w:szCs w:val="18"/>
                <w:color w:val="auto"/>
                <w:w w:val="89"/>
              </w:rPr>
              <w:t>3/12/10</w:t>
            </w: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4880" w:type="dxa"/>
            <w:vAlign w:val="bottom"/>
          </w:tcPr>
          <w:p>
            <w:pPr>
              <w:spacing w:after="0"/>
              <w:rPr>
                <w:sz w:val="18"/>
                <w:szCs w:val="18"/>
                <w:color w:val="auto"/>
              </w:rPr>
            </w:pPr>
          </w:p>
        </w:tc>
        <w:tc>
          <w:tcPr>
            <w:tcW w:w="860" w:type="dxa"/>
            <w:vAlign w:val="bottom"/>
            <w:gridSpan w:val="2"/>
          </w:tcPr>
          <w:p>
            <w:pPr>
              <w:jc w:val="right"/>
              <w:ind w:right="75"/>
              <w:spacing w:after="0"/>
              <w:rPr>
                <w:sz w:val="20"/>
                <w:szCs w:val="20"/>
                <w:color w:val="auto"/>
              </w:rPr>
            </w:pPr>
            <w:r>
              <w:rPr>
                <w:rFonts w:ascii="Arial" w:cs="Arial" w:eastAsia="Arial" w:hAnsi="Arial"/>
                <w:sz w:val="18"/>
                <w:szCs w:val="18"/>
                <w:color w:val="auto"/>
              </w:rPr>
              <w:t>(000-</w:t>
            </w:r>
          </w:p>
        </w:tc>
        <w:tc>
          <w:tcPr>
            <w:tcW w:w="1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4880" w:type="dxa"/>
            <w:vAlign w:val="bottom"/>
          </w:tcPr>
          <w:p>
            <w:pPr>
              <w:spacing w:after="0"/>
              <w:rPr>
                <w:sz w:val="18"/>
                <w:szCs w:val="18"/>
                <w:color w:val="auto"/>
              </w:rPr>
            </w:pPr>
          </w:p>
        </w:tc>
        <w:tc>
          <w:tcPr>
            <w:tcW w:w="860" w:type="dxa"/>
            <w:vAlign w:val="bottom"/>
            <w:gridSpan w:val="2"/>
          </w:tcPr>
          <w:p>
            <w:pPr>
              <w:jc w:val="right"/>
              <w:ind w:right="15"/>
              <w:spacing w:after="0"/>
              <w:rPr>
                <w:sz w:val="20"/>
                <w:szCs w:val="20"/>
                <w:color w:val="auto"/>
              </w:rPr>
            </w:pPr>
            <w:r>
              <w:rPr>
                <w:rFonts w:ascii="Arial" w:cs="Arial" w:eastAsia="Arial" w:hAnsi="Arial"/>
                <w:sz w:val="18"/>
                <w:szCs w:val="18"/>
                <w:color w:val="auto"/>
              </w:rPr>
              <w:t>15006)</w:t>
            </w:r>
          </w:p>
        </w:tc>
        <w:tc>
          <w:tcPr>
            <w:tcW w:w="1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†10.58</w:t>
            </w:r>
          </w:p>
        </w:tc>
        <w:tc>
          <w:tcPr>
            <w:tcW w:w="6100" w:type="dxa"/>
            <w:vAlign w:val="bottom"/>
            <w:gridSpan w:val="3"/>
          </w:tcPr>
          <w:p>
            <w:pPr>
              <w:ind w:left="160"/>
              <w:spacing w:after="0"/>
              <w:rPr>
                <w:sz w:val="20"/>
                <w:szCs w:val="20"/>
                <w:color w:val="auto"/>
              </w:rPr>
            </w:pPr>
            <w:r>
              <w:rPr>
                <w:rFonts w:ascii="Arial" w:cs="Arial" w:eastAsia="Arial" w:hAnsi="Arial"/>
                <w:sz w:val="18"/>
                <w:szCs w:val="18"/>
                <w:color w:val="auto"/>
                <w:w w:val="88"/>
              </w:rPr>
              <w:t>Employment Agreement, dated January 6, 2009, by and between the Company and</w:t>
            </w:r>
          </w:p>
        </w:tc>
        <w:tc>
          <w:tcPr>
            <w:tcW w:w="160" w:type="dxa"/>
            <w:vAlign w:val="bottom"/>
          </w:tcPr>
          <w:p>
            <w:pPr>
              <w:spacing w:after="0"/>
              <w:rPr>
                <w:sz w:val="18"/>
                <w:szCs w:val="18"/>
                <w:color w:val="auto"/>
              </w:rPr>
            </w:pPr>
          </w:p>
        </w:tc>
        <w:tc>
          <w:tcPr>
            <w:tcW w:w="700" w:type="dxa"/>
            <w:vAlign w:val="bottom"/>
          </w:tcPr>
          <w:p>
            <w:pPr>
              <w:jc w:val="center"/>
              <w:spacing w:after="0"/>
              <w:rPr>
                <w:sz w:val="20"/>
                <w:szCs w:val="20"/>
                <w:color w:val="auto"/>
              </w:rPr>
            </w:pPr>
            <w:r>
              <w:rPr>
                <w:rFonts w:ascii="Arial" w:cs="Arial" w:eastAsia="Arial" w:hAnsi="Arial"/>
                <w:sz w:val="18"/>
                <w:szCs w:val="18"/>
                <w:color w:val="auto"/>
                <w:w w:val="92"/>
              </w:rPr>
              <w:t>8-K</w:t>
            </w:r>
          </w:p>
        </w:tc>
        <w:tc>
          <w:tcPr>
            <w:tcW w:w="660" w:type="dxa"/>
            <w:vAlign w:val="bottom"/>
            <w:gridSpan w:val="2"/>
          </w:tcPr>
          <w:p>
            <w:pPr>
              <w:jc w:val="center"/>
              <w:ind w:left="72"/>
              <w:spacing w:after="0"/>
              <w:rPr>
                <w:sz w:val="20"/>
                <w:szCs w:val="20"/>
                <w:color w:val="auto"/>
              </w:rPr>
            </w:pPr>
            <w:r>
              <w:rPr>
                <w:rFonts w:ascii="Arial" w:cs="Arial" w:eastAsia="Arial" w:hAnsi="Arial"/>
                <w:sz w:val="18"/>
                <w:szCs w:val="18"/>
                <w:color w:val="auto"/>
                <w:w w:val="85"/>
              </w:rPr>
              <w:t>10.1</w:t>
            </w:r>
          </w:p>
        </w:tc>
        <w:tc>
          <w:tcPr>
            <w:tcW w:w="880" w:type="dxa"/>
            <w:vAlign w:val="bottom"/>
            <w:gridSpan w:val="2"/>
          </w:tcPr>
          <w:p>
            <w:pPr>
              <w:jc w:val="center"/>
              <w:ind w:left="52"/>
              <w:spacing w:after="0"/>
              <w:rPr>
                <w:sz w:val="20"/>
                <w:szCs w:val="20"/>
                <w:color w:val="auto"/>
              </w:rPr>
            </w:pPr>
            <w:r>
              <w:rPr>
                <w:rFonts w:ascii="Arial" w:cs="Arial" w:eastAsia="Arial" w:hAnsi="Arial"/>
                <w:sz w:val="18"/>
                <w:szCs w:val="18"/>
                <w:color w:val="auto"/>
                <w:w w:val="91"/>
              </w:rPr>
              <w:t>1/8/09</w:t>
            </w: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6100" w:type="dxa"/>
            <w:vAlign w:val="bottom"/>
            <w:gridSpan w:val="3"/>
          </w:tcPr>
          <w:p>
            <w:pPr>
              <w:ind w:left="160"/>
              <w:spacing w:after="0"/>
              <w:rPr>
                <w:sz w:val="20"/>
                <w:szCs w:val="20"/>
                <w:color w:val="auto"/>
              </w:rPr>
            </w:pPr>
            <w:r>
              <w:rPr>
                <w:rFonts w:ascii="Arial" w:cs="Arial" w:eastAsia="Arial" w:hAnsi="Arial"/>
                <w:sz w:val="18"/>
                <w:szCs w:val="18"/>
                <w:color w:val="auto"/>
              </w:rPr>
              <w:t>Avery W. Catlin</w:t>
            </w:r>
          </w:p>
        </w:tc>
        <w:tc>
          <w:tcPr>
            <w:tcW w:w="860" w:type="dxa"/>
            <w:vAlign w:val="bottom"/>
            <w:gridSpan w:val="2"/>
          </w:tcPr>
          <w:p>
            <w:pPr>
              <w:jc w:val="right"/>
              <w:ind w:right="75"/>
              <w:spacing w:after="0"/>
              <w:rPr>
                <w:sz w:val="20"/>
                <w:szCs w:val="20"/>
                <w:color w:val="auto"/>
              </w:rPr>
            </w:pPr>
            <w:r>
              <w:rPr>
                <w:rFonts w:ascii="Arial" w:cs="Arial" w:eastAsia="Arial" w:hAnsi="Arial"/>
                <w:sz w:val="18"/>
                <w:szCs w:val="18"/>
                <w:color w:val="auto"/>
              </w:rPr>
              <w:t>(000-</w:t>
            </w:r>
          </w:p>
        </w:tc>
        <w:tc>
          <w:tcPr>
            <w:tcW w:w="1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4880" w:type="dxa"/>
            <w:vAlign w:val="bottom"/>
          </w:tcPr>
          <w:p>
            <w:pPr>
              <w:spacing w:after="0"/>
              <w:rPr>
                <w:sz w:val="18"/>
                <w:szCs w:val="18"/>
                <w:color w:val="auto"/>
              </w:rPr>
            </w:pPr>
          </w:p>
        </w:tc>
        <w:tc>
          <w:tcPr>
            <w:tcW w:w="860" w:type="dxa"/>
            <w:vAlign w:val="bottom"/>
            <w:gridSpan w:val="2"/>
          </w:tcPr>
          <w:p>
            <w:pPr>
              <w:jc w:val="right"/>
              <w:ind w:right="15"/>
              <w:spacing w:after="0"/>
              <w:rPr>
                <w:sz w:val="20"/>
                <w:szCs w:val="20"/>
                <w:color w:val="auto"/>
              </w:rPr>
            </w:pPr>
            <w:r>
              <w:rPr>
                <w:rFonts w:ascii="Arial" w:cs="Arial" w:eastAsia="Arial" w:hAnsi="Arial"/>
                <w:sz w:val="18"/>
                <w:szCs w:val="18"/>
                <w:color w:val="auto"/>
              </w:rPr>
              <w:t>15006)</w:t>
            </w:r>
          </w:p>
        </w:tc>
        <w:tc>
          <w:tcPr>
            <w:tcW w:w="1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†10.59</w:t>
            </w:r>
          </w:p>
        </w:tc>
        <w:tc>
          <w:tcPr>
            <w:tcW w:w="6100" w:type="dxa"/>
            <w:vAlign w:val="bottom"/>
            <w:gridSpan w:val="3"/>
          </w:tcPr>
          <w:p>
            <w:pPr>
              <w:ind w:left="160"/>
              <w:spacing w:after="0"/>
              <w:rPr>
                <w:sz w:val="20"/>
                <w:szCs w:val="20"/>
                <w:color w:val="auto"/>
              </w:rPr>
            </w:pPr>
            <w:r>
              <w:rPr>
                <w:rFonts w:ascii="Arial" w:cs="Arial" w:eastAsia="Arial" w:hAnsi="Arial"/>
                <w:sz w:val="18"/>
                <w:szCs w:val="18"/>
                <w:color w:val="auto"/>
                <w:w w:val="88"/>
              </w:rPr>
              <w:t>Employment Agreement, dated January 6, 2009, by and between the Company and</w:t>
            </w:r>
          </w:p>
        </w:tc>
        <w:tc>
          <w:tcPr>
            <w:tcW w:w="160" w:type="dxa"/>
            <w:vAlign w:val="bottom"/>
          </w:tcPr>
          <w:p>
            <w:pPr>
              <w:spacing w:after="0"/>
              <w:rPr>
                <w:sz w:val="18"/>
                <w:szCs w:val="18"/>
                <w:color w:val="auto"/>
              </w:rPr>
            </w:pPr>
          </w:p>
        </w:tc>
        <w:tc>
          <w:tcPr>
            <w:tcW w:w="700" w:type="dxa"/>
            <w:vAlign w:val="bottom"/>
          </w:tcPr>
          <w:p>
            <w:pPr>
              <w:jc w:val="center"/>
              <w:spacing w:after="0"/>
              <w:rPr>
                <w:sz w:val="20"/>
                <w:szCs w:val="20"/>
                <w:color w:val="auto"/>
              </w:rPr>
            </w:pPr>
            <w:r>
              <w:rPr>
                <w:rFonts w:ascii="Arial" w:cs="Arial" w:eastAsia="Arial" w:hAnsi="Arial"/>
                <w:sz w:val="18"/>
                <w:szCs w:val="18"/>
                <w:color w:val="auto"/>
                <w:w w:val="92"/>
              </w:rPr>
              <w:t>8-K</w:t>
            </w:r>
          </w:p>
        </w:tc>
        <w:tc>
          <w:tcPr>
            <w:tcW w:w="660" w:type="dxa"/>
            <w:vAlign w:val="bottom"/>
            <w:gridSpan w:val="2"/>
          </w:tcPr>
          <w:p>
            <w:pPr>
              <w:jc w:val="center"/>
              <w:ind w:left="72"/>
              <w:spacing w:after="0"/>
              <w:rPr>
                <w:sz w:val="20"/>
                <w:szCs w:val="20"/>
                <w:color w:val="auto"/>
              </w:rPr>
            </w:pPr>
            <w:r>
              <w:rPr>
                <w:rFonts w:ascii="Arial" w:cs="Arial" w:eastAsia="Arial" w:hAnsi="Arial"/>
                <w:sz w:val="18"/>
                <w:szCs w:val="18"/>
                <w:color w:val="auto"/>
                <w:w w:val="85"/>
              </w:rPr>
              <w:t>10.2</w:t>
            </w:r>
          </w:p>
        </w:tc>
        <w:tc>
          <w:tcPr>
            <w:tcW w:w="880" w:type="dxa"/>
            <w:vAlign w:val="bottom"/>
            <w:gridSpan w:val="2"/>
          </w:tcPr>
          <w:p>
            <w:pPr>
              <w:jc w:val="center"/>
              <w:ind w:left="52"/>
              <w:spacing w:after="0"/>
              <w:rPr>
                <w:sz w:val="20"/>
                <w:szCs w:val="20"/>
                <w:color w:val="auto"/>
              </w:rPr>
            </w:pPr>
            <w:r>
              <w:rPr>
                <w:rFonts w:ascii="Arial" w:cs="Arial" w:eastAsia="Arial" w:hAnsi="Arial"/>
                <w:sz w:val="18"/>
                <w:szCs w:val="18"/>
                <w:color w:val="auto"/>
                <w:w w:val="91"/>
              </w:rPr>
              <w:t>1/8/09</w:t>
            </w: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6100" w:type="dxa"/>
            <w:vAlign w:val="bottom"/>
            <w:gridSpan w:val="3"/>
          </w:tcPr>
          <w:p>
            <w:pPr>
              <w:ind w:left="160"/>
              <w:spacing w:after="0"/>
              <w:rPr>
                <w:sz w:val="20"/>
                <w:szCs w:val="20"/>
                <w:color w:val="auto"/>
              </w:rPr>
            </w:pPr>
            <w:r>
              <w:rPr>
                <w:rFonts w:ascii="Arial" w:cs="Arial" w:eastAsia="Arial" w:hAnsi="Arial"/>
                <w:sz w:val="18"/>
                <w:szCs w:val="18"/>
                <w:color w:val="auto"/>
              </w:rPr>
              <w:t>Thomas Davis, MD</w:t>
            </w:r>
          </w:p>
        </w:tc>
        <w:tc>
          <w:tcPr>
            <w:tcW w:w="860" w:type="dxa"/>
            <w:vAlign w:val="bottom"/>
            <w:gridSpan w:val="2"/>
          </w:tcPr>
          <w:p>
            <w:pPr>
              <w:jc w:val="right"/>
              <w:ind w:right="75"/>
              <w:spacing w:after="0"/>
              <w:rPr>
                <w:sz w:val="20"/>
                <w:szCs w:val="20"/>
                <w:color w:val="auto"/>
              </w:rPr>
            </w:pPr>
            <w:r>
              <w:rPr>
                <w:rFonts w:ascii="Arial" w:cs="Arial" w:eastAsia="Arial" w:hAnsi="Arial"/>
                <w:sz w:val="18"/>
                <w:szCs w:val="18"/>
                <w:color w:val="auto"/>
              </w:rPr>
              <w:t>(000-</w:t>
            </w:r>
          </w:p>
        </w:tc>
        <w:tc>
          <w:tcPr>
            <w:tcW w:w="1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4880" w:type="dxa"/>
            <w:vAlign w:val="bottom"/>
          </w:tcPr>
          <w:p>
            <w:pPr>
              <w:spacing w:after="0"/>
              <w:rPr>
                <w:sz w:val="18"/>
                <w:szCs w:val="18"/>
                <w:color w:val="auto"/>
              </w:rPr>
            </w:pPr>
          </w:p>
        </w:tc>
        <w:tc>
          <w:tcPr>
            <w:tcW w:w="860" w:type="dxa"/>
            <w:vAlign w:val="bottom"/>
            <w:gridSpan w:val="2"/>
          </w:tcPr>
          <w:p>
            <w:pPr>
              <w:jc w:val="right"/>
              <w:ind w:right="15"/>
              <w:spacing w:after="0"/>
              <w:rPr>
                <w:sz w:val="20"/>
                <w:szCs w:val="20"/>
                <w:color w:val="auto"/>
              </w:rPr>
            </w:pPr>
            <w:r>
              <w:rPr>
                <w:rFonts w:ascii="Arial" w:cs="Arial" w:eastAsia="Arial" w:hAnsi="Arial"/>
                <w:sz w:val="18"/>
                <w:szCs w:val="18"/>
                <w:color w:val="auto"/>
              </w:rPr>
              <w:t>15006)</w:t>
            </w:r>
          </w:p>
        </w:tc>
        <w:tc>
          <w:tcPr>
            <w:tcW w:w="1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†10.60</w:t>
            </w:r>
          </w:p>
        </w:tc>
        <w:tc>
          <w:tcPr>
            <w:tcW w:w="6100" w:type="dxa"/>
            <w:vAlign w:val="bottom"/>
            <w:gridSpan w:val="3"/>
          </w:tcPr>
          <w:p>
            <w:pPr>
              <w:ind w:left="160"/>
              <w:spacing w:after="0"/>
              <w:rPr>
                <w:sz w:val="20"/>
                <w:szCs w:val="20"/>
                <w:color w:val="auto"/>
              </w:rPr>
            </w:pPr>
            <w:r>
              <w:rPr>
                <w:rFonts w:ascii="Arial" w:cs="Arial" w:eastAsia="Arial" w:hAnsi="Arial"/>
                <w:sz w:val="18"/>
                <w:szCs w:val="18"/>
                <w:color w:val="auto"/>
                <w:w w:val="88"/>
              </w:rPr>
              <w:t>Employment Agreement, dated January 6, 2009, by and between the Company and</w:t>
            </w:r>
          </w:p>
        </w:tc>
        <w:tc>
          <w:tcPr>
            <w:tcW w:w="160" w:type="dxa"/>
            <w:vAlign w:val="bottom"/>
          </w:tcPr>
          <w:p>
            <w:pPr>
              <w:spacing w:after="0"/>
              <w:rPr>
                <w:sz w:val="18"/>
                <w:szCs w:val="18"/>
                <w:color w:val="auto"/>
              </w:rPr>
            </w:pPr>
          </w:p>
        </w:tc>
        <w:tc>
          <w:tcPr>
            <w:tcW w:w="700" w:type="dxa"/>
            <w:vAlign w:val="bottom"/>
          </w:tcPr>
          <w:p>
            <w:pPr>
              <w:jc w:val="center"/>
              <w:spacing w:after="0"/>
              <w:rPr>
                <w:sz w:val="20"/>
                <w:szCs w:val="20"/>
                <w:color w:val="auto"/>
              </w:rPr>
            </w:pPr>
            <w:r>
              <w:rPr>
                <w:rFonts w:ascii="Arial" w:cs="Arial" w:eastAsia="Arial" w:hAnsi="Arial"/>
                <w:sz w:val="18"/>
                <w:szCs w:val="18"/>
                <w:color w:val="auto"/>
                <w:w w:val="92"/>
              </w:rPr>
              <w:t>8-K</w:t>
            </w:r>
          </w:p>
        </w:tc>
        <w:tc>
          <w:tcPr>
            <w:tcW w:w="660" w:type="dxa"/>
            <w:vAlign w:val="bottom"/>
            <w:gridSpan w:val="2"/>
          </w:tcPr>
          <w:p>
            <w:pPr>
              <w:jc w:val="center"/>
              <w:ind w:left="72"/>
              <w:spacing w:after="0"/>
              <w:rPr>
                <w:sz w:val="20"/>
                <w:szCs w:val="20"/>
                <w:color w:val="auto"/>
              </w:rPr>
            </w:pPr>
            <w:r>
              <w:rPr>
                <w:rFonts w:ascii="Arial" w:cs="Arial" w:eastAsia="Arial" w:hAnsi="Arial"/>
                <w:sz w:val="18"/>
                <w:szCs w:val="18"/>
                <w:color w:val="auto"/>
                <w:w w:val="85"/>
              </w:rPr>
              <w:t>10.3</w:t>
            </w:r>
          </w:p>
        </w:tc>
        <w:tc>
          <w:tcPr>
            <w:tcW w:w="880" w:type="dxa"/>
            <w:vAlign w:val="bottom"/>
            <w:gridSpan w:val="2"/>
          </w:tcPr>
          <w:p>
            <w:pPr>
              <w:jc w:val="center"/>
              <w:ind w:left="52"/>
              <w:spacing w:after="0"/>
              <w:rPr>
                <w:sz w:val="20"/>
                <w:szCs w:val="20"/>
                <w:color w:val="auto"/>
              </w:rPr>
            </w:pPr>
            <w:r>
              <w:rPr>
                <w:rFonts w:ascii="Arial" w:cs="Arial" w:eastAsia="Arial" w:hAnsi="Arial"/>
                <w:sz w:val="18"/>
                <w:szCs w:val="18"/>
                <w:color w:val="auto"/>
                <w:w w:val="91"/>
              </w:rPr>
              <w:t>1/8/09</w:t>
            </w: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6100" w:type="dxa"/>
            <w:vAlign w:val="bottom"/>
            <w:gridSpan w:val="3"/>
          </w:tcPr>
          <w:p>
            <w:pPr>
              <w:ind w:left="160"/>
              <w:spacing w:after="0"/>
              <w:rPr>
                <w:sz w:val="20"/>
                <w:szCs w:val="20"/>
                <w:color w:val="auto"/>
              </w:rPr>
            </w:pPr>
            <w:r>
              <w:rPr>
                <w:rFonts w:ascii="Arial" w:cs="Arial" w:eastAsia="Arial" w:hAnsi="Arial"/>
                <w:sz w:val="18"/>
                <w:szCs w:val="18"/>
                <w:color w:val="auto"/>
              </w:rPr>
              <w:t>Tibor Keler, Ph.D.</w:t>
            </w:r>
          </w:p>
        </w:tc>
        <w:tc>
          <w:tcPr>
            <w:tcW w:w="860" w:type="dxa"/>
            <w:vAlign w:val="bottom"/>
            <w:gridSpan w:val="2"/>
          </w:tcPr>
          <w:p>
            <w:pPr>
              <w:jc w:val="right"/>
              <w:ind w:right="75"/>
              <w:spacing w:after="0"/>
              <w:rPr>
                <w:sz w:val="20"/>
                <w:szCs w:val="20"/>
                <w:color w:val="auto"/>
              </w:rPr>
            </w:pPr>
            <w:r>
              <w:rPr>
                <w:rFonts w:ascii="Arial" w:cs="Arial" w:eastAsia="Arial" w:hAnsi="Arial"/>
                <w:sz w:val="18"/>
                <w:szCs w:val="18"/>
                <w:color w:val="auto"/>
              </w:rPr>
              <w:t>(000-</w:t>
            </w:r>
          </w:p>
        </w:tc>
        <w:tc>
          <w:tcPr>
            <w:tcW w:w="1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4880" w:type="dxa"/>
            <w:vAlign w:val="bottom"/>
          </w:tcPr>
          <w:p>
            <w:pPr>
              <w:spacing w:after="0"/>
              <w:rPr>
                <w:sz w:val="18"/>
                <w:szCs w:val="18"/>
                <w:color w:val="auto"/>
              </w:rPr>
            </w:pPr>
          </w:p>
        </w:tc>
        <w:tc>
          <w:tcPr>
            <w:tcW w:w="860" w:type="dxa"/>
            <w:vAlign w:val="bottom"/>
            <w:gridSpan w:val="2"/>
          </w:tcPr>
          <w:p>
            <w:pPr>
              <w:jc w:val="right"/>
              <w:ind w:right="15"/>
              <w:spacing w:after="0"/>
              <w:rPr>
                <w:sz w:val="20"/>
                <w:szCs w:val="20"/>
                <w:color w:val="auto"/>
              </w:rPr>
            </w:pPr>
            <w:r>
              <w:rPr>
                <w:rFonts w:ascii="Arial" w:cs="Arial" w:eastAsia="Arial" w:hAnsi="Arial"/>
                <w:sz w:val="18"/>
                <w:szCs w:val="18"/>
                <w:color w:val="auto"/>
              </w:rPr>
              <w:t>15006)</w:t>
            </w:r>
          </w:p>
        </w:tc>
        <w:tc>
          <w:tcPr>
            <w:tcW w:w="1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†10.61</w:t>
            </w:r>
          </w:p>
        </w:tc>
        <w:tc>
          <w:tcPr>
            <w:tcW w:w="6100" w:type="dxa"/>
            <w:vAlign w:val="bottom"/>
            <w:gridSpan w:val="3"/>
          </w:tcPr>
          <w:p>
            <w:pPr>
              <w:ind w:left="160"/>
              <w:spacing w:after="0"/>
              <w:rPr>
                <w:sz w:val="20"/>
                <w:szCs w:val="20"/>
                <w:color w:val="auto"/>
              </w:rPr>
            </w:pPr>
            <w:r>
              <w:rPr>
                <w:rFonts w:ascii="Arial" w:cs="Arial" w:eastAsia="Arial" w:hAnsi="Arial"/>
                <w:sz w:val="18"/>
                <w:szCs w:val="18"/>
                <w:color w:val="auto"/>
                <w:w w:val="92"/>
              </w:rPr>
              <w:t>Amended and Restated Employment Agreement, dated January 6, 2009, by and</w:t>
            </w:r>
          </w:p>
        </w:tc>
        <w:tc>
          <w:tcPr>
            <w:tcW w:w="160" w:type="dxa"/>
            <w:vAlign w:val="bottom"/>
          </w:tcPr>
          <w:p>
            <w:pPr>
              <w:spacing w:after="0"/>
              <w:rPr>
                <w:sz w:val="18"/>
                <w:szCs w:val="18"/>
                <w:color w:val="auto"/>
              </w:rPr>
            </w:pPr>
          </w:p>
        </w:tc>
        <w:tc>
          <w:tcPr>
            <w:tcW w:w="700" w:type="dxa"/>
            <w:vAlign w:val="bottom"/>
          </w:tcPr>
          <w:p>
            <w:pPr>
              <w:jc w:val="center"/>
              <w:spacing w:after="0"/>
              <w:rPr>
                <w:sz w:val="20"/>
                <w:szCs w:val="20"/>
                <w:color w:val="auto"/>
              </w:rPr>
            </w:pPr>
            <w:r>
              <w:rPr>
                <w:rFonts w:ascii="Arial" w:cs="Arial" w:eastAsia="Arial" w:hAnsi="Arial"/>
                <w:sz w:val="18"/>
                <w:szCs w:val="18"/>
                <w:color w:val="auto"/>
                <w:w w:val="92"/>
              </w:rPr>
              <w:t>8-K</w:t>
            </w:r>
          </w:p>
        </w:tc>
        <w:tc>
          <w:tcPr>
            <w:tcW w:w="660" w:type="dxa"/>
            <w:vAlign w:val="bottom"/>
            <w:gridSpan w:val="2"/>
          </w:tcPr>
          <w:p>
            <w:pPr>
              <w:jc w:val="center"/>
              <w:ind w:left="72"/>
              <w:spacing w:after="0"/>
              <w:rPr>
                <w:sz w:val="20"/>
                <w:szCs w:val="20"/>
                <w:color w:val="auto"/>
              </w:rPr>
            </w:pPr>
            <w:r>
              <w:rPr>
                <w:rFonts w:ascii="Arial" w:cs="Arial" w:eastAsia="Arial" w:hAnsi="Arial"/>
                <w:sz w:val="18"/>
                <w:szCs w:val="18"/>
                <w:color w:val="auto"/>
                <w:w w:val="85"/>
              </w:rPr>
              <w:t>10.4</w:t>
            </w:r>
          </w:p>
        </w:tc>
        <w:tc>
          <w:tcPr>
            <w:tcW w:w="880" w:type="dxa"/>
            <w:vAlign w:val="bottom"/>
            <w:gridSpan w:val="2"/>
          </w:tcPr>
          <w:p>
            <w:pPr>
              <w:jc w:val="center"/>
              <w:ind w:left="52"/>
              <w:spacing w:after="0"/>
              <w:rPr>
                <w:sz w:val="20"/>
                <w:szCs w:val="20"/>
                <w:color w:val="auto"/>
              </w:rPr>
            </w:pPr>
            <w:r>
              <w:rPr>
                <w:rFonts w:ascii="Arial" w:cs="Arial" w:eastAsia="Arial" w:hAnsi="Arial"/>
                <w:sz w:val="18"/>
                <w:szCs w:val="18"/>
                <w:color w:val="auto"/>
                <w:w w:val="91"/>
              </w:rPr>
              <w:t>1/8/09</w:t>
            </w: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6100" w:type="dxa"/>
            <w:vAlign w:val="bottom"/>
            <w:gridSpan w:val="3"/>
          </w:tcPr>
          <w:p>
            <w:pPr>
              <w:ind w:left="160"/>
              <w:spacing w:after="0"/>
              <w:rPr>
                <w:sz w:val="20"/>
                <w:szCs w:val="20"/>
                <w:color w:val="auto"/>
              </w:rPr>
            </w:pPr>
            <w:r>
              <w:rPr>
                <w:rFonts w:ascii="Arial" w:cs="Arial" w:eastAsia="Arial" w:hAnsi="Arial"/>
                <w:sz w:val="18"/>
                <w:szCs w:val="18"/>
                <w:color w:val="auto"/>
              </w:rPr>
              <w:t>between the Company and Anthony S. Marucci.</w:t>
            </w:r>
          </w:p>
        </w:tc>
        <w:tc>
          <w:tcPr>
            <w:tcW w:w="860" w:type="dxa"/>
            <w:vAlign w:val="bottom"/>
            <w:gridSpan w:val="2"/>
          </w:tcPr>
          <w:p>
            <w:pPr>
              <w:jc w:val="right"/>
              <w:ind w:right="75"/>
              <w:spacing w:after="0"/>
              <w:rPr>
                <w:sz w:val="20"/>
                <w:szCs w:val="20"/>
                <w:color w:val="auto"/>
              </w:rPr>
            </w:pPr>
            <w:r>
              <w:rPr>
                <w:rFonts w:ascii="Arial" w:cs="Arial" w:eastAsia="Arial" w:hAnsi="Arial"/>
                <w:sz w:val="18"/>
                <w:szCs w:val="18"/>
                <w:color w:val="auto"/>
              </w:rPr>
              <w:t>(000-</w:t>
            </w:r>
          </w:p>
        </w:tc>
        <w:tc>
          <w:tcPr>
            <w:tcW w:w="1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4880" w:type="dxa"/>
            <w:vAlign w:val="bottom"/>
          </w:tcPr>
          <w:p>
            <w:pPr>
              <w:spacing w:after="0"/>
              <w:rPr>
                <w:sz w:val="18"/>
                <w:szCs w:val="18"/>
                <w:color w:val="auto"/>
              </w:rPr>
            </w:pPr>
          </w:p>
        </w:tc>
        <w:tc>
          <w:tcPr>
            <w:tcW w:w="860" w:type="dxa"/>
            <w:vAlign w:val="bottom"/>
            <w:gridSpan w:val="2"/>
          </w:tcPr>
          <w:p>
            <w:pPr>
              <w:jc w:val="right"/>
              <w:ind w:right="15"/>
              <w:spacing w:after="0"/>
              <w:rPr>
                <w:sz w:val="20"/>
                <w:szCs w:val="20"/>
                <w:color w:val="auto"/>
              </w:rPr>
            </w:pPr>
            <w:r>
              <w:rPr>
                <w:rFonts w:ascii="Arial" w:cs="Arial" w:eastAsia="Arial" w:hAnsi="Arial"/>
                <w:sz w:val="18"/>
                <w:szCs w:val="18"/>
                <w:color w:val="auto"/>
              </w:rPr>
              <w:t>15006)</w:t>
            </w:r>
          </w:p>
        </w:tc>
        <w:tc>
          <w:tcPr>
            <w:tcW w:w="1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†10.62</w:t>
            </w:r>
          </w:p>
        </w:tc>
        <w:tc>
          <w:tcPr>
            <w:tcW w:w="6100" w:type="dxa"/>
            <w:vAlign w:val="bottom"/>
            <w:gridSpan w:val="3"/>
          </w:tcPr>
          <w:p>
            <w:pPr>
              <w:ind w:left="160"/>
              <w:spacing w:after="0"/>
              <w:rPr>
                <w:sz w:val="20"/>
                <w:szCs w:val="20"/>
                <w:color w:val="auto"/>
              </w:rPr>
            </w:pPr>
            <w:r>
              <w:rPr>
                <w:rFonts w:ascii="Arial" w:cs="Arial" w:eastAsia="Arial" w:hAnsi="Arial"/>
                <w:sz w:val="18"/>
                <w:szCs w:val="18"/>
                <w:color w:val="auto"/>
              </w:rPr>
              <w:t>Form of Stock Option Agreement</w:t>
            </w:r>
          </w:p>
        </w:tc>
        <w:tc>
          <w:tcPr>
            <w:tcW w:w="160" w:type="dxa"/>
            <w:vAlign w:val="bottom"/>
          </w:tcPr>
          <w:p>
            <w:pPr>
              <w:spacing w:after="0"/>
              <w:rPr>
                <w:sz w:val="18"/>
                <w:szCs w:val="18"/>
                <w:color w:val="auto"/>
              </w:rPr>
            </w:pPr>
          </w:p>
        </w:tc>
        <w:tc>
          <w:tcPr>
            <w:tcW w:w="700" w:type="dxa"/>
            <w:vAlign w:val="bottom"/>
          </w:tcPr>
          <w:p>
            <w:pPr>
              <w:jc w:val="center"/>
              <w:spacing w:after="0"/>
              <w:rPr>
                <w:sz w:val="20"/>
                <w:szCs w:val="20"/>
                <w:color w:val="auto"/>
              </w:rPr>
            </w:pPr>
            <w:r>
              <w:rPr>
                <w:rFonts w:ascii="Arial" w:cs="Arial" w:eastAsia="Arial" w:hAnsi="Arial"/>
                <w:sz w:val="18"/>
                <w:szCs w:val="18"/>
                <w:color w:val="auto"/>
                <w:w w:val="92"/>
              </w:rPr>
              <w:t>8-K</w:t>
            </w:r>
          </w:p>
        </w:tc>
        <w:tc>
          <w:tcPr>
            <w:tcW w:w="660" w:type="dxa"/>
            <w:vAlign w:val="bottom"/>
            <w:gridSpan w:val="2"/>
          </w:tcPr>
          <w:p>
            <w:pPr>
              <w:jc w:val="center"/>
              <w:ind w:left="72"/>
              <w:spacing w:after="0"/>
              <w:rPr>
                <w:sz w:val="20"/>
                <w:szCs w:val="20"/>
                <w:color w:val="auto"/>
              </w:rPr>
            </w:pPr>
            <w:r>
              <w:rPr>
                <w:rFonts w:ascii="Arial" w:cs="Arial" w:eastAsia="Arial" w:hAnsi="Arial"/>
                <w:sz w:val="18"/>
                <w:szCs w:val="18"/>
                <w:color w:val="auto"/>
                <w:w w:val="85"/>
              </w:rPr>
              <w:t>10.1</w:t>
            </w:r>
          </w:p>
        </w:tc>
        <w:tc>
          <w:tcPr>
            <w:tcW w:w="880" w:type="dxa"/>
            <w:vAlign w:val="bottom"/>
            <w:gridSpan w:val="2"/>
          </w:tcPr>
          <w:p>
            <w:pPr>
              <w:jc w:val="center"/>
              <w:ind w:left="52"/>
              <w:spacing w:after="0"/>
              <w:rPr>
                <w:sz w:val="20"/>
                <w:szCs w:val="20"/>
                <w:color w:val="auto"/>
              </w:rPr>
            </w:pPr>
            <w:r>
              <w:rPr>
                <w:rFonts w:ascii="Arial" w:cs="Arial" w:eastAsia="Arial" w:hAnsi="Arial"/>
                <w:sz w:val="18"/>
                <w:szCs w:val="18"/>
                <w:color w:val="auto"/>
                <w:w w:val="89"/>
              </w:rPr>
              <w:t>1/25/10</w:t>
            </w: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4880" w:type="dxa"/>
            <w:vAlign w:val="bottom"/>
          </w:tcPr>
          <w:p>
            <w:pPr>
              <w:spacing w:after="0"/>
              <w:rPr>
                <w:sz w:val="18"/>
                <w:szCs w:val="18"/>
                <w:color w:val="auto"/>
              </w:rPr>
            </w:pPr>
          </w:p>
        </w:tc>
        <w:tc>
          <w:tcPr>
            <w:tcW w:w="860" w:type="dxa"/>
            <w:vAlign w:val="bottom"/>
            <w:gridSpan w:val="2"/>
          </w:tcPr>
          <w:p>
            <w:pPr>
              <w:jc w:val="right"/>
              <w:ind w:right="75"/>
              <w:spacing w:after="0"/>
              <w:rPr>
                <w:sz w:val="20"/>
                <w:szCs w:val="20"/>
                <w:color w:val="auto"/>
              </w:rPr>
            </w:pPr>
            <w:r>
              <w:rPr>
                <w:rFonts w:ascii="Arial" w:cs="Arial" w:eastAsia="Arial" w:hAnsi="Arial"/>
                <w:sz w:val="18"/>
                <w:szCs w:val="18"/>
                <w:color w:val="auto"/>
              </w:rPr>
              <w:t>(000-</w:t>
            </w:r>
          </w:p>
        </w:tc>
        <w:tc>
          <w:tcPr>
            <w:tcW w:w="1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4880" w:type="dxa"/>
            <w:vAlign w:val="bottom"/>
          </w:tcPr>
          <w:p>
            <w:pPr>
              <w:spacing w:after="0"/>
              <w:rPr>
                <w:sz w:val="18"/>
                <w:szCs w:val="18"/>
                <w:color w:val="auto"/>
              </w:rPr>
            </w:pPr>
          </w:p>
        </w:tc>
        <w:tc>
          <w:tcPr>
            <w:tcW w:w="860" w:type="dxa"/>
            <w:vAlign w:val="bottom"/>
            <w:gridSpan w:val="2"/>
          </w:tcPr>
          <w:p>
            <w:pPr>
              <w:jc w:val="right"/>
              <w:ind w:right="15"/>
              <w:spacing w:after="0"/>
              <w:rPr>
                <w:sz w:val="20"/>
                <w:szCs w:val="20"/>
                <w:color w:val="auto"/>
              </w:rPr>
            </w:pPr>
            <w:r>
              <w:rPr>
                <w:rFonts w:ascii="Arial" w:cs="Arial" w:eastAsia="Arial" w:hAnsi="Arial"/>
                <w:sz w:val="18"/>
                <w:szCs w:val="18"/>
                <w:color w:val="auto"/>
              </w:rPr>
              <w:t>15006)</w:t>
            </w:r>
          </w:p>
        </w:tc>
        <w:tc>
          <w:tcPr>
            <w:tcW w:w="1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†10.63</w:t>
            </w:r>
          </w:p>
        </w:tc>
        <w:tc>
          <w:tcPr>
            <w:tcW w:w="6100" w:type="dxa"/>
            <w:vAlign w:val="bottom"/>
            <w:gridSpan w:val="3"/>
          </w:tcPr>
          <w:p>
            <w:pPr>
              <w:ind w:left="160"/>
              <w:spacing w:after="0"/>
              <w:rPr>
                <w:sz w:val="20"/>
                <w:szCs w:val="20"/>
                <w:color w:val="auto"/>
              </w:rPr>
            </w:pPr>
            <w:r>
              <w:rPr>
                <w:rFonts w:ascii="Arial" w:cs="Arial" w:eastAsia="Arial" w:hAnsi="Arial"/>
                <w:sz w:val="18"/>
                <w:szCs w:val="18"/>
                <w:color w:val="auto"/>
              </w:rPr>
              <w:t>CuraGen 2007 Stock Incentive Plan, amended and restated</w:t>
            </w:r>
          </w:p>
        </w:tc>
        <w:tc>
          <w:tcPr>
            <w:tcW w:w="160" w:type="dxa"/>
            <w:vAlign w:val="bottom"/>
          </w:tcPr>
          <w:p>
            <w:pPr>
              <w:spacing w:after="0"/>
              <w:rPr>
                <w:sz w:val="18"/>
                <w:szCs w:val="18"/>
                <w:color w:val="auto"/>
              </w:rPr>
            </w:pPr>
          </w:p>
        </w:tc>
        <w:tc>
          <w:tcPr>
            <w:tcW w:w="700" w:type="dxa"/>
            <w:vAlign w:val="bottom"/>
          </w:tcPr>
          <w:p>
            <w:pPr>
              <w:jc w:val="center"/>
              <w:spacing w:after="0"/>
              <w:rPr>
                <w:sz w:val="20"/>
                <w:szCs w:val="20"/>
                <w:color w:val="auto"/>
              </w:rPr>
            </w:pPr>
            <w:r>
              <w:rPr>
                <w:rFonts w:ascii="Arial" w:cs="Arial" w:eastAsia="Arial" w:hAnsi="Arial"/>
                <w:sz w:val="18"/>
                <w:szCs w:val="18"/>
                <w:color w:val="auto"/>
                <w:w w:val="94"/>
              </w:rPr>
              <w:t>10-K</w:t>
            </w:r>
          </w:p>
        </w:tc>
        <w:tc>
          <w:tcPr>
            <w:tcW w:w="660" w:type="dxa"/>
            <w:vAlign w:val="bottom"/>
            <w:gridSpan w:val="2"/>
          </w:tcPr>
          <w:p>
            <w:pPr>
              <w:jc w:val="center"/>
              <w:ind w:left="52"/>
              <w:spacing w:after="0"/>
              <w:rPr>
                <w:sz w:val="20"/>
                <w:szCs w:val="20"/>
                <w:color w:val="auto"/>
              </w:rPr>
            </w:pPr>
            <w:r>
              <w:rPr>
                <w:rFonts w:ascii="Arial" w:cs="Arial" w:eastAsia="Arial" w:hAnsi="Arial"/>
                <w:sz w:val="18"/>
                <w:szCs w:val="18"/>
                <w:color w:val="auto"/>
                <w:w w:val="88"/>
              </w:rPr>
              <w:t>10.41</w:t>
            </w:r>
          </w:p>
        </w:tc>
        <w:tc>
          <w:tcPr>
            <w:tcW w:w="880" w:type="dxa"/>
            <w:vAlign w:val="bottom"/>
            <w:gridSpan w:val="2"/>
          </w:tcPr>
          <w:p>
            <w:pPr>
              <w:jc w:val="center"/>
              <w:ind w:left="52"/>
              <w:spacing w:after="0"/>
              <w:rPr>
                <w:sz w:val="20"/>
                <w:szCs w:val="20"/>
                <w:color w:val="auto"/>
              </w:rPr>
            </w:pPr>
            <w:r>
              <w:rPr>
                <w:rFonts w:ascii="Arial" w:cs="Arial" w:eastAsia="Arial" w:hAnsi="Arial"/>
                <w:sz w:val="18"/>
                <w:szCs w:val="18"/>
                <w:color w:val="auto"/>
                <w:w w:val="89"/>
              </w:rPr>
              <w:t>3/12/10</w:t>
            </w: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4880" w:type="dxa"/>
            <w:vAlign w:val="bottom"/>
          </w:tcPr>
          <w:p>
            <w:pPr>
              <w:spacing w:after="0"/>
              <w:rPr>
                <w:sz w:val="18"/>
                <w:szCs w:val="18"/>
                <w:color w:val="auto"/>
              </w:rPr>
            </w:pPr>
          </w:p>
        </w:tc>
        <w:tc>
          <w:tcPr>
            <w:tcW w:w="860" w:type="dxa"/>
            <w:vAlign w:val="bottom"/>
            <w:gridSpan w:val="2"/>
          </w:tcPr>
          <w:p>
            <w:pPr>
              <w:jc w:val="right"/>
              <w:ind w:right="75"/>
              <w:spacing w:after="0"/>
              <w:rPr>
                <w:sz w:val="20"/>
                <w:szCs w:val="20"/>
                <w:color w:val="auto"/>
              </w:rPr>
            </w:pPr>
            <w:r>
              <w:rPr>
                <w:rFonts w:ascii="Arial" w:cs="Arial" w:eastAsia="Arial" w:hAnsi="Arial"/>
                <w:sz w:val="18"/>
                <w:szCs w:val="18"/>
                <w:color w:val="auto"/>
              </w:rPr>
              <w:t>(000-</w:t>
            </w:r>
          </w:p>
        </w:tc>
        <w:tc>
          <w:tcPr>
            <w:tcW w:w="1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4880" w:type="dxa"/>
            <w:vAlign w:val="bottom"/>
          </w:tcPr>
          <w:p>
            <w:pPr>
              <w:spacing w:after="0"/>
              <w:rPr>
                <w:sz w:val="18"/>
                <w:szCs w:val="18"/>
                <w:color w:val="auto"/>
              </w:rPr>
            </w:pPr>
          </w:p>
        </w:tc>
        <w:tc>
          <w:tcPr>
            <w:tcW w:w="860" w:type="dxa"/>
            <w:vAlign w:val="bottom"/>
            <w:gridSpan w:val="2"/>
          </w:tcPr>
          <w:p>
            <w:pPr>
              <w:jc w:val="right"/>
              <w:ind w:right="15"/>
              <w:spacing w:after="0"/>
              <w:rPr>
                <w:sz w:val="20"/>
                <w:szCs w:val="20"/>
                <w:color w:val="auto"/>
              </w:rPr>
            </w:pPr>
            <w:r>
              <w:rPr>
                <w:rFonts w:ascii="Arial" w:cs="Arial" w:eastAsia="Arial" w:hAnsi="Arial"/>
                <w:sz w:val="18"/>
                <w:szCs w:val="18"/>
                <w:color w:val="auto"/>
              </w:rPr>
              <w:t>15006)</w:t>
            </w:r>
          </w:p>
        </w:tc>
        <w:tc>
          <w:tcPr>
            <w:tcW w:w="1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†10.64</w:t>
            </w:r>
          </w:p>
        </w:tc>
        <w:tc>
          <w:tcPr>
            <w:tcW w:w="6100" w:type="dxa"/>
            <w:vAlign w:val="bottom"/>
            <w:gridSpan w:val="3"/>
          </w:tcPr>
          <w:p>
            <w:pPr>
              <w:ind w:left="160"/>
              <w:spacing w:after="0"/>
              <w:rPr>
                <w:sz w:val="20"/>
                <w:szCs w:val="20"/>
                <w:color w:val="auto"/>
              </w:rPr>
            </w:pPr>
            <w:r>
              <w:rPr>
                <w:rFonts w:ascii="Arial" w:cs="Arial" w:eastAsia="Arial" w:hAnsi="Arial"/>
                <w:sz w:val="18"/>
                <w:szCs w:val="18"/>
                <w:color w:val="auto"/>
              </w:rPr>
              <w:t>Form of Restricted Stock Award</w:t>
            </w:r>
          </w:p>
        </w:tc>
        <w:tc>
          <w:tcPr>
            <w:tcW w:w="160" w:type="dxa"/>
            <w:vAlign w:val="bottom"/>
          </w:tcPr>
          <w:p>
            <w:pPr>
              <w:spacing w:after="0"/>
              <w:rPr>
                <w:sz w:val="18"/>
                <w:szCs w:val="18"/>
                <w:color w:val="auto"/>
              </w:rPr>
            </w:pPr>
          </w:p>
        </w:tc>
        <w:tc>
          <w:tcPr>
            <w:tcW w:w="700" w:type="dxa"/>
            <w:vAlign w:val="bottom"/>
          </w:tcPr>
          <w:p>
            <w:pPr>
              <w:jc w:val="center"/>
              <w:spacing w:after="0"/>
              <w:rPr>
                <w:sz w:val="20"/>
                <w:szCs w:val="20"/>
                <w:color w:val="auto"/>
              </w:rPr>
            </w:pPr>
            <w:r>
              <w:rPr>
                <w:rFonts w:ascii="Arial" w:cs="Arial" w:eastAsia="Arial" w:hAnsi="Arial"/>
                <w:sz w:val="18"/>
                <w:szCs w:val="18"/>
                <w:color w:val="auto"/>
                <w:w w:val="94"/>
              </w:rPr>
              <w:t>10-K</w:t>
            </w:r>
          </w:p>
        </w:tc>
        <w:tc>
          <w:tcPr>
            <w:tcW w:w="660" w:type="dxa"/>
            <w:vAlign w:val="bottom"/>
            <w:gridSpan w:val="2"/>
          </w:tcPr>
          <w:p>
            <w:pPr>
              <w:jc w:val="center"/>
              <w:ind w:left="52"/>
              <w:spacing w:after="0"/>
              <w:rPr>
                <w:sz w:val="20"/>
                <w:szCs w:val="20"/>
                <w:color w:val="auto"/>
              </w:rPr>
            </w:pPr>
            <w:r>
              <w:rPr>
                <w:rFonts w:ascii="Arial" w:cs="Arial" w:eastAsia="Arial" w:hAnsi="Arial"/>
                <w:sz w:val="18"/>
                <w:szCs w:val="18"/>
                <w:color w:val="auto"/>
                <w:w w:val="88"/>
              </w:rPr>
              <w:t>10.42</w:t>
            </w:r>
          </w:p>
        </w:tc>
        <w:tc>
          <w:tcPr>
            <w:tcW w:w="880" w:type="dxa"/>
            <w:vAlign w:val="bottom"/>
            <w:gridSpan w:val="2"/>
          </w:tcPr>
          <w:p>
            <w:pPr>
              <w:jc w:val="center"/>
              <w:ind w:left="52"/>
              <w:spacing w:after="0"/>
              <w:rPr>
                <w:sz w:val="20"/>
                <w:szCs w:val="20"/>
                <w:color w:val="auto"/>
              </w:rPr>
            </w:pPr>
            <w:r>
              <w:rPr>
                <w:rFonts w:ascii="Arial" w:cs="Arial" w:eastAsia="Arial" w:hAnsi="Arial"/>
                <w:sz w:val="18"/>
                <w:szCs w:val="18"/>
                <w:color w:val="auto"/>
                <w:w w:val="89"/>
              </w:rPr>
              <w:t>3/12/10</w:t>
            </w: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4880" w:type="dxa"/>
            <w:vAlign w:val="bottom"/>
          </w:tcPr>
          <w:p>
            <w:pPr>
              <w:spacing w:after="0"/>
              <w:rPr>
                <w:sz w:val="18"/>
                <w:szCs w:val="18"/>
                <w:color w:val="auto"/>
              </w:rPr>
            </w:pPr>
          </w:p>
        </w:tc>
        <w:tc>
          <w:tcPr>
            <w:tcW w:w="860" w:type="dxa"/>
            <w:vAlign w:val="bottom"/>
            <w:gridSpan w:val="2"/>
          </w:tcPr>
          <w:p>
            <w:pPr>
              <w:jc w:val="right"/>
              <w:ind w:right="75"/>
              <w:spacing w:after="0"/>
              <w:rPr>
                <w:sz w:val="20"/>
                <w:szCs w:val="20"/>
                <w:color w:val="auto"/>
              </w:rPr>
            </w:pPr>
            <w:r>
              <w:rPr>
                <w:rFonts w:ascii="Arial" w:cs="Arial" w:eastAsia="Arial" w:hAnsi="Arial"/>
                <w:sz w:val="18"/>
                <w:szCs w:val="18"/>
                <w:color w:val="auto"/>
              </w:rPr>
              <w:t>(000-</w:t>
            </w:r>
          </w:p>
        </w:tc>
        <w:tc>
          <w:tcPr>
            <w:tcW w:w="1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4880" w:type="dxa"/>
            <w:vAlign w:val="bottom"/>
          </w:tcPr>
          <w:p>
            <w:pPr>
              <w:spacing w:after="0"/>
              <w:rPr>
                <w:sz w:val="18"/>
                <w:szCs w:val="18"/>
                <w:color w:val="auto"/>
              </w:rPr>
            </w:pPr>
          </w:p>
        </w:tc>
        <w:tc>
          <w:tcPr>
            <w:tcW w:w="860" w:type="dxa"/>
            <w:vAlign w:val="bottom"/>
            <w:gridSpan w:val="2"/>
          </w:tcPr>
          <w:p>
            <w:pPr>
              <w:jc w:val="right"/>
              <w:ind w:right="15"/>
              <w:spacing w:after="0"/>
              <w:rPr>
                <w:sz w:val="20"/>
                <w:szCs w:val="20"/>
                <w:color w:val="auto"/>
              </w:rPr>
            </w:pPr>
            <w:r>
              <w:rPr>
                <w:rFonts w:ascii="Arial" w:cs="Arial" w:eastAsia="Arial" w:hAnsi="Arial"/>
                <w:sz w:val="18"/>
                <w:szCs w:val="18"/>
                <w:color w:val="auto"/>
              </w:rPr>
              <w:t>15006)</w:t>
            </w:r>
          </w:p>
        </w:tc>
        <w:tc>
          <w:tcPr>
            <w:tcW w:w="1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780" w:type="dxa"/>
            <w:vAlign w:val="bottom"/>
            <w:gridSpan w:val="2"/>
          </w:tcPr>
          <w:p>
            <w:pPr>
              <w:jc w:val="right"/>
              <w:spacing w:after="0"/>
              <w:rPr>
                <w:sz w:val="20"/>
                <w:szCs w:val="20"/>
                <w:color w:val="auto"/>
              </w:rPr>
            </w:pPr>
            <w:r>
              <w:rPr>
                <w:rFonts w:ascii="Arial" w:cs="Arial" w:eastAsia="Arial" w:hAnsi="Arial"/>
                <w:sz w:val="18"/>
                <w:szCs w:val="18"/>
                <w:color w:val="auto"/>
              </w:rPr>
              <w:t>21.0</w:t>
            </w:r>
          </w:p>
        </w:tc>
        <w:tc>
          <w:tcPr>
            <w:tcW w:w="6100" w:type="dxa"/>
            <w:vAlign w:val="bottom"/>
            <w:gridSpan w:val="3"/>
          </w:tcPr>
          <w:p>
            <w:pPr>
              <w:ind w:left="160"/>
              <w:spacing w:after="0"/>
              <w:rPr>
                <w:sz w:val="20"/>
                <w:szCs w:val="20"/>
                <w:color w:val="auto"/>
              </w:rPr>
            </w:pPr>
            <w:r>
              <w:rPr>
                <w:rFonts w:ascii="Arial" w:cs="Arial" w:eastAsia="Arial" w:hAnsi="Arial"/>
                <w:sz w:val="18"/>
                <w:szCs w:val="18"/>
                <w:color w:val="auto"/>
              </w:rPr>
              <w:t>List of Subsidiaries</w:t>
            </w:r>
          </w:p>
        </w:tc>
        <w:tc>
          <w:tcPr>
            <w:tcW w:w="160" w:type="dxa"/>
            <w:vAlign w:val="bottom"/>
          </w:tcPr>
          <w:p>
            <w:pPr>
              <w:spacing w:after="0"/>
              <w:rPr>
                <w:sz w:val="18"/>
                <w:szCs w:val="18"/>
                <w:color w:val="auto"/>
              </w:rPr>
            </w:pPr>
          </w:p>
        </w:tc>
        <w:tc>
          <w:tcPr>
            <w:tcW w:w="700" w:type="dxa"/>
            <w:vAlign w:val="bottom"/>
          </w:tcPr>
          <w:p>
            <w:pPr>
              <w:jc w:val="center"/>
              <w:spacing w:after="0"/>
              <w:rPr>
                <w:sz w:val="20"/>
                <w:szCs w:val="20"/>
                <w:color w:val="auto"/>
              </w:rPr>
            </w:pPr>
            <w:r>
              <w:rPr>
                <w:rFonts w:ascii="Arial" w:cs="Arial" w:eastAsia="Arial" w:hAnsi="Arial"/>
                <w:sz w:val="18"/>
                <w:szCs w:val="18"/>
                <w:color w:val="auto"/>
                <w:w w:val="92"/>
              </w:rPr>
              <w:t>Filed</w:t>
            </w:r>
          </w:p>
        </w:tc>
        <w:tc>
          <w:tcPr>
            <w:tcW w:w="1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48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tcPr>
          <w:p>
            <w:pPr>
              <w:jc w:val="center"/>
              <w:spacing w:after="0"/>
              <w:rPr>
                <w:sz w:val="20"/>
                <w:szCs w:val="20"/>
                <w:color w:val="auto"/>
              </w:rPr>
            </w:pPr>
            <w:r>
              <w:rPr>
                <w:rFonts w:ascii="Arial" w:cs="Arial" w:eastAsia="Arial" w:hAnsi="Arial"/>
                <w:sz w:val="18"/>
                <w:szCs w:val="18"/>
                <w:color w:val="auto"/>
                <w:w w:val="91"/>
              </w:rPr>
              <w:t>herewith</w:t>
            </w:r>
          </w:p>
        </w:tc>
        <w:tc>
          <w:tcPr>
            <w:tcW w:w="1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780" w:type="dxa"/>
            <w:vAlign w:val="bottom"/>
            <w:gridSpan w:val="2"/>
          </w:tcPr>
          <w:p>
            <w:pPr>
              <w:jc w:val="right"/>
              <w:spacing w:after="0"/>
              <w:rPr>
                <w:sz w:val="20"/>
                <w:szCs w:val="20"/>
                <w:color w:val="auto"/>
              </w:rPr>
            </w:pPr>
            <w:r>
              <w:rPr>
                <w:rFonts w:ascii="Arial" w:cs="Arial" w:eastAsia="Arial" w:hAnsi="Arial"/>
                <w:sz w:val="18"/>
                <w:szCs w:val="18"/>
                <w:color w:val="auto"/>
              </w:rPr>
              <w:t>23.1</w:t>
            </w:r>
          </w:p>
        </w:tc>
        <w:tc>
          <w:tcPr>
            <w:tcW w:w="6100" w:type="dxa"/>
            <w:vAlign w:val="bottom"/>
            <w:gridSpan w:val="3"/>
          </w:tcPr>
          <w:p>
            <w:pPr>
              <w:ind w:left="160"/>
              <w:spacing w:after="0"/>
              <w:rPr>
                <w:sz w:val="20"/>
                <w:szCs w:val="20"/>
                <w:color w:val="auto"/>
              </w:rPr>
            </w:pPr>
            <w:r>
              <w:rPr>
                <w:rFonts w:ascii="Arial" w:cs="Arial" w:eastAsia="Arial" w:hAnsi="Arial"/>
                <w:sz w:val="18"/>
                <w:szCs w:val="18"/>
                <w:color w:val="auto"/>
              </w:rPr>
              <w:t>Consent of PricewaterhouseCoopers LLP Independent Registered Public</w:t>
            </w:r>
          </w:p>
        </w:tc>
        <w:tc>
          <w:tcPr>
            <w:tcW w:w="160" w:type="dxa"/>
            <w:vAlign w:val="bottom"/>
          </w:tcPr>
          <w:p>
            <w:pPr>
              <w:spacing w:after="0"/>
              <w:rPr>
                <w:sz w:val="18"/>
                <w:szCs w:val="18"/>
                <w:color w:val="auto"/>
              </w:rPr>
            </w:pPr>
          </w:p>
        </w:tc>
        <w:tc>
          <w:tcPr>
            <w:tcW w:w="700" w:type="dxa"/>
            <w:vAlign w:val="bottom"/>
          </w:tcPr>
          <w:p>
            <w:pPr>
              <w:jc w:val="center"/>
              <w:spacing w:after="0"/>
              <w:rPr>
                <w:sz w:val="20"/>
                <w:szCs w:val="20"/>
                <w:color w:val="auto"/>
              </w:rPr>
            </w:pPr>
            <w:r>
              <w:rPr>
                <w:rFonts w:ascii="Arial" w:cs="Arial" w:eastAsia="Arial" w:hAnsi="Arial"/>
                <w:sz w:val="18"/>
                <w:szCs w:val="18"/>
                <w:color w:val="auto"/>
                <w:w w:val="92"/>
              </w:rPr>
              <w:t>Filed</w:t>
            </w:r>
          </w:p>
        </w:tc>
        <w:tc>
          <w:tcPr>
            <w:tcW w:w="1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6100" w:type="dxa"/>
            <w:vAlign w:val="bottom"/>
            <w:gridSpan w:val="3"/>
          </w:tcPr>
          <w:p>
            <w:pPr>
              <w:ind w:left="160"/>
              <w:spacing w:after="0"/>
              <w:rPr>
                <w:sz w:val="20"/>
                <w:szCs w:val="20"/>
                <w:color w:val="auto"/>
              </w:rPr>
            </w:pPr>
            <w:r>
              <w:rPr>
                <w:rFonts w:ascii="Arial" w:cs="Arial" w:eastAsia="Arial" w:hAnsi="Arial"/>
                <w:sz w:val="18"/>
                <w:szCs w:val="18"/>
                <w:color w:val="auto"/>
              </w:rPr>
              <w:t>Accounting Firm of Celldex Therapeutics, Inc. (formerly known as AVANT</w:t>
            </w:r>
          </w:p>
        </w:tc>
        <w:tc>
          <w:tcPr>
            <w:tcW w:w="160" w:type="dxa"/>
            <w:vAlign w:val="bottom"/>
          </w:tcPr>
          <w:p>
            <w:pPr>
              <w:spacing w:after="0"/>
              <w:rPr>
                <w:sz w:val="18"/>
                <w:szCs w:val="18"/>
                <w:color w:val="auto"/>
              </w:rPr>
            </w:pPr>
          </w:p>
        </w:tc>
        <w:tc>
          <w:tcPr>
            <w:tcW w:w="700" w:type="dxa"/>
            <w:vAlign w:val="bottom"/>
          </w:tcPr>
          <w:p>
            <w:pPr>
              <w:jc w:val="center"/>
              <w:spacing w:after="0"/>
              <w:rPr>
                <w:sz w:val="20"/>
                <w:szCs w:val="20"/>
                <w:color w:val="auto"/>
              </w:rPr>
            </w:pPr>
            <w:r>
              <w:rPr>
                <w:rFonts w:ascii="Arial" w:cs="Arial" w:eastAsia="Arial" w:hAnsi="Arial"/>
                <w:sz w:val="18"/>
                <w:szCs w:val="18"/>
                <w:color w:val="auto"/>
                <w:w w:val="91"/>
              </w:rPr>
              <w:t>herewith</w:t>
            </w:r>
          </w:p>
        </w:tc>
        <w:tc>
          <w:tcPr>
            <w:tcW w:w="1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6100" w:type="dxa"/>
            <w:vAlign w:val="bottom"/>
            <w:gridSpan w:val="3"/>
          </w:tcPr>
          <w:p>
            <w:pPr>
              <w:ind w:left="160"/>
              <w:spacing w:after="0"/>
              <w:rPr>
                <w:sz w:val="20"/>
                <w:szCs w:val="20"/>
                <w:color w:val="auto"/>
              </w:rPr>
            </w:pPr>
            <w:r>
              <w:rPr>
                <w:rFonts w:ascii="Arial" w:cs="Arial" w:eastAsia="Arial" w:hAnsi="Arial"/>
                <w:sz w:val="18"/>
                <w:szCs w:val="18"/>
                <w:color w:val="auto"/>
              </w:rPr>
              <w:t>Immunotherapeutics, Inc.)</w:t>
            </w:r>
          </w:p>
        </w:tc>
        <w:tc>
          <w:tcPr>
            <w:tcW w:w="1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780" w:type="dxa"/>
            <w:vAlign w:val="bottom"/>
            <w:gridSpan w:val="2"/>
          </w:tcPr>
          <w:p>
            <w:pPr>
              <w:jc w:val="right"/>
              <w:spacing w:after="0"/>
              <w:rPr>
                <w:sz w:val="20"/>
                <w:szCs w:val="20"/>
                <w:color w:val="auto"/>
              </w:rPr>
            </w:pPr>
            <w:r>
              <w:rPr>
                <w:rFonts w:ascii="Arial" w:cs="Arial" w:eastAsia="Arial" w:hAnsi="Arial"/>
                <w:sz w:val="18"/>
                <w:szCs w:val="18"/>
                <w:color w:val="auto"/>
              </w:rPr>
              <w:t>31.1</w:t>
            </w:r>
          </w:p>
        </w:tc>
        <w:tc>
          <w:tcPr>
            <w:tcW w:w="6100" w:type="dxa"/>
            <w:vAlign w:val="bottom"/>
            <w:gridSpan w:val="3"/>
          </w:tcPr>
          <w:p>
            <w:pPr>
              <w:ind w:left="160"/>
              <w:spacing w:after="0"/>
              <w:rPr>
                <w:sz w:val="20"/>
                <w:szCs w:val="20"/>
                <w:color w:val="auto"/>
              </w:rPr>
            </w:pPr>
            <w:r>
              <w:rPr>
                <w:rFonts w:ascii="Arial" w:cs="Arial" w:eastAsia="Arial" w:hAnsi="Arial"/>
                <w:sz w:val="18"/>
                <w:szCs w:val="18"/>
                <w:color w:val="auto"/>
              </w:rPr>
              <w:t>Certification of President and Chief Executive Officer</w:t>
            </w:r>
          </w:p>
        </w:tc>
        <w:tc>
          <w:tcPr>
            <w:tcW w:w="160" w:type="dxa"/>
            <w:vAlign w:val="bottom"/>
          </w:tcPr>
          <w:p>
            <w:pPr>
              <w:spacing w:after="0"/>
              <w:rPr>
                <w:sz w:val="18"/>
                <w:szCs w:val="18"/>
                <w:color w:val="auto"/>
              </w:rPr>
            </w:pPr>
          </w:p>
        </w:tc>
        <w:tc>
          <w:tcPr>
            <w:tcW w:w="700" w:type="dxa"/>
            <w:vAlign w:val="bottom"/>
          </w:tcPr>
          <w:p>
            <w:pPr>
              <w:jc w:val="center"/>
              <w:spacing w:after="0"/>
              <w:rPr>
                <w:sz w:val="20"/>
                <w:szCs w:val="20"/>
                <w:color w:val="auto"/>
              </w:rPr>
            </w:pPr>
            <w:r>
              <w:rPr>
                <w:rFonts w:ascii="Arial" w:cs="Arial" w:eastAsia="Arial" w:hAnsi="Arial"/>
                <w:sz w:val="18"/>
                <w:szCs w:val="18"/>
                <w:color w:val="auto"/>
                <w:w w:val="92"/>
              </w:rPr>
              <w:t>Filed</w:t>
            </w:r>
          </w:p>
        </w:tc>
        <w:tc>
          <w:tcPr>
            <w:tcW w:w="1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48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tcPr>
          <w:p>
            <w:pPr>
              <w:jc w:val="center"/>
              <w:spacing w:after="0"/>
              <w:rPr>
                <w:sz w:val="20"/>
                <w:szCs w:val="20"/>
                <w:color w:val="auto"/>
              </w:rPr>
            </w:pPr>
            <w:r>
              <w:rPr>
                <w:rFonts w:ascii="Arial" w:cs="Arial" w:eastAsia="Arial" w:hAnsi="Arial"/>
                <w:sz w:val="18"/>
                <w:szCs w:val="18"/>
                <w:color w:val="auto"/>
                <w:w w:val="91"/>
              </w:rPr>
              <w:t>herewith</w:t>
            </w:r>
          </w:p>
        </w:tc>
        <w:tc>
          <w:tcPr>
            <w:tcW w:w="1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780" w:type="dxa"/>
            <w:vAlign w:val="bottom"/>
            <w:gridSpan w:val="2"/>
          </w:tcPr>
          <w:p>
            <w:pPr>
              <w:jc w:val="right"/>
              <w:spacing w:after="0"/>
              <w:rPr>
                <w:sz w:val="20"/>
                <w:szCs w:val="20"/>
                <w:color w:val="auto"/>
              </w:rPr>
            </w:pPr>
            <w:r>
              <w:rPr>
                <w:rFonts w:ascii="Arial" w:cs="Arial" w:eastAsia="Arial" w:hAnsi="Arial"/>
                <w:sz w:val="18"/>
                <w:szCs w:val="18"/>
                <w:color w:val="auto"/>
              </w:rPr>
              <w:t>31.2</w:t>
            </w:r>
          </w:p>
        </w:tc>
        <w:tc>
          <w:tcPr>
            <w:tcW w:w="6100" w:type="dxa"/>
            <w:vAlign w:val="bottom"/>
            <w:gridSpan w:val="3"/>
          </w:tcPr>
          <w:p>
            <w:pPr>
              <w:ind w:left="160"/>
              <w:spacing w:after="0"/>
              <w:rPr>
                <w:sz w:val="20"/>
                <w:szCs w:val="20"/>
                <w:color w:val="auto"/>
              </w:rPr>
            </w:pPr>
            <w:r>
              <w:rPr>
                <w:rFonts w:ascii="Arial" w:cs="Arial" w:eastAsia="Arial" w:hAnsi="Arial"/>
                <w:sz w:val="18"/>
                <w:szCs w:val="18"/>
                <w:color w:val="auto"/>
              </w:rPr>
              <w:t>Certification of Senior Vice President and Chief Financial Officer</w:t>
            </w:r>
          </w:p>
        </w:tc>
        <w:tc>
          <w:tcPr>
            <w:tcW w:w="160" w:type="dxa"/>
            <w:vAlign w:val="bottom"/>
          </w:tcPr>
          <w:p>
            <w:pPr>
              <w:spacing w:after="0"/>
              <w:rPr>
                <w:sz w:val="18"/>
                <w:szCs w:val="18"/>
                <w:color w:val="auto"/>
              </w:rPr>
            </w:pPr>
          </w:p>
        </w:tc>
        <w:tc>
          <w:tcPr>
            <w:tcW w:w="700" w:type="dxa"/>
            <w:vAlign w:val="bottom"/>
          </w:tcPr>
          <w:p>
            <w:pPr>
              <w:jc w:val="center"/>
              <w:spacing w:after="0"/>
              <w:rPr>
                <w:sz w:val="20"/>
                <w:szCs w:val="20"/>
                <w:color w:val="auto"/>
              </w:rPr>
            </w:pPr>
            <w:r>
              <w:rPr>
                <w:rFonts w:ascii="Arial" w:cs="Arial" w:eastAsia="Arial" w:hAnsi="Arial"/>
                <w:sz w:val="18"/>
                <w:szCs w:val="18"/>
                <w:color w:val="auto"/>
                <w:w w:val="92"/>
              </w:rPr>
              <w:t>Filed</w:t>
            </w:r>
          </w:p>
        </w:tc>
        <w:tc>
          <w:tcPr>
            <w:tcW w:w="1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48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tcPr>
          <w:p>
            <w:pPr>
              <w:jc w:val="center"/>
              <w:spacing w:after="0"/>
              <w:rPr>
                <w:sz w:val="20"/>
                <w:szCs w:val="20"/>
                <w:color w:val="auto"/>
              </w:rPr>
            </w:pPr>
            <w:r>
              <w:rPr>
                <w:rFonts w:ascii="Arial" w:cs="Arial" w:eastAsia="Arial" w:hAnsi="Arial"/>
                <w:sz w:val="18"/>
                <w:szCs w:val="18"/>
                <w:color w:val="auto"/>
                <w:w w:val="91"/>
              </w:rPr>
              <w:t>herewith</w:t>
            </w:r>
          </w:p>
        </w:tc>
        <w:tc>
          <w:tcPr>
            <w:tcW w:w="1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780" w:type="dxa"/>
            <w:vAlign w:val="bottom"/>
            <w:gridSpan w:val="2"/>
          </w:tcPr>
          <w:p>
            <w:pPr>
              <w:jc w:val="right"/>
              <w:spacing w:after="0"/>
              <w:rPr>
                <w:sz w:val="20"/>
                <w:szCs w:val="20"/>
                <w:color w:val="auto"/>
              </w:rPr>
            </w:pPr>
            <w:r>
              <w:rPr>
                <w:rFonts w:ascii="Arial" w:cs="Arial" w:eastAsia="Arial" w:hAnsi="Arial"/>
                <w:sz w:val="18"/>
                <w:szCs w:val="18"/>
                <w:color w:val="auto"/>
              </w:rPr>
              <w:t>32</w:t>
            </w:r>
          </w:p>
        </w:tc>
        <w:tc>
          <w:tcPr>
            <w:tcW w:w="6100" w:type="dxa"/>
            <w:vAlign w:val="bottom"/>
            <w:gridSpan w:val="3"/>
          </w:tcPr>
          <w:p>
            <w:pPr>
              <w:ind w:left="160"/>
              <w:spacing w:after="0"/>
              <w:rPr>
                <w:sz w:val="20"/>
                <w:szCs w:val="20"/>
                <w:color w:val="auto"/>
              </w:rPr>
            </w:pPr>
            <w:r>
              <w:rPr>
                <w:rFonts w:ascii="Arial" w:cs="Arial" w:eastAsia="Arial" w:hAnsi="Arial"/>
                <w:sz w:val="18"/>
                <w:szCs w:val="18"/>
                <w:color w:val="auto"/>
              </w:rPr>
              <w:t>Section 1350 Certifications</w:t>
            </w:r>
          </w:p>
        </w:tc>
        <w:tc>
          <w:tcPr>
            <w:tcW w:w="860" w:type="dxa"/>
            <w:vAlign w:val="bottom"/>
            <w:gridSpan w:val="2"/>
          </w:tcPr>
          <w:p>
            <w:pPr>
              <w:jc w:val="center"/>
              <w:ind w:left="72"/>
              <w:spacing w:after="0"/>
              <w:rPr>
                <w:sz w:val="20"/>
                <w:szCs w:val="20"/>
                <w:color w:val="auto"/>
              </w:rPr>
            </w:pPr>
            <w:r>
              <w:rPr>
                <w:rFonts w:ascii="Arial" w:cs="Arial" w:eastAsia="Arial" w:hAnsi="Arial"/>
                <w:sz w:val="18"/>
                <w:szCs w:val="18"/>
                <w:color w:val="auto"/>
                <w:w w:val="87"/>
              </w:rPr>
              <w:t>Furnished</w:t>
            </w:r>
          </w:p>
        </w:tc>
        <w:tc>
          <w:tcPr>
            <w:tcW w:w="1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116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48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00" w:type="dxa"/>
            <w:vAlign w:val="bottom"/>
          </w:tcPr>
          <w:p>
            <w:pPr>
              <w:jc w:val="center"/>
              <w:spacing w:after="0"/>
              <w:rPr>
                <w:sz w:val="20"/>
                <w:szCs w:val="20"/>
                <w:color w:val="auto"/>
              </w:rPr>
            </w:pPr>
            <w:r>
              <w:rPr>
                <w:rFonts w:ascii="Arial" w:cs="Arial" w:eastAsia="Arial" w:hAnsi="Arial"/>
                <w:sz w:val="18"/>
                <w:szCs w:val="18"/>
                <w:color w:val="auto"/>
                <w:w w:val="91"/>
              </w:rPr>
              <w:t>herewith</w:t>
            </w:r>
          </w:p>
        </w:tc>
        <w:tc>
          <w:tcPr>
            <w:tcW w:w="16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10"/>
        </w:trPr>
        <w:tc>
          <w:tcPr>
            <w:tcW w:w="1160" w:type="dxa"/>
            <w:vAlign w:val="bottom"/>
            <w:tcBorders>
              <w:bottom w:val="single" w:sz="8" w:color="auto"/>
            </w:tcBorders>
          </w:tcPr>
          <w:p>
            <w:pPr>
              <w:spacing w:after="0"/>
              <w:rPr>
                <w:sz w:val="9"/>
                <w:szCs w:val="9"/>
                <w:color w:val="auto"/>
              </w:rPr>
            </w:pPr>
          </w:p>
        </w:tc>
        <w:tc>
          <w:tcPr>
            <w:tcW w:w="620" w:type="dxa"/>
            <w:vAlign w:val="bottom"/>
            <w:tcBorders>
              <w:bottom w:val="single" w:sz="8" w:color="auto"/>
            </w:tcBorders>
          </w:tcPr>
          <w:p>
            <w:pPr>
              <w:spacing w:after="0"/>
              <w:rPr>
                <w:sz w:val="9"/>
                <w:szCs w:val="9"/>
                <w:color w:val="auto"/>
              </w:rPr>
            </w:pPr>
          </w:p>
        </w:tc>
        <w:tc>
          <w:tcPr>
            <w:tcW w:w="160" w:type="dxa"/>
            <w:vAlign w:val="bottom"/>
            <w:tcBorders>
              <w:bottom w:val="single" w:sz="8" w:color="auto"/>
            </w:tcBorders>
          </w:tcPr>
          <w:p>
            <w:pPr>
              <w:spacing w:after="0"/>
              <w:rPr>
                <w:sz w:val="9"/>
                <w:szCs w:val="9"/>
                <w:color w:val="auto"/>
              </w:rPr>
            </w:pPr>
          </w:p>
        </w:tc>
        <w:tc>
          <w:tcPr>
            <w:tcW w:w="1060" w:type="dxa"/>
            <w:vAlign w:val="bottom"/>
            <w:tcBorders>
              <w:bottom w:val="single" w:sz="8" w:color="auto"/>
            </w:tcBorders>
          </w:tcPr>
          <w:p>
            <w:pPr>
              <w:spacing w:after="0"/>
              <w:rPr>
                <w:sz w:val="9"/>
                <w:szCs w:val="9"/>
                <w:color w:val="auto"/>
              </w:rPr>
            </w:pPr>
          </w:p>
        </w:tc>
        <w:tc>
          <w:tcPr>
            <w:tcW w:w="4880" w:type="dxa"/>
            <w:vAlign w:val="bottom"/>
          </w:tcPr>
          <w:p>
            <w:pPr>
              <w:spacing w:after="0"/>
              <w:rPr>
                <w:sz w:val="9"/>
                <w:szCs w:val="9"/>
                <w:color w:val="auto"/>
              </w:rPr>
            </w:pPr>
          </w:p>
        </w:tc>
        <w:tc>
          <w:tcPr>
            <w:tcW w:w="160" w:type="dxa"/>
            <w:vAlign w:val="bottom"/>
          </w:tcPr>
          <w:p>
            <w:pPr>
              <w:spacing w:after="0"/>
              <w:rPr>
                <w:sz w:val="9"/>
                <w:szCs w:val="9"/>
                <w:color w:val="auto"/>
              </w:rPr>
            </w:pPr>
          </w:p>
        </w:tc>
        <w:tc>
          <w:tcPr>
            <w:tcW w:w="700" w:type="dxa"/>
            <w:vAlign w:val="bottom"/>
          </w:tcPr>
          <w:p>
            <w:pPr>
              <w:spacing w:after="0"/>
              <w:rPr>
                <w:sz w:val="9"/>
                <w:szCs w:val="9"/>
                <w:color w:val="auto"/>
              </w:rPr>
            </w:pPr>
          </w:p>
        </w:tc>
        <w:tc>
          <w:tcPr>
            <w:tcW w:w="160" w:type="dxa"/>
            <w:vAlign w:val="bottom"/>
          </w:tcPr>
          <w:p>
            <w:pPr>
              <w:spacing w:after="0"/>
              <w:rPr>
                <w:sz w:val="9"/>
                <w:szCs w:val="9"/>
                <w:color w:val="auto"/>
              </w:rPr>
            </w:pPr>
          </w:p>
        </w:tc>
        <w:tc>
          <w:tcPr>
            <w:tcW w:w="500" w:type="dxa"/>
            <w:vAlign w:val="bottom"/>
          </w:tcPr>
          <w:p>
            <w:pPr>
              <w:spacing w:after="0"/>
              <w:rPr>
                <w:sz w:val="9"/>
                <w:szCs w:val="9"/>
                <w:color w:val="auto"/>
              </w:rPr>
            </w:pPr>
          </w:p>
        </w:tc>
        <w:tc>
          <w:tcPr>
            <w:tcW w:w="160" w:type="dxa"/>
            <w:vAlign w:val="bottom"/>
          </w:tcPr>
          <w:p>
            <w:pPr>
              <w:spacing w:after="0"/>
              <w:rPr>
                <w:sz w:val="9"/>
                <w:szCs w:val="9"/>
                <w:color w:val="auto"/>
              </w:rPr>
            </w:pPr>
          </w:p>
        </w:tc>
        <w:tc>
          <w:tcPr>
            <w:tcW w:w="720" w:type="dxa"/>
            <w:vAlign w:val="bottom"/>
          </w:tcPr>
          <w:p>
            <w:pPr>
              <w:spacing w:after="0"/>
              <w:rPr>
                <w:sz w:val="9"/>
                <w:szCs w:val="9"/>
                <w:color w:val="auto"/>
              </w:rPr>
            </w:pPr>
          </w:p>
        </w:tc>
        <w:tc>
          <w:tcPr>
            <w:tcW w:w="0" w:type="dxa"/>
            <w:vAlign w:val="bottom"/>
          </w:tcPr>
          <w:p>
            <w:pPr>
              <w:spacing w:after="0"/>
              <w:rPr>
                <w:sz w:val="1"/>
                <w:szCs w:val="1"/>
                <w:color w:val="auto"/>
              </w:rPr>
            </w:pPr>
          </w:p>
        </w:tc>
      </w:tr>
    </w:tbl>
    <w:p>
      <w:pPr>
        <w:spacing w:after="0" w:line="221" w:lineRule="exact"/>
        <w:rPr>
          <w:sz w:val="20"/>
          <w:szCs w:val="20"/>
          <w:color w:val="auto"/>
        </w:rPr>
      </w:pPr>
    </w:p>
    <w:p>
      <w:pPr>
        <w:ind w:left="540" w:hanging="532"/>
        <w:spacing w:after="0" w:line="268" w:lineRule="auto"/>
        <w:tabs>
          <w:tab w:leader="none" w:pos="540" w:val="left"/>
        </w:tabs>
        <w:numPr>
          <w:ilvl w:val="0"/>
          <w:numId w:val="35"/>
        </w:numPr>
        <w:rPr>
          <w:rFonts w:ascii="Arial" w:cs="Arial" w:eastAsia="Arial" w:hAnsi="Arial"/>
          <w:sz w:val="18"/>
          <w:szCs w:val="18"/>
          <w:color w:val="auto"/>
        </w:rPr>
      </w:pPr>
      <w:r>
        <w:rPr>
          <w:rFonts w:ascii="Arial" w:cs="Arial" w:eastAsia="Arial" w:hAnsi="Arial"/>
          <w:sz w:val="18"/>
          <w:szCs w:val="18"/>
          <w:color w:val="auto"/>
        </w:rPr>
        <w:t>Confidential treatment has been requested for certain provisions of this Exhibit pursuant to Rule 24b-2 promulgated under the Securities Exchange Act of 1934, as amended.</w:t>
      </w:r>
    </w:p>
    <w:p>
      <w:pPr>
        <w:spacing w:after="0" w:line="213" w:lineRule="exact"/>
        <w:rPr>
          <w:sz w:val="20"/>
          <w:szCs w:val="20"/>
          <w:color w:val="auto"/>
        </w:rPr>
      </w:pPr>
    </w:p>
    <w:p>
      <w:pPr>
        <w:ind w:left="5580" w:right="5120" w:hanging="5572"/>
        <w:spacing w:after="0" w:line="670" w:lineRule="auto"/>
        <w:tabs>
          <w:tab w:leader="none" w:pos="546" w:val="left"/>
        </w:tabs>
        <w:numPr>
          <w:ilvl w:val="0"/>
          <w:numId w:val="36"/>
        </w:numPr>
        <w:rPr>
          <w:rFonts w:ascii="Arial" w:cs="Arial" w:eastAsia="Arial" w:hAnsi="Arial"/>
          <w:sz w:val="15"/>
          <w:szCs w:val="15"/>
          <w:color w:val="auto"/>
        </w:rPr>
      </w:pPr>
      <w:r>
        <w:rPr>
          <w:rFonts w:ascii="Arial" w:cs="Arial" w:eastAsia="Arial" w:hAnsi="Arial"/>
          <w:sz w:val="15"/>
          <w:szCs w:val="15"/>
          <w:color w:val="auto"/>
        </w:rPr>
        <w:t>Indicates a management contract or compensation plan, contract or arrangement. 106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-59055</wp:posOffset>
            </wp:positionV>
            <wp:extent cx="7250430" cy="21590"/>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40"/>
          </w:cols>
          <w:pgMar w:left="240" w:top="131" w:right="319" w:bottom="1440" w:gutter="0" w:footer="0" w:header="0"/>
        </w:sectPr>
      </w:pPr>
    </w:p>
    <w:bookmarkStart w:id="112" w:name="page113"/>
    <w:bookmarkEnd w:id="112"/>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SIGNATURES</w:t>
      </w:r>
    </w:p>
    <w:p>
      <w:pPr>
        <w:spacing w:after="0" w:line="231" w:lineRule="exact"/>
        <w:rPr>
          <w:sz w:val="20"/>
          <w:szCs w:val="20"/>
          <w:color w:val="auto"/>
        </w:rPr>
      </w:pPr>
    </w:p>
    <w:p>
      <w:pPr>
        <w:ind w:right="400" w:firstLine="351"/>
        <w:spacing w:after="0" w:line="268" w:lineRule="auto"/>
        <w:rPr>
          <w:sz w:val="20"/>
          <w:szCs w:val="20"/>
          <w:color w:val="auto"/>
        </w:rPr>
      </w:pPr>
      <w:r>
        <w:rPr>
          <w:rFonts w:ascii="Arial" w:cs="Arial" w:eastAsia="Arial" w:hAnsi="Arial"/>
          <w:sz w:val="18"/>
          <w:szCs w:val="18"/>
          <w:color w:val="auto"/>
        </w:rPr>
        <w:t>Pursuant to the requirements of Section 13 or 15(d) of the Securities Exchange Act of 1934, the registrant has duly caused this report to be signed on its behalf by the undersigned, thereunto duly authorized.</w:t>
      </w:r>
    </w:p>
    <w:p>
      <w:pPr>
        <w:spacing w:after="0" w:line="329" w:lineRule="exact"/>
        <w:rPr>
          <w:sz w:val="20"/>
          <w:szCs w:val="20"/>
          <w:color w:val="auto"/>
        </w:rPr>
      </w:pPr>
    </w:p>
    <w:p>
      <w:pPr>
        <w:ind w:left="5800"/>
        <w:spacing w:after="0"/>
        <w:rPr>
          <w:sz w:val="20"/>
          <w:szCs w:val="20"/>
          <w:color w:val="auto"/>
        </w:rPr>
      </w:pPr>
      <w:r>
        <w:rPr>
          <w:rFonts w:ascii="Arial" w:cs="Arial" w:eastAsia="Arial" w:hAnsi="Arial"/>
          <w:sz w:val="18"/>
          <w:szCs w:val="18"/>
          <w:b w:val="1"/>
          <w:bCs w:val="1"/>
          <w:color w:val="auto"/>
        </w:rPr>
        <w:t>CELLDEX THERAPEUTICS, INC.</w:t>
      </w:r>
    </w:p>
    <w:p>
      <w:pPr>
        <w:spacing w:after="0" w:line="231" w:lineRule="exact"/>
        <w:rPr>
          <w:sz w:val="20"/>
          <w:szCs w:val="20"/>
          <w:color w:val="auto"/>
        </w:rPr>
      </w:pPr>
    </w:p>
    <w:tbl>
      <w:tblPr>
        <w:tblLayout w:type="fixed"/>
        <w:tblInd w:w="1140" w:type="dxa"/>
        <w:tblCellMar>
          <w:top w:w="0" w:type="dxa"/>
          <w:left w:w="0" w:type="dxa"/>
          <w:bottom w:w="0" w:type="dxa"/>
          <w:right w:w="0" w:type="dxa"/>
        </w:tblCellMar>
      </w:tblPr>
      <w:tr>
        <w:trPr>
          <w:trHeight w:val="222"/>
        </w:trPr>
        <w:tc>
          <w:tcPr>
            <w:tcW w:w="5040" w:type="dxa"/>
            <w:vAlign w:val="bottom"/>
          </w:tcPr>
          <w:p>
            <w:pPr>
              <w:ind w:left="4660"/>
              <w:spacing w:after="0"/>
              <w:rPr>
                <w:sz w:val="20"/>
                <w:szCs w:val="20"/>
                <w:color w:val="auto"/>
              </w:rPr>
            </w:pPr>
            <w:r>
              <w:rPr>
                <w:rFonts w:ascii="Arial" w:cs="Arial" w:eastAsia="Arial" w:hAnsi="Arial"/>
                <w:sz w:val="18"/>
                <w:szCs w:val="18"/>
                <w:color w:val="auto"/>
              </w:rPr>
              <w:t>By:</w:t>
            </w:r>
          </w:p>
        </w:tc>
        <w:tc>
          <w:tcPr>
            <w:tcW w:w="4140" w:type="dxa"/>
            <w:vAlign w:val="bottom"/>
          </w:tcPr>
          <w:p>
            <w:pPr>
              <w:jc w:val="center"/>
              <w:spacing w:after="0"/>
              <w:rPr>
                <w:sz w:val="20"/>
                <w:szCs w:val="20"/>
                <w:color w:val="auto"/>
              </w:rPr>
            </w:pPr>
            <w:r>
              <w:rPr>
                <w:rFonts w:ascii="Arial" w:cs="Arial" w:eastAsia="Arial" w:hAnsi="Arial"/>
                <w:sz w:val="18"/>
                <w:szCs w:val="18"/>
                <w:color w:val="auto"/>
                <w:w w:val="95"/>
              </w:rPr>
              <w:t>/s/ ANTHONY S. MARUCCI</w:t>
            </w:r>
          </w:p>
        </w:tc>
        <w:tc>
          <w:tcPr>
            <w:tcW w:w="0" w:type="dxa"/>
            <w:vAlign w:val="bottom"/>
          </w:tcPr>
          <w:p>
            <w:pPr>
              <w:spacing w:after="0"/>
              <w:rPr>
                <w:sz w:val="1"/>
                <w:szCs w:val="1"/>
                <w:color w:val="auto"/>
              </w:rPr>
            </w:pPr>
          </w:p>
        </w:tc>
      </w:tr>
      <w:tr>
        <w:trPr>
          <w:trHeight w:val="218"/>
        </w:trPr>
        <w:tc>
          <w:tcPr>
            <w:tcW w:w="5040" w:type="dxa"/>
            <w:vAlign w:val="bottom"/>
            <w:vMerge w:val="restart"/>
          </w:tcPr>
          <w:p>
            <w:pPr>
              <w:spacing w:after="0"/>
              <w:rPr>
                <w:sz w:val="20"/>
                <w:szCs w:val="20"/>
                <w:color w:val="auto"/>
              </w:rPr>
            </w:pPr>
            <w:r>
              <w:rPr>
                <w:rFonts w:ascii="Arial" w:cs="Arial" w:eastAsia="Arial" w:hAnsi="Arial"/>
                <w:sz w:val="18"/>
                <w:szCs w:val="18"/>
                <w:b w:val="1"/>
                <w:bCs w:val="1"/>
                <w:color w:val="auto"/>
              </w:rPr>
              <w:t>Date</w:t>
            </w:r>
          </w:p>
        </w:tc>
        <w:tc>
          <w:tcPr>
            <w:tcW w:w="414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309"/>
        </w:trPr>
        <w:tc>
          <w:tcPr>
            <w:tcW w:w="5040" w:type="dxa"/>
            <w:vAlign w:val="bottom"/>
            <w:vMerge w:val="continue"/>
          </w:tcPr>
          <w:p>
            <w:pPr>
              <w:spacing w:after="0"/>
              <w:rPr>
                <w:sz w:val="24"/>
                <w:szCs w:val="24"/>
                <w:color w:val="auto"/>
              </w:rPr>
            </w:pPr>
          </w:p>
        </w:tc>
        <w:tc>
          <w:tcPr>
            <w:tcW w:w="4140" w:type="dxa"/>
            <w:vAlign w:val="bottom"/>
          </w:tcPr>
          <w:p>
            <w:pPr>
              <w:jc w:val="center"/>
              <w:spacing w:after="0"/>
              <w:rPr>
                <w:sz w:val="20"/>
                <w:szCs w:val="20"/>
                <w:color w:val="auto"/>
              </w:rPr>
            </w:pPr>
            <w:r>
              <w:rPr>
                <w:rFonts w:ascii="Arial" w:cs="Arial" w:eastAsia="Arial" w:hAnsi="Arial"/>
                <w:sz w:val="18"/>
                <w:szCs w:val="18"/>
                <w:color w:val="auto"/>
                <w:w w:val="90"/>
              </w:rPr>
              <w:t>Anthony S. Marucci</w:t>
            </w:r>
          </w:p>
        </w:tc>
        <w:tc>
          <w:tcPr>
            <w:tcW w:w="0" w:type="dxa"/>
            <w:vAlign w:val="bottom"/>
          </w:tcPr>
          <w:p>
            <w:pPr>
              <w:spacing w:after="0"/>
              <w:rPr>
                <w:sz w:val="1"/>
                <w:szCs w:val="1"/>
                <w:color w:val="auto"/>
              </w:rPr>
            </w:pPr>
          </w:p>
        </w:tc>
      </w:tr>
      <w:tr>
        <w:trPr>
          <w:trHeight w:val="222"/>
        </w:trPr>
        <w:tc>
          <w:tcPr>
            <w:tcW w:w="5040" w:type="dxa"/>
            <w:vAlign w:val="bottom"/>
          </w:tcPr>
          <w:p>
            <w:pPr>
              <w:spacing w:after="0"/>
              <w:rPr>
                <w:sz w:val="20"/>
                <w:szCs w:val="20"/>
                <w:color w:val="auto"/>
              </w:rPr>
            </w:pPr>
            <w:r>
              <w:rPr>
                <w:rFonts w:ascii="Arial" w:cs="Arial" w:eastAsia="Arial" w:hAnsi="Arial"/>
                <w:sz w:val="18"/>
                <w:szCs w:val="18"/>
                <w:color w:val="auto"/>
              </w:rPr>
              <w:t>March 9, 2011</w:t>
            </w:r>
          </w:p>
        </w:tc>
        <w:tc>
          <w:tcPr>
            <w:tcW w:w="4140" w:type="dxa"/>
            <w:vAlign w:val="bottom"/>
          </w:tcPr>
          <w:p>
            <w:pPr>
              <w:jc w:val="center"/>
              <w:spacing w:after="0"/>
              <w:rPr>
                <w:sz w:val="20"/>
                <w:szCs w:val="20"/>
                <w:color w:val="auto"/>
              </w:rPr>
            </w:pPr>
            <w:r>
              <w:rPr>
                <w:rFonts w:ascii="Arial" w:cs="Arial" w:eastAsia="Arial" w:hAnsi="Arial"/>
                <w:sz w:val="18"/>
                <w:szCs w:val="18"/>
                <w:i w:val="1"/>
                <w:iCs w:val="1"/>
                <w:color w:val="auto"/>
                <w:w w:val="88"/>
              </w:rPr>
              <w:t>President and Chief Executive Officer</w:t>
            </w:r>
          </w:p>
        </w:tc>
        <w:tc>
          <w:tcPr>
            <w:tcW w:w="0" w:type="dxa"/>
            <w:vAlign w:val="bottom"/>
          </w:tcPr>
          <w:p>
            <w:pPr>
              <w:spacing w:after="0"/>
              <w:rPr>
                <w:sz w:val="1"/>
                <w:szCs w:val="1"/>
                <w:color w:val="auto"/>
              </w:rPr>
            </w:pPr>
          </w:p>
        </w:tc>
      </w:tr>
    </w:tbl>
    <w:p>
      <w:pPr>
        <w:spacing w:after="0" w:line="210" w:lineRule="exact"/>
        <w:rPr>
          <w:sz w:val="20"/>
          <w:szCs w:val="20"/>
          <w:color w:val="auto"/>
        </w:rPr>
      </w:pPr>
    </w:p>
    <w:p>
      <w:pPr>
        <w:ind w:right="160" w:firstLine="351"/>
        <w:spacing w:after="0" w:line="268" w:lineRule="auto"/>
        <w:rPr>
          <w:sz w:val="20"/>
          <w:szCs w:val="20"/>
          <w:color w:val="auto"/>
        </w:rPr>
      </w:pPr>
      <w:r>
        <w:rPr>
          <w:rFonts w:ascii="Arial" w:cs="Arial" w:eastAsia="Arial" w:hAnsi="Arial"/>
          <w:sz w:val="18"/>
          <w:szCs w:val="18"/>
          <w:color w:val="auto"/>
        </w:rPr>
        <w:t>Pursuant to the requirements of the Securities Exchange Act of 1934, this report has been signed by the following persons on behalf of the registrant and in the capacities and on the dates indicated.</w:t>
      </w:r>
    </w:p>
    <w:p>
      <w:pPr>
        <w:spacing w:after="0" w:line="182" w:lineRule="exact"/>
        <w:rPr>
          <w:sz w:val="20"/>
          <w:szCs w:val="20"/>
          <w:color w:val="auto"/>
        </w:rPr>
      </w:pPr>
    </w:p>
    <w:p>
      <w:pPr>
        <w:ind w:left="2340"/>
        <w:spacing w:after="0"/>
        <w:tabs>
          <w:tab w:leader="none" w:pos="6440" w:val="left"/>
          <w:tab w:leader="none" w:pos="9520" w:val="left"/>
        </w:tabs>
        <w:rPr>
          <w:sz w:val="20"/>
          <w:szCs w:val="20"/>
          <w:color w:val="auto"/>
        </w:rPr>
      </w:pPr>
      <w:r>
        <w:rPr>
          <w:rFonts w:ascii="Arial" w:cs="Arial" w:eastAsia="Arial" w:hAnsi="Arial"/>
          <w:sz w:val="14"/>
          <w:szCs w:val="14"/>
          <w:b w:val="1"/>
          <w:bCs w:val="1"/>
          <w:u w:val="single" w:color="auto"/>
          <w:color w:val="auto"/>
        </w:rPr>
        <w:t>Signature</w:t>
      </w:r>
      <w:r>
        <w:rPr>
          <w:sz w:val="20"/>
          <w:szCs w:val="20"/>
          <w:color w:val="auto"/>
        </w:rPr>
        <w:tab/>
      </w:r>
      <w:r>
        <w:rPr>
          <w:rFonts w:ascii="Arial" w:cs="Arial" w:eastAsia="Arial" w:hAnsi="Arial"/>
          <w:sz w:val="14"/>
          <w:szCs w:val="14"/>
          <w:b w:val="1"/>
          <w:bCs w:val="1"/>
          <w:u w:val="single" w:color="auto"/>
          <w:color w:val="auto"/>
        </w:rPr>
        <w:t>Title</w:t>
      </w:r>
      <w:r>
        <w:rPr>
          <w:sz w:val="20"/>
          <w:szCs w:val="20"/>
          <w:color w:val="auto"/>
        </w:rPr>
        <w:tab/>
      </w:r>
      <w:r>
        <w:rPr>
          <w:rFonts w:ascii="Arial" w:cs="Arial" w:eastAsia="Arial" w:hAnsi="Arial"/>
          <w:sz w:val="12"/>
          <w:szCs w:val="12"/>
          <w:b w:val="1"/>
          <w:bCs w:val="1"/>
          <w:u w:val="single" w:color="auto"/>
          <w:color w:val="auto"/>
        </w:rPr>
        <w:t>Date</w:t>
      </w:r>
    </w:p>
    <w:p>
      <w:pPr>
        <w:spacing w:after="0" w:line="200" w:lineRule="exact"/>
        <w:rPr>
          <w:sz w:val="20"/>
          <w:szCs w:val="20"/>
          <w:color w:val="auto"/>
        </w:rPr>
      </w:pPr>
    </w:p>
    <w:p>
      <w:pPr>
        <w:spacing w:after="0" w:line="26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160" w:type="dxa"/>
            <w:vAlign w:val="bottom"/>
          </w:tcPr>
          <w:p>
            <w:pPr>
              <w:spacing w:after="0"/>
              <w:rPr>
                <w:sz w:val="18"/>
                <w:szCs w:val="18"/>
                <w:color w:val="auto"/>
              </w:rPr>
            </w:pPr>
          </w:p>
        </w:tc>
        <w:tc>
          <w:tcPr>
            <w:tcW w:w="2960" w:type="dxa"/>
            <w:vAlign w:val="bottom"/>
          </w:tcPr>
          <w:p>
            <w:pPr>
              <w:jc w:val="center"/>
              <w:spacing w:after="0"/>
              <w:rPr>
                <w:sz w:val="20"/>
                <w:szCs w:val="20"/>
                <w:color w:val="auto"/>
              </w:rPr>
            </w:pPr>
            <w:r>
              <w:rPr>
                <w:rFonts w:ascii="Arial" w:cs="Arial" w:eastAsia="Arial" w:hAnsi="Arial"/>
                <w:sz w:val="18"/>
                <w:szCs w:val="18"/>
                <w:color w:val="auto"/>
                <w:w w:val="95"/>
              </w:rPr>
              <w:t>/s/ ANTHONY S. MARUCCI</w:t>
            </w:r>
          </w:p>
        </w:tc>
        <w:tc>
          <w:tcPr>
            <w:tcW w:w="4720" w:type="dxa"/>
            <w:vAlign w:val="bottom"/>
          </w:tcPr>
          <w:p>
            <w:pPr>
              <w:ind w:left="140"/>
              <w:spacing w:after="0"/>
              <w:rPr>
                <w:sz w:val="20"/>
                <w:szCs w:val="20"/>
                <w:color w:val="auto"/>
              </w:rPr>
            </w:pPr>
            <w:r>
              <w:rPr>
                <w:rFonts w:ascii="Arial" w:cs="Arial" w:eastAsia="Arial" w:hAnsi="Arial"/>
                <w:sz w:val="18"/>
                <w:szCs w:val="18"/>
                <w:color w:val="auto"/>
              </w:rPr>
              <w:t>President, Chief Executive Officer, and Director</w:t>
            </w:r>
          </w:p>
        </w:tc>
        <w:tc>
          <w:tcPr>
            <w:tcW w:w="2580" w:type="dxa"/>
            <w:vAlign w:val="bottom"/>
          </w:tcPr>
          <w:p>
            <w:pPr>
              <w:ind w:left="320"/>
              <w:spacing w:after="0"/>
              <w:rPr>
                <w:sz w:val="20"/>
                <w:szCs w:val="20"/>
                <w:color w:val="auto"/>
              </w:rPr>
            </w:pPr>
            <w:r>
              <w:rPr>
                <w:rFonts w:ascii="Arial" w:cs="Arial" w:eastAsia="Arial" w:hAnsi="Arial"/>
                <w:sz w:val="18"/>
                <w:szCs w:val="18"/>
                <w:color w:val="auto"/>
              </w:rPr>
              <w:t>March 9, 2011</w:t>
            </w:r>
          </w:p>
        </w:tc>
        <w:tc>
          <w:tcPr>
            <w:tcW w:w="0" w:type="dxa"/>
            <w:vAlign w:val="bottom"/>
          </w:tcPr>
          <w:p>
            <w:pPr>
              <w:spacing w:after="0"/>
              <w:rPr>
                <w:sz w:val="1"/>
                <w:szCs w:val="1"/>
                <w:color w:val="auto"/>
              </w:rPr>
            </w:pPr>
          </w:p>
        </w:tc>
      </w:tr>
      <w:tr>
        <w:trPr>
          <w:trHeight w:val="103"/>
        </w:trPr>
        <w:tc>
          <w:tcPr>
            <w:tcW w:w="1160" w:type="dxa"/>
            <w:vAlign w:val="bottom"/>
          </w:tcPr>
          <w:p>
            <w:pPr>
              <w:spacing w:after="0"/>
              <w:rPr>
                <w:sz w:val="8"/>
                <w:szCs w:val="8"/>
                <w:color w:val="auto"/>
              </w:rPr>
            </w:pPr>
          </w:p>
        </w:tc>
        <w:tc>
          <w:tcPr>
            <w:tcW w:w="2960" w:type="dxa"/>
            <w:vAlign w:val="bottom"/>
            <w:tcBorders>
              <w:bottom w:val="single" w:sz="8" w:color="auto"/>
            </w:tcBorders>
          </w:tcPr>
          <w:p>
            <w:pPr>
              <w:spacing w:after="0"/>
              <w:rPr>
                <w:sz w:val="8"/>
                <w:szCs w:val="8"/>
                <w:color w:val="auto"/>
              </w:rPr>
            </w:pPr>
          </w:p>
        </w:tc>
        <w:tc>
          <w:tcPr>
            <w:tcW w:w="4720" w:type="dxa"/>
            <w:vAlign w:val="bottom"/>
            <w:vMerge w:val="restart"/>
          </w:tcPr>
          <w:p>
            <w:pPr>
              <w:ind w:left="140"/>
              <w:spacing w:after="0"/>
              <w:rPr>
                <w:sz w:val="20"/>
                <w:szCs w:val="20"/>
                <w:color w:val="auto"/>
              </w:rPr>
            </w:pPr>
            <w:r>
              <w:rPr>
                <w:rFonts w:ascii="Arial" w:cs="Arial" w:eastAsia="Arial" w:hAnsi="Arial"/>
                <w:sz w:val="18"/>
                <w:szCs w:val="18"/>
                <w:color w:val="auto"/>
              </w:rPr>
              <w:t>(Principal Executive Officer)</w:t>
            </w:r>
          </w:p>
        </w:tc>
        <w:tc>
          <w:tcPr>
            <w:tcW w:w="25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0"/>
        </w:trPr>
        <w:tc>
          <w:tcPr>
            <w:tcW w:w="1160" w:type="dxa"/>
            <w:vAlign w:val="bottom"/>
          </w:tcPr>
          <w:p>
            <w:pPr>
              <w:spacing w:after="0"/>
              <w:rPr>
                <w:sz w:val="8"/>
                <w:szCs w:val="8"/>
                <w:color w:val="auto"/>
              </w:rPr>
            </w:pPr>
          </w:p>
        </w:tc>
        <w:tc>
          <w:tcPr>
            <w:tcW w:w="2960" w:type="dxa"/>
            <w:vAlign w:val="bottom"/>
            <w:vMerge w:val="restart"/>
          </w:tcPr>
          <w:p>
            <w:pPr>
              <w:jc w:val="center"/>
              <w:spacing w:after="0"/>
              <w:rPr>
                <w:sz w:val="20"/>
                <w:szCs w:val="20"/>
                <w:color w:val="auto"/>
              </w:rPr>
            </w:pPr>
            <w:r>
              <w:rPr>
                <w:rFonts w:ascii="Arial" w:cs="Arial" w:eastAsia="Arial" w:hAnsi="Arial"/>
                <w:sz w:val="18"/>
                <w:szCs w:val="18"/>
                <w:color w:val="auto"/>
                <w:w w:val="92"/>
              </w:rPr>
              <w:t>Anthony S. Marucci</w:t>
            </w:r>
          </w:p>
        </w:tc>
        <w:tc>
          <w:tcPr>
            <w:tcW w:w="4720" w:type="dxa"/>
            <w:vAlign w:val="bottom"/>
            <w:vMerge w:val="continue"/>
          </w:tcPr>
          <w:p>
            <w:pPr>
              <w:spacing w:after="0"/>
              <w:rPr>
                <w:sz w:val="8"/>
                <w:szCs w:val="8"/>
                <w:color w:val="auto"/>
              </w:rPr>
            </w:pPr>
          </w:p>
        </w:tc>
        <w:tc>
          <w:tcPr>
            <w:tcW w:w="25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89"/>
        </w:trPr>
        <w:tc>
          <w:tcPr>
            <w:tcW w:w="1160" w:type="dxa"/>
            <w:vAlign w:val="bottom"/>
          </w:tcPr>
          <w:p>
            <w:pPr>
              <w:spacing w:after="0"/>
              <w:rPr>
                <w:sz w:val="16"/>
                <w:szCs w:val="16"/>
                <w:color w:val="auto"/>
              </w:rPr>
            </w:pPr>
          </w:p>
        </w:tc>
        <w:tc>
          <w:tcPr>
            <w:tcW w:w="2960" w:type="dxa"/>
            <w:vAlign w:val="bottom"/>
            <w:vMerge w:val="continue"/>
          </w:tcPr>
          <w:p>
            <w:pPr>
              <w:spacing w:after="0"/>
              <w:rPr>
                <w:sz w:val="16"/>
                <w:szCs w:val="16"/>
                <w:color w:val="auto"/>
              </w:rPr>
            </w:pPr>
          </w:p>
        </w:tc>
        <w:tc>
          <w:tcPr>
            <w:tcW w:w="4720" w:type="dxa"/>
            <w:vAlign w:val="bottom"/>
          </w:tcPr>
          <w:p>
            <w:pPr>
              <w:spacing w:after="0"/>
              <w:rPr>
                <w:sz w:val="16"/>
                <w:szCs w:val="16"/>
                <w:color w:val="auto"/>
              </w:rPr>
            </w:pPr>
          </w:p>
        </w:tc>
        <w:tc>
          <w:tcPr>
            <w:tcW w:w="25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3"/>
        </w:trPr>
        <w:tc>
          <w:tcPr>
            <w:tcW w:w="1160" w:type="dxa"/>
            <w:vAlign w:val="bottom"/>
          </w:tcPr>
          <w:p>
            <w:pPr>
              <w:spacing w:after="0"/>
              <w:rPr>
                <w:sz w:val="24"/>
                <w:szCs w:val="24"/>
                <w:color w:val="auto"/>
              </w:rPr>
            </w:pPr>
          </w:p>
        </w:tc>
        <w:tc>
          <w:tcPr>
            <w:tcW w:w="2960" w:type="dxa"/>
            <w:vAlign w:val="bottom"/>
          </w:tcPr>
          <w:p>
            <w:pPr>
              <w:jc w:val="center"/>
              <w:spacing w:after="0"/>
              <w:rPr>
                <w:sz w:val="20"/>
                <w:szCs w:val="20"/>
                <w:color w:val="auto"/>
              </w:rPr>
            </w:pPr>
            <w:r>
              <w:rPr>
                <w:rFonts w:ascii="Arial" w:cs="Arial" w:eastAsia="Arial" w:hAnsi="Arial"/>
                <w:sz w:val="18"/>
                <w:szCs w:val="18"/>
                <w:color w:val="auto"/>
                <w:w w:val="92"/>
              </w:rPr>
              <w:t>/s/ AVERY W. CATLIN</w:t>
            </w:r>
          </w:p>
        </w:tc>
        <w:tc>
          <w:tcPr>
            <w:tcW w:w="4720" w:type="dxa"/>
            <w:vAlign w:val="bottom"/>
          </w:tcPr>
          <w:p>
            <w:pPr>
              <w:ind w:left="140"/>
              <w:spacing w:after="0"/>
              <w:rPr>
                <w:sz w:val="20"/>
                <w:szCs w:val="20"/>
                <w:color w:val="auto"/>
              </w:rPr>
            </w:pPr>
            <w:r>
              <w:rPr>
                <w:rFonts w:ascii="Arial" w:cs="Arial" w:eastAsia="Arial" w:hAnsi="Arial"/>
                <w:sz w:val="18"/>
                <w:szCs w:val="18"/>
                <w:color w:val="auto"/>
                <w:w w:val="95"/>
              </w:rPr>
              <w:t>Senior Vice President, Chief Financial Officer and Treasurer</w:t>
            </w:r>
          </w:p>
        </w:tc>
        <w:tc>
          <w:tcPr>
            <w:tcW w:w="2580" w:type="dxa"/>
            <w:vAlign w:val="bottom"/>
          </w:tcPr>
          <w:p>
            <w:pPr>
              <w:ind w:left="320"/>
              <w:spacing w:after="0"/>
              <w:rPr>
                <w:sz w:val="20"/>
                <w:szCs w:val="20"/>
                <w:color w:val="auto"/>
              </w:rPr>
            </w:pPr>
            <w:r>
              <w:rPr>
                <w:rFonts w:ascii="Arial" w:cs="Arial" w:eastAsia="Arial" w:hAnsi="Arial"/>
                <w:sz w:val="18"/>
                <w:szCs w:val="18"/>
                <w:color w:val="auto"/>
              </w:rPr>
              <w:t>March 9, 2011</w:t>
            </w:r>
          </w:p>
        </w:tc>
        <w:tc>
          <w:tcPr>
            <w:tcW w:w="0" w:type="dxa"/>
            <w:vAlign w:val="bottom"/>
          </w:tcPr>
          <w:p>
            <w:pPr>
              <w:spacing w:after="0"/>
              <w:rPr>
                <w:sz w:val="1"/>
                <w:szCs w:val="1"/>
                <w:color w:val="auto"/>
              </w:rPr>
            </w:pPr>
          </w:p>
        </w:tc>
      </w:tr>
      <w:tr>
        <w:trPr>
          <w:trHeight w:val="103"/>
        </w:trPr>
        <w:tc>
          <w:tcPr>
            <w:tcW w:w="1160" w:type="dxa"/>
            <w:vAlign w:val="bottom"/>
          </w:tcPr>
          <w:p>
            <w:pPr>
              <w:spacing w:after="0"/>
              <w:rPr>
                <w:sz w:val="8"/>
                <w:szCs w:val="8"/>
                <w:color w:val="auto"/>
              </w:rPr>
            </w:pPr>
          </w:p>
        </w:tc>
        <w:tc>
          <w:tcPr>
            <w:tcW w:w="2960" w:type="dxa"/>
            <w:vAlign w:val="bottom"/>
            <w:tcBorders>
              <w:bottom w:val="single" w:sz="8" w:color="auto"/>
            </w:tcBorders>
          </w:tcPr>
          <w:p>
            <w:pPr>
              <w:spacing w:after="0"/>
              <w:rPr>
                <w:sz w:val="8"/>
                <w:szCs w:val="8"/>
                <w:color w:val="auto"/>
              </w:rPr>
            </w:pPr>
          </w:p>
        </w:tc>
        <w:tc>
          <w:tcPr>
            <w:tcW w:w="4720" w:type="dxa"/>
            <w:vAlign w:val="bottom"/>
            <w:vMerge w:val="restart"/>
          </w:tcPr>
          <w:p>
            <w:pPr>
              <w:ind w:left="140"/>
              <w:spacing w:after="0"/>
              <w:rPr>
                <w:sz w:val="20"/>
                <w:szCs w:val="20"/>
                <w:color w:val="auto"/>
              </w:rPr>
            </w:pPr>
            <w:r>
              <w:rPr>
                <w:rFonts w:ascii="Arial" w:cs="Arial" w:eastAsia="Arial" w:hAnsi="Arial"/>
                <w:sz w:val="18"/>
                <w:szCs w:val="18"/>
                <w:color w:val="auto"/>
              </w:rPr>
              <w:t>(Principal Financial and Accounting Officer)</w:t>
            </w:r>
          </w:p>
        </w:tc>
        <w:tc>
          <w:tcPr>
            <w:tcW w:w="25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0"/>
        </w:trPr>
        <w:tc>
          <w:tcPr>
            <w:tcW w:w="1160" w:type="dxa"/>
            <w:vAlign w:val="bottom"/>
          </w:tcPr>
          <w:p>
            <w:pPr>
              <w:spacing w:after="0"/>
              <w:rPr>
                <w:sz w:val="8"/>
                <w:szCs w:val="8"/>
                <w:color w:val="auto"/>
              </w:rPr>
            </w:pPr>
          </w:p>
        </w:tc>
        <w:tc>
          <w:tcPr>
            <w:tcW w:w="2960" w:type="dxa"/>
            <w:vAlign w:val="bottom"/>
            <w:vMerge w:val="restart"/>
          </w:tcPr>
          <w:p>
            <w:pPr>
              <w:jc w:val="center"/>
              <w:spacing w:after="0"/>
              <w:rPr>
                <w:sz w:val="20"/>
                <w:szCs w:val="20"/>
                <w:color w:val="auto"/>
              </w:rPr>
            </w:pPr>
            <w:r>
              <w:rPr>
                <w:rFonts w:ascii="Arial" w:cs="Arial" w:eastAsia="Arial" w:hAnsi="Arial"/>
                <w:sz w:val="18"/>
                <w:szCs w:val="18"/>
                <w:color w:val="auto"/>
                <w:w w:val="90"/>
              </w:rPr>
              <w:t>Avery W. Catlin</w:t>
            </w:r>
          </w:p>
        </w:tc>
        <w:tc>
          <w:tcPr>
            <w:tcW w:w="4720" w:type="dxa"/>
            <w:vAlign w:val="bottom"/>
            <w:vMerge w:val="continue"/>
          </w:tcPr>
          <w:p>
            <w:pPr>
              <w:spacing w:after="0"/>
              <w:rPr>
                <w:sz w:val="8"/>
                <w:szCs w:val="8"/>
                <w:color w:val="auto"/>
              </w:rPr>
            </w:pPr>
          </w:p>
        </w:tc>
        <w:tc>
          <w:tcPr>
            <w:tcW w:w="25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89"/>
        </w:trPr>
        <w:tc>
          <w:tcPr>
            <w:tcW w:w="1160" w:type="dxa"/>
            <w:vAlign w:val="bottom"/>
          </w:tcPr>
          <w:p>
            <w:pPr>
              <w:spacing w:after="0"/>
              <w:rPr>
                <w:sz w:val="16"/>
                <w:szCs w:val="16"/>
                <w:color w:val="auto"/>
              </w:rPr>
            </w:pPr>
          </w:p>
        </w:tc>
        <w:tc>
          <w:tcPr>
            <w:tcW w:w="2960" w:type="dxa"/>
            <w:vAlign w:val="bottom"/>
            <w:vMerge w:val="continue"/>
          </w:tcPr>
          <w:p>
            <w:pPr>
              <w:spacing w:after="0"/>
              <w:rPr>
                <w:sz w:val="16"/>
                <w:szCs w:val="16"/>
                <w:color w:val="auto"/>
              </w:rPr>
            </w:pPr>
          </w:p>
        </w:tc>
        <w:tc>
          <w:tcPr>
            <w:tcW w:w="4720" w:type="dxa"/>
            <w:vAlign w:val="bottom"/>
          </w:tcPr>
          <w:p>
            <w:pPr>
              <w:spacing w:after="0"/>
              <w:rPr>
                <w:sz w:val="16"/>
                <w:szCs w:val="16"/>
                <w:color w:val="auto"/>
              </w:rPr>
            </w:pPr>
          </w:p>
        </w:tc>
        <w:tc>
          <w:tcPr>
            <w:tcW w:w="25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9"/>
        </w:trPr>
        <w:tc>
          <w:tcPr>
            <w:tcW w:w="1160" w:type="dxa"/>
            <w:vAlign w:val="bottom"/>
          </w:tcPr>
          <w:p>
            <w:pPr>
              <w:spacing w:after="0"/>
              <w:rPr>
                <w:sz w:val="24"/>
                <w:szCs w:val="24"/>
                <w:color w:val="auto"/>
              </w:rPr>
            </w:pPr>
          </w:p>
        </w:tc>
        <w:tc>
          <w:tcPr>
            <w:tcW w:w="2960" w:type="dxa"/>
            <w:vAlign w:val="bottom"/>
          </w:tcPr>
          <w:p>
            <w:pPr>
              <w:jc w:val="center"/>
              <w:spacing w:after="0"/>
              <w:rPr>
                <w:sz w:val="20"/>
                <w:szCs w:val="20"/>
                <w:color w:val="auto"/>
              </w:rPr>
            </w:pPr>
            <w:r>
              <w:rPr>
                <w:rFonts w:ascii="Arial" w:cs="Arial" w:eastAsia="Arial" w:hAnsi="Arial"/>
                <w:sz w:val="18"/>
                <w:szCs w:val="18"/>
                <w:color w:val="auto"/>
                <w:w w:val="93"/>
              </w:rPr>
              <w:t>/s/ LARRY ELLBERGER</w:t>
            </w:r>
          </w:p>
        </w:tc>
        <w:tc>
          <w:tcPr>
            <w:tcW w:w="4720" w:type="dxa"/>
            <w:vAlign w:val="bottom"/>
          </w:tcPr>
          <w:p>
            <w:pPr>
              <w:ind w:left="140"/>
              <w:spacing w:after="0"/>
              <w:rPr>
                <w:sz w:val="20"/>
                <w:szCs w:val="20"/>
                <w:color w:val="auto"/>
              </w:rPr>
            </w:pPr>
            <w:r>
              <w:rPr>
                <w:rFonts w:ascii="Arial" w:cs="Arial" w:eastAsia="Arial" w:hAnsi="Arial"/>
                <w:sz w:val="18"/>
                <w:szCs w:val="18"/>
                <w:color w:val="auto"/>
              </w:rPr>
              <w:t>Director, Chairman of the Board of Directors</w:t>
            </w:r>
          </w:p>
        </w:tc>
        <w:tc>
          <w:tcPr>
            <w:tcW w:w="2580" w:type="dxa"/>
            <w:vAlign w:val="bottom"/>
          </w:tcPr>
          <w:p>
            <w:pPr>
              <w:ind w:left="320"/>
              <w:spacing w:after="0"/>
              <w:rPr>
                <w:sz w:val="20"/>
                <w:szCs w:val="20"/>
                <w:color w:val="auto"/>
              </w:rPr>
            </w:pPr>
            <w:r>
              <w:rPr>
                <w:rFonts w:ascii="Arial" w:cs="Arial" w:eastAsia="Arial" w:hAnsi="Arial"/>
                <w:sz w:val="18"/>
                <w:szCs w:val="18"/>
                <w:color w:val="auto"/>
              </w:rPr>
              <w:t>March 9, 2011</w:t>
            </w:r>
          </w:p>
        </w:tc>
        <w:tc>
          <w:tcPr>
            <w:tcW w:w="0" w:type="dxa"/>
            <w:vAlign w:val="bottom"/>
          </w:tcPr>
          <w:p>
            <w:pPr>
              <w:spacing w:after="0"/>
              <w:rPr>
                <w:sz w:val="1"/>
                <w:szCs w:val="1"/>
                <w:color w:val="auto"/>
              </w:rPr>
            </w:pPr>
          </w:p>
        </w:tc>
      </w:tr>
      <w:tr>
        <w:trPr>
          <w:trHeight w:val="97"/>
        </w:trPr>
        <w:tc>
          <w:tcPr>
            <w:tcW w:w="1160" w:type="dxa"/>
            <w:vAlign w:val="bottom"/>
          </w:tcPr>
          <w:p>
            <w:pPr>
              <w:spacing w:after="0"/>
              <w:rPr>
                <w:sz w:val="8"/>
                <w:szCs w:val="8"/>
                <w:color w:val="auto"/>
              </w:rPr>
            </w:pPr>
          </w:p>
        </w:tc>
        <w:tc>
          <w:tcPr>
            <w:tcW w:w="2960" w:type="dxa"/>
            <w:vAlign w:val="bottom"/>
            <w:tcBorders>
              <w:bottom w:val="single" w:sz="8" w:color="auto"/>
            </w:tcBorders>
          </w:tcPr>
          <w:p>
            <w:pPr>
              <w:spacing w:after="0"/>
              <w:rPr>
                <w:sz w:val="8"/>
                <w:szCs w:val="8"/>
                <w:color w:val="auto"/>
              </w:rPr>
            </w:pPr>
          </w:p>
        </w:tc>
        <w:tc>
          <w:tcPr>
            <w:tcW w:w="4720" w:type="dxa"/>
            <w:vAlign w:val="bottom"/>
          </w:tcPr>
          <w:p>
            <w:pPr>
              <w:spacing w:after="0"/>
              <w:rPr>
                <w:sz w:val="8"/>
                <w:szCs w:val="8"/>
                <w:color w:val="auto"/>
              </w:rPr>
            </w:pPr>
          </w:p>
        </w:tc>
        <w:tc>
          <w:tcPr>
            <w:tcW w:w="25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89"/>
        </w:trPr>
        <w:tc>
          <w:tcPr>
            <w:tcW w:w="1160" w:type="dxa"/>
            <w:vAlign w:val="bottom"/>
          </w:tcPr>
          <w:p>
            <w:pPr>
              <w:spacing w:after="0"/>
              <w:rPr>
                <w:sz w:val="24"/>
                <w:szCs w:val="24"/>
                <w:color w:val="auto"/>
              </w:rPr>
            </w:pPr>
          </w:p>
        </w:tc>
        <w:tc>
          <w:tcPr>
            <w:tcW w:w="2960" w:type="dxa"/>
            <w:vAlign w:val="bottom"/>
          </w:tcPr>
          <w:p>
            <w:pPr>
              <w:jc w:val="center"/>
              <w:spacing w:after="0"/>
              <w:rPr>
                <w:sz w:val="20"/>
                <w:szCs w:val="20"/>
                <w:color w:val="auto"/>
              </w:rPr>
            </w:pPr>
            <w:r>
              <w:rPr>
                <w:rFonts w:ascii="Arial" w:cs="Arial" w:eastAsia="Arial" w:hAnsi="Arial"/>
                <w:sz w:val="18"/>
                <w:szCs w:val="18"/>
                <w:color w:val="auto"/>
                <w:w w:val="91"/>
              </w:rPr>
              <w:t>Larry Ellberger</w:t>
            </w:r>
          </w:p>
        </w:tc>
        <w:tc>
          <w:tcPr>
            <w:tcW w:w="4720" w:type="dxa"/>
            <w:vAlign w:val="bottom"/>
          </w:tcPr>
          <w:p>
            <w:pPr>
              <w:spacing w:after="0"/>
              <w:rPr>
                <w:sz w:val="24"/>
                <w:szCs w:val="24"/>
                <w:color w:val="auto"/>
              </w:rPr>
            </w:pPr>
          </w:p>
        </w:tc>
        <w:tc>
          <w:tcPr>
            <w:tcW w:w="2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9"/>
        </w:trPr>
        <w:tc>
          <w:tcPr>
            <w:tcW w:w="1160" w:type="dxa"/>
            <w:vAlign w:val="bottom"/>
          </w:tcPr>
          <w:p>
            <w:pPr>
              <w:spacing w:after="0"/>
              <w:rPr>
                <w:sz w:val="24"/>
                <w:szCs w:val="24"/>
                <w:color w:val="auto"/>
              </w:rPr>
            </w:pPr>
          </w:p>
        </w:tc>
        <w:tc>
          <w:tcPr>
            <w:tcW w:w="2960" w:type="dxa"/>
            <w:vAlign w:val="bottom"/>
          </w:tcPr>
          <w:p>
            <w:pPr>
              <w:jc w:val="center"/>
              <w:spacing w:after="0"/>
              <w:rPr>
                <w:sz w:val="20"/>
                <w:szCs w:val="20"/>
                <w:color w:val="auto"/>
              </w:rPr>
            </w:pPr>
            <w:r>
              <w:rPr>
                <w:rFonts w:ascii="Arial" w:cs="Arial" w:eastAsia="Arial" w:hAnsi="Arial"/>
                <w:sz w:val="18"/>
                <w:szCs w:val="18"/>
                <w:color w:val="auto"/>
                <w:w w:val="91"/>
              </w:rPr>
              <w:t>/s/ HERBERT J. CONRAD</w:t>
            </w:r>
          </w:p>
        </w:tc>
        <w:tc>
          <w:tcPr>
            <w:tcW w:w="4720" w:type="dxa"/>
            <w:vAlign w:val="bottom"/>
          </w:tcPr>
          <w:p>
            <w:pPr>
              <w:spacing w:after="0"/>
              <w:rPr>
                <w:sz w:val="24"/>
                <w:szCs w:val="24"/>
                <w:color w:val="auto"/>
              </w:rPr>
            </w:pPr>
          </w:p>
        </w:tc>
        <w:tc>
          <w:tcPr>
            <w:tcW w:w="2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97"/>
        </w:trPr>
        <w:tc>
          <w:tcPr>
            <w:tcW w:w="1160" w:type="dxa"/>
            <w:vAlign w:val="bottom"/>
          </w:tcPr>
          <w:p>
            <w:pPr>
              <w:spacing w:after="0"/>
              <w:rPr>
                <w:sz w:val="8"/>
                <w:szCs w:val="8"/>
                <w:color w:val="auto"/>
              </w:rPr>
            </w:pPr>
          </w:p>
        </w:tc>
        <w:tc>
          <w:tcPr>
            <w:tcW w:w="2960" w:type="dxa"/>
            <w:vAlign w:val="bottom"/>
            <w:tcBorders>
              <w:bottom w:val="single" w:sz="8" w:color="auto"/>
            </w:tcBorders>
          </w:tcPr>
          <w:p>
            <w:pPr>
              <w:spacing w:after="0"/>
              <w:rPr>
                <w:sz w:val="8"/>
                <w:szCs w:val="8"/>
                <w:color w:val="auto"/>
              </w:rPr>
            </w:pPr>
          </w:p>
        </w:tc>
        <w:tc>
          <w:tcPr>
            <w:tcW w:w="4720" w:type="dxa"/>
            <w:vAlign w:val="bottom"/>
          </w:tcPr>
          <w:p>
            <w:pPr>
              <w:spacing w:after="0"/>
              <w:rPr>
                <w:sz w:val="8"/>
                <w:szCs w:val="8"/>
                <w:color w:val="auto"/>
              </w:rPr>
            </w:pPr>
          </w:p>
        </w:tc>
        <w:tc>
          <w:tcPr>
            <w:tcW w:w="25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89"/>
        </w:trPr>
        <w:tc>
          <w:tcPr>
            <w:tcW w:w="1160" w:type="dxa"/>
            <w:vAlign w:val="bottom"/>
          </w:tcPr>
          <w:p>
            <w:pPr>
              <w:spacing w:after="0"/>
              <w:rPr>
                <w:sz w:val="24"/>
                <w:szCs w:val="24"/>
                <w:color w:val="auto"/>
              </w:rPr>
            </w:pPr>
          </w:p>
        </w:tc>
        <w:tc>
          <w:tcPr>
            <w:tcW w:w="2960" w:type="dxa"/>
            <w:vAlign w:val="bottom"/>
          </w:tcPr>
          <w:p>
            <w:pPr>
              <w:jc w:val="center"/>
              <w:spacing w:after="0"/>
              <w:rPr>
                <w:sz w:val="20"/>
                <w:szCs w:val="20"/>
                <w:color w:val="auto"/>
              </w:rPr>
            </w:pPr>
            <w:r>
              <w:rPr>
                <w:rFonts w:ascii="Arial" w:cs="Arial" w:eastAsia="Arial" w:hAnsi="Arial"/>
                <w:sz w:val="18"/>
                <w:szCs w:val="18"/>
                <w:color w:val="auto"/>
                <w:w w:val="86"/>
              </w:rPr>
              <w:t>Herbert J. Conrad</w:t>
            </w:r>
          </w:p>
        </w:tc>
        <w:tc>
          <w:tcPr>
            <w:tcW w:w="4720" w:type="dxa"/>
            <w:vAlign w:val="bottom"/>
          </w:tcPr>
          <w:p>
            <w:pPr>
              <w:ind w:left="140"/>
              <w:spacing w:after="0"/>
              <w:rPr>
                <w:sz w:val="20"/>
                <w:szCs w:val="20"/>
                <w:color w:val="auto"/>
              </w:rPr>
            </w:pPr>
            <w:r>
              <w:rPr>
                <w:rFonts w:ascii="Arial" w:cs="Arial" w:eastAsia="Arial" w:hAnsi="Arial"/>
                <w:sz w:val="18"/>
                <w:szCs w:val="18"/>
                <w:color w:val="auto"/>
              </w:rPr>
              <w:t>Director</w:t>
            </w:r>
          </w:p>
        </w:tc>
        <w:tc>
          <w:tcPr>
            <w:tcW w:w="2580" w:type="dxa"/>
            <w:vAlign w:val="bottom"/>
          </w:tcPr>
          <w:p>
            <w:pPr>
              <w:ind w:left="320"/>
              <w:spacing w:after="0"/>
              <w:rPr>
                <w:sz w:val="20"/>
                <w:szCs w:val="20"/>
                <w:color w:val="auto"/>
              </w:rPr>
            </w:pPr>
            <w:r>
              <w:rPr>
                <w:rFonts w:ascii="Arial" w:cs="Arial" w:eastAsia="Arial" w:hAnsi="Arial"/>
                <w:sz w:val="18"/>
                <w:szCs w:val="18"/>
                <w:color w:val="auto"/>
              </w:rPr>
              <w:t>March 9, 2011</w:t>
            </w:r>
          </w:p>
        </w:tc>
        <w:tc>
          <w:tcPr>
            <w:tcW w:w="0" w:type="dxa"/>
            <w:vAlign w:val="bottom"/>
          </w:tcPr>
          <w:p>
            <w:pPr>
              <w:spacing w:after="0"/>
              <w:rPr>
                <w:sz w:val="1"/>
                <w:szCs w:val="1"/>
                <w:color w:val="auto"/>
              </w:rPr>
            </w:pPr>
          </w:p>
        </w:tc>
      </w:tr>
      <w:tr>
        <w:trPr>
          <w:trHeight w:val="459"/>
        </w:trPr>
        <w:tc>
          <w:tcPr>
            <w:tcW w:w="1160" w:type="dxa"/>
            <w:vAlign w:val="bottom"/>
          </w:tcPr>
          <w:p>
            <w:pPr>
              <w:spacing w:after="0"/>
              <w:rPr>
                <w:sz w:val="24"/>
                <w:szCs w:val="24"/>
                <w:color w:val="auto"/>
              </w:rPr>
            </w:pPr>
          </w:p>
        </w:tc>
        <w:tc>
          <w:tcPr>
            <w:tcW w:w="2960" w:type="dxa"/>
            <w:vAlign w:val="bottom"/>
          </w:tcPr>
          <w:p>
            <w:pPr>
              <w:jc w:val="center"/>
              <w:spacing w:after="0"/>
              <w:rPr>
                <w:sz w:val="20"/>
                <w:szCs w:val="20"/>
                <w:color w:val="auto"/>
              </w:rPr>
            </w:pPr>
            <w:r>
              <w:rPr>
                <w:rFonts w:ascii="Arial" w:cs="Arial" w:eastAsia="Arial" w:hAnsi="Arial"/>
                <w:sz w:val="18"/>
                <w:szCs w:val="18"/>
                <w:color w:val="auto"/>
                <w:w w:val="90"/>
              </w:rPr>
              <w:t>/s/ GEORGE O. ELSTON</w:t>
            </w:r>
          </w:p>
        </w:tc>
        <w:tc>
          <w:tcPr>
            <w:tcW w:w="4720" w:type="dxa"/>
            <w:vAlign w:val="bottom"/>
          </w:tcPr>
          <w:p>
            <w:pPr>
              <w:spacing w:after="0"/>
              <w:rPr>
                <w:sz w:val="24"/>
                <w:szCs w:val="24"/>
                <w:color w:val="auto"/>
              </w:rPr>
            </w:pPr>
          </w:p>
        </w:tc>
        <w:tc>
          <w:tcPr>
            <w:tcW w:w="2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97"/>
        </w:trPr>
        <w:tc>
          <w:tcPr>
            <w:tcW w:w="1160" w:type="dxa"/>
            <w:vAlign w:val="bottom"/>
          </w:tcPr>
          <w:p>
            <w:pPr>
              <w:spacing w:after="0"/>
              <w:rPr>
                <w:sz w:val="8"/>
                <w:szCs w:val="8"/>
                <w:color w:val="auto"/>
              </w:rPr>
            </w:pPr>
          </w:p>
        </w:tc>
        <w:tc>
          <w:tcPr>
            <w:tcW w:w="2960" w:type="dxa"/>
            <w:vAlign w:val="bottom"/>
            <w:tcBorders>
              <w:bottom w:val="single" w:sz="8" w:color="auto"/>
            </w:tcBorders>
          </w:tcPr>
          <w:p>
            <w:pPr>
              <w:spacing w:after="0"/>
              <w:rPr>
                <w:sz w:val="8"/>
                <w:szCs w:val="8"/>
                <w:color w:val="auto"/>
              </w:rPr>
            </w:pPr>
          </w:p>
        </w:tc>
        <w:tc>
          <w:tcPr>
            <w:tcW w:w="4720" w:type="dxa"/>
            <w:vAlign w:val="bottom"/>
          </w:tcPr>
          <w:p>
            <w:pPr>
              <w:spacing w:after="0"/>
              <w:rPr>
                <w:sz w:val="8"/>
                <w:szCs w:val="8"/>
                <w:color w:val="auto"/>
              </w:rPr>
            </w:pPr>
          </w:p>
        </w:tc>
        <w:tc>
          <w:tcPr>
            <w:tcW w:w="25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89"/>
        </w:trPr>
        <w:tc>
          <w:tcPr>
            <w:tcW w:w="1160" w:type="dxa"/>
            <w:vAlign w:val="bottom"/>
          </w:tcPr>
          <w:p>
            <w:pPr>
              <w:spacing w:after="0"/>
              <w:rPr>
                <w:sz w:val="24"/>
                <w:szCs w:val="24"/>
                <w:color w:val="auto"/>
              </w:rPr>
            </w:pPr>
          </w:p>
        </w:tc>
        <w:tc>
          <w:tcPr>
            <w:tcW w:w="2960" w:type="dxa"/>
            <w:vAlign w:val="bottom"/>
          </w:tcPr>
          <w:p>
            <w:pPr>
              <w:jc w:val="center"/>
              <w:spacing w:after="0"/>
              <w:rPr>
                <w:sz w:val="20"/>
                <w:szCs w:val="20"/>
                <w:color w:val="auto"/>
              </w:rPr>
            </w:pPr>
            <w:r>
              <w:rPr>
                <w:rFonts w:ascii="Arial" w:cs="Arial" w:eastAsia="Arial" w:hAnsi="Arial"/>
                <w:sz w:val="18"/>
                <w:szCs w:val="18"/>
                <w:color w:val="auto"/>
                <w:w w:val="87"/>
              </w:rPr>
              <w:t>George O. Elston</w:t>
            </w:r>
          </w:p>
        </w:tc>
        <w:tc>
          <w:tcPr>
            <w:tcW w:w="4720" w:type="dxa"/>
            <w:vAlign w:val="bottom"/>
          </w:tcPr>
          <w:p>
            <w:pPr>
              <w:ind w:left="140"/>
              <w:spacing w:after="0"/>
              <w:rPr>
                <w:sz w:val="20"/>
                <w:szCs w:val="20"/>
                <w:color w:val="auto"/>
              </w:rPr>
            </w:pPr>
            <w:r>
              <w:rPr>
                <w:rFonts w:ascii="Arial" w:cs="Arial" w:eastAsia="Arial" w:hAnsi="Arial"/>
                <w:sz w:val="18"/>
                <w:szCs w:val="18"/>
                <w:color w:val="auto"/>
              </w:rPr>
              <w:t>Director</w:t>
            </w:r>
          </w:p>
        </w:tc>
        <w:tc>
          <w:tcPr>
            <w:tcW w:w="2580" w:type="dxa"/>
            <w:vAlign w:val="bottom"/>
          </w:tcPr>
          <w:p>
            <w:pPr>
              <w:ind w:left="320"/>
              <w:spacing w:after="0"/>
              <w:rPr>
                <w:sz w:val="20"/>
                <w:szCs w:val="20"/>
                <w:color w:val="auto"/>
              </w:rPr>
            </w:pPr>
            <w:r>
              <w:rPr>
                <w:rFonts w:ascii="Arial" w:cs="Arial" w:eastAsia="Arial" w:hAnsi="Arial"/>
                <w:sz w:val="18"/>
                <w:szCs w:val="18"/>
                <w:color w:val="auto"/>
              </w:rPr>
              <w:t>March 9, 2011</w:t>
            </w:r>
          </w:p>
        </w:tc>
        <w:tc>
          <w:tcPr>
            <w:tcW w:w="0" w:type="dxa"/>
            <w:vAlign w:val="bottom"/>
          </w:tcPr>
          <w:p>
            <w:pPr>
              <w:spacing w:after="0"/>
              <w:rPr>
                <w:sz w:val="1"/>
                <w:szCs w:val="1"/>
                <w:color w:val="auto"/>
              </w:rPr>
            </w:pPr>
          </w:p>
        </w:tc>
      </w:tr>
      <w:tr>
        <w:trPr>
          <w:trHeight w:val="459"/>
        </w:trPr>
        <w:tc>
          <w:tcPr>
            <w:tcW w:w="1160" w:type="dxa"/>
            <w:vAlign w:val="bottom"/>
          </w:tcPr>
          <w:p>
            <w:pPr>
              <w:spacing w:after="0"/>
              <w:rPr>
                <w:sz w:val="24"/>
                <w:szCs w:val="24"/>
                <w:color w:val="auto"/>
              </w:rPr>
            </w:pPr>
          </w:p>
        </w:tc>
        <w:tc>
          <w:tcPr>
            <w:tcW w:w="2960" w:type="dxa"/>
            <w:vAlign w:val="bottom"/>
          </w:tcPr>
          <w:p>
            <w:pPr>
              <w:jc w:val="center"/>
              <w:spacing w:after="0"/>
              <w:rPr>
                <w:sz w:val="20"/>
                <w:szCs w:val="20"/>
                <w:color w:val="auto"/>
              </w:rPr>
            </w:pPr>
            <w:r>
              <w:rPr>
                <w:rFonts w:ascii="Arial" w:cs="Arial" w:eastAsia="Arial" w:hAnsi="Arial"/>
                <w:sz w:val="18"/>
                <w:szCs w:val="18"/>
                <w:color w:val="auto"/>
                <w:w w:val="92"/>
              </w:rPr>
              <w:t>/s/ KAREN SHOOS LIPTON</w:t>
            </w:r>
          </w:p>
        </w:tc>
        <w:tc>
          <w:tcPr>
            <w:tcW w:w="4720" w:type="dxa"/>
            <w:vAlign w:val="bottom"/>
          </w:tcPr>
          <w:p>
            <w:pPr>
              <w:spacing w:after="0"/>
              <w:rPr>
                <w:sz w:val="24"/>
                <w:szCs w:val="24"/>
                <w:color w:val="auto"/>
              </w:rPr>
            </w:pPr>
          </w:p>
        </w:tc>
        <w:tc>
          <w:tcPr>
            <w:tcW w:w="2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97"/>
        </w:trPr>
        <w:tc>
          <w:tcPr>
            <w:tcW w:w="1160" w:type="dxa"/>
            <w:vAlign w:val="bottom"/>
          </w:tcPr>
          <w:p>
            <w:pPr>
              <w:spacing w:after="0"/>
              <w:rPr>
                <w:sz w:val="8"/>
                <w:szCs w:val="8"/>
                <w:color w:val="auto"/>
              </w:rPr>
            </w:pPr>
          </w:p>
        </w:tc>
        <w:tc>
          <w:tcPr>
            <w:tcW w:w="2960" w:type="dxa"/>
            <w:vAlign w:val="bottom"/>
            <w:tcBorders>
              <w:bottom w:val="single" w:sz="8" w:color="auto"/>
            </w:tcBorders>
          </w:tcPr>
          <w:p>
            <w:pPr>
              <w:spacing w:after="0"/>
              <w:rPr>
                <w:sz w:val="8"/>
                <w:szCs w:val="8"/>
                <w:color w:val="auto"/>
              </w:rPr>
            </w:pPr>
          </w:p>
        </w:tc>
        <w:tc>
          <w:tcPr>
            <w:tcW w:w="4720" w:type="dxa"/>
            <w:vAlign w:val="bottom"/>
          </w:tcPr>
          <w:p>
            <w:pPr>
              <w:spacing w:after="0"/>
              <w:rPr>
                <w:sz w:val="8"/>
                <w:szCs w:val="8"/>
                <w:color w:val="auto"/>
              </w:rPr>
            </w:pPr>
          </w:p>
        </w:tc>
        <w:tc>
          <w:tcPr>
            <w:tcW w:w="25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89"/>
        </w:trPr>
        <w:tc>
          <w:tcPr>
            <w:tcW w:w="1160" w:type="dxa"/>
            <w:vAlign w:val="bottom"/>
          </w:tcPr>
          <w:p>
            <w:pPr>
              <w:spacing w:after="0"/>
              <w:rPr>
                <w:sz w:val="24"/>
                <w:szCs w:val="24"/>
                <w:color w:val="auto"/>
              </w:rPr>
            </w:pPr>
          </w:p>
        </w:tc>
        <w:tc>
          <w:tcPr>
            <w:tcW w:w="2960" w:type="dxa"/>
            <w:vAlign w:val="bottom"/>
          </w:tcPr>
          <w:p>
            <w:pPr>
              <w:jc w:val="center"/>
              <w:spacing w:after="0"/>
              <w:rPr>
                <w:sz w:val="20"/>
                <w:szCs w:val="20"/>
                <w:color w:val="auto"/>
              </w:rPr>
            </w:pPr>
            <w:r>
              <w:rPr>
                <w:rFonts w:ascii="Arial" w:cs="Arial" w:eastAsia="Arial" w:hAnsi="Arial"/>
                <w:sz w:val="18"/>
                <w:szCs w:val="18"/>
                <w:color w:val="auto"/>
                <w:w w:val="88"/>
              </w:rPr>
              <w:t>Karen Shoos Lipton</w:t>
            </w:r>
          </w:p>
        </w:tc>
        <w:tc>
          <w:tcPr>
            <w:tcW w:w="4720" w:type="dxa"/>
            <w:vAlign w:val="bottom"/>
          </w:tcPr>
          <w:p>
            <w:pPr>
              <w:ind w:left="140"/>
              <w:spacing w:after="0"/>
              <w:rPr>
                <w:sz w:val="20"/>
                <w:szCs w:val="20"/>
                <w:color w:val="auto"/>
              </w:rPr>
            </w:pPr>
            <w:r>
              <w:rPr>
                <w:rFonts w:ascii="Arial" w:cs="Arial" w:eastAsia="Arial" w:hAnsi="Arial"/>
                <w:sz w:val="18"/>
                <w:szCs w:val="18"/>
                <w:color w:val="auto"/>
              </w:rPr>
              <w:t>Director</w:t>
            </w:r>
          </w:p>
        </w:tc>
        <w:tc>
          <w:tcPr>
            <w:tcW w:w="2580" w:type="dxa"/>
            <w:vAlign w:val="bottom"/>
          </w:tcPr>
          <w:p>
            <w:pPr>
              <w:ind w:left="320"/>
              <w:spacing w:after="0"/>
              <w:rPr>
                <w:sz w:val="20"/>
                <w:szCs w:val="20"/>
                <w:color w:val="auto"/>
              </w:rPr>
            </w:pPr>
            <w:r>
              <w:rPr>
                <w:rFonts w:ascii="Arial" w:cs="Arial" w:eastAsia="Arial" w:hAnsi="Arial"/>
                <w:sz w:val="18"/>
                <w:szCs w:val="18"/>
                <w:color w:val="auto"/>
              </w:rPr>
              <w:t>March 9, 2011</w:t>
            </w:r>
          </w:p>
        </w:tc>
        <w:tc>
          <w:tcPr>
            <w:tcW w:w="0" w:type="dxa"/>
            <w:vAlign w:val="bottom"/>
          </w:tcPr>
          <w:p>
            <w:pPr>
              <w:spacing w:after="0"/>
              <w:rPr>
                <w:sz w:val="1"/>
                <w:szCs w:val="1"/>
                <w:color w:val="auto"/>
              </w:rPr>
            </w:pPr>
          </w:p>
        </w:tc>
      </w:tr>
      <w:tr>
        <w:trPr>
          <w:trHeight w:val="459"/>
        </w:trPr>
        <w:tc>
          <w:tcPr>
            <w:tcW w:w="1160" w:type="dxa"/>
            <w:vAlign w:val="bottom"/>
          </w:tcPr>
          <w:p>
            <w:pPr>
              <w:spacing w:after="0"/>
              <w:rPr>
                <w:sz w:val="24"/>
                <w:szCs w:val="24"/>
                <w:color w:val="auto"/>
              </w:rPr>
            </w:pPr>
          </w:p>
        </w:tc>
        <w:tc>
          <w:tcPr>
            <w:tcW w:w="2960" w:type="dxa"/>
            <w:vAlign w:val="bottom"/>
          </w:tcPr>
          <w:p>
            <w:pPr>
              <w:jc w:val="center"/>
              <w:spacing w:after="0"/>
              <w:rPr>
                <w:sz w:val="20"/>
                <w:szCs w:val="20"/>
                <w:color w:val="auto"/>
              </w:rPr>
            </w:pPr>
            <w:r>
              <w:rPr>
                <w:rFonts w:ascii="Arial" w:cs="Arial" w:eastAsia="Arial" w:hAnsi="Arial"/>
                <w:sz w:val="18"/>
                <w:szCs w:val="18"/>
                <w:color w:val="auto"/>
                <w:w w:val="91"/>
              </w:rPr>
              <w:t>/s/ DR. RAJESH B. PAREKH</w:t>
            </w:r>
          </w:p>
        </w:tc>
        <w:tc>
          <w:tcPr>
            <w:tcW w:w="4720" w:type="dxa"/>
            <w:vAlign w:val="bottom"/>
          </w:tcPr>
          <w:p>
            <w:pPr>
              <w:spacing w:after="0"/>
              <w:rPr>
                <w:sz w:val="24"/>
                <w:szCs w:val="24"/>
                <w:color w:val="auto"/>
              </w:rPr>
            </w:pPr>
          </w:p>
        </w:tc>
        <w:tc>
          <w:tcPr>
            <w:tcW w:w="2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97"/>
        </w:trPr>
        <w:tc>
          <w:tcPr>
            <w:tcW w:w="1160" w:type="dxa"/>
            <w:vAlign w:val="bottom"/>
          </w:tcPr>
          <w:p>
            <w:pPr>
              <w:spacing w:after="0"/>
              <w:rPr>
                <w:sz w:val="8"/>
                <w:szCs w:val="8"/>
                <w:color w:val="auto"/>
              </w:rPr>
            </w:pPr>
          </w:p>
        </w:tc>
        <w:tc>
          <w:tcPr>
            <w:tcW w:w="2960" w:type="dxa"/>
            <w:vAlign w:val="bottom"/>
            <w:tcBorders>
              <w:bottom w:val="single" w:sz="8" w:color="auto"/>
            </w:tcBorders>
          </w:tcPr>
          <w:p>
            <w:pPr>
              <w:spacing w:after="0"/>
              <w:rPr>
                <w:sz w:val="8"/>
                <w:szCs w:val="8"/>
                <w:color w:val="auto"/>
              </w:rPr>
            </w:pPr>
          </w:p>
        </w:tc>
        <w:tc>
          <w:tcPr>
            <w:tcW w:w="4720" w:type="dxa"/>
            <w:vAlign w:val="bottom"/>
          </w:tcPr>
          <w:p>
            <w:pPr>
              <w:spacing w:after="0"/>
              <w:rPr>
                <w:sz w:val="8"/>
                <w:szCs w:val="8"/>
                <w:color w:val="auto"/>
              </w:rPr>
            </w:pPr>
          </w:p>
        </w:tc>
        <w:tc>
          <w:tcPr>
            <w:tcW w:w="25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89"/>
        </w:trPr>
        <w:tc>
          <w:tcPr>
            <w:tcW w:w="1160" w:type="dxa"/>
            <w:vAlign w:val="bottom"/>
          </w:tcPr>
          <w:p>
            <w:pPr>
              <w:spacing w:after="0"/>
              <w:rPr>
                <w:sz w:val="24"/>
                <w:szCs w:val="24"/>
                <w:color w:val="auto"/>
              </w:rPr>
            </w:pPr>
          </w:p>
        </w:tc>
        <w:tc>
          <w:tcPr>
            <w:tcW w:w="2960" w:type="dxa"/>
            <w:vAlign w:val="bottom"/>
          </w:tcPr>
          <w:p>
            <w:pPr>
              <w:jc w:val="center"/>
              <w:spacing w:after="0"/>
              <w:rPr>
                <w:sz w:val="20"/>
                <w:szCs w:val="20"/>
                <w:color w:val="auto"/>
              </w:rPr>
            </w:pPr>
            <w:r>
              <w:rPr>
                <w:rFonts w:ascii="Arial" w:cs="Arial" w:eastAsia="Arial" w:hAnsi="Arial"/>
                <w:sz w:val="18"/>
                <w:szCs w:val="18"/>
                <w:color w:val="auto"/>
                <w:w w:val="87"/>
              </w:rPr>
              <w:t>Dr. Rajesh B. Parekh</w:t>
            </w:r>
          </w:p>
        </w:tc>
        <w:tc>
          <w:tcPr>
            <w:tcW w:w="4720" w:type="dxa"/>
            <w:vAlign w:val="bottom"/>
          </w:tcPr>
          <w:p>
            <w:pPr>
              <w:ind w:left="140"/>
              <w:spacing w:after="0"/>
              <w:rPr>
                <w:sz w:val="20"/>
                <w:szCs w:val="20"/>
                <w:color w:val="auto"/>
              </w:rPr>
            </w:pPr>
            <w:r>
              <w:rPr>
                <w:rFonts w:ascii="Arial" w:cs="Arial" w:eastAsia="Arial" w:hAnsi="Arial"/>
                <w:sz w:val="18"/>
                <w:szCs w:val="18"/>
                <w:color w:val="auto"/>
              </w:rPr>
              <w:t>Director</w:t>
            </w:r>
          </w:p>
        </w:tc>
        <w:tc>
          <w:tcPr>
            <w:tcW w:w="2580" w:type="dxa"/>
            <w:vAlign w:val="bottom"/>
          </w:tcPr>
          <w:p>
            <w:pPr>
              <w:ind w:left="320"/>
              <w:spacing w:after="0"/>
              <w:rPr>
                <w:sz w:val="20"/>
                <w:szCs w:val="20"/>
                <w:color w:val="auto"/>
              </w:rPr>
            </w:pPr>
            <w:r>
              <w:rPr>
                <w:rFonts w:ascii="Arial" w:cs="Arial" w:eastAsia="Arial" w:hAnsi="Arial"/>
                <w:sz w:val="18"/>
                <w:szCs w:val="18"/>
                <w:color w:val="auto"/>
              </w:rPr>
              <w:t>March 9, 2011</w:t>
            </w:r>
          </w:p>
        </w:tc>
        <w:tc>
          <w:tcPr>
            <w:tcW w:w="0" w:type="dxa"/>
            <w:vAlign w:val="bottom"/>
          </w:tcPr>
          <w:p>
            <w:pPr>
              <w:spacing w:after="0"/>
              <w:rPr>
                <w:sz w:val="1"/>
                <w:szCs w:val="1"/>
                <w:color w:val="auto"/>
              </w:rPr>
            </w:pPr>
          </w:p>
        </w:tc>
      </w:tr>
      <w:tr>
        <w:trPr>
          <w:trHeight w:val="459"/>
        </w:trPr>
        <w:tc>
          <w:tcPr>
            <w:tcW w:w="1160" w:type="dxa"/>
            <w:vAlign w:val="bottom"/>
          </w:tcPr>
          <w:p>
            <w:pPr>
              <w:spacing w:after="0"/>
              <w:rPr>
                <w:sz w:val="24"/>
                <w:szCs w:val="24"/>
                <w:color w:val="auto"/>
              </w:rPr>
            </w:pPr>
          </w:p>
        </w:tc>
        <w:tc>
          <w:tcPr>
            <w:tcW w:w="2960" w:type="dxa"/>
            <w:vAlign w:val="bottom"/>
          </w:tcPr>
          <w:p>
            <w:pPr>
              <w:jc w:val="center"/>
              <w:spacing w:after="0"/>
              <w:rPr>
                <w:sz w:val="20"/>
                <w:szCs w:val="20"/>
                <w:color w:val="auto"/>
              </w:rPr>
            </w:pPr>
            <w:r>
              <w:rPr>
                <w:rFonts w:ascii="Arial" w:cs="Arial" w:eastAsia="Arial" w:hAnsi="Arial"/>
                <w:sz w:val="18"/>
                <w:szCs w:val="18"/>
                <w:color w:val="auto"/>
                <w:w w:val="91"/>
              </w:rPr>
              <w:t>/s/ HARRY H. PENNER, JR.</w:t>
            </w:r>
          </w:p>
        </w:tc>
        <w:tc>
          <w:tcPr>
            <w:tcW w:w="4720" w:type="dxa"/>
            <w:vAlign w:val="bottom"/>
          </w:tcPr>
          <w:p>
            <w:pPr>
              <w:spacing w:after="0"/>
              <w:rPr>
                <w:sz w:val="24"/>
                <w:szCs w:val="24"/>
                <w:color w:val="auto"/>
              </w:rPr>
            </w:pPr>
          </w:p>
        </w:tc>
        <w:tc>
          <w:tcPr>
            <w:tcW w:w="2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97"/>
        </w:trPr>
        <w:tc>
          <w:tcPr>
            <w:tcW w:w="1160" w:type="dxa"/>
            <w:vAlign w:val="bottom"/>
          </w:tcPr>
          <w:p>
            <w:pPr>
              <w:spacing w:after="0"/>
              <w:rPr>
                <w:sz w:val="8"/>
                <w:szCs w:val="8"/>
                <w:color w:val="auto"/>
              </w:rPr>
            </w:pPr>
          </w:p>
        </w:tc>
        <w:tc>
          <w:tcPr>
            <w:tcW w:w="2960" w:type="dxa"/>
            <w:vAlign w:val="bottom"/>
            <w:tcBorders>
              <w:bottom w:val="single" w:sz="8" w:color="auto"/>
            </w:tcBorders>
          </w:tcPr>
          <w:p>
            <w:pPr>
              <w:spacing w:after="0"/>
              <w:rPr>
                <w:sz w:val="8"/>
                <w:szCs w:val="8"/>
                <w:color w:val="auto"/>
              </w:rPr>
            </w:pPr>
          </w:p>
        </w:tc>
        <w:tc>
          <w:tcPr>
            <w:tcW w:w="4720" w:type="dxa"/>
            <w:vAlign w:val="bottom"/>
          </w:tcPr>
          <w:p>
            <w:pPr>
              <w:spacing w:after="0"/>
              <w:rPr>
                <w:sz w:val="8"/>
                <w:szCs w:val="8"/>
                <w:color w:val="auto"/>
              </w:rPr>
            </w:pPr>
          </w:p>
        </w:tc>
        <w:tc>
          <w:tcPr>
            <w:tcW w:w="25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89"/>
        </w:trPr>
        <w:tc>
          <w:tcPr>
            <w:tcW w:w="1160" w:type="dxa"/>
            <w:vAlign w:val="bottom"/>
          </w:tcPr>
          <w:p>
            <w:pPr>
              <w:spacing w:after="0"/>
              <w:rPr>
                <w:sz w:val="24"/>
                <w:szCs w:val="24"/>
                <w:color w:val="auto"/>
              </w:rPr>
            </w:pPr>
          </w:p>
        </w:tc>
        <w:tc>
          <w:tcPr>
            <w:tcW w:w="2960" w:type="dxa"/>
            <w:vAlign w:val="bottom"/>
          </w:tcPr>
          <w:p>
            <w:pPr>
              <w:jc w:val="center"/>
              <w:spacing w:after="0"/>
              <w:rPr>
                <w:sz w:val="20"/>
                <w:szCs w:val="20"/>
                <w:color w:val="auto"/>
              </w:rPr>
            </w:pPr>
            <w:r>
              <w:rPr>
                <w:rFonts w:ascii="Arial" w:cs="Arial" w:eastAsia="Arial" w:hAnsi="Arial"/>
                <w:sz w:val="18"/>
                <w:szCs w:val="18"/>
                <w:color w:val="auto"/>
                <w:w w:val="87"/>
              </w:rPr>
              <w:t>Harry H. Penner, Jr.</w:t>
            </w:r>
          </w:p>
        </w:tc>
        <w:tc>
          <w:tcPr>
            <w:tcW w:w="4720" w:type="dxa"/>
            <w:vAlign w:val="bottom"/>
          </w:tcPr>
          <w:p>
            <w:pPr>
              <w:ind w:left="140"/>
              <w:spacing w:after="0"/>
              <w:rPr>
                <w:sz w:val="20"/>
                <w:szCs w:val="20"/>
                <w:color w:val="auto"/>
              </w:rPr>
            </w:pPr>
            <w:r>
              <w:rPr>
                <w:rFonts w:ascii="Arial" w:cs="Arial" w:eastAsia="Arial" w:hAnsi="Arial"/>
                <w:sz w:val="18"/>
                <w:szCs w:val="18"/>
                <w:color w:val="auto"/>
              </w:rPr>
              <w:t>Director</w:t>
            </w:r>
          </w:p>
        </w:tc>
        <w:tc>
          <w:tcPr>
            <w:tcW w:w="2580" w:type="dxa"/>
            <w:vAlign w:val="bottom"/>
          </w:tcPr>
          <w:p>
            <w:pPr>
              <w:ind w:left="320"/>
              <w:spacing w:after="0"/>
              <w:rPr>
                <w:sz w:val="20"/>
                <w:szCs w:val="20"/>
                <w:color w:val="auto"/>
              </w:rPr>
            </w:pPr>
            <w:r>
              <w:rPr>
                <w:rFonts w:ascii="Arial" w:cs="Arial" w:eastAsia="Arial" w:hAnsi="Arial"/>
                <w:sz w:val="18"/>
                <w:szCs w:val="18"/>
                <w:color w:val="auto"/>
              </w:rPr>
              <w:t>March 9, 2011</w:t>
            </w:r>
          </w:p>
        </w:tc>
        <w:tc>
          <w:tcPr>
            <w:tcW w:w="0" w:type="dxa"/>
            <w:vAlign w:val="bottom"/>
          </w:tcPr>
          <w:p>
            <w:pPr>
              <w:spacing w:after="0"/>
              <w:rPr>
                <w:sz w:val="1"/>
                <w:szCs w:val="1"/>
                <w:color w:val="auto"/>
              </w:rPr>
            </w:pPr>
          </w:p>
        </w:tc>
      </w:tr>
      <w:tr>
        <w:trPr>
          <w:trHeight w:val="459"/>
        </w:trPr>
        <w:tc>
          <w:tcPr>
            <w:tcW w:w="1160" w:type="dxa"/>
            <w:vAlign w:val="bottom"/>
          </w:tcPr>
          <w:p>
            <w:pPr>
              <w:spacing w:after="0"/>
              <w:rPr>
                <w:sz w:val="24"/>
                <w:szCs w:val="24"/>
                <w:color w:val="auto"/>
              </w:rPr>
            </w:pPr>
          </w:p>
        </w:tc>
        <w:tc>
          <w:tcPr>
            <w:tcW w:w="2960" w:type="dxa"/>
            <w:vAlign w:val="bottom"/>
          </w:tcPr>
          <w:p>
            <w:pPr>
              <w:jc w:val="center"/>
              <w:spacing w:after="0"/>
              <w:rPr>
                <w:sz w:val="20"/>
                <w:szCs w:val="20"/>
                <w:color w:val="auto"/>
              </w:rPr>
            </w:pPr>
            <w:r>
              <w:rPr>
                <w:rFonts w:ascii="Arial" w:cs="Arial" w:eastAsia="Arial" w:hAnsi="Arial"/>
                <w:sz w:val="18"/>
                <w:szCs w:val="18"/>
                <w:color w:val="auto"/>
                <w:w w:val="95"/>
              </w:rPr>
              <w:t>/s/ TIMOTHY M. SHANNON, M.D.</w:t>
            </w:r>
          </w:p>
        </w:tc>
        <w:tc>
          <w:tcPr>
            <w:tcW w:w="4720" w:type="dxa"/>
            <w:vAlign w:val="bottom"/>
          </w:tcPr>
          <w:p>
            <w:pPr>
              <w:spacing w:after="0"/>
              <w:rPr>
                <w:sz w:val="24"/>
                <w:szCs w:val="24"/>
                <w:color w:val="auto"/>
              </w:rPr>
            </w:pPr>
          </w:p>
        </w:tc>
        <w:tc>
          <w:tcPr>
            <w:tcW w:w="2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97"/>
        </w:trPr>
        <w:tc>
          <w:tcPr>
            <w:tcW w:w="1160" w:type="dxa"/>
            <w:vAlign w:val="bottom"/>
          </w:tcPr>
          <w:p>
            <w:pPr>
              <w:spacing w:after="0"/>
              <w:rPr>
                <w:sz w:val="8"/>
                <w:szCs w:val="8"/>
                <w:color w:val="auto"/>
              </w:rPr>
            </w:pPr>
          </w:p>
        </w:tc>
        <w:tc>
          <w:tcPr>
            <w:tcW w:w="2960" w:type="dxa"/>
            <w:vAlign w:val="bottom"/>
            <w:tcBorders>
              <w:bottom w:val="single" w:sz="8" w:color="auto"/>
            </w:tcBorders>
          </w:tcPr>
          <w:p>
            <w:pPr>
              <w:spacing w:after="0"/>
              <w:rPr>
                <w:sz w:val="8"/>
                <w:szCs w:val="8"/>
                <w:color w:val="auto"/>
              </w:rPr>
            </w:pPr>
          </w:p>
        </w:tc>
        <w:tc>
          <w:tcPr>
            <w:tcW w:w="4720" w:type="dxa"/>
            <w:vAlign w:val="bottom"/>
          </w:tcPr>
          <w:p>
            <w:pPr>
              <w:spacing w:after="0"/>
              <w:rPr>
                <w:sz w:val="8"/>
                <w:szCs w:val="8"/>
                <w:color w:val="auto"/>
              </w:rPr>
            </w:pPr>
          </w:p>
        </w:tc>
        <w:tc>
          <w:tcPr>
            <w:tcW w:w="25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89"/>
        </w:trPr>
        <w:tc>
          <w:tcPr>
            <w:tcW w:w="1160" w:type="dxa"/>
            <w:vAlign w:val="bottom"/>
          </w:tcPr>
          <w:p>
            <w:pPr>
              <w:spacing w:after="0"/>
              <w:rPr>
                <w:sz w:val="24"/>
                <w:szCs w:val="24"/>
                <w:color w:val="auto"/>
              </w:rPr>
            </w:pPr>
          </w:p>
        </w:tc>
        <w:tc>
          <w:tcPr>
            <w:tcW w:w="2960" w:type="dxa"/>
            <w:vAlign w:val="bottom"/>
          </w:tcPr>
          <w:p>
            <w:pPr>
              <w:jc w:val="center"/>
              <w:spacing w:after="0"/>
              <w:rPr>
                <w:sz w:val="20"/>
                <w:szCs w:val="20"/>
                <w:color w:val="auto"/>
              </w:rPr>
            </w:pPr>
            <w:r>
              <w:rPr>
                <w:rFonts w:ascii="Arial" w:cs="Arial" w:eastAsia="Arial" w:hAnsi="Arial"/>
                <w:sz w:val="18"/>
                <w:szCs w:val="18"/>
                <w:color w:val="auto"/>
                <w:w w:val="91"/>
              </w:rPr>
              <w:t>Timothy M. Shannon, M.D.</w:t>
            </w:r>
          </w:p>
        </w:tc>
        <w:tc>
          <w:tcPr>
            <w:tcW w:w="4720" w:type="dxa"/>
            <w:vAlign w:val="bottom"/>
          </w:tcPr>
          <w:p>
            <w:pPr>
              <w:ind w:left="140"/>
              <w:spacing w:after="0"/>
              <w:rPr>
                <w:sz w:val="20"/>
                <w:szCs w:val="20"/>
                <w:color w:val="auto"/>
              </w:rPr>
            </w:pPr>
            <w:r>
              <w:rPr>
                <w:rFonts w:ascii="Arial" w:cs="Arial" w:eastAsia="Arial" w:hAnsi="Arial"/>
                <w:sz w:val="18"/>
                <w:szCs w:val="18"/>
                <w:color w:val="auto"/>
              </w:rPr>
              <w:t>Director</w:t>
            </w:r>
          </w:p>
        </w:tc>
        <w:tc>
          <w:tcPr>
            <w:tcW w:w="2580" w:type="dxa"/>
            <w:vAlign w:val="bottom"/>
          </w:tcPr>
          <w:p>
            <w:pPr>
              <w:ind w:left="320"/>
              <w:spacing w:after="0"/>
              <w:rPr>
                <w:sz w:val="20"/>
                <w:szCs w:val="20"/>
                <w:color w:val="auto"/>
              </w:rPr>
            </w:pPr>
            <w:r>
              <w:rPr>
                <w:rFonts w:ascii="Arial" w:cs="Arial" w:eastAsia="Arial" w:hAnsi="Arial"/>
                <w:sz w:val="18"/>
                <w:szCs w:val="18"/>
                <w:color w:val="auto"/>
              </w:rPr>
              <w:t>March 9, 2011</w:t>
            </w:r>
          </w:p>
        </w:tc>
        <w:tc>
          <w:tcPr>
            <w:tcW w:w="0" w:type="dxa"/>
            <w:vAlign w:val="bottom"/>
          </w:tcPr>
          <w:p>
            <w:pPr>
              <w:spacing w:after="0"/>
              <w:rPr>
                <w:sz w:val="1"/>
                <w:szCs w:val="1"/>
                <w:color w:val="auto"/>
              </w:rPr>
            </w:pPr>
          </w:p>
        </w:tc>
      </w:tr>
      <w:tr>
        <w:trPr>
          <w:trHeight w:val="432"/>
        </w:trPr>
        <w:tc>
          <w:tcPr>
            <w:tcW w:w="1160" w:type="dxa"/>
            <w:vAlign w:val="bottom"/>
          </w:tcPr>
          <w:p>
            <w:pPr>
              <w:spacing w:after="0"/>
              <w:rPr>
                <w:sz w:val="24"/>
                <w:szCs w:val="24"/>
                <w:color w:val="auto"/>
              </w:rPr>
            </w:pPr>
          </w:p>
        </w:tc>
        <w:tc>
          <w:tcPr>
            <w:tcW w:w="2960" w:type="dxa"/>
            <w:vAlign w:val="bottom"/>
          </w:tcPr>
          <w:p>
            <w:pPr>
              <w:spacing w:after="0"/>
              <w:rPr>
                <w:sz w:val="24"/>
                <w:szCs w:val="24"/>
                <w:color w:val="auto"/>
              </w:rPr>
            </w:pPr>
          </w:p>
        </w:tc>
        <w:tc>
          <w:tcPr>
            <w:tcW w:w="4720" w:type="dxa"/>
            <w:vAlign w:val="bottom"/>
          </w:tcPr>
          <w:p>
            <w:pPr>
              <w:ind w:left="1460"/>
              <w:spacing w:after="0"/>
              <w:rPr>
                <w:sz w:val="20"/>
                <w:szCs w:val="20"/>
                <w:color w:val="auto"/>
              </w:rPr>
            </w:pPr>
            <w:r>
              <w:rPr>
                <w:rFonts w:ascii="Arial" w:cs="Arial" w:eastAsia="Arial" w:hAnsi="Arial"/>
                <w:sz w:val="18"/>
                <w:szCs w:val="18"/>
                <w:color w:val="auto"/>
              </w:rPr>
              <w:t>107</w:t>
            </w:r>
          </w:p>
        </w:tc>
        <w:tc>
          <w:tcPr>
            <w:tcW w:w="2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8"/>
        </w:trPr>
        <w:tc>
          <w:tcPr>
            <w:tcW w:w="1160" w:type="dxa"/>
            <w:vAlign w:val="bottom"/>
            <w:tcBorders>
              <w:bottom w:val="single" w:sz="8" w:color="808080"/>
            </w:tcBorders>
          </w:tcPr>
          <w:p>
            <w:pPr>
              <w:spacing w:after="0"/>
              <w:rPr>
                <w:sz w:val="19"/>
                <w:szCs w:val="19"/>
                <w:color w:val="auto"/>
              </w:rPr>
            </w:pPr>
          </w:p>
        </w:tc>
        <w:tc>
          <w:tcPr>
            <w:tcW w:w="2960" w:type="dxa"/>
            <w:vAlign w:val="bottom"/>
            <w:tcBorders>
              <w:bottom w:val="single" w:sz="8" w:color="808080"/>
            </w:tcBorders>
          </w:tcPr>
          <w:p>
            <w:pPr>
              <w:spacing w:after="0"/>
              <w:rPr>
                <w:sz w:val="19"/>
                <w:szCs w:val="19"/>
                <w:color w:val="auto"/>
              </w:rPr>
            </w:pPr>
          </w:p>
        </w:tc>
        <w:tc>
          <w:tcPr>
            <w:tcW w:w="4720" w:type="dxa"/>
            <w:vAlign w:val="bottom"/>
            <w:tcBorders>
              <w:bottom w:val="single" w:sz="8" w:color="808080"/>
            </w:tcBorders>
          </w:tcPr>
          <w:p>
            <w:pPr>
              <w:spacing w:after="0"/>
              <w:rPr>
                <w:sz w:val="19"/>
                <w:szCs w:val="19"/>
                <w:color w:val="auto"/>
              </w:rPr>
            </w:pPr>
          </w:p>
        </w:tc>
        <w:tc>
          <w:tcPr>
            <w:tcW w:w="2580" w:type="dxa"/>
            <w:vAlign w:val="bottom"/>
            <w:tcBorders>
              <w:bottom w:val="single" w:sz="8" w:color="808080"/>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13" w:name="page114"/>
    <w:bookmarkEnd w:id="113"/>
    <w:p>
      <w:pPr>
        <w:spacing w:after="0" w:line="20" w:lineRule="exact"/>
        <w:rPr>
          <w:sz w:val="20"/>
          <w:szCs w:val="20"/>
          <w:color w:val="auto"/>
        </w:rPr>
      </w:pPr>
    </w:p>
    <w:p>
      <w:pPr>
        <w:sectPr>
          <w:pgSz w:w="11900" w:h="16838" w:orient="portrait"/>
          <w:cols w:equalWidth="1" w:num="1" w:space="0"/>
          <w:pgMar w:left="1440" w:top="1440" w:right="1440" w:bottom="875" w:gutter="0" w:footer="0" w:header="0"/>
        </w:sectPr>
      </w:pPr>
    </w:p>
    <w:bookmarkStart w:id="114" w:name="page115"/>
    <w:bookmarkEnd w:id="114"/>
    <w:p>
      <w:pPr>
        <w:jc w:val="right"/>
        <w:spacing w:after="0"/>
        <w:rPr>
          <w:sz w:val="20"/>
          <w:szCs w:val="20"/>
          <w:color w:val="auto"/>
        </w:rPr>
      </w:pPr>
      <w:r>
        <w:rPr>
          <w:rFonts w:ascii="Arial" w:cs="Arial" w:eastAsia="Arial" w:hAnsi="Arial"/>
          <w:sz w:val="18"/>
          <w:szCs w:val="18"/>
          <w:b w:val="1"/>
          <w:bCs w:val="1"/>
          <w:color w:val="auto"/>
        </w:rPr>
        <w:t>Exhibit 10.53</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JOINDER AND FIRST LOAN MODIFICATION AGREEMENT</w:t>
      </w:r>
    </w:p>
    <w:p>
      <w:pPr>
        <w:spacing w:after="0" w:line="225" w:lineRule="exact"/>
        <w:rPr>
          <w:sz w:val="20"/>
          <w:szCs w:val="20"/>
          <w:color w:val="auto"/>
        </w:rPr>
      </w:pPr>
    </w:p>
    <w:p>
      <w:pPr>
        <w:ind w:right="60" w:firstLine="648"/>
        <w:spacing w:after="0" w:line="273" w:lineRule="auto"/>
        <w:rPr>
          <w:sz w:val="20"/>
          <w:szCs w:val="20"/>
          <w:color w:val="auto"/>
        </w:rPr>
      </w:pPr>
      <w:r>
        <w:rPr>
          <w:rFonts w:ascii="Arial" w:cs="Arial" w:eastAsia="Arial" w:hAnsi="Arial"/>
          <w:sz w:val="17"/>
          <w:szCs w:val="17"/>
          <w:color w:val="auto"/>
        </w:rPr>
        <w:t>This Joinder and First Loan Modification Agreement (this “</w:t>
      </w:r>
      <w:r>
        <w:rPr>
          <w:rFonts w:ascii="Arial" w:cs="Arial" w:eastAsia="Arial" w:hAnsi="Arial"/>
          <w:sz w:val="17"/>
          <w:szCs w:val="17"/>
          <w:b w:val="1"/>
          <w:bCs w:val="1"/>
          <w:color w:val="auto"/>
        </w:rPr>
        <w:t>Loan Modification Agreement</w:t>
      </w:r>
      <w:r>
        <w:rPr>
          <w:rFonts w:ascii="Arial" w:cs="Arial" w:eastAsia="Arial" w:hAnsi="Arial"/>
          <w:sz w:val="17"/>
          <w:szCs w:val="17"/>
          <w:color w:val="auto"/>
        </w:rPr>
        <w:t xml:space="preserve">”) is entered into as of March 7, 2011 by and among (i) </w:t>
      </w:r>
      <w:r>
        <w:rPr>
          <w:rFonts w:ascii="Arial" w:cs="Arial" w:eastAsia="Arial" w:hAnsi="Arial"/>
          <w:sz w:val="17"/>
          <w:szCs w:val="17"/>
          <w:b w:val="1"/>
          <w:bCs w:val="1"/>
          <w:color w:val="auto"/>
        </w:rPr>
        <w:t>MIDCAP FUNDING V, LLC</w:t>
      </w:r>
      <w:r>
        <w:rPr>
          <w:rFonts w:ascii="Arial" w:cs="Arial" w:eastAsia="Arial" w:hAnsi="Arial"/>
          <w:sz w:val="17"/>
          <w:szCs w:val="17"/>
          <w:color w:val="auto"/>
        </w:rPr>
        <w:t>, a Delaware limited liability company (as assignee of</w:t>
      </w:r>
      <w:r>
        <w:rPr>
          <w:rFonts w:ascii="Arial" w:cs="Arial" w:eastAsia="Arial" w:hAnsi="Arial"/>
          <w:sz w:val="17"/>
          <w:szCs w:val="17"/>
          <w:b w:val="1"/>
          <w:bCs w:val="1"/>
          <w:color w:val="auto"/>
        </w:rPr>
        <w:t xml:space="preserve"> MIDCAP FINANCIAL, LLC</w:t>
      </w:r>
      <w:r>
        <w:rPr>
          <w:rFonts w:ascii="Arial" w:cs="Arial" w:eastAsia="Arial" w:hAnsi="Arial"/>
          <w:sz w:val="17"/>
          <w:szCs w:val="17"/>
          <w:color w:val="auto"/>
        </w:rPr>
        <w:t>, a Delaware limited liability company),</w:t>
      </w:r>
      <w:r>
        <w:rPr>
          <w:rFonts w:ascii="Arial" w:cs="Arial" w:eastAsia="Arial" w:hAnsi="Arial"/>
          <w:sz w:val="17"/>
          <w:szCs w:val="17"/>
          <w:b w:val="1"/>
          <w:bCs w:val="1"/>
          <w:color w:val="auto"/>
        </w:rPr>
        <w:t xml:space="preserve"> </w:t>
      </w:r>
      <w:r>
        <w:rPr>
          <w:rFonts w:ascii="Arial" w:cs="Arial" w:eastAsia="Arial" w:hAnsi="Arial"/>
          <w:sz w:val="17"/>
          <w:szCs w:val="17"/>
          <w:color w:val="auto"/>
        </w:rPr>
        <w:t>with an office located at 7735 Old Georgetown Road, Suite 400, Bethesda, Maryland 20814 (“</w:t>
      </w:r>
      <w:r>
        <w:rPr>
          <w:rFonts w:ascii="Arial" w:cs="Arial" w:eastAsia="Arial" w:hAnsi="Arial"/>
          <w:sz w:val="17"/>
          <w:szCs w:val="17"/>
          <w:b w:val="1"/>
          <w:bCs w:val="1"/>
          <w:color w:val="auto"/>
        </w:rPr>
        <w:t>MidCap</w:t>
      </w:r>
      <w:r>
        <w:rPr>
          <w:rFonts w:ascii="Arial" w:cs="Arial" w:eastAsia="Arial" w:hAnsi="Arial"/>
          <w:sz w:val="17"/>
          <w:szCs w:val="17"/>
          <w:color w:val="auto"/>
        </w:rPr>
        <w:t>”), as collateral agent (“</w:t>
      </w:r>
      <w:r>
        <w:rPr>
          <w:rFonts w:ascii="Arial" w:cs="Arial" w:eastAsia="Arial" w:hAnsi="Arial"/>
          <w:sz w:val="17"/>
          <w:szCs w:val="17"/>
          <w:b w:val="1"/>
          <w:bCs w:val="1"/>
          <w:color w:val="auto"/>
        </w:rPr>
        <w:t>Agent</w:t>
      </w:r>
      <w:r>
        <w:rPr>
          <w:rFonts w:ascii="Arial" w:cs="Arial" w:eastAsia="Arial" w:hAnsi="Arial"/>
          <w:sz w:val="17"/>
          <w:szCs w:val="17"/>
          <w:color w:val="auto"/>
        </w:rPr>
        <w:t xml:space="preserve">”); (ii) MidCap as a “Lender”; (iii) </w:t>
      </w:r>
      <w:r>
        <w:rPr>
          <w:rFonts w:ascii="Arial" w:cs="Arial" w:eastAsia="Arial" w:hAnsi="Arial"/>
          <w:sz w:val="17"/>
          <w:szCs w:val="17"/>
          <w:b w:val="1"/>
          <w:bCs w:val="1"/>
          <w:color w:val="auto"/>
        </w:rPr>
        <w:t>GENERAL ELECTRIC CAPITAL CORPORATION</w:t>
      </w:r>
      <w:r>
        <w:rPr>
          <w:rFonts w:ascii="Arial" w:cs="Arial" w:eastAsia="Arial" w:hAnsi="Arial"/>
          <w:sz w:val="17"/>
          <w:szCs w:val="17"/>
          <w:color w:val="auto"/>
        </w:rPr>
        <w:t xml:space="preserve"> (“</w:t>
      </w:r>
      <w:r>
        <w:rPr>
          <w:rFonts w:ascii="Arial" w:cs="Arial" w:eastAsia="Arial" w:hAnsi="Arial"/>
          <w:sz w:val="17"/>
          <w:szCs w:val="17"/>
          <w:b w:val="1"/>
          <w:bCs w:val="1"/>
          <w:color w:val="auto"/>
        </w:rPr>
        <w:t>GECC</w:t>
      </w:r>
      <w:r>
        <w:rPr>
          <w:rFonts w:ascii="Arial" w:cs="Arial" w:eastAsia="Arial" w:hAnsi="Arial"/>
          <w:sz w:val="17"/>
          <w:szCs w:val="17"/>
          <w:color w:val="auto"/>
        </w:rPr>
        <w:t>”), as a “Lender”(MidCap and GECC in their capacities as a “Lender” are each referred to herein as a “</w:t>
      </w:r>
      <w:r>
        <w:rPr>
          <w:rFonts w:ascii="Arial" w:cs="Arial" w:eastAsia="Arial" w:hAnsi="Arial"/>
          <w:sz w:val="17"/>
          <w:szCs w:val="17"/>
          <w:b w:val="1"/>
          <w:bCs w:val="1"/>
          <w:color w:val="auto"/>
        </w:rPr>
        <w:t>Lender</w:t>
      </w:r>
      <w:r>
        <w:rPr>
          <w:rFonts w:ascii="Arial" w:cs="Arial" w:eastAsia="Arial" w:hAnsi="Arial"/>
          <w:sz w:val="17"/>
          <w:szCs w:val="17"/>
          <w:color w:val="auto"/>
        </w:rPr>
        <w:t>”, and are collectively referred to herein as the “</w:t>
      </w:r>
      <w:r>
        <w:rPr>
          <w:rFonts w:ascii="Arial" w:cs="Arial" w:eastAsia="Arial" w:hAnsi="Arial"/>
          <w:sz w:val="17"/>
          <w:szCs w:val="17"/>
          <w:b w:val="1"/>
          <w:bCs w:val="1"/>
          <w:color w:val="auto"/>
        </w:rPr>
        <w:t>Lenders</w:t>
      </w:r>
      <w:r>
        <w:rPr>
          <w:rFonts w:ascii="Arial" w:cs="Arial" w:eastAsia="Arial" w:hAnsi="Arial"/>
          <w:sz w:val="17"/>
          <w:szCs w:val="17"/>
          <w:color w:val="auto"/>
        </w:rPr>
        <w:t xml:space="preserve">”); (iv) </w:t>
      </w:r>
      <w:r>
        <w:rPr>
          <w:rFonts w:ascii="Arial" w:cs="Arial" w:eastAsia="Arial" w:hAnsi="Arial"/>
          <w:sz w:val="17"/>
          <w:szCs w:val="17"/>
          <w:b w:val="1"/>
          <w:bCs w:val="1"/>
          <w:color w:val="auto"/>
        </w:rPr>
        <w:t>CELLDEX THERAPEUTICS, INC.</w:t>
      </w:r>
      <w:r>
        <w:rPr>
          <w:rFonts w:ascii="Arial" w:cs="Arial" w:eastAsia="Arial" w:hAnsi="Arial"/>
          <w:sz w:val="17"/>
          <w:szCs w:val="17"/>
          <w:color w:val="auto"/>
        </w:rPr>
        <w:t>, a Delaware corporation (“</w:t>
      </w:r>
      <w:r>
        <w:rPr>
          <w:rFonts w:ascii="Arial" w:cs="Arial" w:eastAsia="Arial" w:hAnsi="Arial"/>
          <w:sz w:val="17"/>
          <w:szCs w:val="17"/>
          <w:b w:val="1"/>
          <w:bCs w:val="1"/>
          <w:color w:val="auto"/>
        </w:rPr>
        <w:t>Celldex</w:t>
      </w:r>
      <w:r>
        <w:rPr>
          <w:rFonts w:ascii="Arial" w:cs="Arial" w:eastAsia="Arial" w:hAnsi="Arial"/>
          <w:sz w:val="17"/>
          <w:szCs w:val="17"/>
          <w:color w:val="auto"/>
        </w:rPr>
        <w:t xml:space="preserve">”); and (v) </w:t>
      </w:r>
      <w:r>
        <w:rPr>
          <w:rFonts w:ascii="Arial" w:cs="Arial" w:eastAsia="Arial" w:hAnsi="Arial"/>
          <w:sz w:val="17"/>
          <w:szCs w:val="17"/>
          <w:b w:val="1"/>
          <w:bCs w:val="1"/>
          <w:color w:val="auto"/>
        </w:rPr>
        <w:t>CELLDEX RESEARCH CORPORATION</w:t>
      </w:r>
      <w:r>
        <w:rPr>
          <w:rFonts w:ascii="Arial" w:cs="Arial" w:eastAsia="Arial" w:hAnsi="Arial"/>
          <w:sz w:val="17"/>
          <w:szCs w:val="17"/>
          <w:color w:val="auto"/>
        </w:rPr>
        <w:t>, a Delaware corporation (“</w:t>
      </w:r>
      <w:r>
        <w:rPr>
          <w:rFonts w:ascii="Arial" w:cs="Arial" w:eastAsia="Arial" w:hAnsi="Arial"/>
          <w:sz w:val="17"/>
          <w:szCs w:val="17"/>
          <w:b w:val="1"/>
          <w:bCs w:val="1"/>
          <w:color w:val="auto"/>
        </w:rPr>
        <w:t>Celldex Research</w:t>
      </w:r>
      <w:r>
        <w:rPr>
          <w:rFonts w:ascii="Arial" w:cs="Arial" w:eastAsia="Arial" w:hAnsi="Arial"/>
          <w:sz w:val="17"/>
          <w:szCs w:val="17"/>
          <w:color w:val="auto"/>
        </w:rPr>
        <w:t>”; Celldex and Celldex Research are referred to herein individually and collectively, jointly and severally, as “</w:t>
      </w:r>
      <w:r>
        <w:rPr>
          <w:rFonts w:ascii="Arial" w:cs="Arial" w:eastAsia="Arial" w:hAnsi="Arial"/>
          <w:sz w:val="17"/>
          <w:szCs w:val="17"/>
          <w:b w:val="1"/>
          <w:bCs w:val="1"/>
          <w:color w:val="auto"/>
        </w:rPr>
        <w:t>Borrower</w:t>
      </w:r>
      <w:r>
        <w:rPr>
          <w:rFonts w:ascii="Arial" w:cs="Arial" w:eastAsia="Arial" w:hAnsi="Arial"/>
          <w:sz w:val="17"/>
          <w:szCs w:val="17"/>
          <w:color w:val="auto"/>
        </w:rPr>
        <w:t>”).</w:t>
      </w:r>
    </w:p>
    <w:p>
      <w:pPr>
        <w:spacing w:after="0" w:line="176" w:lineRule="exact"/>
        <w:rPr>
          <w:sz w:val="20"/>
          <w:szCs w:val="20"/>
          <w:color w:val="auto"/>
        </w:rPr>
      </w:pPr>
    </w:p>
    <w:p>
      <w:pPr>
        <w:ind w:right="40" w:firstLine="8"/>
        <w:spacing w:after="0" w:line="276" w:lineRule="auto"/>
        <w:tabs>
          <w:tab w:leader="none" w:pos="662" w:val="left"/>
        </w:tabs>
        <w:numPr>
          <w:ilvl w:val="0"/>
          <w:numId w:val="37"/>
        </w:numPr>
        <w:rPr>
          <w:rFonts w:ascii="Arial" w:cs="Arial" w:eastAsia="Arial" w:hAnsi="Arial"/>
          <w:sz w:val="17"/>
          <w:szCs w:val="17"/>
          <w:color w:val="auto"/>
        </w:rPr>
      </w:pPr>
      <w:r>
        <w:rPr>
          <w:rFonts w:ascii="Arial" w:cs="Arial" w:eastAsia="Arial" w:hAnsi="Arial"/>
          <w:sz w:val="17"/>
          <w:szCs w:val="17"/>
          <w:u w:val="single" w:color="auto"/>
          <w:color w:val="auto"/>
        </w:rPr>
        <w:t>DESCRIPTION OF EXISTING INDEBTEDNESS AND OBLIGATIONS</w:t>
      </w:r>
      <w:r>
        <w:rPr>
          <w:rFonts w:ascii="Arial" w:cs="Arial" w:eastAsia="Arial" w:hAnsi="Arial"/>
          <w:sz w:val="17"/>
          <w:szCs w:val="17"/>
          <w:color w:val="auto"/>
        </w:rPr>
        <w:t>. Borrower is indebted to MidCap pursuant to a loan arrangement dated as of December 30, 2010, evidenced by, among other documents, a certain Loan and Security Agreement dated as of December 30, 2010, among Borrower, Agent and MidCap as a “Lender” (as amended hereby and as it may be further amended, restated or otherwise modified from time to time, the “</w:t>
      </w:r>
      <w:r>
        <w:rPr>
          <w:rFonts w:ascii="Arial" w:cs="Arial" w:eastAsia="Arial" w:hAnsi="Arial"/>
          <w:sz w:val="17"/>
          <w:szCs w:val="17"/>
          <w:b w:val="1"/>
          <w:bCs w:val="1"/>
          <w:color w:val="auto"/>
        </w:rPr>
        <w:t>Loan</w:t>
      </w:r>
      <w:r>
        <w:rPr>
          <w:rFonts w:ascii="Arial" w:cs="Arial" w:eastAsia="Arial" w:hAnsi="Arial"/>
          <w:sz w:val="17"/>
          <w:szCs w:val="17"/>
          <w:color w:val="auto"/>
        </w:rPr>
        <w:t xml:space="preserve"> </w:t>
      </w:r>
      <w:r>
        <w:rPr>
          <w:rFonts w:ascii="Arial" w:cs="Arial" w:eastAsia="Arial" w:hAnsi="Arial"/>
          <w:sz w:val="17"/>
          <w:szCs w:val="17"/>
          <w:b w:val="1"/>
          <w:bCs w:val="1"/>
          <w:color w:val="auto"/>
        </w:rPr>
        <w:t>Agreement</w:t>
      </w:r>
      <w:r>
        <w:rPr>
          <w:rFonts w:ascii="Arial" w:cs="Arial" w:eastAsia="Arial" w:hAnsi="Arial"/>
          <w:sz w:val="17"/>
          <w:szCs w:val="17"/>
          <w:color w:val="auto"/>
        </w:rPr>
        <w:t>”). Capitalized terms used but not otherwise defined herein shall have the meanings ascribed to such terms in the Loan Agreement. GECC desires</w:t>
      </w:r>
      <w:r>
        <w:rPr>
          <w:rFonts w:ascii="Arial" w:cs="Arial" w:eastAsia="Arial" w:hAnsi="Arial"/>
          <w:sz w:val="17"/>
          <w:szCs w:val="17"/>
          <w:b w:val="1"/>
          <w:bCs w:val="1"/>
          <w:color w:val="auto"/>
        </w:rPr>
        <w:t xml:space="preserve"> </w:t>
      </w:r>
      <w:r>
        <w:rPr>
          <w:rFonts w:ascii="Arial" w:cs="Arial" w:eastAsia="Arial" w:hAnsi="Arial"/>
          <w:sz w:val="17"/>
          <w:szCs w:val="17"/>
          <w:color w:val="auto"/>
        </w:rPr>
        <w:t>to join the Loan Agreement as a “Lender” thereunder pursuant to the terms of this Loan Modification Agreement.</w:t>
      </w:r>
    </w:p>
    <w:p>
      <w:pPr>
        <w:spacing w:after="0" w:line="172" w:lineRule="exact"/>
        <w:rPr>
          <w:rFonts w:ascii="Arial" w:cs="Arial" w:eastAsia="Arial" w:hAnsi="Arial"/>
          <w:sz w:val="17"/>
          <w:szCs w:val="17"/>
          <w:color w:val="auto"/>
        </w:rPr>
      </w:pPr>
    </w:p>
    <w:p>
      <w:pPr>
        <w:jc w:val="both"/>
        <w:ind w:right="100" w:firstLine="8"/>
        <w:spacing w:after="0" w:line="312" w:lineRule="auto"/>
        <w:tabs>
          <w:tab w:leader="none" w:pos="662" w:val="left"/>
        </w:tabs>
        <w:numPr>
          <w:ilvl w:val="0"/>
          <w:numId w:val="37"/>
        </w:numPr>
        <w:rPr>
          <w:rFonts w:ascii="Arial" w:cs="Arial" w:eastAsia="Arial" w:hAnsi="Arial"/>
          <w:sz w:val="16"/>
          <w:szCs w:val="16"/>
          <w:color w:val="auto"/>
        </w:rPr>
      </w:pPr>
      <w:r>
        <w:rPr>
          <w:rFonts w:ascii="Arial" w:cs="Arial" w:eastAsia="Arial" w:hAnsi="Arial"/>
          <w:sz w:val="16"/>
          <w:szCs w:val="16"/>
          <w:u w:val="single" w:color="auto"/>
          <w:color w:val="auto"/>
        </w:rPr>
        <w:t>DESCRIPTION OF COLLATERAL</w:t>
      </w:r>
      <w:r>
        <w:rPr>
          <w:rFonts w:ascii="Arial" w:cs="Arial" w:eastAsia="Arial" w:hAnsi="Arial"/>
          <w:sz w:val="16"/>
          <w:szCs w:val="16"/>
          <w:color w:val="auto"/>
        </w:rPr>
        <w:t>. Repayment of the Obligations is secured by the Collateral as described in the Loan Agreement (together with any other document pursuant to which collateral security is granted to Agent for the ratable benefit of the Lenders, the “</w:t>
      </w:r>
      <w:r>
        <w:rPr>
          <w:rFonts w:ascii="Arial" w:cs="Arial" w:eastAsia="Arial" w:hAnsi="Arial"/>
          <w:sz w:val="16"/>
          <w:szCs w:val="16"/>
          <w:b w:val="1"/>
          <w:bCs w:val="1"/>
          <w:color w:val="auto"/>
        </w:rPr>
        <w:t>Security Documents</w:t>
      </w:r>
      <w:r>
        <w:rPr>
          <w:rFonts w:ascii="Arial" w:cs="Arial" w:eastAsia="Arial" w:hAnsi="Arial"/>
          <w:sz w:val="16"/>
          <w:szCs w:val="16"/>
          <w:color w:val="auto"/>
        </w:rPr>
        <w:t>”). Hereinafter, the Security Documents, together with all other documents evidencing or securing the Obligations shall be referred to as the “</w:t>
      </w:r>
      <w:r>
        <w:rPr>
          <w:rFonts w:ascii="Arial" w:cs="Arial" w:eastAsia="Arial" w:hAnsi="Arial"/>
          <w:sz w:val="16"/>
          <w:szCs w:val="16"/>
          <w:b w:val="1"/>
          <w:bCs w:val="1"/>
          <w:color w:val="auto"/>
        </w:rPr>
        <w:t>Existing Loan Documents</w:t>
      </w:r>
      <w:r>
        <w:rPr>
          <w:rFonts w:ascii="Arial" w:cs="Arial" w:eastAsia="Arial" w:hAnsi="Arial"/>
          <w:sz w:val="16"/>
          <w:szCs w:val="16"/>
          <w:color w:val="auto"/>
        </w:rPr>
        <w:t>”.</w:t>
      </w:r>
    </w:p>
    <w:p>
      <w:pPr>
        <w:spacing w:after="0" w:line="146" w:lineRule="exact"/>
        <w:rPr>
          <w:rFonts w:ascii="Arial" w:cs="Arial" w:eastAsia="Arial" w:hAnsi="Arial"/>
          <w:sz w:val="16"/>
          <w:szCs w:val="16"/>
          <w:color w:val="auto"/>
        </w:rPr>
      </w:pPr>
    </w:p>
    <w:p>
      <w:pPr>
        <w:ind w:right="60" w:firstLine="8"/>
        <w:spacing w:after="0" w:line="270" w:lineRule="auto"/>
        <w:tabs>
          <w:tab w:leader="none" w:pos="662" w:val="left"/>
        </w:tabs>
        <w:numPr>
          <w:ilvl w:val="0"/>
          <w:numId w:val="37"/>
        </w:numPr>
        <w:rPr>
          <w:rFonts w:ascii="Arial" w:cs="Arial" w:eastAsia="Arial" w:hAnsi="Arial"/>
          <w:sz w:val="17"/>
          <w:szCs w:val="17"/>
          <w:color w:val="auto"/>
        </w:rPr>
      </w:pPr>
      <w:r>
        <w:rPr>
          <w:rFonts w:ascii="Arial" w:cs="Arial" w:eastAsia="Arial" w:hAnsi="Arial"/>
          <w:sz w:val="17"/>
          <w:szCs w:val="17"/>
          <w:u w:val="single" w:color="auto"/>
          <w:color w:val="auto"/>
        </w:rPr>
        <w:t>JOINDER</w:t>
      </w:r>
      <w:r>
        <w:rPr>
          <w:rFonts w:ascii="Arial" w:cs="Arial" w:eastAsia="Arial" w:hAnsi="Arial"/>
          <w:sz w:val="17"/>
          <w:szCs w:val="17"/>
          <w:color w:val="auto"/>
        </w:rPr>
        <w:t xml:space="preserve">. Effective as of the date of this Loan Modification Agreement, GECC hereby: (i) joins in the execution of, and becomes a party to, the Loan Agreement and the other Loan Documents as a “Lender” thereunder; (ii) covenants and agrees to be bound by all covenants, agreements, obligations, liabilities and acknowledgments of a “Lender” under the Loan Agreement and the other Loan Documents (other than covenants, agreements, liabilities and acknowledgments that relate solely to a date prior to the date of this Loan Modification Agreement ), including GECC’s Term B Commitment (as set forth on </w:t>
      </w:r>
      <w:r>
        <w:rPr>
          <w:rFonts w:ascii="Arial" w:cs="Arial" w:eastAsia="Arial" w:hAnsi="Arial"/>
          <w:sz w:val="17"/>
          <w:szCs w:val="17"/>
          <w:u w:val="single" w:color="auto"/>
          <w:color w:val="auto"/>
        </w:rPr>
        <w:t>Schedule 1.1</w:t>
      </w:r>
      <w:r>
        <w:rPr>
          <w:rFonts w:ascii="Arial" w:cs="Arial" w:eastAsia="Arial" w:hAnsi="Arial"/>
          <w:sz w:val="17"/>
          <w:szCs w:val="17"/>
          <w:color w:val="auto"/>
        </w:rPr>
        <w:t xml:space="preserve"> to the Loan Agreement as amended by this Loan Modification Agreement), in each case, with the same force and effect as if GECC was a signatory to the Loan Agreement and the other Loan Documents and was expressly named as a “Lender” therein, and (iii) appoints and authorizes Agent to take such actions as agent on its behalf and to exercise such powers under the Loan Agreement and the other Loan Documents as are delegated to Agent by the terms thereof, together with such powers as are reasonably incidental thereto. Borrower, Agent and each other Lender hereby acknowledges and agrees that GECC, pursuant to this Loan Modification Agreement shall be entitled to all of the rights and benefits of a Lender under the Loan Agreement and the other Loan Documents.</w:t>
      </w:r>
    </w:p>
    <w:p>
      <w:pPr>
        <w:spacing w:after="0" w:line="177" w:lineRule="exact"/>
        <w:rPr>
          <w:rFonts w:ascii="Arial" w:cs="Arial" w:eastAsia="Arial" w:hAnsi="Arial"/>
          <w:sz w:val="17"/>
          <w:szCs w:val="17"/>
          <w:color w:val="auto"/>
        </w:rPr>
      </w:pPr>
    </w:p>
    <w:p>
      <w:pPr>
        <w:ind w:firstLine="8"/>
        <w:spacing w:after="0" w:line="290" w:lineRule="auto"/>
        <w:tabs>
          <w:tab w:leader="none" w:pos="662" w:val="left"/>
        </w:tabs>
        <w:numPr>
          <w:ilvl w:val="0"/>
          <w:numId w:val="37"/>
        </w:numPr>
        <w:rPr>
          <w:rFonts w:ascii="Arial" w:cs="Arial" w:eastAsia="Arial" w:hAnsi="Arial"/>
          <w:sz w:val="16"/>
          <w:szCs w:val="16"/>
          <w:color w:val="auto"/>
        </w:rPr>
      </w:pPr>
      <w:r>
        <w:rPr>
          <w:rFonts w:ascii="Arial" w:cs="Arial" w:eastAsia="Arial" w:hAnsi="Arial"/>
          <w:sz w:val="16"/>
          <w:szCs w:val="16"/>
          <w:u w:val="single" w:color="auto"/>
          <w:color w:val="auto"/>
        </w:rPr>
        <w:t>GECC ACKNOWLEDGMENTS</w:t>
      </w:r>
      <w:r>
        <w:rPr>
          <w:rFonts w:ascii="Arial" w:cs="Arial" w:eastAsia="Arial" w:hAnsi="Arial"/>
          <w:sz w:val="16"/>
          <w:szCs w:val="16"/>
          <w:color w:val="auto"/>
        </w:rPr>
        <w:t>. GECC (i) confirms that it has received a copy of the Existing Loan Documents, together with copies of the financial information delivered by Borrower pursuant to Section 6. 2 thereof and such other documents and information as it has deemed appropriate to make its own credit analysis and decision to enter into this Loan Modification Agreement; and (ii) agrees that it will, independently and without reliance upon the Agent or any other Lender, and based on such documents and information as it shall deem appropriate at the time, continue to make its own credit decisions in respect of Borrower, any Guarantor, the Collateral, the Loan Agreement and the other Loan Documents. GECC further acknowledges and agrees that Agent and the other Lenders: (x) make no representations or warranties and assume no responsibility with respect to any statements, warranties or representations made in, or in connection with, the Loan Agreement or any other Loan Document or any other instrument or document furnished pursuant thereto or the execution, legality, validity, enforceability, genuineness, sufficiency or value of the Loan Agreement or any other Loan Document, any other instrument 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180975</wp:posOffset>
            </wp:positionV>
            <wp:extent cx="7267575" cy="2984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spacing w:after="0" w:line="286" w:lineRule="auto"/>
        <w:rPr>
          <w:sz w:val="20"/>
          <w:szCs w:val="20"/>
          <w:color w:val="auto"/>
        </w:rPr>
      </w:pPr>
      <w:r>
        <w:rPr>
          <w:rFonts w:ascii="Arial" w:cs="Arial" w:eastAsia="Arial" w:hAnsi="Arial"/>
          <w:sz w:val="17"/>
          <w:szCs w:val="17"/>
          <w:color w:val="auto"/>
        </w:rPr>
        <w:t>document furnished pursuant thereto or any Collateral; and (y) make no representation or warranty and assume no responsibility with respect to the financial condition of Borrower or any Guarantor or the performance or observance by Borrower or any Guarantor of any of their respective obligations under the Loan Agreement and the other Loan Documents or any other instrument or document furnished pursuant thereto.</w:t>
      </w:r>
    </w:p>
    <w:p>
      <w:pPr>
        <w:spacing w:after="0" w:line="166" w:lineRule="exact"/>
        <w:rPr>
          <w:sz w:val="20"/>
          <w:szCs w:val="20"/>
          <w:color w:val="auto"/>
        </w:rPr>
      </w:pPr>
    </w:p>
    <w:p>
      <w:pPr>
        <w:ind w:left="660" w:right="7580" w:hanging="652"/>
        <w:spacing w:after="0" w:line="530" w:lineRule="auto"/>
        <w:tabs>
          <w:tab w:leader="none" w:pos="673" w:val="left"/>
        </w:tabs>
        <w:numPr>
          <w:ilvl w:val="0"/>
          <w:numId w:val="38"/>
        </w:numPr>
        <w:rPr>
          <w:rFonts w:ascii="Arial" w:cs="Arial" w:eastAsia="Arial" w:hAnsi="Arial"/>
          <w:sz w:val="17"/>
          <w:szCs w:val="17"/>
          <w:color w:val="auto"/>
        </w:rPr>
      </w:pPr>
      <w:r>
        <w:rPr>
          <w:rFonts w:ascii="Arial" w:cs="Arial" w:eastAsia="Arial" w:hAnsi="Arial"/>
          <w:sz w:val="17"/>
          <w:szCs w:val="17"/>
          <w:u w:val="single" w:color="auto"/>
          <w:color w:val="auto"/>
        </w:rPr>
        <w:t>DESCRIPTION OF CHANGE IN TERMS</w:t>
      </w:r>
      <w:r>
        <w:rPr>
          <w:rFonts w:ascii="Arial" w:cs="Arial" w:eastAsia="Arial" w:hAnsi="Arial"/>
          <w:sz w:val="17"/>
          <w:szCs w:val="17"/>
          <w:color w:val="auto"/>
        </w:rPr>
        <w:t>. Modifications to Loan Agreement.</w:t>
      </w:r>
    </w:p>
    <w:p>
      <w:pPr>
        <w:ind w:left="1960" w:hanging="655"/>
        <w:spacing w:after="0"/>
        <w:tabs>
          <w:tab w:leader="none" w:pos="1960" w:val="left"/>
        </w:tabs>
        <w:numPr>
          <w:ilvl w:val="1"/>
          <w:numId w:val="38"/>
        </w:numPr>
        <w:rPr>
          <w:rFonts w:ascii="Arial" w:cs="Arial" w:eastAsia="Arial" w:hAnsi="Arial"/>
          <w:sz w:val="18"/>
          <w:szCs w:val="18"/>
          <w:color w:val="auto"/>
        </w:rPr>
      </w:pPr>
      <w:r>
        <w:rPr>
          <w:rFonts w:ascii="Arial" w:cs="Arial" w:eastAsia="Arial" w:hAnsi="Arial"/>
          <w:sz w:val="18"/>
          <w:szCs w:val="18"/>
          <w:color w:val="auto"/>
        </w:rPr>
        <w:t>The Loan Agreement shall be amended by deleting the following text appearing as Sections 2.1 thereof:</w:t>
      </w:r>
    </w:p>
    <w:p>
      <w:pPr>
        <w:spacing w:after="0" w:line="225" w:lineRule="exact"/>
        <w:rPr>
          <w:sz w:val="20"/>
          <w:szCs w:val="20"/>
          <w:color w:val="auto"/>
        </w:rPr>
      </w:pPr>
    </w:p>
    <w:p>
      <w:pPr>
        <w:ind w:left="3240" w:right="140"/>
        <w:spacing w:after="0" w:line="259" w:lineRule="auto"/>
        <w:rPr>
          <w:sz w:val="20"/>
          <w:szCs w:val="20"/>
          <w:color w:val="auto"/>
        </w:rPr>
      </w:pPr>
      <w:r>
        <w:rPr>
          <w:rFonts w:ascii="Arial" w:cs="Arial" w:eastAsia="Arial" w:hAnsi="Arial"/>
          <w:sz w:val="18"/>
          <w:szCs w:val="18"/>
          <w:color w:val="auto"/>
        </w:rPr>
        <w:t>“Borrower hereby unconditionally promises to pay to Agent, for payment to each Lender in accordance with its respective Pro Rata Share, the outstanding principal amount of all Credit Extensions made by the Lenders and accrued and unpaid interest thereon and any other amounts due hereunder as and when due in accordance with this Agreement.”</w:t>
      </w:r>
    </w:p>
    <w:p>
      <w:pPr>
        <w:spacing w:after="0" w:line="187" w:lineRule="exact"/>
        <w:rPr>
          <w:sz w:val="20"/>
          <w:szCs w:val="20"/>
          <w:color w:val="auto"/>
        </w:rPr>
      </w:pPr>
    </w:p>
    <w:p>
      <w:pPr>
        <w:ind w:left="1960"/>
        <w:spacing w:after="0"/>
        <w:rPr>
          <w:sz w:val="20"/>
          <w:szCs w:val="20"/>
          <w:color w:val="auto"/>
        </w:rPr>
      </w:pPr>
      <w:r>
        <w:rPr>
          <w:rFonts w:ascii="Arial" w:cs="Arial" w:eastAsia="Arial" w:hAnsi="Arial"/>
          <w:sz w:val="18"/>
          <w:szCs w:val="18"/>
          <w:color w:val="auto"/>
        </w:rPr>
        <w:t>and inserting in lieu thereof the following:</w:t>
      </w:r>
    </w:p>
    <w:p>
      <w:pPr>
        <w:spacing w:after="0" w:line="225" w:lineRule="exact"/>
        <w:rPr>
          <w:sz w:val="20"/>
          <w:szCs w:val="20"/>
          <w:color w:val="auto"/>
        </w:rPr>
      </w:pPr>
    </w:p>
    <w:p>
      <w:pPr>
        <w:jc w:val="both"/>
        <w:ind w:left="3240" w:right="240"/>
        <w:spacing w:after="0" w:line="312" w:lineRule="auto"/>
        <w:rPr>
          <w:sz w:val="20"/>
          <w:szCs w:val="20"/>
          <w:color w:val="auto"/>
        </w:rPr>
      </w:pPr>
      <w:r>
        <w:rPr>
          <w:rFonts w:ascii="Arial" w:cs="Arial" w:eastAsia="Arial" w:hAnsi="Arial"/>
          <w:sz w:val="16"/>
          <w:szCs w:val="16"/>
          <w:color w:val="auto"/>
        </w:rPr>
        <w:t>“Borrower hereby unconditionally promises to pay to each Lender in accordance with its respective Pro Rata Share, the outstanding principal amount of all Credit Extensions made by the Lenders and accrued and unpaid interest thereon and any other amounts due hereunder as and when due in accordance with this Agreement.”</w:t>
      </w:r>
    </w:p>
    <w:p>
      <w:pPr>
        <w:spacing w:after="0" w:line="147" w:lineRule="exact"/>
        <w:rPr>
          <w:sz w:val="20"/>
          <w:szCs w:val="20"/>
          <w:color w:val="auto"/>
        </w:rPr>
      </w:pPr>
    </w:p>
    <w:p>
      <w:pPr>
        <w:ind w:left="3240" w:right="980" w:hanging="1935"/>
        <w:spacing w:after="0" w:line="501" w:lineRule="auto"/>
        <w:tabs>
          <w:tab w:leader="none" w:pos="1957" w:val="left"/>
        </w:tabs>
        <w:numPr>
          <w:ilvl w:val="0"/>
          <w:numId w:val="39"/>
        </w:numPr>
        <w:rPr>
          <w:rFonts w:ascii="Arial" w:cs="Arial" w:eastAsia="Arial" w:hAnsi="Arial"/>
          <w:sz w:val="18"/>
          <w:szCs w:val="18"/>
          <w:color w:val="auto"/>
        </w:rPr>
      </w:pPr>
      <w:r>
        <w:rPr>
          <w:rFonts w:ascii="Arial" w:cs="Arial" w:eastAsia="Arial" w:hAnsi="Arial"/>
          <w:sz w:val="18"/>
          <w:szCs w:val="18"/>
          <w:color w:val="auto"/>
        </w:rPr>
        <w:t>The Loan Agreement shall be amended by deleting the following text appearing as Sections 2.2(a) and 2.2(b) thereof: “</w:t>
      </w:r>
      <w:r>
        <w:rPr>
          <w:rFonts w:ascii="Arial" w:cs="Arial" w:eastAsia="Arial" w:hAnsi="Arial"/>
          <w:sz w:val="18"/>
          <w:szCs w:val="18"/>
          <w:u w:val="single" w:color="auto"/>
          <w:color w:val="auto"/>
        </w:rPr>
        <w:t>Term Loans</w:t>
      </w:r>
      <w:r>
        <w:rPr>
          <w:rFonts w:ascii="Arial" w:cs="Arial" w:eastAsia="Arial" w:hAnsi="Arial"/>
          <w:sz w:val="18"/>
          <w:szCs w:val="18"/>
          <w:color w:val="auto"/>
        </w:rPr>
        <w:t>.</w:t>
      </w:r>
    </w:p>
    <w:p>
      <w:pPr>
        <w:ind w:left="3240" w:right="240" w:firstLine="9"/>
        <w:spacing w:after="0" w:line="302" w:lineRule="auto"/>
        <w:tabs>
          <w:tab w:leader="none" w:pos="3899" w:val="left"/>
        </w:tabs>
        <w:numPr>
          <w:ilvl w:val="1"/>
          <w:numId w:val="39"/>
        </w:numPr>
        <w:rPr>
          <w:rFonts w:ascii="Arial" w:cs="Arial" w:eastAsia="Arial" w:hAnsi="Arial"/>
          <w:sz w:val="16"/>
          <w:szCs w:val="16"/>
          <w:color w:val="auto"/>
        </w:rPr>
      </w:pPr>
      <w:r>
        <w:rPr>
          <w:rFonts w:ascii="Arial" w:cs="Arial" w:eastAsia="Arial" w:hAnsi="Arial"/>
          <w:sz w:val="16"/>
          <w:szCs w:val="16"/>
          <w:color w:val="auto"/>
        </w:rPr>
        <w:t>Availability. Subject to the terms and conditions of this Agreement, the Lenders agree, severally and not jointly, to make term loans to Celldex, as agent for Borrower, in one advance on the Funding Date in accordance with a notice delivered pursuant to Section 3.4, below, in the aggregate amount of Ten Million Dollars ($10,000,000.00) according to each Lender’s Term Loan Commitment as set forth on Schedule 1.1</w:t>
      </w:r>
    </w:p>
    <w:p>
      <w:pPr>
        <w:sectPr>
          <w:pgSz w:w="11900" w:h="16838" w:orient="portrait"/>
          <w:cols w:equalWidth="0" w:num="1">
            <w:col w:w="11420"/>
          </w:cols>
          <w:pgMar w:left="240" w:top="364" w:right="239" w:bottom="0" w:gutter="0" w:footer="0" w:header="0"/>
        </w:sectPr>
      </w:pPr>
    </w:p>
    <w:bookmarkStart w:id="115" w:name="page116"/>
    <w:bookmarkEnd w:id="115"/>
    <w:p>
      <w:pPr>
        <w:ind w:left="2040" w:right="360"/>
        <w:spacing w:after="0" w:line="347" w:lineRule="auto"/>
        <w:rPr>
          <w:sz w:val="20"/>
          <w:szCs w:val="20"/>
          <w:color w:val="auto"/>
        </w:rPr>
      </w:pPr>
      <w:r>
        <w:rPr>
          <w:rFonts w:ascii="Arial" w:cs="Arial" w:eastAsia="Arial" w:hAnsi="Arial"/>
          <w:sz w:val="16"/>
          <w:szCs w:val="16"/>
          <w:color w:val="auto"/>
        </w:rPr>
        <w:t>hereto (each term loan is referred to herein individually as a “</w:t>
      </w:r>
      <w:r>
        <w:rPr>
          <w:rFonts w:ascii="Arial" w:cs="Arial" w:eastAsia="Arial" w:hAnsi="Arial"/>
          <w:sz w:val="16"/>
          <w:szCs w:val="16"/>
          <w:b w:val="1"/>
          <w:bCs w:val="1"/>
          <w:color w:val="auto"/>
        </w:rPr>
        <w:t>Term Loan</w:t>
      </w:r>
      <w:r>
        <w:rPr>
          <w:rFonts w:ascii="Arial" w:cs="Arial" w:eastAsia="Arial" w:hAnsi="Arial"/>
          <w:sz w:val="16"/>
          <w:szCs w:val="16"/>
          <w:color w:val="auto"/>
        </w:rPr>
        <w:t>” and the term loans are referred to herein collectively as the “</w:t>
      </w:r>
      <w:r>
        <w:rPr>
          <w:rFonts w:ascii="Arial" w:cs="Arial" w:eastAsia="Arial" w:hAnsi="Arial"/>
          <w:sz w:val="16"/>
          <w:szCs w:val="16"/>
          <w:b w:val="1"/>
          <w:bCs w:val="1"/>
          <w:color w:val="auto"/>
        </w:rPr>
        <w:t>Term Loans</w:t>
      </w:r>
      <w:r>
        <w:rPr>
          <w:rFonts w:ascii="Arial" w:cs="Arial" w:eastAsia="Arial" w:hAnsi="Arial"/>
          <w:sz w:val="16"/>
          <w:szCs w:val="16"/>
          <w:color w:val="auto"/>
        </w:rPr>
        <w:t>”). After repayment, no Term Loan may be re-borrowed.</w:t>
      </w:r>
    </w:p>
    <w:p>
      <w:pPr>
        <w:spacing w:after="0" w:line="120" w:lineRule="exact"/>
        <w:rPr>
          <w:sz w:val="20"/>
          <w:szCs w:val="20"/>
          <w:color w:val="auto"/>
        </w:rPr>
      </w:pPr>
    </w:p>
    <w:p>
      <w:pPr>
        <w:ind w:left="2040" w:firstLine="9"/>
        <w:spacing w:after="0" w:line="245" w:lineRule="auto"/>
        <w:tabs>
          <w:tab w:leader="none" w:pos="2696" w:val="left"/>
        </w:tabs>
        <w:numPr>
          <w:ilvl w:val="0"/>
          <w:numId w:val="40"/>
        </w:numPr>
        <w:rPr>
          <w:rFonts w:ascii="Arial" w:cs="Arial" w:eastAsia="Arial" w:hAnsi="Arial"/>
          <w:sz w:val="18"/>
          <w:szCs w:val="18"/>
          <w:color w:val="auto"/>
        </w:rPr>
      </w:pPr>
      <w:r>
        <w:rPr>
          <w:rFonts w:ascii="Arial" w:cs="Arial" w:eastAsia="Arial" w:hAnsi="Arial"/>
          <w:sz w:val="18"/>
          <w:szCs w:val="18"/>
          <w:color w:val="auto"/>
        </w:rPr>
        <w:t>Interest Payments and Repayment. Commencing on the first (1</w:t>
      </w:r>
      <w:r>
        <w:rPr>
          <w:rFonts w:ascii="Arial" w:cs="Arial" w:eastAsia="Arial" w:hAnsi="Arial"/>
          <w:sz w:val="23"/>
          <w:szCs w:val="23"/>
          <w:color w:val="auto"/>
          <w:vertAlign w:val="superscript"/>
        </w:rPr>
        <w:t>st</w:t>
      </w:r>
      <w:r>
        <w:rPr>
          <w:rFonts w:ascii="Arial" w:cs="Arial" w:eastAsia="Arial" w:hAnsi="Arial"/>
          <w:sz w:val="18"/>
          <w:szCs w:val="18"/>
          <w:color w:val="auto"/>
        </w:rPr>
        <w:t>) Payment Date following the Funding Date, and continuing on the Payment Date of each successive month thereafter through and including the Maturity Date, Borrower shall make monthly payments of interest in respect of the Term Loans to each Lender in accordance with its respective Pro Rata Share, in arrears, and calculated as set forth in Section 2.3. Commencing on the Amortization Date, and continuing on the Payment Date of each successive month thereafter through and including the Maturity Date, Borrower shall make consecutive monthly payments of principal to each Lender in accordance with its respective Pro Rata Share, as calculated by Agent based upon: (1) the amount of such Lender’s Term Loans and (2) a straight-line principal amortization schedule ending on the Maturity Date. All unpaid principal and</w:t>
      </w:r>
    </w:p>
    <w:p>
      <w:pPr>
        <w:spacing w:after="0" w:line="200" w:lineRule="exact"/>
        <w:rPr>
          <w:sz w:val="20"/>
          <w:szCs w:val="20"/>
          <w:color w:val="auto"/>
        </w:rPr>
      </w:pPr>
    </w:p>
    <w:p>
      <w:pPr>
        <w:ind w:left="4460"/>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-758190</wp:posOffset>
            </wp:positionH>
            <wp:positionV relativeFrom="paragraph">
              <wp:posOffset>81280</wp:posOffset>
            </wp:positionV>
            <wp:extent cx="7267575" cy="2984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2040" w:right="20"/>
        <w:spacing w:after="0" w:line="277" w:lineRule="auto"/>
        <w:rPr>
          <w:sz w:val="20"/>
          <w:szCs w:val="20"/>
          <w:color w:val="auto"/>
        </w:rPr>
      </w:pPr>
      <w:r>
        <w:rPr>
          <w:rFonts w:ascii="Arial" w:cs="Arial" w:eastAsia="Arial" w:hAnsi="Arial"/>
          <w:sz w:val="18"/>
          <w:szCs w:val="18"/>
          <w:color w:val="auto"/>
        </w:rPr>
        <w:t>accrued interest with respect to the Term Loans is due and payable in full on the Maturity Date. The Term Loans may be prepaid only in accordance with Sections 2.2(c) and 2.2(d).</w:t>
      </w:r>
    </w:p>
    <w:p>
      <w:pPr>
        <w:spacing w:after="0" w:line="170" w:lineRule="exact"/>
        <w:rPr>
          <w:sz w:val="20"/>
          <w:szCs w:val="20"/>
          <w:color w:val="auto"/>
        </w:rPr>
      </w:pPr>
    </w:p>
    <w:p>
      <w:pPr>
        <w:ind w:left="760"/>
        <w:spacing w:after="0"/>
        <w:rPr>
          <w:sz w:val="20"/>
          <w:szCs w:val="20"/>
          <w:color w:val="auto"/>
        </w:rPr>
      </w:pPr>
      <w:r>
        <w:rPr>
          <w:rFonts w:ascii="Arial" w:cs="Arial" w:eastAsia="Arial" w:hAnsi="Arial"/>
          <w:sz w:val="18"/>
          <w:szCs w:val="18"/>
          <w:color w:val="auto"/>
        </w:rPr>
        <w:t>and inserting in lieu thereof the following:</w:t>
      </w:r>
    </w:p>
    <w:p>
      <w:pPr>
        <w:spacing w:after="0" w:line="225" w:lineRule="exact"/>
        <w:rPr>
          <w:sz w:val="20"/>
          <w:szCs w:val="20"/>
          <w:color w:val="auto"/>
        </w:rPr>
      </w:pPr>
    </w:p>
    <w:p>
      <w:pPr>
        <w:ind w:left="20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Term Loans</w:t>
      </w:r>
      <w:r>
        <w:rPr>
          <w:rFonts w:ascii="Arial" w:cs="Arial" w:eastAsia="Arial" w:hAnsi="Arial"/>
          <w:sz w:val="18"/>
          <w:szCs w:val="18"/>
          <w:color w:val="auto"/>
        </w:rPr>
        <w:t>.</w:t>
      </w:r>
    </w:p>
    <w:p>
      <w:pPr>
        <w:spacing w:after="0" w:line="225" w:lineRule="exact"/>
        <w:rPr>
          <w:sz w:val="20"/>
          <w:szCs w:val="20"/>
          <w:color w:val="auto"/>
        </w:rPr>
      </w:pPr>
    </w:p>
    <w:p>
      <w:pPr>
        <w:ind w:left="2040" w:right="20" w:firstLine="9"/>
        <w:spacing w:after="0" w:line="268" w:lineRule="auto"/>
        <w:tabs>
          <w:tab w:leader="none" w:pos="2699" w:val="left"/>
        </w:tabs>
        <w:numPr>
          <w:ilvl w:val="1"/>
          <w:numId w:val="41"/>
        </w:numPr>
        <w:rPr>
          <w:rFonts w:ascii="Arial" w:cs="Arial" w:eastAsia="Arial" w:hAnsi="Arial"/>
          <w:sz w:val="17"/>
          <w:szCs w:val="17"/>
          <w:color w:val="auto"/>
        </w:rPr>
      </w:pPr>
      <w:r>
        <w:rPr>
          <w:rFonts w:ascii="Arial" w:cs="Arial" w:eastAsia="Arial" w:hAnsi="Arial"/>
          <w:sz w:val="17"/>
          <w:szCs w:val="17"/>
          <w:color w:val="auto"/>
        </w:rPr>
        <w:t>Availability. Subject to the terms and conditions of this Agreement, the Lenders agree, severally and not jointly, to make term loans to Celldex, as agent for Borrower, in two advances as follows: (i) on the Effective Date, in accordance with a notice delivered pursuant to Section 3.4, below, the Lenders agree, severally and not jointly, to make term loans to Celldex in the aggregate amount of Ten Million Dollars ($10,000,000.00) according to each Lender’s Term A Loan Commitment as set forth on Schedule 1.1 hereto (each term loan identified in this clause (i) is referred to herein individually as a “</w:t>
      </w:r>
      <w:r>
        <w:rPr>
          <w:rFonts w:ascii="Arial" w:cs="Arial" w:eastAsia="Arial" w:hAnsi="Arial"/>
          <w:sz w:val="17"/>
          <w:szCs w:val="17"/>
          <w:b w:val="1"/>
          <w:bCs w:val="1"/>
          <w:color w:val="auto"/>
        </w:rPr>
        <w:t>Term A Loan</w:t>
      </w:r>
      <w:r>
        <w:rPr>
          <w:rFonts w:ascii="Arial" w:cs="Arial" w:eastAsia="Arial" w:hAnsi="Arial"/>
          <w:sz w:val="17"/>
          <w:szCs w:val="17"/>
          <w:color w:val="auto"/>
        </w:rPr>
        <w:t>” and the term loans identified in this clause (i) are referred to herein collectively as the “</w:t>
      </w:r>
      <w:r>
        <w:rPr>
          <w:rFonts w:ascii="Arial" w:cs="Arial" w:eastAsia="Arial" w:hAnsi="Arial"/>
          <w:sz w:val="17"/>
          <w:szCs w:val="17"/>
          <w:b w:val="1"/>
          <w:bCs w:val="1"/>
          <w:color w:val="auto"/>
        </w:rPr>
        <w:t>Term A Loans</w:t>
      </w:r>
      <w:r>
        <w:rPr>
          <w:rFonts w:ascii="Arial" w:cs="Arial" w:eastAsia="Arial" w:hAnsi="Arial"/>
          <w:sz w:val="17"/>
          <w:szCs w:val="17"/>
          <w:color w:val="auto"/>
        </w:rPr>
        <w:t>”) and (ii) on the First Amendment Effective Date, in accordance with a notice delivered pursuant to Section 3.4, below, the Lenders agree, severally and not jointly, to make term loans to Celldex in the aggregate amount of Five Million Dollars ($5,000,000.00) according to each Lender’s Term B Loan Commitment as set forth on Schedule 1.1 hereto (each term loan identified in this clause (ii) is referred to herein individually as a “</w:t>
      </w:r>
      <w:r>
        <w:rPr>
          <w:rFonts w:ascii="Arial" w:cs="Arial" w:eastAsia="Arial" w:hAnsi="Arial"/>
          <w:sz w:val="17"/>
          <w:szCs w:val="17"/>
          <w:b w:val="1"/>
          <w:bCs w:val="1"/>
          <w:color w:val="auto"/>
        </w:rPr>
        <w:t>Term B Loan</w:t>
      </w:r>
      <w:r>
        <w:rPr>
          <w:rFonts w:ascii="Arial" w:cs="Arial" w:eastAsia="Arial" w:hAnsi="Arial"/>
          <w:sz w:val="17"/>
          <w:szCs w:val="17"/>
          <w:color w:val="auto"/>
        </w:rPr>
        <w:t>” and the term loans identified in this clause (ii) are referred to herein collectively as the “</w:t>
      </w:r>
      <w:r>
        <w:rPr>
          <w:rFonts w:ascii="Arial" w:cs="Arial" w:eastAsia="Arial" w:hAnsi="Arial"/>
          <w:sz w:val="17"/>
          <w:szCs w:val="17"/>
          <w:b w:val="1"/>
          <w:bCs w:val="1"/>
          <w:color w:val="auto"/>
        </w:rPr>
        <w:t>Term B Loans</w:t>
      </w:r>
      <w:r>
        <w:rPr>
          <w:rFonts w:ascii="Arial" w:cs="Arial" w:eastAsia="Arial" w:hAnsi="Arial"/>
          <w:sz w:val="17"/>
          <w:szCs w:val="17"/>
          <w:color w:val="auto"/>
        </w:rPr>
        <w:t>”; the Term A Loans and the Term B Loans are each referred to herein individually as a “</w:t>
      </w:r>
      <w:r>
        <w:rPr>
          <w:rFonts w:ascii="Arial" w:cs="Arial" w:eastAsia="Arial" w:hAnsi="Arial"/>
          <w:sz w:val="17"/>
          <w:szCs w:val="17"/>
          <w:b w:val="1"/>
          <w:bCs w:val="1"/>
          <w:color w:val="auto"/>
        </w:rPr>
        <w:t>Term Loan</w:t>
      </w:r>
      <w:r>
        <w:rPr>
          <w:rFonts w:ascii="Arial" w:cs="Arial" w:eastAsia="Arial" w:hAnsi="Arial"/>
          <w:sz w:val="17"/>
          <w:szCs w:val="17"/>
          <w:color w:val="auto"/>
        </w:rPr>
        <w:t>” and collectively as the “</w:t>
      </w:r>
      <w:r>
        <w:rPr>
          <w:rFonts w:ascii="Arial" w:cs="Arial" w:eastAsia="Arial" w:hAnsi="Arial"/>
          <w:sz w:val="17"/>
          <w:szCs w:val="17"/>
          <w:b w:val="1"/>
          <w:bCs w:val="1"/>
          <w:color w:val="auto"/>
        </w:rPr>
        <w:t>Term Loans</w:t>
      </w:r>
      <w:r>
        <w:rPr>
          <w:rFonts w:ascii="Arial" w:cs="Arial" w:eastAsia="Arial" w:hAnsi="Arial"/>
          <w:sz w:val="17"/>
          <w:szCs w:val="17"/>
          <w:color w:val="auto"/>
        </w:rPr>
        <w:t>”). After repayment, no Term Loan may be re-borrowed.</w:t>
      </w:r>
    </w:p>
    <w:p>
      <w:pPr>
        <w:spacing w:after="0" w:line="185" w:lineRule="exact"/>
        <w:rPr>
          <w:rFonts w:ascii="Arial" w:cs="Arial" w:eastAsia="Arial" w:hAnsi="Arial"/>
          <w:sz w:val="17"/>
          <w:szCs w:val="17"/>
          <w:color w:val="auto"/>
        </w:rPr>
      </w:pPr>
    </w:p>
    <w:p>
      <w:pPr>
        <w:ind w:left="2040" w:right="40" w:firstLine="9"/>
        <w:spacing w:after="0" w:line="261" w:lineRule="auto"/>
        <w:tabs>
          <w:tab w:leader="none" w:pos="2696" w:val="left"/>
        </w:tabs>
        <w:numPr>
          <w:ilvl w:val="1"/>
          <w:numId w:val="41"/>
        </w:numPr>
        <w:rPr>
          <w:rFonts w:ascii="Arial" w:cs="Arial" w:eastAsia="Arial" w:hAnsi="Arial"/>
          <w:sz w:val="17"/>
          <w:szCs w:val="17"/>
          <w:color w:val="auto"/>
        </w:rPr>
      </w:pPr>
      <w:r>
        <w:rPr>
          <w:rFonts w:ascii="Arial" w:cs="Arial" w:eastAsia="Arial" w:hAnsi="Arial"/>
          <w:sz w:val="17"/>
          <w:szCs w:val="17"/>
          <w:color w:val="auto"/>
        </w:rPr>
        <w:t>Interest Payments and Repayment. Commencing on the first (1</w:t>
      </w:r>
      <w:r>
        <w:rPr>
          <w:rFonts w:ascii="Arial" w:cs="Arial" w:eastAsia="Arial" w:hAnsi="Arial"/>
          <w:sz w:val="22"/>
          <w:szCs w:val="22"/>
          <w:color w:val="auto"/>
          <w:vertAlign w:val="superscript"/>
        </w:rPr>
        <w:t>st</w:t>
      </w:r>
      <w:r>
        <w:rPr>
          <w:rFonts w:ascii="Arial" w:cs="Arial" w:eastAsia="Arial" w:hAnsi="Arial"/>
          <w:sz w:val="17"/>
          <w:szCs w:val="17"/>
          <w:color w:val="auto"/>
        </w:rPr>
        <w:t>) Payment Date following the applicable Funding Date of each Term Loan, and continuing on the Payment Date of each successive month thereafter through and including the Maturity Date, Borrower shall make monthly payments of interest in respect of each Term Loan to each Lender in accordance with its respective Pro Rata Share, in arrears, and calculated as set forth in Section 2.3. Commencing on the Amortization Date, and continuing on the Payment Date of each successive month thereafter through and including the Maturity Date, Borrower shall make consecutive monthly payments of principal to each Lender in accordance with its respective Pro Rata Share, as calculated by Agent based upon: (1) the amount of such Lender’s Term Loans and (2) a straight-line principal amortization schedule ending on the Maturity Date. All unpaid principal and accrued interest with respect to the Term Loans is due and payable in full on the Maturity Date. The Term Loans may be prepaid only in accordance with Sections 2.2(c) and 2.2(d).</w:t>
      </w:r>
    </w:p>
    <w:p>
      <w:pPr>
        <w:spacing w:after="0" w:line="192" w:lineRule="exact"/>
        <w:rPr>
          <w:rFonts w:ascii="Arial" w:cs="Arial" w:eastAsia="Arial" w:hAnsi="Arial"/>
          <w:sz w:val="17"/>
          <w:szCs w:val="17"/>
          <w:color w:val="auto"/>
        </w:rPr>
      </w:pPr>
    </w:p>
    <w:p>
      <w:pPr>
        <w:ind w:left="760" w:hanging="655"/>
        <w:spacing w:after="0"/>
        <w:tabs>
          <w:tab w:leader="none" w:pos="760" w:val="left"/>
        </w:tabs>
        <w:numPr>
          <w:ilvl w:val="0"/>
          <w:numId w:val="42"/>
        </w:numPr>
        <w:rPr>
          <w:rFonts w:ascii="Arial" w:cs="Arial" w:eastAsia="Arial" w:hAnsi="Arial"/>
          <w:sz w:val="18"/>
          <w:szCs w:val="18"/>
          <w:color w:val="auto"/>
        </w:rPr>
      </w:pPr>
      <w:r>
        <w:rPr>
          <w:rFonts w:ascii="Arial" w:cs="Arial" w:eastAsia="Arial" w:hAnsi="Arial"/>
          <w:sz w:val="18"/>
          <w:szCs w:val="18"/>
          <w:color w:val="auto"/>
        </w:rPr>
        <w:t>The Loan Agreement shall be amended by deleting the following text appearing as Section 2.4(a) thereof:</w:t>
      </w:r>
    </w:p>
    <w:p>
      <w:pPr>
        <w:spacing w:after="0" w:line="225" w:lineRule="exact"/>
        <w:rPr>
          <w:sz w:val="20"/>
          <w:szCs w:val="20"/>
          <w:color w:val="auto"/>
        </w:rPr>
      </w:pPr>
    </w:p>
    <w:p>
      <w:pPr>
        <w:ind w:left="2040" w:right="640"/>
        <w:spacing w:after="0" w:line="308" w:lineRule="auto"/>
        <w:rPr>
          <w:sz w:val="20"/>
          <w:szCs w:val="20"/>
          <w:color w:val="auto"/>
        </w:rPr>
      </w:pPr>
      <w:r>
        <w:rPr>
          <w:rFonts w:ascii="Arial" w:cs="Arial" w:eastAsia="Arial" w:hAnsi="Arial"/>
          <w:sz w:val="17"/>
          <w:szCs w:val="17"/>
          <w:color w:val="auto"/>
        </w:rPr>
        <w:t>“(a) Origination Fee. A non-refundable origination fee to be shared among the Lenders pursuant to their respective Commitment Percentages in an amount equal to one-half of one percent (0.50%) of</w:t>
      </w:r>
    </w:p>
    <w:p>
      <w:pPr>
        <w:spacing w:after="0" w:line="147" w:lineRule="exact"/>
        <w:rPr>
          <w:sz w:val="20"/>
          <w:szCs w:val="20"/>
          <w:color w:val="auto"/>
        </w:rPr>
      </w:pPr>
    </w:p>
    <w:p>
      <w:pPr>
        <w:ind w:left="4460"/>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-758190</wp:posOffset>
            </wp:positionH>
            <wp:positionV relativeFrom="paragraph">
              <wp:posOffset>81280</wp:posOffset>
            </wp:positionV>
            <wp:extent cx="7267575" cy="2984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2040" w:right="280"/>
        <w:spacing w:after="0" w:line="277" w:lineRule="auto"/>
        <w:rPr>
          <w:sz w:val="20"/>
          <w:szCs w:val="20"/>
          <w:color w:val="auto"/>
        </w:rPr>
      </w:pPr>
      <w:r>
        <w:rPr>
          <w:rFonts w:ascii="Arial" w:cs="Arial" w:eastAsia="Arial" w:hAnsi="Arial"/>
          <w:sz w:val="18"/>
          <w:szCs w:val="18"/>
          <w:color w:val="auto"/>
        </w:rPr>
        <w:t>the aggregate Term Loan Commitments of the Lenders, which origination fee shall be due and payable on the Funding Date;”</w:t>
      </w:r>
    </w:p>
    <w:p>
      <w:pPr>
        <w:spacing w:after="0" w:line="170" w:lineRule="exact"/>
        <w:rPr>
          <w:sz w:val="20"/>
          <w:szCs w:val="20"/>
          <w:color w:val="auto"/>
        </w:rPr>
      </w:pPr>
    </w:p>
    <w:p>
      <w:pPr>
        <w:ind w:left="760"/>
        <w:spacing w:after="0"/>
        <w:rPr>
          <w:sz w:val="20"/>
          <w:szCs w:val="20"/>
          <w:color w:val="auto"/>
        </w:rPr>
      </w:pPr>
      <w:r>
        <w:rPr>
          <w:rFonts w:ascii="Arial" w:cs="Arial" w:eastAsia="Arial" w:hAnsi="Arial"/>
          <w:sz w:val="18"/>
          <w:szCs w:val="18"/>
          <w:color w:val="auto"/>
        </w:rPr>
        <w:t>and inserting in lieu thereof the following:</w:t>
      </w:r>
    </w:p>
    <w:p>
      <w:pPr>
        <w:spacing w:after="0" w:line="225" w:lineRule="exact"/>
        <w:rPr>
          <w:sz w:val="20"/>
          <w:szCs w:val="20"/>
          <w:color w:val="auto"/>
        </w:rPr>
      </w:pPr>
    </w:p>
    <w:p>
      <w:pPr>
        <w:ind w:left="2040" w:right="120"/>
        <w:spacing w:after="0" w:line="272" w:lineRule="auto"/>
        <w:rPr>
          <w:sz w:val="20"/>
          <w:szCs w:val="20"/>
          <w:color w:val="auto"/>
        </w:rPr>
      </w:pPr>
      <w:r>
        <w:rPr>
          <w:rFonts w:ascii="Arial" w:cs="Arial" w:eastAsia="Arial" w:hAnsi="Arial"/>
          <w:sz w:val="17"/>
          <w:szCs w:val="17"/>
          <w:color w:val="auto"/>
        </w:rPr>
        <w:t>“(a) Origination Fees. (i) A non-refundable origination fee to be shared among the Lenders pursuant to their respective Term A Loan Commitment Percentages in an amount equal to one-half of one percent (0.50%) of the aggregate Term A Loan Commitments of the Lenders, which origination fee shall be due and payable on the Funding Date of the Term A Loans and (ii) a non-refundable origination fee to be shared among the Lenders pursuant to their respective Term B Loan Commitment Percentages in an amount equal to one-half of one percent (0.50%) of the aggregate Term B Loan Commitments of the Lenders, which origination fee shall be due and payable on the Funding Date of the Term B Loans;”</w:t>
      </w:r>
    </w:p>
    <w:p>
      <w:pPr>
        <w:spacing w:after="0" w:line="178" w:lineRule="exact"/>
        <w:rPr>
          <w:sz w:val="20"/>
          <w:szCs w:val="20"/>
          <w:color w:val="auto"/>
        </w:rPr>
      </w:pPr>
    </w:p>
    <w:p>
      <w:pPr>
        <w:ind w:left="760" w:hanging="655"/>
        <w:spacing w:after="0"/>
        <w:tabs>
          <w:tab w:leader="none" w:pos="760" w:val="left"/>
        </w:tabs>
        <w:numPr>
          <w:ilvl w:val="0"/>
          <w:numId w:val="43"/>
        </w:numPr>
        <w:rPr>
          <w:rFonts w:ascii="Arial" w:cs="Arial" w:eastAsia="Arial" w:hAnsi="Arial"/>
          <w:sz w:val="18"/>
          <w:szCs w:val="18"/>
          <w:color w:val="auto"/>
        </w:rPr>
      </w:pPr>
      <w:r>
        <w:rPr>
          <w:rFonts w:ascii="Arial" w:cs="Arial" w:eastAsia="Arial" w:hAnsi="Arial"/>
          <w:sz w:val="18"/>
          <w:szCs w:val="18"/>
          <w:color w:val="auto"/>
        </w:rPr>
        <w:t>The Loan Agreement shall be amended by deleting the following text appearing as Section 2.5 thereof:</w:t>
      </w:r>
    </w:p>
    <w:p>
      <w:pPr>
        <w:sectPr>
          <w:pgSz w:w="11900" w:h="16838" w:orient="portrait"/>
          <w:cols w:equalWidth="0" w:num="1">
            <w:col w:w="10220"/>
          </w:cols>
          <w:pgMar w:left="1440" w:top="121" w:right="239" w:bottom="32" w:gutter="0" w:footer="0" w:header="0"/>
        </w:sectPr>
      </w:pPr>
    </w:p>
    <w:bookmarkStart w:id="116" w:name="page117"/>
    <w:bookmarkEnd w:id="116"/>
    <w:p>
      <w:pPr>
        <w:ind w:left="2040" w:right="80"/>
        <w:spacing w:after="0" w:line="255"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Additional Costs</w:t>
      </w:r>
      <w:r>
        <w:rPr>
          <w:rFonts w:ascii="Arial" w:cs="Arial" w:eastAsia="Arial" w:hAnsi="Arial"/>
          <w:sz w:val="18"/>
          <w:szCs w:val="18"/>
          <w:color w:val="auto"/>
        </w:rPr>
        <w:t>. If any new Law or regulation increases a Lender’s costs or reduces its income for any Term Loan, Borrower shall pay the increase in cost or reduction in income or additional expense; provided, however, that Borrower shall not be liable for any amount attributable to any period before one hundred eighty (180) days prior to the date such Lender notifies Borrower of such increased costs. Each Lender agrees that it shall allocate any increased costs among its customers similarly affected in good faith and in a manner consistent with such Lender’s customary practice.”</w:t>
      </w:r>
    </w:p>
    <w:p>
      <w:pPr>
        <w:spacing w:after="0" w:line="193" w:lineRule="exact"/>
        <w:rPr>
          <w:sz w:val="20"/>
          <w:szCs w:val="20"/>
          <w:color w:val="auto"/>
        </w:rPr>
      </w:pPr>
    </w:p>
    <w:p>
      <w:pPr>
        <w:ind w:left="760"/>
        <w:spacing w:after="0"/>
        <w:rPr>
          <w:sz w:val="20"/>
          <w:szCs w:val="20"/>
          <w:color w:val="auto"/>
        </w:rPr>
      </w:pPr>
      <w:r>
        <w:rPr>
          <w:rFonts w:ascii="Arial" w:cs="Arial" w:eastAsia="Arial" w:hAnsi="Arial"/>
          <w:sz w:val="18"/>
          <w:szCs w:val="18"/>
          <w:color w:val="auto"/>
        </w:rPr>
        <w:t>and inserting in lieu thereof the following:</w:t>
      </w:r>
    </w:p>
    <w:p>
      <w:pPr>
        <w:spacing w:after="0" w:line="225" w:lineRule="exact"/>
        <w:rPr>
          <w:sz w:val="20"/>
          <w:szCs w:val="20"/>
          <w:color w:val="auto"/>
        </w:rPr>
      </w:pPr>
    </w:p>
    <w:p>
      <w:pPr>
        <w:ind w:left="2040"/>
        <w:spacing w:after="0" w:line="288" w:lineRule="auto"/>
        <w:rPr>
          <w:sz w:val="20"/>
          <w:szCs w:val="20"/>
          <w:color w:val="auto"/>
        </w:rPr>
      </w:pPr>
      <w:r>
        <w:rPr>
          <w:rFonts w:ascii="Arial" w:cs="Arial" w:eastAsia="Arial" w:hAnsi="Arial"/>
          <w:sz w:val="16"/>
          <w:szCs w:val="16"/>
          <w:u w:val="single" w:color="auto"/>
          <w:color w:val="auto"/>
        </w:rPr>
        <w:t>“Additional Costs</w:t>
      </w:r>
      <w:r>
        <w:rPr>
          <w:rFonts w:ascii="Arial" w:cs="Arial" w:eastAsia="Arial" w:hAnsi="Arial"/>
          <w:sz w:val="16"/>
          <w:szCs w:val="16"/>
          <w:color w:val="auto"/>
        </w:rPr>
        <w:t xml:space="preserve">. If any new Law or regulation increases a Lender’s costs or reduces its income for any Term Loan, Borrower shall pay the increase in cost or reduction in income or additional expense; provided, however, that Borrower shall not be liable for any amount attributable to any period before one hundred eighty (180) days prior to the date such Lender notifies Borrower of such increased costs;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xml:space="preserve"> that, such one hundred eighty (180) day limitation shall not apply to any increased costs or reductions in the amounts received by Agent or any Lender arising from the Dodd-Frank Wall Street Reform and Consumer Protection Act or any and all requests, rules, guidelines or directives thereunder or issued in connection therewith, and such Act and any such requests, rules, guidelines or directives shall be deemed to be a new Law, regardless of the date enacted, adopted or issued. Each Lender agrees that it shall allocate any increased costs among its customers similarly affected in good faith and in a manner consistent with such Lender’s customary practice.”</w:t>
      </w:r>
    </w:p>
    <w:p>
      <w:pPr>
        <w:spacing w:after="0" w:line="169" w:lineRule="exact"/>
        <w:rPr>
          <w:sz w:val="20"/>
          <w:szCs w:val="20"/>
          <w:color w:val="auto"/>
        </w:rPr>
      </w:pPr>
    </w:p>
    <w:p>
      <w:pPr>
        <w:ind w:left="760" w:hanging="655"/>
        <w:spacing w:after="0"/>
        <w:tabs>
          <w:tab w:leader="none" w:pos="760" w:val="left"/>
        </w:tabs>
        <w:numPr>
          <w:ilvl w:val="0"/>
          <w:numId w:val="44"/>
        </w:numPr>
        <w:rPr>
          <w:rFonts w:ascii="Arial" w:cs="Arial" w:eastAsia="Arial" w:hAnsi="Arial"/>
          <w:sz w:val="18"/>
          <w:szCs w:val="18"/>
          <w:color w:val="auto"/>
        </w:rPr>
      </w:pPr>
      <w:r>
        <w:rPr>
          <w:rFonts w:ascii="Arial" w:cs="Arial" w:eastAsia="Arial" w:hAnsi="Arial"/>
          <w:sz w:val="18"/>
          <w:szCs w:val="18"/>
          <w:color w:val="auto"/>
        </w:rPr>
        <w:t>The Loan Agreement shall be amended by deleting the following text appearing as Section 5.10(b) thereof:</w:t>
      </w:r>
    </w:p>
    <w:p>
      <w:pPr>
        <w:spacing w:after="0" w:line="225" w:lineRule="exact"/>
        <w:rPr>
          <w:sz w:val="20"/>
          <w:szCs w:val="20"/>
          <w:color w:val="auto"/>
        </w:rPr>
      </w:pPr>
    </w:p>
    <w:p>
      <w:pPr>
        <w:ind w:left="2040" w:right="220"/>
        <w:spacing w:after="0" w:line="264" w:lineRule="auto"/>
        <w:rPr>
          <w:sz w:val="20"/>
          <w:szCs w:val="20"/>
          <w:color w:val="auto"/>
        </w:rPr>
      </w:pPr>
      <w:r>
        <w:rPr>
          <w:rFonts w:ascii="Arial" w:cs="Arial" w:eastAsia="Arial" w:hAnsi="Arial"/>
          <w:sz w:val="18"/>
          <w:szCs w:val="18"/>
          <w:color w:val="auto"/>
        </w:rPr>
        <w:t>“(b) Without limiting the generality of Section 5.6 above, with respect to any Product being tested or manufactured by Borrower as of the date hereof, Borrower has received, and such Product is the subject of, all Required Permits needed in connection with the testing or</w:t>
      </w:r>
    </w:p>
    <w:p>
      <w:pPr>
        <w:spacing w:after="0" w:line="181" w:lineRule="exact"/>
        <w:rPr>
          <w:sz w:val="20"/>
          <w:szCs w:val="20"/>
          <w:color w:val="auto"/>
        </w:rPr>
      </w:pPr>
    </w:p>
    <w:p>
      <w:pPr>
        <w:ind w:left="4460"/>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-758190</wp:posOffset>
            </wp:positionH>
            <wp:positionV relativeFrom="paragraph">
              <wp:posOffset>81280</wp:posOffset>
            </wp:positionV>
            <wp:extent cx="7267575" cy="2984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2040" w:right="100"/>
        <w:spacing w:after="0" w:line="270" w:lineRule="auto"/>
        <w:rPr>
          <w:sz w:val="20"/>
          <w:szCs w:val="20"/>
          <w:color w:val="auto"/>
        </w:rPr>
      </w:pPr>
      <w:r>
        <w:rPr>
          <w:rFonts w:ascii="Arial" w:cs="Arial" w:eastAsia="Arial" w:hAnsi="Arial"/>
          <w:sz w:val="17"/>
          <w:szCs w:val="17"/>
          <w:color w:val="auto"/>
        </w:rPr>
        <w:t>manufacture of such Product as such testing is currently being conducted by or on behalf of Borrower, and except for an ongoing compliance process being undertaken in furtherance of a request from the Connecticut Department of Environmental Protection which will not result in costs, expenses or other obligations on the part of Borrower in excess of $100,000, Borrower has not received any notice from any applicable Governmental Authority, specifically including the FDA, that such Governmental Authority is conducting an investigation or review of (A) Borrower’s manufacturing facilities and processes for such Product which have disclosed any material deficiencies or violations of Laws and/or the Required Permits related to the manufacture of such Product, or (B) any such Required Permit or that any such Required Permit has been revoked or withdrawn, nor has any such Governmental Authority issued any order or recommendation stating that the manufacturing of such Product by Borrower should cease.”</w:t>
      </w:r>
    </w:p>
    <w:p>
      <w:pPr>
        <w:spacing w:after="0" w:line="178" w:lineRule="exact"/>
        <w:rPr>
          <w:sz w:val="20"/>
          <w:szCs w:val="20"/>
          <w:color w:val="auto"/>
        </w:rPr>
      </w:pPr>
    </w:p>
    <w:p>
      <w:pPr>
        <w:ind w:left="760"/>
        <w:spacing w:after="0"/>
        <w:rPr>
          <w:sz w:val="20"/>
          <w:szCs w:val="20"/>
          <w:color w:val="auto"/>
        </w:rPr>
      </w:pPr>
      <w:r>
        <w:rPr>
          <w:rFonts w:ascii="Arial" w:cs="Arial" w:eastAsia="Arial" w:hAnsi="Arial"/>
          <w:sz w:val="18"/>
          <w:szCs w:val="18"/>
          <w:color w:val="auto"/>
        </w:rPr>
        <w:t>and inserting in lieu thereof the following:</w:t>
      </w:r>
    </w:p>
    <w:p>
      <w:pPr>
        <w:spacing w:after="0" w:line="225" w:lineRule="exact"/>
        <w:rPr>
          <w:sz w:val="20"/>
          <w:szCs w:val="20"/>
          <w:color w:val="auto"/>
        </w:rPr>
      </w:pPr>
    </w:p>
    <w:p>
      <w:pPr>
        <w:ind w:left="2040" w:right="20"/>
        <w:spacing w:after="0" w:line="286" w:lineRule="auto"/>
        <w:rPr>
          <w:sz w:val="20"/>
          <w:szCs w:val="20"/>
          <w:color w:val="auto"/>
        </w:rPr>
      </w:pPr>
      <w:r>
        <w:rPr>
          <w:rFonts w:ascii="Arial" w:cs="Arial" w:eastAsia="Arial" w:hAnsi="Arial"/>
          <w:sz w:val="16"/>
          <w:szCs w:val="16"/>
          <w:color w:val="auto"/>
        </w:rPr>
        <w:t>“(b) Without limiting the generality of Section 5.6 above, with respect to any Product being tested or manufactured by Borrower as of the date hereof, Borrower has received, and such Product is the subject of, all Required Permits needed in connection with the testing or manufacture of such Product as such testing is currently being conducted by or on behalf of Borrower, and except for an ongoing compliance process being undertaken in furtherance of a request from the Connecticut Department of Environmental Protection which will not result in costs, expenses or other obligations on the part of Borrower in excess of $100,000, Borrower has not received any notice from any applicable Governmental Authority, specifically including the FDA, that such Governmental Authority is conducting an investigation or review of (A) Borrower’s manufacturing facilities and processes or Borrower’s testing activities for such Product which have disclosed any material deficiencies or violations of Laws and/or the Required Permits related to the manufacture or testing of such Product, or (B) any such Required Permit or that any such Required Permit has been revoked or withdrawn, nor has any such Governmental Authority issued any order or recommendation stating that the manufacturing or testing (other than a Contested Clinical Hold) of such Product by Borrower should cease.”</w:t>
      </w:r>
    </w:p>
    <w:p>
      <w:pPr>
        <w:spacing w:after="0" w:line="175" w:lineRule="exact"/>
        <w:rPr>
          <w:sz w:val="20"/>
          <w:szCs w:val="20"/>
          <w:color w:val="auto"/>
        </w:rPr>
      </w:pPr>
    </w:p>
    <w:p>
      <w:pPr>
        <w:ind w:left="760" w:right="80" w:hanging="655"/>
        <w:spacing w:after="0" w:line="264" w:lineRule="auto"/>
        <w:tabs>
          <w:tab w:leader="none" w:pos="773" w:val="left"/>
        </w:tabs>
        <w:numPr>
          <w:ilvl w:val="0"/>
          <w:numId w:val="45"/>
        </w:numPr>
        <w:rPr>
          <w:rFonts w:ascii="Arial" w:cs="Arial" w:eastAsia="Arial" w:hAnsi="Arial"/>
          <w:sz w:val="18"/>
          <w:szCs w:val="18"/>
          <w:color w:val="auto"/>
        </w:rPr>
      </w:pPr>
      <w:r>
        <w:rPr>
          <w:rFonts w:ascii="Arial" w:cs="Arial" w:eastAsia="Arial" w:hAnsi="Arial"/>
          <w:sz w:val="18"/>
          <w:szCs w:val="18"/>
          <w:color w:val="auto"/>
        </w:rPr>
        <w:t>The Loan Agreement shall be amended by (i) deleting the word “Agent” in the first line of Section 6.2(a) and replacing such word with the words “Agent and Lenders” and (ii) deleting the word “Agent” in the last line of Section 6.2(a) and replacing such word with the words “Agent and/or Lenders”.</w:t>
      </w:r>
    </w:p>
    <w:p>
      <w:pPr>
        <w:spacing w:after="0" w:line="181" w:lineRule="exact"/>
        <w:rPr>
          <w:rFonts w:ascii="Arial" w:cs="Arial" w:eastAsia="Arial" w:hAnsi="Arial"/>
          <w:sz w:val="18"/>
          <w:szCs w:val="18"/>
          <w:color w:val="auto"/>
        </w:rPr>
      </w:pPr>
    </w:p>
    <w:p>
      <w:pPr>
        <w:ind w:left="760" w:hanging="655"/>
        <w:spacing w:after="0"/>
        <w:tabs>
          <w:tab w:leader="none" w:pos="760" w:val="left"/>
        </w:tabs>
        <w:numPr>
          <w:ilvl w:val="0"/>
          <w:numId w:val="45"/>
        </w:numPr>
        <w:rPr>
          <w:rFonts w:ascii="Arial" w:cs="Arial" w:eastAsia="Arial" w:hAnsi="Arial"/>
          <w:sz w:val="17"/>
          <w:szCs w:val="17"/>
          <w:color w:val="auto"/>
        </w:rPr>
      </w:pPr>
      <w:r>
        <w:rPr>
          <w:rFonts w:ascii="Arial" w:cs="Arial" w:eastAsia="Arial" w:hAnsi="Arial"/>
          <w:sz w:val="17"/>
          <w:szCs w:val="17"/>
          <w:color w:val="auto"/>
        </w:rPr>
        <w:t>The Loan Agreement shall be amended by deleting the clause “, at the option of Agent,” in the fifteenth line of Section 6.5.</w:t>
      </w:r>
    </w:p>
    <w:p>
      <w:pPr>
        <w:spacing w:after="0" w:line="236" w:lineRule="exact"/>
        <w:rPr>
          <w:rFonts w:ascii="Arial" w:cs="Arial" w:eastAsia="Arial" w:hAnsi="Arial"/>
          <w:sz w:val="17"/>
          <w:szCs w:val="17"/>
          <w:color w:val="auto"/>
        </w:rPr>
      </w:pPr>
    </w:p>
    <w:p>
      <w:pPr>
        <w:ind w:left="760" w:right="220" w:hanging="655"/>
        <w:spacing w:after="0" w:line="277" w:lineRule="auto"/>
        <w:tabs>
          <w:tab w:leader="none" w:pos="773" w:val="left"/>
        </w:tabs>
        <w:numPr>
          <w:ilvl w:val="0"/>
          <w:numId w:val="45"/>
        </w:numPr>
        <w:rPr>
          <w:rFonts w:ascii="Arial" w:cs="Arial" w:eastAsia="Arial" w:hAnsi="Arial"/>
          <w:sz w:val="18"/>
          <w:szCs w:val="18"/>
          <w:color w:val="auto"/>
        </w:rPr>
      </w:pPr>
      <w:r>
        <w:rPr>
          <w:rFonts w:ascii="Arial" w:cs="Arial" w:eastAsia="Arial" w:hAnsi="Arial"/>
          <w:sz w:val="18"/>
          <w:szCs w:val="18"/>
          <w:color w:val="auto"/>
        </w:rPr>
        <w:t>The Loan Agreement shall be amended by deleting the defined term “Funding Date” in the last line of Section 6.6 and replacing such defined term with the defined term “Effective Date”.</w:t>
      </w:r>
    </w:p>
    <w:p>
      <w:pPr>
        <w:spacing w:after="0" w:line="170" w:lineRule="exact"/>
        <w:rPr>
          <w:rFonts w:ascii="Arial" w:cs="Arial" w:eastAsia="Arial" w:hAnsi="Arial"/>
          <w:sz w:val="18"/>
          <w:szCs w:val="18"/>
          <w:color w:val="auto"/>
        </w:rPr>
      </w:pPr>
    </w:p>
    <w:p>
      <w:pPr>
        <w:ind w:left="760" w:right="160" w:hanging="655"/>
        <w:spacing w:after="0" w:line="277" w:lineRule="auto"/>
        <w:tabs>
          <w:tab w:leader="none" w:pos="773" w:val="left"/>
        </w:tabs>
        <w:numPr>
          <w:ilvl w:val="0"/>
          <w:numId w:val="45"/>
        </w:numPr>
        <w:rPr>
          <w:rFonts w:ascii="Arial" w:cs="Arial" w:eastAsia="Arial" w:hAnsi="Arial"/>
          <w:sz w:val="18"/>
          <w:szCs w:val="18"/>
          <w:color w:val="auto"/>
        </w:rPr>
      </w:pPr>
      <w:r>
        <w:rPr>
          <w:rFonts w:ascii="Arial" w:cs="Arial" w:eastAsia="Arial" w:hAnsi="Arial"/>
          <w:sz w:val="18"/>
          <w:szCs w:val="18"/>
          <w:color w:val="auto"/>
        </w:rPr>
        <w:t>The Loan Agreement shall be amended by deleting the defined term “Funding Date” in the fifth line of Section 6.7 and replacing such defined term with the defined term “Effective Date”.</w:t>
      </w:r>
    </w:p>
    <w:p>
      <w:pPr>
        <w:spacing w:after="0" w:line="170" w:lineRule="exact"/>
        <w:rPr>
          <w:sz w:val="20"/>
          <w:szCs w:val="20"/>
          <w:color w:val="auto"/>
        </w:rPr>
      </w:pPr>
    </w:p>
    <w:p>
      <w:pPr>
        <w:ind w:left="4460"/>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-758190</wp:posOffset>
            </wp:positionH>
            <wp:positionV relativeFrom="paragraph">
              <wp:posOffset>81280</wp:posOffset>
            </wp:positionV>
            <wp:extent cx="7267575" cy="2984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780" w:hanging="675"/>
        <w:spacing w:after="0"/>
        <w:tabs>
          <w:tab w:leader="none" w:pos="780" w:val="left"/>
        </w:tabs>
        <w:numPr>
          <w:ilvl w:val="0"/>
          <w:numId w:val="46"/>
        </w:numPr>
        <w:rPr>
          <w:rFonts w:ascii="Arial" w:cs="Arial" w:eastAsia="Arial" w:hAnsi="Arial"/>
          <w:sz w:val="18"/>
          <w:szCs w:val="18"/>
          <w:color w:val="auto"/>
        </w:rPr>
      </w:pPr>
      <w:r>
        <w:rPr>
          <w:rFonts w:ascii="Arial" w:cs="Arial" w:eastAsia="Arial" w:hAnsi="Arial"/>
          <w:sz w:val="18"/>
          <w:szCs w:val="18"/>
          <w:color w:val="auto"/>
        </w:rPr>
        <w:t>The Loan Agreement shall be amended by deleting the following text appearing as Section 6.8 thereof:</w:t>
      </w:r>
    </w:p>
    <w:p>
      <w:pPr>
        <w:sectPr>
          <w:pgSz w:w="11900" w:h="16838" w:orient="portrait"/>
          <w:cols w:equalWidth="0" w:num="1">
            <w:col w:w="10220"/>
          </w:cols>
          <w:pgMar w:left="1440" w:top="125" w:right="239" w:bottom="32" w:gutter="0" w:footer="0" w:header="0"/>
        </w:sectPr>
      </w:pPr>
    </w:p>
    <w:bookmarkStart w:id="117" w:name="page118"/>
    <w:bookmarkEnd w:id="117"/>
    <w:p>
      <w:pPr>
        <w:spacing w:after="0" w:line="46" w:lineRule="exact"/>
        <w:rPr>
          <w:sz w:val="20"/>
          <w:szCs w:val="20"/>
          <w:color w:val="auto"/>
        </w:rPr>
      </w:pPr>
    </w:p>
    <w:p>
      <w:pPr>
        <w:ind w:left="2040" w:right="100"/>
        <w:spacing w:after="0" w:line="302"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Litigation Cooperation</w:t>
      </w:r>
      <w:r>
        <w:rPr>
          <w:rFonts w:ascii="Arial" w:cs="Arial" w:eastAsia="Arial" w:hAnsi="Arial"/>
          <w:sz w:val="16"/>
          <w:szCs w:val="16"/>
          <w:color w:val="auto"/>
        </w:rPr>
        <w:t>. From the date hereof and continuing through the termination of this Agreement, make available to Agent, without expense to Agent, Borrower and its officers, employees and agents and Borrower’s Books, to the extent that Agent may deem them reasonably necessary to prosecute or defend any third-party suit or proceeding instituted by or against Agent with respect to any Collateral or relating to Borrower.”</w:t>
      </w:r>
    </w:p>
    <w:p>
      <w:pPr>
        <w:spacing w:after="0" w:line="154" w:lineRule="exact"/>
        <w:rPr>
          <w:sz w:val="20"/>
          <w:szCs w:val="20"/>
          <w:color w:val="auto"/>
        </w:rPr>
      </w:pPr>
    </w:p>
    <w:p>
      <w:pPr>
        <w:ind w:left="760"/>
        <w:spacing w:after="0"/>
        <w:rPr>
          <w:sz w:val="20"/>
          <w:szCs w:val="20"/>
          <w:color w:val="auto"/>
        </w:rPr>
      </w:pPr>
      <w:r>
        <w:rPr>
          <w:rFonts w:ascii="Arial" w:cs="Arial" w:eastAsia="Arial" w:hAnsi="Arial"/>
          <w:sz w:val="18"/>
          <w:szCs w:val="18"/>
          <w:color w:val="auto"/>
        </w:rPr>
        <w:t>and inserting in lieu thereof the following:</w:t>
      </w:r>
    </w:p>
    <w:p>
      <w:pPr>
        <w:spacing w:after="0" w:line="225" w:lineRule="exact"/>
        <w:rPr>
          <w:sz w:val="20"/>
          <w:szCs w:val="20"/>
          <w:color w:val="auto"/>
        </w:rPr>
      </w:pPr>
    </w:p>
    <w:p>
      <w:pPr>
        <w:ind w:left="2040" w:right="120"/>
        <w:spacing w:after="0" w:line="25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Litigation Cooperation</w:t>
      </w:r>
      <w:r>
        <w:rPr>
          <w:rFonts w:ascii="Arial" w:cs="Arial" w:eastAsia="Arial" w:hAnsi="Arial"/>
          <w:sz w:val="18"/>
          <w:szCs w:val="18"/>
          <w:color w:val="auto"/>
        </w:rPr>
        <w:t>. From the date hereof and continuing through the termination of this Agreement, make available to Agent and Lenders, without expense to Agent or Lenders, Borrower and its officers, employees and agents and Borrower’s Books, to the extent that Agent may deem them reasonably necessary to prosecute or defend any third-party suit or proceeding instituted by or against Agent and/or Lender with respect to any Collateral or relating to Borrower.”</w:t>
      </w:r>
    </w:p>
    <w:p>
      <w:pPr>
        <w:spacing w:after="0" w:line="188" w:lineRule="exact"/>
        <w:rPr>
          <w:sz w:val="20"/>
          <w:szCs w:val="20"/>
          <w:color w:val="auto"/>
        </w:rPr>
      </w:pPr>
    </w:p>
    <w:p>
      <w:pPr>
        <w:ind w:left="760" w:hanging="655"/>
        <w:spacing w:after="0"/>
        <w:tabs>
          <w:tab w:leader="none" w:pos="760" w:val="left"/>
        </w:tabs>
        <w:numPr>
          <w:ilvl w:val="0"/>
          <w:numId w:val="47"/>
        </w:numPr>
        <w:rPr>
          <w:rFonts w:ascii="Arial" w:cs="Arial" w:eastAsia="Arial" w:hAnsi="Arial"/>
          <w:sz w:val="18"/>
          <w:szCs w:val="18"/>
          <w:color w:val="auto"/>
        </w:rPr>
      </w:pPr>
      <w:r>
        <w:rPr>
          <w:rFonts w:ascii="Arial" w:cs="Arial" w:eastAsia="Arial" w:hAnsi="Arial"/>
          <w:sz w:val="18"/>
          <w:szCs w:val="18"/>
          <w:color w:val="auto"/>
        </w:rPr>
        <w:t>The Loan Agreement shall be amended by deleting the following text appearing as Section 8.12 thereof:</w:t>
      </w:r>
    </w:p>
    <w:p>
      <w:pPr>
        <w:spacing w:after="0" w:line="225" w:lineRule="exact"/>
        <w:rPr>
          <w:sz w:val="20"/>
          <w:szCs w:val="20"/>
          <w:color w:val="auto"/>
        </w:rPr>
      </w:pPr>
    </w:p>
    <w:p>
      <w:pPr>
        <w:ind w:left="2040" w:right="40"/>
        <w:spacing w:after="0" w:line="264" w:lineRule="auto"/>
        <w:rPr>
          <w:sz w:val="20"/>
          <w:szCs w:val="20"/>
          <w:color w:val="auto"/>
        </w:rPr>
      </w:pPr>
      <w:r>
        <w:rPr>
          <w:rFonts w:ascii="Arial" w:cs="Arial" w:eastAsia="Arial" w:hAnsi="Arial"/>
          <w:sz w:val="18"/>
          <w:szCs w:val="18"/>
          <w:color w:val="auto"/>
        </w:rPr>
        <w:t>“Except as permitted by Agent, any Lien created hereunder or by any other Loan Document shall at any time fail to constitute a valid and perfected Lien on all of the Collateral purported to be secured thereby, subject to no prior or equal Lien.”</w:t>
      </w:r>
    </w:p>
    <w:p>
      <w:pPr>
        <w:spacing w:after="0" w:line="181" w:lineRule="exact"/>
        <w:rPr>
          <w:sz w:val="20"/>
          <w:szCs w:val="20"/>
          <w:color w:val="auto"/>
        </w:rPr>
      </w:pPr>
    </w:p>
    <w:p>
      <w:pPr>
        <w:ind w:left="760"/>
        <w:spacing w:after="0"/>
        <w:rPr>
          <w:sz w:val="20"/>
          <w:szCs w:val="20"/>
          <w:color w:val="auto"/>
        </w:rPr>
      </w:pPr>
      <w:r>
        <w:rPr>
          <w:rFonts w:ascii="Arial" w:cs="Arial" w:eastAsia="Arial" w:hAnsi="Arial"/>
          <w:sz w:val="18"/>
          <w:szCs w:val="18"/>
          <w:color w:val="auto"/>
        </w:rPr>
        <w:t>and inserting in lieu thereof the following:</w:t>
      </w:r>
    </w:p>
    <w:p>
      <w:pPr>
        <w:spacing w:after="0" w:line="225" w:lineRule="exact"/>
        <w:rPr>
          <w:sz w:val="20"/>
          <w:szCs w:val="20"/>
          <w:color w:val="auto"/>
        </w:rPr>
      </w:pPr>
    </w:p>
    <w:p>
      <w:pPr>
        <w:ind w:left="2040" w:right="140"/>
        <w:spacing w:after="0" w:line="264" w:lineRule="auto"/>
        <w:rPr>
          <w:sz w:val="20"/>
          <w:szCs w:val="20"/>
          <w:color w:val="auto"/>
        </w:rPr>
      </w:pPr>
      <w:r>
        <w:rPr>
          <w:rFonts w:ascii="Arial" w:cs="Arial" w:eastAsia="Arial" w:hAnsi="Arial"/>
          <w:sz w:val="18"/>
          <w:szCs w:val="18"/>
          <w:color w:val="auto"/>
        </w:rPr>
        <w:t>“Except as permitted by Required Lenders, any Lien created hereunder or by any other Loan Document shall at any time fail to constitute a valid and perfected Lien on all of the Collateral purported to be secured thereby, subject to no prior or equal Lien.”</w:t>
      </w:r>
    </w:p>
    <w:p>
      <w:pPr>
        <w:spacing w:after="0" w:line="181" w:lineRule="exact"/>
        <w:rPr>
          <w:sz w:val="20"/>
          <w:szCs w:val="20"/>
          <w:color w:val="auto"/>
        </w:rPr>
      </w:pPr>
    </w:p>
    <w:p>
      <w:pPr>
        <w:ind w:left="780" w:hanging="675"/>
        <w:spacing w:after="0"/>
        <w:tabs>
          <w:tab w:leader="none" w:pos="780" w:val="left"/>
        </w:tabs>
        <w:numPr>
          <w:ilvl w:val="0"/>
          <w:numId w:val="48"/>
        </w:numPr>
        <w:rPr>
          <w:rFonts w:ascii="Arial" w:cs="Arial" w:eastAsia="Arial" w:hAnsi="Arial"/>
          <w:sz w:val="18"/>
          <w:szCs w:val="18"/>
          <w:color w:val="auto"/>
        </w:rPr>
      </w:pPr>
      <w:r>
        <w:rPr>
          <w:rFonts w:ascii="Arial" w:cs="Arial" w:eastAsia="Arial" w:hAnsi="Arial"/>
          <w:sz w:val="18"/>
          <w:szCs w:val="18"/>
          <w:color w:val="auto"/>
        </w:rPr>
        <w:t>The Loan Agreement shall be amended by deleting the following text appearing as Section 9.4 thereof:</w:t>
      </w:r>
    </w:p>
    <w:p>
      <w:pPr>
        <w:spacing w:after="0" w:line="225" w:lineRule="exact"/>
        <w:rPr>
          <w:sz w:val="20"/>
          <w:szCs w:val="20"/>
          <w:color w:val="auto"/>
        </w:rPr>
      </w:pPr>
    </w:p>
    <w:p>
      <w:pPr>
        <w:ind w:left="2040"/>
        <w:spacing w:after="0" w:line="287" w:lineRule="auto"/>
        <w:rPr>
          <w:sz w:val="20"/>
          <w:szCs w:val="20"/>
          <w:color w:val="auto"/>
        </w:rPr>
      </w:pPr>
      <w:r>
        <w:rPr>
          <w:rFonts w:ascii="Arial" w:cs="Arial" w:eastAsia="Arial" w:hAnsi="Arial"/>
          <w:sz w:val="16"/>
          <w:szCs w:val="16"/>
          <w:color w:val="auto"/>
        </w:rPr>
        <w:t>“Notwithstanding anything to the contrary contained in this Agreement, upon the occurrence and during the continuance of an Event of Default, (a) Borrower irrevocably waives the right to direct the application of any and all payments at any time or times thereafter received by Agent from or on behalf of Borrower of all or any part of the Obligations, and, as between Borrower on the one hand and Agent and the Lenders on the other, Agent shall have the continuing and exclusive right to apply and to reapply any and all payments received against the Obligations in such manner as Agent may deem advisable notwithstanding any previous application by Agent, and (b) the proceeds of any sale of, or other realization upon all or any part of the Collateral shall be applied: first, to Lenders Expenses; second, to accrued and unpaid interest on the Obligations (including any interest which, but for the provisions of the United States Bankruptcy Code, would have accrued on such amounts); third, to the principal amount of the Obligations outstanding; and fourth, to any other indebtedness or obligations of Borrower owing to Agent or any Lender under the Loan Documents. Any balance</w:t>
      </w:r>
    </w:p>
    <w:p>
      <w:pPr>
        <w:spacing w:after="0" w:line="173" w:lineRule="exact"/>
        <w:rPr>
          <w:sz w:val="20"/>
          <w:szCs w:val="20"/>
          <w:color w:val="auto"/>
        </w:rPr>
      </w:pPr>
    </w:p>
    <w:p>
      <w:pPr>
        <w:ind w:left="4460"/>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-758190</wp:posOffset>
            </wp:positionH>
            <wp:positionV relativeFrom="paragraph">
              <wp:posOffset>81280</wp:posOffset>
            </wp:positionV>
            <wp:extent cx="7267575" cy="2984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jc w:val="both"/>
        <w:ind w:left="2040" w:right="120"/>
        <w:spacing w:after="0" w:line="288" w:lineRule="auto"/>
        <w:rPr>
          <w:sz w:val="20"/>
          <w:szCs w:val="20"/>
          <w:color w:val="auto"/>
        </w:rPr>
      </w:pPr>
      <w:r>
        <w:rPr>
          <w:rFonts w:ascii="Arial" w:cs="Arial" w:eastAsia="Arial" w:hAnsi="Arial"/>
          <w:sz w:val="16"/>
          <w:szCs w:val="16"/>
          <w:color w:val="auto"/>
        </w:rPr>
        <w:t>remaining shall be delivered to Borrower or to whoever may be lawfully entitled to receive such balance or as a court of competent jurisdiction may direct. In carrying out the foregoing, (x) amounts received shall be applied in the numerical order provided until exhausted prior to the application to the next succeeding category, and</w:t>
      </w:r>
    </w:p>
    <w:p>
      <w:pPr>
        <w:ind w:left="2040" w:right="20" w:firstLine="9"/>
        <w:spacing w:after="0" w:line="283" w:lineRule="auto"/>
        <w:tabs>
          <w:tab w:leader="none" w:pos="2295" w:val="left"/>
        </w:tabs>
        <w:numPr>
          <w:ilvl w:val="0"/>
          <w:numId w:val="49"/>
        </w:numPr>
        <w:rPr>
          <w:rFonts w:ascii="Arial" w:cs="Arial" w:eastAsia="Arial" w:hAnsi="Arial"/>
          <w:sz w:val="16"/>
          <w:szCs w:val="16"/>
          <w:color w:val="auto"/>
        </w:rPr>
      </w:pPr>
      <w:r>
        <w:rPr>
          <w:rFonts w:ascii="Arial" w:cs="Arial" w:eastAsia="Arial" w:hAnsi="Arial"/>
          <w:sz w:val="16"/>
          <w:szCs w:val="16"/>
          <w:color w:val="auto"/>
        </w:rPr>
        <w:t>each of the Persons entitled to receive a payment in any particular category shall receive an amount equal to its pro rata share of amounts available to be applied pursuant thereto for such category. Any reference in this Agreement to an allocation between or sharing by the Lenders of any right, interest or obligation “ratably,” “proportionally” or in similar terms shall refer to Pro Rata Share unless expressly provided otherwise. Agent, or if applicable, each Lender, shall promptly remit to the other Lenders such sums as may be necessary to ensure the ratable repayment of each Lender’s portion of any Term Loan and the ratable distribution of interest, fees and reimbursements paid or made by Borrower. Notwithstanding the foregoing, a Lender receiving a scheduled payment shall not be responsible for determining whether the other Lenders also received their scheduled payment on such date; provided, however, if it is later determined that a Lender received more than its ratable share of scheduled payments made on any date or dates, then such Lender shall remit to Agent or other Lenders such sums as may be necessary to ensure the ratable payment of such scheduled payments, as instructed by Agent. Any payment or distribution of any kind or character, whether in cash, properties or securities, shall be received by a Lender in excess of its ratable share, then the portion of such payment or distribution in excess of such Lender’s ratable share shall be received by such Lender in trust for and shall be promptly paid over to the other Lender for application to the payments of amounts due on the other Lender’s claims. To the extent any payment for the account of Borrower is required to be returned as a voidable transfer or otherwise, the Lenders shall contribute to one another as is necessary to ensure that such return of payment is on a pro rata basis. If any Lender shall obtain possession of any Collateral, it shall hold such Collateral for itself and as agent and bailee for Agent and other Lenders for purposes of perfecting Agent’s security interest therein. Notwithstanding anything to the contrary herein, any warrants issued to the Lenders by Borrower, the stock issuable thereunder, any equity securities purchased by Lenders, any amounts paid thereunder, any dividends, and any other rights in connection therewith shall not be subject to the terms and conditions of this Agreement. Nothing herein shall affect any Lender’s rights under any such warrants, stock, or other equity securities to administer, manage, transfer, assign, or exercise such warrants, stock, or other equity securities for its own account.”</w:t>
      </w:r>
    </w:p>
    <w:p>
      <w:pPr>
        <w:spacing w:after="0" w:line="181" w:lineRule="exact"/>
        <w:rPr>
          <w:sz w:val="20"/>
          <w:szCs w:val="20"/>
          <w:color w:val="auto"/>
        </w:rPr>
      </w:pPr>
    </w:p>
    <w:p>
      <w:pPr>
        <w:ind w:left="760"/>
        <w:spacing w:after="0"/>
        <w:rPr>
          <w:sz w:val="20"/>
          <w:szCs w:val="20"/>
          <w:color w:val="auto"/>
        </w:rPr>
      </w:pPr>
      <w:r>
        <w:rPr>
          <w:rFonts w:ascii="Arial" w:cs="Arial" w:eastAsia="Arial" w:hAnsi="Arial"/>
          <w:sz w:val="18"/>
          <w:szCs w:val="18"/>
          <w:color w:val="auto"/>
        </w:rPr>
        <w:t>and inserting in lieu thereof the following:</w:t>
      </w:r>
    </w:p>
    <w:p>
      <w:pPr>
        <w:spacing w:after="0" w:line="225" w:lineRule="exact"/>
        <w:rPr>
          <w:sz w:val="20"/>
          <w:szCs w:val="20"/>
          <w:color w:val="auto"/>
        </w:rPr>
      </w:pPr>
    </w:p>
    <w:p>
      <w:pPr>
        <w:ind w:left="2040" w:right="20"/>
        <w:spacing w:after="0" w:line="312" w:lineRule="auto"/>
        <w:rPr>
          <w:sz w:val="20"/>
          <w:szCs w:val="20"/>
          <w:color w:val="auto"/>
        </w:rPr>
      </w:pPr>
      <w:r>
        <w:rPr>
          <w:rFonts w:ascii="Arial" w:cs="Arial" w:eastAsia="Arial" w:hAnsi="Arial"/>
          <w:sz w:val="16"/>
          <w:szCs w:val="16"/>
          <w:color w:val="auto"/>
        </w:rPr>
        <w:t>“Notwithstanding anything to the contrary contained in this Agreement, upon the occurrence and during the continuance of an Event of Default, Borrower irrevocably waives the right to direct the application of any and all payments at any time or times thereafter received by Agent or Lenders from or on behalf of Borrower of all or</w:t>
      </w:r>
    </w:p>
    <w:p>
      <w:pPr>
        <w:sectPr>
          <w:pgSz w:w="11900" w:h="16885" w:orient="portrait"/>
          <w:cols w:equalWidth="0" w:num="1">
            <w:col w:w="10220"/>
          </w:cols>
          <w:pgMar w:left="1440" w:top="125" w:right="239" w:bottom="0" w:gutter="0" w:footer="0" w:header="0"/>
        </w:sectPr>
      </w:pPr>
    </w:p>
    <w:bookmarkStart w:id="118" w:name="page119"/>
    <w:bookmarkEnd w:id="118"/>
    <w:p>
      <w:pPr>
        <w:ind w:left="3240" w:right="80"/>
        <w:spacing w:after="0" w:line="302" w:lineRule="auto"/>
        <w:rPr>
          <w:sz w:val="20"/>
          <w:szCs w:val="20"/>
          <w:color w:val="auto"/>
        </w:rPr>
      </w:pPr>
      <w:r>
        <w:rPr>
          <w:rFonts w:ascii="Arial" w:cs="Arial" w:eastAsia="Arial" w:hAnsi="Arial"/>
          <w:sz w:val="16"/>
          <w:szCs w:val="16"/>
          <w:color w:val="auto"/>
        </w:rPr>
        <w:t xml:space="preserve">any part of the Obligations and the proceeds of any sale of, or other realization upon all or any part of the Collateral and other payments received by Agent shall be applied as follows: </w:t>
      </w:r>
      <w:r>
        <w:rPr>
          <w:rFonts w:ascii="Arial" w:cs="Arial" w:eastAsia="Arial" w:hAnsi="Arial"/>
          <w:sz w:val="16"/>
          <w:szCs w:val="16"/>
          <w:u w:val="single" w:color="auto"/>
          <w:color w:val="auto"/>
        </w:rPr>
        <w:t>first</w:t>
      </w:r>
      <w:r>
        <w:rPr>
          <w:rFonts w:ascii="Arial" w:cs="Arial" w:eastAsia="Arial" w:hAnsi="Arial"/>
          <w:sz w:val="16"/>
          <w:szCs w:val="16"/>
          <w:color w:val="auto"/>
        </w:rPr>
        <w:t xml:space="preserve">, to pay all fees, costs, indemnities, reimbursements and expenses then due to Agent under the Loan Documents in its capacity as Agent under the Loan Documents until paid in full in cash; </w:t>
      </w:r>
      <w:r>
        <w:rPr>
          <w:rFonts w:ascii="Arial" w:cs="Arial" w:eastAsia="Arial" w:hAnsi="Arial"/>
          <w:sz w:val="16"/>
          <w:szCs w:val="16"/>
          <w:u w:val="single" w:color="auto"/>
          <w:color w:val="auto"/>
        </w:rPr>
        <w:t>second</w:t>
      </w:r>
      <w:r>
        <w:rPr>
          <w:rFonts w:ascii="Arial" w:cs="Arial" w:eastAsia="Arial" w:hAnsi="Arial"/>
          <w:sz w:val="16"/>
          <w:szCs w:val="16"/>
          <w:color w:val="auto"/>
        </w:rPr>
        <w:t xml:space="preserve"> to Lenders Expenses; </w:t>
      </w:r>
      <w:r>
        <w:rPr>
          <w:rFonts w:ascii="Arial" w:cs="Arial" w:eastAsia="Arial" w:hAnsi="Arial"/>
          <w:sz w:val="16"/>
          <w:szCs w:val="16"/>
          <w:u w:val="single" w:color="auto"/>
          <w:color w:val="auto"/>
        </w:rPr>
        <w:t>third</w:t>
      </w:r>
      <w:r>
        <w:rPr>
          <w:rFonts w:ascii="Arial" w:cs="Arial" w:eastAsia="Arial" w:hAnsi="Arial"/>
          <w:sz w:val="16"/>
          <w:szCs w:val="16"/>
          <w:color w:val="auto"/>
        </w:rPr>
        <w:t>, to accrued and</w:t>
      </w:r>
    </w:p>
    <w:p>
      <w:pPr>
        <w:spacing w:after="0" w:line="154"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3240" w:right="40"/>
        <w:spacing w:after="0" w:line="284" w:lineRule="auto"/>
        <w:rPr>
          <w:sz w:val="20"/>
          <w:szCs w:val="20"/>
          <w:color w:val="auto"/>
        </w:rPr>
      </w:pPr>
      <w:r>
        <w:rPr>
          <w:rFonts w:ascii="Arial" w:cs="Arial" w:eastAsia="Arial" w:hAnsi="Arial"/>
          <w:sz w:val="16"/>
          <w:szCs w:val="16"/>
          <w:color w:val="auto"/>
        </w:rPr>
        <w:t xml:space="preserve">unpaid interest on the Obligations (including any interest which, but for the provisions of the United States Bankruptcy Code, would have accrued on such amounts) until paid in full in cash; </w:t>
      </w:r>
      <w:r>
        <w:rPr>
          <w:rFonts w:ascii="Arial" w:cs="Arial" w:eastAsia="Arial" w:hAnsi="Arial"/>
          <w:sz w:val="16"/>
          <w:szCs w:val="16"/>
          <w:u w:val="single" w:color="auto"/>
          <w:color w:val="auto"/>
        </w:rPr>
        <w:t>fourth</w:t>
      </w:r>
      <w:r>
        <w:rPr>
          <w:rFonts w:ascii="Arial" w:cs="Arial" w:eastAsia="Arial" w:hAnsi="Arial"/>
          <w:sz w:val="16"/>
          <w:szCs w:val="16"/>
          <w:color w:val="auto"/>
        </w:rPr>
        <w:t xml:space="preserve">, to the principal amount of the Obligations outstanding until paid in full in cash; and </w:t>
      </w:r>
      <w:r>
        <w:rPr>
          <w:rFonts w:ascii="Arial" w:cs="Arial" w:eastAsia="Arial" w:hAnsi="Arial"/>
          <w:sz w:val="16"/>
          <w:szCs w:val="16"/>
          <w:u w:val="single" w:color="auto"/>
          <w:color w:val="auto"/>
        </w:rPr>
        <w:t>fifth</w:t>
      </w:r>
      <w:r>
        <w:rPr>
          <w:rFonts w:ascii="Arial" w:cs="Arial" w:eastAsia="Arial" w:hAnsi="Arial"/>
          <w:sz w:val="16"/>
          <w:szCs w:val="16"/>
          <w:color w:val="auto"/>
        </w:rPr>
        <w:t>, to any other indebtedness or obligations of Borrower owing to Agent or any Lender under the Loan Documents until paid in full in cash. Any balance remaining shall be delivered to Borrower or to whoever may be lawfully entitled to receive such balance or as a court of competent jurisdiction may direct. In carrying out the foregoing, (x) amounts received shall be applied in the numerical order provided until exhausted prior to the application to the next succeeding category, and</w:t>
      </w:r>
    </w:p>
    <w:p>
      <w:pPr>
        <w:spacing w:after="0" w:line="3" w:lineRule="exact"/>
        <w:rPr>
          <w:sz w:val="20"/>
          <w:szCs w:val="20"/>
          <w:color w:val="auto"/>
        </w:rPr>
      </w:pPr>
    </w:p>
    <w:p>
      <w:pPr>
        <w:ind w:left="3240" w:right="60" w:firstLine="9"/>
        <w:spacing w:after="0" w:line="283" w:lineRule="auto"/>
        <w:tabs>
          <w:tab w:leader="none" w:pos="3495" w:val="left"/>
        </w:tabs>
        <w:numPr>
          <w:ilvl w:val="1"/>
          <w:numId w:val="50"/>
        </w:numPr>
        <w:rPr>
          <w:rFonts w:ascii="Arial" w:cs="Arial" w:eastAsia="Arial" w:hAnsi="Arial"/>
          <w:sz w:val="16"/>
          <w:szCs w:val="16"/>
          <w:color w:val="auto"/>
        </w:rPr>
      </w:pPr>
      <w:r>
        <w:rPr>
          <w:rFonts w:ascii="Arial" w:cs="Arial" w:eastAsia="Arial" w:hAnsi="Arial"/>
          <w:sz w:val="16"/>
          <w:szCs w:val="16"/>
          <w:color w:val="auto"/>
        </w:rPr>
        <w:t>each of the Persons entitled to receive a payment in any particular category shall receive an amount equal to its pro rata share of amounts available to be applied pursuant thereto for such category. Any reference in this Agreement to an allocation between or sharing by the Lenders of any right, interest or obligation “ratably,” “proportionally” or in similar terms shall refer to Pro Rata Share unless expressly provided otherwise. Agent, or if applicable, each Lender, shall promptly remit to the other Lenders such sums as may be necessary to ensure the ratable repayment of each Lender’s portion of any Term Loan and the ratable distribution of interest, fees and reimbursements paid or made by Borrower. Notwithstanding the foregoing, a Lender receiving a scheduled payment shall not be responsible for determining whether the other Lenders also received their scheduled payment on such date; provided, however, if it is later determined that a Lender received more than its ratable share of scheduled payments made on any date or dates, then such Lender shall remit to Agent or other Lenders such sums as may be necessary to ensure the ratable payment of such scheduled payments, as instructed by Agent. Any payment or distribution of any kind or character, whether in cash, properties or securities, shall be received by a Lender in excess of its ratable share, then the portion of such payment or distribution in excess of such Lender’s ratable share shall be received by such Lender in trust for and shall be promptly paid over to the other Lender for application to the payments of amounts due on the other Lender’s claims. To the extent any payment for the account of Borrower is required to be returned as a voidable transfer or otherwise, the Lenders shall contribute to one another as is necessary to ensure that such return of payment is on a pro rata basis. If any Lender shall obtain possession of any Collateral, it shall hold such Collateral for itself and as agent and bailee for Agent and other Lenders for purposes of perfecting Agent’s security interest therein. Notwithstanding anything to the contrary herein, any warrants issued to the Lenders by Borrower, the stock issuable thereunder, any equity securities purchased by Lenders, any amounts paid thereunder, any dividends, and any other rights in connection therewith shall not be subject to the terms and conditions of this Agreement. Nothing herein shall affect any Lender’s rights under any such warrants, stock, or other equity securities to administer, manage, transfer, assign, or exercise such warrants, stock, or other equity securities for its own account. Borrower shall remain fully liable for any deficiency remaining after application of the funds set forth in this Section 9.4.”</w:t>
      </w:r>
    </w:p>
    <w:p>
      <w:pPr>
        <w:spacing w:after="0" w:line="180" w:lineRule="exact"/>
        <w:rPr>
          <w:rFonts w:ascii="Arial" w:cs="Arial" w:eastAsia="Arial" w:hAnsi="Arial"/>
          <w:sz w:val="16"/>
          <w:szCs w:val="16"/>
          <w:color w:val="auto"/>
        </w:rPr>
      </w:pPr>
    </w:p>
    <w:p>
      <w:pPr>
        <w:ind w:left="1980" w:hanging="675"/>
        <w:spacing w:after="0"/>
        <w:tabs>
          <w:tab w:leader="none" w:pos="1980" w:val="left"/>
        </w:tabs>
        <w:numPr>
          <w:ilvl w:val="0"/>
          <w:numId w:val="51"/>
        </w:numPr>
        <w:rPr>
          <w:rFonts w:ascii="Arial" w:cs="Arial" w:eastAsia="Arial" w:hAnsi="Arial"/>
          <w:sz w:val="18"/>
          <w:szCs w:val="18"/>
          <w:color w:val="auto"/>
        </w:rPr>
      </w:pPr>
      <w:r>
        <w:rPr>
          <w:rFonts w:ascii="Arial" w:cs="Arial" w:eastAsia="Arial" w:hAnsi="Arial"/>
          <w:sz w:val="18"/>
          <w:szCs w:val="18"/>
          <w:color w:val="auto"/>
        </w:rPr>
        <w:t>The Loan Agreement shall be amended by deleting following text that appears in Section 10 thereof:</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340" w:type="dxa"/>
            <w:vAlign w:val="bottom"/>
          </w:tcPr>
          <w:p>
            <w:pPr>
              <w:ind w:left="3240"/>
              <w:spacing w:after="0"/>
              <w:rPr>
                <w:sz w:val="20"/>
                <w:szCs w:val="20"/>
                <w:color w:val="auto"/>
              </w:rPr>
            </w:pPr>
            <w:r>
              <w:rPr>
                <w:rFonts w:ascii="Arial" w:cs="Arial" w:eastAsia="Arial" w:hAnsi="Arial"/>
                <w:sz w:val="18"/>
                <w:szCs w:val="18"/>
                <w:color w:val="auto"/>
              </w:rPr>
              <w:t>“If to Agent or Lenders:</w:t>
            </w:r>
          </w:p>
        </w:tc>
        <w:tc>
          <w:tcPr>
            <w:tcW w:w="6120" w:type="dxa"/>
            <w:vAlign w:val="bottom"/>
          </w:tcPr>
          <w:p>
            <w:pPr>
              <w:ind w:left="1140"/>
              <w:spacing w:after="0"/>
              <w:rPr>
                <w:sz w:val="20"/>
                <w:szCs w:val="20"/>
                <w:color w:val="auto"/>
              </w:rPr>
            </w:pPr>
            <w:r>
              <w:rPr>
                <w:rFonts w:ascii="Arial" w:cs="Arial" w:eastAsia="Arial" w:hAnsi="Arial"/>
                <w:sz w:val="18"/>
                <w:szCs w:val="18"/>
                <w:color w:val="auto"/>
              </w:rPr>
              <w:t>MidCap Financial, LLC</w:t>
            </w:r>
          </w:p>
        </w:tc>
      </w:tr>
      <w:tr>
        <w:trPr>
          <w:trHeight w:val="432"/>
        </w:trPr>
        <w:tc>
          <w:tcPr>
            <w:tcW w:w="5340" w:type="dxa"/>
            <w:vAlign w:val="bottom"/>
          </w:tcPr>
          <w:p>
            <w:pPr>
              <w:spacing w:after="0"/>
              <w:rPr>
                <w:sz w:val="24"/>
                <w:szCs w:val="24"/>
                <w:color w:val="auto"/>
              </w:rPr>
            </w:pPr>
          </w:p>
        </w:tc>
        <w:tc>
          <w:tcPr>
            <w:tcW w:w="6120" w:type="dxa"/>
            <w:vAlign w:val="bottom"/>
          </w:tcPr>
          <w:p>
            <w:pPr>
              <w:ind w:left="320"/>
              <w:spacing w:after="0"/>
              <w:rPr>
                <w:sz w:val="20"/>
                <w:szCs w:val="20"/>
                <w:color w:val="auto"/>
              </w:rPr>
            </w:pPr>
            <w:r>
              <w:rPr>
                <w:rFonts w:ascii="Arial" w:cs="Arial" w:eastAsia="Arial" w:hAnsi="Arial"/>
                <w:sz w:val="18"/>
                <w:szCs w:val="18"/>
                <w:color w:val="auto"/>
              </w:rPr>
              <w:t>8</w:t>
            </w:r>
          </w:p>
        </w:tc>
      </w:tr>
      <w:tr>
        <w:trPr>
          <w:trHeight w:val="132"/>
        </w:trPr>
        <w:tc>
          <w:tcPr>
            <w:tcW w:w="5340" w:type="dxa"/>
            <w:vAlign w:val="bottom"/>
            <w:tcBorders>
              <w:bottom w:val="single" w:sz="8" w:color="010101"/>
            </w:tcBorders>
          </w:tcPr>
          <w:p>
            <w:pPr>
              <w:spacing w:after="0"/>
              <w:rPr>
                <w:sz w:val="11"/>
                <w:szCs w:val="11"/>
                <w:color w:val="auto"/>
              </w:rPr>
            </w:pPr>
          </w:p>
        </w:tc>
        <w:tc>
          <w:tcPr>
            <w:tcW w:w="6120" w:type="dxa"/>
            <w:vAlign w:val="bottom"/>
            <w:tcBorders>
              <w:bottom w:val="single" w:sz="8" w:color="010101"/>
            </w:tcBorders>
          </w:tcPr>
          <w:p>
            <w:pPr>
              <w:spacing w:after="0"/>
              <w:rPr>
                <w:sz w:val="11"/>
                <w:szCs w:val="11"/>
                <w:color w:val="auto"/>
              </w:rPr>
            </w:pPr>
          </w:p>
        </w:tc>
      </w:tr>
      <w:tr>
        <w:trPr>
          <w:trHeight w:val="766"/>
        </w:trPr>
        <w:tc>
          <w:tcPr>
            <w:tcW w:w="5340" w:type="dxa"/>
            <w:vAlign w:val="bottom"/>
          </w:tcPr>
          <w:p>
            <w:pPr>
              <w:spacing w:after="0"/>
              <w:rPr>
                <w:sz w:val="24"/>
                <w:szCs w:val="24"/>
                <w:color w:val="auto"/>
              </w:rPr>
            </w:pPr>
          </w:p>
        </w:tc>
        <w:tc>
          <w:tcPr>
            <w:tcW w:w="6120" w:type="dxa"/>
            <w:vAlign w:val="bottom"/>
          </w:tcPr>
          <w:p>
            <w:pPr>
              <w:ind w:left="1140"/>
              <w:spacing w:after="0"/>
              <w:rPr>
                <w:sz w:val="20"/>
                <w:szCs w:val="20"/>
                <w:color w:val="auto"/>
              </w:rPr>
            </w:pPr>
            <w:r>
              <w:rPr>
                <w:rFonts w:ascii="Arial" w:cs="Arial" w:eastAsia="Arial" w:hAnsi="Arial"/>
                <w:sz w:val="18"/>
                <w:szCs w:val="18"/>
                <w:color w:val="auto"/>
              </w:rPr>
              <w:t>7735 Old Georgetown Road, Suite 400</w:t>
            </w:r>
          </w:p>
        </w:tc>
      </w:tr>
      <w:tr>
        <w:trPr>
          <w:trHeight w:val="216"/>
        </w:trPr>
        <w:tc>
          <w:tcPr>
            <w:tcW w:w="5340" w:type="dxa"/>
            <w:vAlign w:val="bottom"/>
          </w:tcPr>
          <w:p>
            <w:pPr>
              <w:spacing w:after="0"/>
              <w:rPr>
                <w:sz w:val="18"/>
                <w:szCs w:val="18"/>
                <w:color w:val="auto"/>
              </w:rPr>
            </w:pPr>
          </w:p>
        </w:tc>
        <w:tc>
          <w:tcPr>
            <w:tcW w:w="6120" w:type="dxa"/>
            <w:vAlign w:val="bottom"/>
          </w:tcPr>
          <w:p>
            <w:pPr>
              <w:ind w:left="1140"/>
              <w:spacing w:after="0"/>
              <w:rPr>
                <w:sz w:val="20"/>
                <w:szCs w:val="20"/>
                <w:color w:val="auto"/>
              </w:rPr>
            </w:pPr>
            <w:r>
              <w:rPr>
                <w:rFonts w:ascii="Arial" w:cs="Arial" w:eastAsia="Arial" w:hAnsi="Arial"/>
                <w:sz w:val="18"/>
                <w:szCs w:val="18"/>
                <w:color w:val="auto"/>
              </w:rPr>
              <w:t>Bethesda, Maryland 20814</w:t>
            </w:r>
          </w:p>
        </w:tc>
      </w:tr>
      <w:tr>
        <w:trPr>
          <w:trHeight w:val="230"/>
        </w:trPr>
        <w:tc>
          <w:tcPr>
            <w:tcW w:w="5340" w:type="dxa"/>
            <w:vAlign w:val="bottom"/>
          </w:tcPr>
          <w:p>
            <w:pPr>
              <w:spacing w:after="0"/>
              <w:rPr>
                <w:sz w:val="20"/>
                <w:szCs w:val="20"/>
                <w:color w:val="auto"/>
              </w:rPr>
            </w:pPr>
          </w:p>
        </w:tc>
        <w:tc>
          <w:tcPr>
            <w:tcW w:w="6120" w:type="dxa"/>
            <w:vAlign w:val="bottom"/>
          </w:tcPr>
          <w:p>
            <w:pPr>
              <w:ind w:left="1140"/>
              <w:spacing w:after="0"/>
              <w:rPr>
                <w:sz w:val="20"/>
                <w:szCs w:val="20"/>
                <w:color w:val="auto"/>
              </w:rPr>
            </w:pPr>
            <w:r>
              <w:rPr>
                <w:rFonts w:ascii="Arial" w:cs="Arial" w:eastAsia="Arial" w:hAnsi="Arial"/>
                <w:sz w:val="18"/>
                <w:szCs w:val="18"/>
                <w:color w:val="auto"/>
              </w:rPr>
              <w:t>Attention: Portfolio Management- Life Sciences</w:t>
            </w:r>
          </w:p>
        </w:tc>
      </w:tr>
      <w:tr>
        <w:trPr>
          <w:trHeight w:val="418"/>
        </w:trPr>
        <w:tc>
          <w:tcPr>
            <w:tcW w:w="5340" w:type="dxa"/>
            <w:vAlign w:val="bottom"/>
          </w:tcPr>
          <w:p>
            <w:pPr>
              <w:ind w:left="3240"/>
              <w:spacing w:after="0"/>
              <w:rPr>
                <w:sz w:val="20"/>
                <w:szCs w:val="20"/>
                <w:color w:val="auto"/>
              </w:rPr>
            </w:pPr>
            <w:r>
              <w:rPr>
                <w:rFonts w:ascii="Arial" w:cs="Arial" w:eastAsia="Arial" w:hAnsi="Arial"/>
                <w:sz w:val="18"/>
                <w:szCs w:val="18"/>
                <w:color w:val="auto"/>
              </w:rPr>
              <w:t>with a copy to:</w:t>
            </w:r>
          </w:p>
        </w:tc>
        <w:tc>
          <w:tcPr>
            <w:tcW w:w="6120" w:type="dxa"/>
            <w:vAlign w:val="bottom"/>
          </w:tcPr>
          <w:p>
            <w:pPr>
              <w:ind w:left="1140"/>
              <w:spacing w:after="0"/>
              <w:rPr>
                <w:sz w:val="20"/>
                <w:szCs w:val="20"/>
                <w:color w:val="auto"/>
              </w:rPr>
            </w:pPr>
            <w:r>
              <w:rPr>
                <w:rFonts w:ascii="Arial" w:cs="Arial" w:eastAsia="Arial" w:hAnsi="Arial"/>
                <w:sz w:val="18"/>
                <w:szCs w:val="18"/>
                <w:color w:val="auto"/>
              </w:rPr>
              <w:t>Riemer &amp; Braunstein LLP</w:t>
            </w:r>
          </w:p>
        </w:tc>
      </w:tr>
      <w:tr>
        <w:trPr>
          <w:trHeight w:val="216"/>
        </w:trPr>
        <w:tc>
          <w:tcPr>
            <w:tcW w:w="5340" w:type="dxa"/>
            <w:vAlign w:val="bottom"/>
          </w:tcPr>
          <w:p>
            <w:pPr>
              <w:spacing w:after="0"/>
              <w:rPr>
                <w:sz w:val="18"/>
                <w:szCs w:val="18"/>
                <w:color w:val="auto"/>
              </w:rPr>
            </w:pPr>
          </w:p>
        </w:tc>
        <w:tc>
          <w:tcPr>
            <w:tcW w:w="6120" w:type="dxa"/>
            <w:vAlign w:val="bottom"/>
          </w:tcPr>
          <w:p>
            <w:pPr>
              <w:ind w:left="1140"/>
              <w:spacing w:after="0"/>
              <w:rPr>
                <w:sz w:val="20"/>
                <w:szCs w:val="20"/>
                <w:color w:val="auto"/>
              </w:rPr>
            </w:pPr>
            <w:r>
              <w:rPr>
                <w:rFonts w:ascii="Arial" w:cs="Arial" w:eastAsia="Arial" w:hAnsi="Arial"/>
                <w:sz w:val="18"/>
                <w:szCs w:val="18"/>
                <w:color w:val="auto"/>
              </w:rPr>
              <w:t>Three Center Plaza</w:t>
            </w:r>
          </w:p>
        </w:tc>
      </w:tr>
      <w:tr>
        <w:trPr>
          <w:trHeight w:val="216"/>
        </w:trPr>
        <w:tc>
          <w:tcPr>
            <w:tcW w:w="5340" w:type="dxa"/>
            <w:vAlign w:val="bottom"/>
          </w:tcPr>
          <w:p>
            <w:pPr>
              <w:spacing w:after="0"/>
              <w:rPr>
                <w:sz w:val="18"/>
                <w:szCs w:val="18"/>
                <w:color w:val="auto"/>
              </w:rPr>
            </w:pPr>
          </w:p>
        </w:tc>
        <w:tc>
          <w:tcPr>
            <w:tcW w:w="6120" w:type="dxa"/>
            <w:vAlign w:val="bottom"/>
          </w:tcPr>
          <w:p>
            <w:pPr>
              <w:ind w:left="1140"/>
              <w:spacing w:after="0"/>
              <w:rPr>
                <w:sz w:val="20"/>
                <w:szCs w:val="20"/>
                <w:color w:val="auto"/>
              </w:rPr>
            </w:pPr>
            <w:r>
              <w:rPr>
                <w:rFonts w:ascii="Arial" w:cs="Arial" w:eastAsia="Arial" w:hAnsi="Arial"/>
                <w:sz w:val="18"/>
                <w:szCs w:val="18"/>
                <w:color w:val="auto"/>
              </w:rPr>
              <w:t>Boston, Massachusetts 02108</w:t>
            </w:r>
          </w:p>
        </w:tc>
      </w:tr>
      <w:tr>
        <w:trPr>
          <w:trHeight w:val="230"/>
        </w:trPr>
        <w:tc>
          <w:tcPr>
            <w:tcW w:w="5340" w:type="dxa"/>
            <w:vAlign w:val="bottom"/>
          </w:tcPr>
          <w:p>
            <w:pPr>
              <w:spacing w:after="0"/>
              <w:rPr>
                <w:sz w:val="20"/>
                <w:szCs w:val="20"/>
                <w:color w:val="auto"/>
              </w:rPr>
            </w:pPr>
          </w:p>
        </w:tc>
        <w:tc>
          <w:tcPr>
            <w:tcW w:w="6120" w:type="dxa"/>
            <w:vAlign w:val="bottom"/>
          </w:tcPr>
          <w:p>
            <w:pPr>
              <w:ind w:left="1140"/>
              <w:spacing w:after="0"/>
              <w:rPr>
                <w:sz w:val="20"/>
                <w:szCs w:val="20"/>
                <w:color w:val="auto"/>
              </w:rPr>
            </w:pPr>
            <w:r>
              <w:rPr>
                <w:rFonts w:ascii="Arial" w:cs="Arial" w:eastAsia="Arial" w:hAnsi="Arial"/>
                <w:sz w:val="18"/>
                <w:szCs w:val="18"/>
                <w:color w:val="auto"/>
              </w:rPr>
              <w:t>Attention: John J. Malloy, Esquire”</w:t>
            </w:r>
          </w:p>
        </w:tc>
      </w:tr>
      <w:tr>
        <w:trPr>
          <w:trHeight w:val="432"/>
        </w:trPr>
        <w:tc>
          <w:tcPr>
            <w:tcW w:w="5340" w:type="dxa"/>
            <w:vAlign w:val="bottom"/>
          </w:tcPr>
          <w:p>
            <w:pPr>
              <w:ind w:left="1960"/>
              <w:spacing w:after="0"/>
              <w:rPr>
                <w:sz w:val="20"/>
                <w:szCs w:val="20"/>
                <w:color w:val="auto"/>
              </w:rPr>
            </w:pPr>
            <w:r>
              <w:rPr>
                <w:rFonts w:ascii="Arial" w:cs="Arial" w:eastAsia="Arial" w:hAnsi="Arial"/>
                <w:sz w:val="18"/>
                <w:szCs w:val="18"/>
                <w:color w:val="auto"/>
              </w:rPr>
              <w:t>and inserting in lieu thereof the following:</w:t>
            </w:r>
          </w:p>
        </w:tc>
        <w:tc>
          <w:tcPr>
            <w:tcW w:w="6120" w:type="dxa"/>
            <w:vAlign w:val="bottom"/>
          </w:tcPr>
          <w:p>
            <w:pPr>
              <w:spacing w:after="0"/>
              <w:rPr>
                <w:sz w:val="24"/>
                <w:szCs w:val="24"/>
                <w:color w:val="auto"/>
              </w:rPr>
            </w:pPr>
          </w:p>
        </w:tc>
      </w:tr>
      <w:tr>
        <w:trPr>
          <w:trHeight w:val="418"/>
        </w:trPr>
        <w:tc>
          <w:tcPr>
            <w:tcW w:w="5340" w:type="dxa"/>
            <w:vAlign w:val="bottom"/>
          </w:tcPr>
          <w:p>
            <w:pPr>
              <w:ind w:left="3240"/>
              <w:spacing w:after="0"/>
              <w:rPr>
                <w:sz w:val="20"/>
                <w:szCs w:val="20"/>
                <w:color w:val="auto"/>
              </w:rPr>
            </w:pPr>
            <w:r>
              <w:rPr>
                <w:rFonts w:ascii="Arial" w:cs="Arial" w:eastAsia="Arial" w:hAnsi="Arial"/>
                <w:sz w:val="18"/>
                <w:szCs w:val="18"/>
                <w:color w:val="auto"/>
              </w:rPr>
              <w:t>“If to Agent:</w:t>
            </w:r>
          </w:p>
        </w:tc>
        <w:tc>
          <w:tcPr>
            <w:tcW w:w="6120" w:type="dxa"/>
            <w:vAlign w:val="bottom"/>
          </w:tcPr>
          <w:p>
            <w:pPr>
              <w:ind w:left="1140"/>
              <w:spacing w:after="0"/>
              <w:rPr>
                <w:sz w:val="20"/>
                <w:szCs w:val="20"/>
                <w:color w:val="auto"/>
              </w:rPr>
            </w:pPr>
            <w:r>
              <w:rPr>
                <w:rFonts w:ascii="Arial" w:cs="Arial" w:eastAsia="Arial" w:hAnsi="Arial"/>
                <w:sz w:val="18"/>
                <w:szCs w:val="18"/>
                <w:color w:val="auto"/>
              </w:rPr>
              <w:t>MidCap Financial, LLC</w:t>
            </w:r>
          </w:p>
        </w:tc>
      </w:tr>
      <w:tr>
        <w:trPr>
          <w:trHeight w:val="216"/>
        </w:trPr>
        <w:tc>
          <w:tcPr>
            <w:tcW w:w="5340" w:type="dxa"/>
            <w:vAlign w:val="bottom"/>
          </w:tcPr>
          <w:p>
            <w:pPr>
              <w:spacing w:after="0"/>
              <w:rPr>
                <w:sz w:val="18"/>
                <w:szCs w:val="18"/>
                <w:color w:val="auto"/>
              </w:rPr>
            </w:pPr>
          </w:p>
        </w:tc>
        <w:tc>
          <w:tcPr>
            <w:tcW w:w="6120" w:type="dxa"/>
            <w:vAlign w:val="bottom"/>
          </w:tcPr>
          <w:p>
            <w:pPr>
              <w:ind w:left="1140"/>
              <w:spacing w:after="0"/>
              <w:rPr>
                <w:sz w:val="20"/>
                <w:szCs w:val="20"/>
                <w:color w:val="auto"/>
              </w:rPr>
            </w:pPr>
            <w:r>
              <w:rPr>
                <w:rFonts w:ascii="Arial" w:cs="Arial" w:eastAsia="Arial" w:hAnsi="Arial"/>
                <w:sz w:val="18"/>
                <w:szCs w:val="18"/>
                <w:color w:val="auto"/>
              </w:rPr>
              <w:t>7735 Old Georgetown Road, Suite 400</w:t>
            </w:r>
          </w:p>
        </w:tc>
      </w:tr>
      <w:tr>
        <w:trPr>
          <w:trHeight w:val="216"/>
        </w:trPr>
        <w:tc>
          <w:tcPr>
            <w:tcW w:w="5340" w:type="dxa"/>
            <w:vAlign w:val="bottom"/>
          </w:tcPr>
          <w:p>
            <w:pPr>
              <w:spacing w:after="0"/>
              <w:rPr>
                <w:sz w:val="18"/>
                <w:szCs w:val="18"/>
                <w:color w:val="auto"/>
              </w:rPr>
            </w:pPr>
          </w:p>
        </w:tc>
        <w:tc>
          <w:tcPr>
            <w:tcW w:w="6120" w:type="dxa"/>
            <w:vAlign w:val="bottom"/>
          </w:tcPr>
          <w:p>
            <w:pPr>
              <w:ind w:left="1140"/>
              <w:spacing w:after="0"/>
              <w:rPr>
                <w:sz w:val="20"/>
                <w:szCs w:val="20"/>
                <w:color w:val="auto"/>
              </w:rPr>
            </w:pPr>
            <w:r>
              <w:rPr>
                <w:rFonts w:ascii="Arial" w:cs="Arial" w:eastAsia="Arial" w:hAnsi="Arial"/>
                <w:sz w:val="18"/>
                <w:szCs w:val="18"/>
                <w:color w:val="auto"/>
              </w:rPr>
              <w:t>Bethesda, Maryland 20814</w:t>
            </w:r>
          </w:p>
        </w:tc>
      </w:tr>
      <w:tr>
        <w:trPr>
          <w:trHeight w:val="230"/>
        </w:trPr>
        <w:tc>
          <w:tcPr>
            <w:tcW w:w="5340" w:type="dxa"/>
            <w:vAlign w:val="bottom"/>
          </w:tcPr>
          <w:p>
            <w:pPr>
              <w:spacing w:after="0"/>
              <w:rPr>
                <w:sz w:val="20"/>
                <w:szCs w:val="20"/>
                <w:color w:val="auto"/>
              </w:rPr>
            </w:pPr>
          </w:p>
        </w:tc>
        <w:tc>
          <w:tcPr>
            <w:tcW w:w="6120" w:type="dxa"/>
            <w:vAlign w:val="bottom"/>
          </w:tcPr>
          <w:p>
            <w:pPr>
              <w:ind w:left="1140"/>
              <w:spacing w:after="0"/>
              <w:rPr>
                <w:sz w:val="20"/>
                <w:szCs w:val="20"/>
                <w:color w:val="auto"/>
              </w:rPr>
            </w:pPr>
            <w:r>
              <w:rPr>
                <w:rFonts w:ascii="Arial" w:cs="Arial" w:eastAsia="Arial" w:hAnsi="Arial"/>
                <w:sz w:val="18"/>
                <w:szCs w:val="18"/>
                <w:color w:val="auto"/>
              </w:rPr>
              <w:t>Attention: Portfolio Management- Life Sciences</w:t>
            </w:r>
          </w:p>
        </w:tc>
      </w:tr>
      <w:tr>
        <w:trPr>
          <w:trHeight w:val="418"/>
        </w:trPr>
        <w:tc>
          <w:tcPr>
            <w:tcW w:w="5340" w:type="dxa"/>
            <w:vAlign w:val="bottom"/>
          </w:tcPr>
          <w:p>
            <w:pPr>
              <w:ind w:left="3240"/>
              <w:spacing w:after="0"/>
              <w:rPr>
                <w:sz w:val="20"/>
                <w:szCs w:val="20"/>
                <w:color w:val="auto"/>
              </w:rPr>
            </w:pPr>
            <w:r>
              <w:rPr>
                <w:rFonts w:ascii="Arial" w:cs="Arial" w:eastAsia="Arial" w:hAnsi="Arial"/>
                <w:sz w:val="18"/>
                <w:szCs w:val="18"/>
                <w:color w:val="auto"/>
              </w:rPr>
              <w:t>with a copy to:</w:t>
            </w:r>
          </w:p>
        </w:tc>
        <w:tc>
          <w:tcPr>
            <w:tcW w:w="6120" w:type="dxa"/>
            <w:vAlign w:val="bottom"/>
          </w:tcPr>
          <w:p>
            <w:pPr>
              <w:ind w:left="1140"/>
              <w:spacing w:after="0"/>
              <w:rPr>
                <w:sz w:val="20"/>
                <w:szCs w:val="20"/>
                <w:color w:val="auto"/>
              </w:rPr>
            </w:pPr>
            <w:r>
              <w:rPr>
                <w:rFonts w:ascii="Arial" w:cs="Arial" w:eastAsia="Arial" w:hAnsi="Arial"/>
                <w:sz w:val="18"/>
                <w:szCs w:val="18"/>
                <w:color w:val="auto"/>
              </w:rPr>
              <w:t>Riemer &amp; Braunstein LLP</w:t>
            </w:r>
          </w:p>
        </w:tc>
      </w:tr>
      <w:tr>
        <w:trPr>
          <w:trHeight w:val="216"/>
        </w:trPr>
        <w:tc>
          <w:tcPr>
            <w:tcW w:w="5340" w:type="dxa"/>
            <w:vAlign w:val="bottom"/>
          </w:tcPr>
          <w:p>
            <w:pPr>
              <w:spacing w:after="0"/>
              <w:rPr>
                <w:sz w:val="18"/>
                <w:szCs w:val="18"/>
                <w:color w:val="auto"/>
              </w:rPr>
            </w:pPr>
          </w:p>
        </w:tc>
        <w:tc>
          <w:tcPr>
            <w:tcW w:w="6120" w:type="dxa"/>
            <w:vAlign w:val="bottom"/>
          </w:tcPr>
          <w:p>
            <w:pPr>
              <w:ind w:left="1140"/>
              <w:spacing w:after="0"/>
              <w:rPr>
                <w:sz w:val="20"/>
                <w:szCs w:val="20"/>
                <w:color w:val="auto"/>
              </w:rPr>
            </w:pPr>
            <w:r>
              <w:rPr>
                <w:rFonts w:ascii="Arial" w:cs="Arial" w:eastAsia="Arial" w:hAnsi="Arial"/>
                <w:sz w:val="18"/>
                <w:szCs w:val="18"/>
                <w:color w:val="auto"/>
              </w:rPr>
              <w:t>Three Center Plaza</w:t>
            </w:r>
          </w:p>
        </w:tc>
      </w:tr>
      <w:tr>
        <w:trPr>
          <w:trHeight w:val="216"/>
        </w:trPr>
        <w:tc>
          <w:tcPr>
            <w:tcW w:w="5340" w:type="dxa"/>
            <w:vAlign w:val="bottom"/>
          </w:tcPr>
          <w:p>
            <w:pPr>
              <w:spacing w:after="0"/>
              <w:rPr>
                <w:sz w:val="18"/>
                <w:szCs w:val="18"/>
                <w:color w:val="auto"/>
              </w:rPr>
            </w:pPr>
          </w:p>
        </w:tc>
        <w:tc>
          <w:tcPr>
            <w:tcW w:w="6120" w:type="dxa"/>
            <w:vAlign w:val="bottom"/>
          </w:tcPr>
          <w:p>
            <w:pPr>
              <w:ind w:left="1140"/>
              <w:spacing w:after="0"/>
              <w:rPr>
                <w:sz w:val="20"/>
                <w:szCs w:val="20"/>
                <w:color w:val="auto"/>
              </w:rPr>
            </w:pPr>
            <w:r>
              <w:rPr>
                <w:rFonts w:ascii="Arial" w:cs="Arial" w:eastAsia="Arial" w:hAnsi="Arial"/>
                <w:sz w:val="18"/>
                <w:szCs w:val="18"/>
                <w:color w:val="auto"/>
              </w:rPr>
              <w:t>Boston, Massachusetts 02108</w:t>
            </w:r>
          </w:p>
        </w:tc>
      </w:tr>
      <w:tr>
        <w:trPr>
          <w:trHeight w:val="230"/>
        </w:trPr>
        <w:tc>
          <w:tcPr>
            <w:tcW w:w="5340" w:type="dxa"/>
            <w:vAlign w:val="bottom"/>
          </w:tcPr>
          <w:p>
            <w:pPr>
              <w:spacing w:after="0"/>
              <w:rPr>
                <w:sz w:val="20"/>
                <w:szCs w:val="20"/>
                <w:color w:val="auto"/>
              </w:rPr>
            </w:pPr>
          </w:p>
        </w:tc>
        <w:tc>
          <w:tcPr>
            <w:tcW w:w="6120" w:type="dxa"/>
            <w:vAlign w:val="bottom"/>
          </w:tcPr>
          <w:p>
            <w:pPr>
              <w:ind w:left="1140"/>
              <w:spacing w:after="0"/>
              <w:rPr>
                <w:sz w:val="20"/>
                <w:szCs w:val="20"/>
                <w:color w:val="auto"/>
              </w:rPr>
            </w:pPr>
            <w:r>
              <w:rPr>
                <w:rFonts w:ascii="Arial" w:cs="Arial" w:eastAsia="Arial" w:hAnsi="Arial"/>
                <w:sz w:val="18"/>
                <w:szCs w:val="18"/>
                <w:color w:val="auto"/>
              </w:rPr>
              <w:t>Attention: John J. Malloy, Esquire</w:t>
            </w:r>
          </w:p>
        </w:tc>
      </w:tr>
      <w:tr>
        <w:trPr>
          <w:trHeight w:val="418"/>
        </w:trPr>
        <w:tc>
          <w:tcPr>
            <w:tcW w:w="5340" w:type="dxa"/>
            <w:vAlign w:val="bottom"/>
          </w:tcPr>
          <w:p>
            <w:pPr>
              <w:ind w:left="3240"/>
              <w:spacing w:after="0"/>
              <w:rPr>
                <w:sz w:val="20"/>
                <w:szCs w:val="20"/>
                <w:color w:val="auto"/>
              </w:rPr>
            </w:pPr>
            <w:r>
              <w:rPr>
                <w:rFonts w:ascii="Arial" w:cs="Arial" w:eastAsia="Arial" w:hAnsi="Arial"/>
                <w:sz w:val="18"/>
                <w:szCs w:val="18"/>
                <w:color w:val="auto"/>
              </w:rPr>
              <w:t>If to Lenders:</w:t>
            </w:r>
          </w:p>
        </w:tc>
        <w:tc>
          <w:tcPr>
            <w:tcW w:w="6120" w:type="dxa"/>
            <w:vAlign w:val="bottom"/>
          </w:tcPr>
          <w:p>
            <w:pPr>
              <w:ind w:left="1140"/>
              <w:spacing w:after="0"/>
              <w:rPr>
                <w:sz w:val="20"/>
                <w:szCs w:val="20"/>
                <w:color w:val="auto"/>
              </w:rPr>
            </w:pPr>
            <w:r>
              <w:rPr>
                <w:rFonts w:ascii="Arial" w:cs="Arial" w:eastAsia="Arial" w:hAnsi="Arial"/>
                <w:sz w:val="18"/>
                <w:szCs w:val="18"/>
                <w:color w:val="auto"/>
              </w:rPr>
              <w:t>MidCap Financial, LLC</w:t>
            </w:r>
          </w:p>
        </w:tc>
      </w:tr>
      <w:tr>
        <w:trPr>
          <w:trHeight w:val="216"/>
        </w:trPr>
        <w:tc>
          <w:tcPr>
            <w:tcW w:w="5340" w:type="dxa"/>
            <w:vAlign w:val="bottom"/>
          </w:tcPr>
          <w:p>
            <w:pPr>
              <w:spacing w:after="0"/>
              <w:rPr>
                <w:sz w:val="18"/>
                <w:szCs w:val="18"/>
                <w:color w:val="auto"/>
              </w:rPr>
            </w:pPr>
          </w:p>
        </w:tc>
        <w:tc>
          <w:tcPr>
            <w:tcW w:w="6120" w:type="dxa"/>
            <w:vAlign w:val="bottom"/>
          </w:tcPr>
          <w:p>
            <w:pPr>
              <w:ind w:left="1140"/>
              <w:spacing w:after="0"/>
              <w:rPr>
                <w:sz w:val="20"/>
                <w:szCs w:val="20"/>
                <w:color w:val="auto"/>
              </w:rPr>
            </w:pPr>
            <w:r>
              <w:rPr>
                <w:rFonts w:ascii="Arial" w:cs="Arial" w:eastAsia="Arial" w:hAnsi="Arial"/>
                <w:sz w:val="18"/>
                <w:szCs w:val="18"/>
                <w:color w:val="auto"/>
              </w:rPr>
              <w:t>7735 Old Georgetown Road, Suite 400</w:t>
            </w:r>
          </w:p>
        </w:tc>
      </w:tr>
      <w:tr>
        <w:trPr>
          <w:trHeight w:val="216"/>
        </w:trPr>
        <w:tc>
          <w:tcPr>
            <w:tcW w:w="5340" w:type="dxa"/>
            <w:vAlign w:val="bottom"/>
          </w:tcPr>
          <w:p>
            <w:pPr>
              <w:spacing w:after="0"/>
              <w:rPr>
                <w:sz w:val="18"/>
                <w:szCs w:val="18"/>
                <w:color w:val="auto"/>
              </w:rPr>
            </w:pPr>
          </w:p>
        </w:tc>
        <w:tc>
          <w:tcPr>
            <w:tcW w:w="6120" w:type="dxa"/>
            <w:vAlign w:val="bottom"/>
          </w:tcPr>
          <w:p>
            <w:pPr>
              <w:ind w:left="1140"/>
              <w:spacing w:after="0"/>
              <w:rPr>
                <w:sz w:val="20"/>
                <w:szCs w:val="20"/>
                <w:color w:val="auto"/>
              </w:rPr>
            </w:pPr>
            <w:r>
              <w:rPr>
                <w:rFonts w:ascii="Arial" w:cs="Arial" w:eastAsia="Arial" w:hAnsi="Arial"/>
                <w:sz w:val="18"/>
                <w:szCs w:val="18"/>
                <w:color w:val="auto"/>
              </w:rPr>
              <w:t>Bethesda, Maryland 20814</w:t>
            </w:r>
          </w:p>
        </w:tc>
      </w:tr>
      <w:tr>
        <w:trPr>
          <w:trHeight w:val="230"/>
        </w:trPr>
        <w:tc>
          <w:tcPr>
            <w:tcW w:w="5340" w:type="dxa"/>
            <w:vAlign w:val="bottom"/>
          </w:tcPr>
          <w:p>
            <w:pPr>
              <w:spacing w:after="0"/>
              <w:rPr>
                <w:sz w:val="20"/>
                <w:szCs w:val="20"/>
                <w:color w:val="auto"/>
              </w:rPr>
            </w:pPr>
          </w:p>
        </w:tc>
        <w:tc>
          <w:tcPr>
            <w:tcW w:w="6120" w:type="dxa"/>
            <w:vAlign w:val="bottom"/>
          </w:tcPr>
          <w:p>
            <w:pPr>
              <w:ind w:left="1140"/>
              <w:spacing w:after="0"/>
              <w:rPr>
                <w:sz w:val="20"/>
                <w:szCs w:val="20"/>
                <w:color w:val="auto"/>
              </w:rPr>
            </w:pPr>
            <w:r>
              <w:rPr>
                <w:rFonts w:ascii="Arial" w:cs="Arial" w:eastAsia="Arial" w:hAnsi="Arial"/>
                <w:sz w:val="18"/>
                <w:szCs w:val="18"/>
                <w:color w:val="auto"/>
              </w:rPr>
              <w:t>Attention: Portfolio Management- Life Sciences</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-3817620</wp:posOffset>
            </wp:positionV>
            <wp:extent cx="12700" cy="2984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-3817620</wp:posOffset>
            </wp:positionV>
            <wp:extent cx="12700" cy="2984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ectPr>
          <w:pgSz w:w="11900" w:h="16838" w:orient="portrait"/>
          <w:cols w:equalWidth="0" w:num="1">
            <w:col w:w="11460"/>
          </w:cols>
          <w:pgMar w:left="240" w:top="125" w:right="199" w:bottom="0" w:gutter="0" w:footer="0" w:header="0"/>
        </w:sectPr>
      </w:pPr>
    </w:p>
    <w:bookmarkStart w:id="119" w:name="page120"/>
    <w:bookmarkEnd w:id="119"/>
    <w:p>
      <w:pPr>
        <w:spacing w:after="0" w:line="91" w:lineRule="exact"/>
        <w:rPr>
          <w:sz w:val="20"/>
          <w:szCs w:val="20"/>
          <w:color w:val="auto"/>
        </w:rPr>
      </w:pPr>
    </w:p>
    <w:p>
      <w:pPr>
        <w:jc w:val="center"/>
        <w:ind w:left="600"/>
        <w:spacing w:after="0"/>
        <w:rPr>
          <w:sz w:val="20"/>
          <w:szCs w:val="20"/>
          <w:color w:val="auto"/>
        </w:rPr>
      </w:pPr>
      <w:r>
        <w:rPr>
          <w:rFonts w:ascii="Arial" w:cs="Arial" w:eastAsia="Arial" w:hAnsi="Arial"/>
          <w:sz w:val="16"/>
          <w:szCs w:val="16"/>
          <w:color w:val="auto"/>
        </w:rPr>
        <w:t>with a copy to:</w:t>
      </w:r>
    </w:p>
    <w:p>
      <w:pPr>
        <w:spacing w:after="0" w:line="20" w:lineRule="exact"/>
        <w:rPr>
          <w:sz w:val="20"/>
          <w:szCs w:val="20"/>
          <w:color w:val="auto"/>
        </w:rPr>
      </w:pPr>
      <w:r>
        <w:rPr>
          <w:sz w:val="20"/>
          <w:szCs w:val="20"/>
          <w:color w:val="auto"/>
        </w:rPr>
        <w:br w:type="column"/>
      </w:r>
    </w:p>
    <w:p>
      <w:pPr>
        <w:spacing w:after="0" w:line="71" w:lineRule="exact"/>
        <w:rPr>
          <w:sz w:val="20"/>
          <w:szCs w:val="20"/>
          <w:color w:val="auto"/>
        </w:rPr>
      </w:pPr>
    </w:p>
    <w:p>
      <w:pPr>
        <w:spacing w:after="0"/>
        <w:rPr>
          <w:sz w:val="20"/>
          <w:szCs w:val="20"/>
          <w:color w:val="auto"/>
        </w:rPr>
      </w:pPr>
      <w:r>
        <w:rPr>
          <w:rFonts w:ascii="Arial" w:cs="Arial" w:eastAsia="Arial" w:hAnsi="Arial"/>
          <w:sz w:val="18"/>
          <w:szCs w:val="18"/>
          <w:color w:val="auto"/>
        </w:rPr>
        <w:t>General Electric Capital Corporation</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c/o GE Healthcare Financial Services, Inc.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Two Bethesda Metro Center, Suite 600</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Bethesda, Maryland 20814</w:t>
      </w:r>
    </w:p>
    <w:p>
      <w:pPr>
        <w:spacing w:after="0" w:line="9" w:lineRule="exact"/>
        <w:rPr>
          <w:sz w:val="20"/>
          <w:szCs w:val="20"/>
          <w:color w:val="auto"/>
        </w:rPr>
      </w:pPr>
    </w:p>
    <w:p>
      <w:pPr>
        <w:spacing w:after="0"/>
        <w:rPr>
          <w:sz w:val="20"/>
          <w:szCs w:val="20"/>
          <w:color w:val="auto"/>
        </w:rPr>
      </w:pPr>
      <w:r>
        <w:rPr>
          <w:rFonts w:ascii="Arial" w:cs="Arial" w:eastAsia="Arial" w:hAnsi="Arial"/>
          <w:sz w:val="16"/>
          <w:szCs w:val="16"/>
          <w:color w:val="auto"/>
        </w:rPr>
        <w:t>Attention: Senior Vice President of Risk — Life Science Finance</w:t>
      </w:r>
    </w:p>
    <w:p>
      <w:pPr>
        <w:spacing w:after="0" w:line="200" w:lineRule="exact"/>
        <w:rPr>
          <w:sz w:val="20"/>
          <w:szCs w:val="20"/>
          <w:color w:val="auto"/>
        </w:rPr>
      </w:pPr>
    </w:p>
    <w:p>
      <w:pPr>
        <w:sectPr>
          <w:pgSz w:w="11900" w:h="16930" w:orient="portrait"/>
          <w:cols w:equalWidth="0" w:num="2">
            <w:col w:w="4560" w:space="720"/>
            <w:col w:w="4920"/>
          </w:cols>
          <w:pgMar w:left="1440" w:top="125" w:right="259" w:bottom="0" w:gutter="0" w:footer="0" w:header="0"/>
        </w:sectPr>
      </w:pPr>
    </w:p>
    <w:p>
      <w:pPr>
        <w:spacing w:after="0" w:line="34" w:lineRule="exact"/>
        <w:rPr>
          <w:sz w:val="20"/>
          <w:szCs w:val="20"/>
          <w:color w:val="auto"/>
        </w:rPr>
      </w:pPr>
    </w:p>
    <w:p>
      <w:pPr>
        <w:jc w:val="center"/>
        <w:ind w:left="600"/>
        <w:spacing w:after="0"/>
        <w:rPr>
          <w:sz w:val="20"/>
          <w:szCs w:val="20"/>
          <w:color w:val="auto"/>
        </w:rPr>
      </w:pPr>
      <w:r>
        <w:rPr>
          <w:rFonts w:ascii="Arial" w:cs="Arial" w:eastAsia="Arial" w:hAnsi="Arial"/>
          <w:sz w:val="16"/>
          <w:szCs w:val="16"/>
          <w:color w:val="auto"/>
        </w:rPr>
        <w:t>with a copy to:</w:t>
      </w:r>
    </w:p>
    <w:p>
      <w:pPr>
        <w:spacing w:after="0" w:line="20" w:lineRule="exact"/>
        <w:rPr>
          <w:sz w:val="20"/>
          <w:szCs w:val="20"/>
          <w:color w:val="auto"/>
        </w:rPr>
      </w:pPr>
      <w:r>
        <w:rPr>
          <w:sz w:val="20"/>
          <w:szCs w:val="20"/>
          <w:color w:val="auto"/>
        </w:rPr>
        <w:br w:type="column"/>
      </w:r>
    </w:p>
    <w:p>
      <w:pPr>
        <w:spacing w:after="0" w:line="14" w:lineRule="exact"/>
        <w:rPr>
          <w:sz w:val="20"/>
          <w:szCs w:val="20"/>
          <w:color w:val="auto"/>
        </w:rPr>
      </w:pPr>
    </w:p>
    <w:p>
      <w:pPr>
        <w:spacing w:after="0"/>
        <w:rPr>
          <w:sz w:val="20"/>
          <w:szCs w:val="20"/>
          <w:color w:val="auto"/>
        </w:rPr>
      </w:pPr>
      <w:r>
        <w:rPr>
          <w:rFonts w:ascii="Arial" w:cs="Arial" w:eastAsia="Arial" w:hAnsi="Arial"/>
          <w:sz w:val="18"/>
          <w:szCs w:val="18"/>
          <w:color w:val="auto"/>
        </w:rPr>
        <w:t>General Electric Capital Corporation</w:t>
      </w:r>
    </w:p>
    <w:p>
      <w:pPr>
        <w:spacing w:after="0" w:line="23" w:lineRule="exact"/>
        <w:rPr>
          <w:sz w:val="20"/>
          <w:szCs w:val="20"/>
          <w:color w:val="auto"/>
        </w:rPr>
      </w:pPr>
    </w:p>
    <w:p>
      <w:pPr>
        <w:spacing w:after="0"/>
        <w:rPr>
          <w:sz w:val="20"/>
          <w:szCs w:val="20"/>
          <w:color w:val="auto"/>
        </w:rPr>
      </w:pPr>
      <w:r>
        <w:rPr>
          <w:rFonts w:ascii="Arial" w:cs="Arial" w:eastAsia="Arial" w:hAnsi="Arial"/>
          <w:sz w:val="16"/>
          <w:szCs w:val="16"/>
          <w:color w:val="auto"/>
        </w:rPr>
        <w:t>c/o GE Healthcare Financial Services, Inc.</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Two Bethesda Metro Center, Suite 600</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color w:val="auto"/>
        </w:rPr>
        <w:t>Bethesda, Maryland 20814</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Attention: General Counsel</w:t>
      </w:r>
    </w:p>
    <w:p>
      <w:pPr>
        <w:spacing w:after="0" w:line="200" w:lineRule="exact"/>
        <w:rPr>
          <w:sz w:val="20"/>
          <w:szCs w:val="20"/>
          <w:color w:val="auto"/>
        </w:rPr>
      </w:pPr>
    </w:p>
    <w:p>
      <w:pPr>
        <w:sectPr>
          <w:pgSz w:w="11900" w:h="16930" w:orient="portrait"/>
          <w:cols w:equalWidth="0" w:num="2">
            <w:col w:w="4560" w:space="720"/>
            <w:col w:w="4920"/>
          </w:cols>
          <w:pgMar w:left="1440" w:top="125" w:right="259" w:bottom="0" w:gutter="0" w:footer="0" w:header="0"/>
          <w:type w:val="continuous"/>
        </w:sectPr>
      </w:pPr>
    </w:p>
    <w:p>
      <w:pPr>
        <w:spacing w:after="0" w:line="11" w:lineRule="exact"/>
        <w:rPr>
          <w:sz w:val="20"/>
          <w:szCs w:val="20"/>
          <w:color w:val="auto"/>
        </w:rPr>
      </w:pPr>
    </w:p>
    <w:p>
      <w:pPr>
        <w:jc w:val="center"/>
        <w:ind w:left="600"/>
        <w:spacing w:after="0"/>
        <w:rPr>
          <w:sz w:val="20"/>
          <w:szCs w:val="20"/>
          <w:color w:val="auto"/>
        </w:rPr>
      </w:pPr>
      <w:r>
        <w:rPr>
          <w:rFonts w:ascii="Arial" w:cs="Arial" w:eastAsia="Arial" w:hAnsi="Arial"/>
          <w:sz w:val="16"/>
          <w:szCs w:val="16"/>
          <w:color w:val="auto"/>
        </w:rPr>
        <w:t>with a copy to:</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8"/>
          <w:szCs w:val="18"/>
          <w:color w:val="auto"/>
        </w:rPr>
        <w:t>Riemer &amp; Braunstein LLP</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Three Center Plaza</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Boston, Massachusetts 02108</w:t>
      </w:r>
    </w:p>
    <w:p>
      <w:pPr>
        <w:spacing w:after="0" w:line="9" w:lineRule="exact"/>
        <w:rPr>
          <w:sz w:val="20"/>
          <w:szCs w:val="20"/>
          <w:color w:val="auto"/>
        </w:rPr>
      </w:pPr>
    </w:p>
    <w:p>
      <w:pPr>
        <w:spacing w:after="0"/>
        <w:rPr>
          <w:sz w:val="20"/>
          <w:szCs w:val="20"/>
          <w:color w:val="auto"/>
        </w:rPr>
      </w:pPr>
      <w:r>
        <w:rPr>
          <w:rFonts w:ascii="Arial" w:cs="Arial" w:eastAsia="Arial" w:hAnsi="Arial"/>
          <w:sz w:val="16"/>
          <w:szCs w:val="16"/>
          <w:color w:val="auto"/>
        </w:rPr>
        <w:t>Attention: John J. Malloy, Esquire</w:t>
      </w:r>
    </w:p>
    <w:p>
      <w:pPr>
        <w:spacing w:after="0" w:line="200" w:lineRule="exact"/>
        <w:rPr>
          <w:sz w:val="20"/>
          <w:szCs w:val="20"/>
          <w:color w:val="auto"/>
        </w:rPr>
      </w:pPr>
    </w:p>
    <w:p>
      <w:pPr>
        <w:sectPr>
          <w:pgSz w:w="11900" w:h="16930" w:orient="portrait"/>
          <w:cols w:equalWidth="0" w:num="2">
            <w:col w:w="4560" w:space="720"/>
            <w:col w:w="4920"/>
          </w:cols>
          <w:pgMar w:left="1440" w:top="125" w:right="259" w:bottom="0" w:gutter="0" w:footer="0" w:header="0"/>
          <w:type w:val="continuous"/>
        </w:sectPr>
      </w:pPr>
    </w:p>
    <w:p>
      <w:pPr>
        <w:spacing w:after="0" w:line="34" w:lineRule="exact"/>
        <w:rPr>
          <w:sz w:val="20"/>
          <w:szCs w:val="20"/>
          <w:color w:val="auto"/>
        </w:rPr>
      </w:pPr>
    </w:p>
    <w:p>
      <w:pPr>
        <w:ind w:left="760" w:right="860" w:hanging="655"/>
        <w:spacing w:after="0" w:line="277" w:lineRule="auto"/>
        <w:tabs>
          <w:tab w:leader="none" w:pos="782" w:val="left"/>
        </w:tabs>
        <w:numPr>
          <w:ilvl w:val="0"/>
          <w:numId w:val="52"/>
        </w:numPr>
        <w:rPr>
          <w:rFonts w:ascii="Arial" w:cs="Arial" w:eastAsia="Arial" w:hAnsi="Arial"/>
          <w:sz w:val="18"/>
          <w:szCs w:val="18"/>
          <w:color w:val="auto"/>
        </w:rPr>
      </w:pPr>
      <w:r>
        <w:rPr>
          <w:rFonts w:ascii="Arial" w:cs="Arial" w:eastAsia="Arial" w:hAnsi="Arial"/>
          <w:sz w:val="18"/>
          <w:szCs w:val="18"/>
          <w:color w:val="auto"/>
        </w:rPr>
        <w:t>The Loan Agreement shall be amended by deleting following sentence that appears as the third and fourth sentences of Section 12.1 thereof:</w:t>
      </w:r>
    </w:p>
    <w:p>
      <w:pPr>
        <w:spacing w:after="0" w:line="170" w:lineRule="exact"/>
        <w:rPr>
          <w:sz w:val="20"/>
          <w:szCs w:val="20"/>
          <w:color w:val="auto"/>
        </w:rPr>
      </w:pPr>
    </w:p>
    <w:p>
      <w:pPr>
        <w:jc w:val="both"/>
        <w:ind w:left="2040" w:right="20"/>
        <w:spacing w:after="0" w:line="264" w:lineRule="auto"/>
        <w:rPr>
          <w:sz w:val="20"/>
          <w:szCs w:val="20"/>
          <w:color w:val="auto"/>
        </w:rPr>
      </w:pPr>
      <w:r>
        <w:rPr>
          <w:rFonts w:ascii="Arial" w:cs="Arial" w:eastAsia="Arial" w:hAnsi="Arial"/>
          <w:sz w:val="18"/>
          <w:szCs w:val="18"/>
          <w:color w:val="auto"/>
        </w:rPr>
        <w:t>“Any Lender may at any time assign to one or more Eligible Assignees all or any portion of such Lender’s Loan, together with all related obligations of such Lender hereunder. Borrower and Agent shall be entitled to continue to deal solely and directly with such Lender in</w:t>
      </w:r>
    </w:p>
    <w:p>
      <w:pPr>
        <w:spacing w:after="0" w:line="181" w:lineRule="exact"/>
        <w:rPr>
          <w:sz w:val="20"/>
          <w:szCs w:val="20"/>
          <w:color w:val="auto"/>
        </w:rPr>
      </w:pPr>
    </w:p>
    <w:p>
      <w:pPr>
        <w:ind w:left="4460"/>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-758190</wp:posOffset>
            </wp:positionH>
            <wp:positionV relativeFrom="paragraph">
              <wp:posOffset>81280</wp:posOffset>
            </wp:positionV>
            <wp:extent cx="7267575" cy="2984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2040" w:right="100"/>
        <w:spacing w:after="0" w:line="259" w:lineRule="auto"/>
        <w:rPr>
          <w:sz w:val="20"/>
          <w:szCs w:val="20"/>
          <w:color w:val="auto"/>
        </w:rPr>
      </w:pPr>
      <w:r>
        <w:rPr>
          <w:rFonts w:ascii="Arial" w:cs="Arial" w:eastAsia="Arial" w:hAnsi="Arial"/>
          <w:sz w:val="18"/>
          <w:szCs w:val="18"/>
          <w:color w:val="auto"/>
        </w:rPr>
        <w:t>connection with the interests so assigned until Agent shall have received and accepted an effective assignment agreement in form and substance acceptable to Agent executed, delivered and fully completed by the applicable parties thereto, and shall have received such other information regarding such Eligible Assignee or Approved Lender as Agent reasonably shall require.”</w:t>
      </w:r>
    </w:p>
    <w:p>
      <w:pPr>
        <w:spacing w:after="0" w:line="187" w:lineRule="exact"/>
        <w:rPr>
          <w:sz w:val="20"/>
          <w:szCs w:val="20"/>
          <w:color w:val="auto"/>
        </w:rPr>
      </w:pPr>
    </w:p>
    <w:p>
      <w:pPr>
        <w:ind w:left="760"/>
        <w:spacing w:after="0"/>
        <w:rPr>
          <w:sz w:val="20"/>
          <w:szCs w:val="20"/>
          <w:color w:val="auto"/>
        </w:rPr>
      </w:pPr>
      <w:r>
        <w:rPr>
          <w:rFonts w:ascii="Arial" w:cs="Arial" w:eastAsia="Arial" w:hAnsi="Arial"/>
          <w:sz w:val="18"/>
          <w:szCs w:val="18"/>
          <w:color w:val="auto"/>
        </w:rPr>
        <w:t>and inserting in lieu thereof the following:</w:t>
      </w:r>
    </w:p>
    <w:p>
      <w:pPr>
        <w:spacing w:after="0" w:line="225" w:lineRule="exact"/>
        <w:rPr>
          <w:sz w:val="20"/>
          <w:szCs w:val="20"/>
          <w:color w:val="auto"/>
        </w:rPr>
      </w:pPr>
    </w:p>
    <w:p>
      <w:pPr>
        <w:ind w:left="2040"/>
        <w:spacing w:after="0" w:line="270" w:lineRule="auto"/>
        <w:rPr>
          <w:sz w:val="20"/>
          <w:szCs w:val="20"/>
          <w:color w:val="auto"/>
        </w:rPr>
      </w:pPr>
      <w:r>
        <w:rPr>
          <w:rFonts w:ascii="Arial" w:cs="Arial" w:eastAsia="Arial" w:hAnsi="Arial"/>
          <w:sz w:val="17"/>
          <w:szCs w:val="17"/>
          <w:color w:val="auto"/>
        </w:rPr>
        <w:t>“Any Lender may at any time assign to (i) one or more Eligible Assignees or (ii) any other Person with the consent of all Lenders (which consent shall not be unreasonably withheld conditioned or delayed), all or any portion of such Lender’s Loan, together with all related obligations of such Lender. Borrower and Agent shall be entitled to continue to deal solely and directly with such Lender in connection with the interests so assigned until Agent shall have received and accepted an effective assignment agreement in form and substance acceptable to Agent executed, delivered and fully completed by the applicable parties thereto, and shall have received such other information regarding such Eligible Assignee or Approved Lender as Agent reasonably shall require. Upon receipt of such assignment agreement and other information, Agent shall give notice of the assignment to Borrower and the Lenders.”</w:t>
      </w:r>
    </w:p>
    <w:p>
      <w:pPr>
        <w:spacing w:after="0" w:line="182" w:lineRule="exact"/>
        <w:rPr>
          <w:sz w:val="20"/>
          <w:szCs w:val="20"/>
          <w:color w:val="auto"/>
        </w:rPr>
      </w:pPr>
    </w:p>
    <w:p>
      <w:pPr>
        <w:ind w:left="780" w:hanging="675"/>
        <w:spacing w:after="0"/>
        <w:tabs>
          <w:tab w:leader="none" w:pos="780" w:val="left"/>
        </w:tabs>
        <w:numPr>
          <w:ilvl w:val="0"/>
          <w:numId w:val="53"/>
        </w:numPr>
        <w:rPr>
          <w:rFonts w:ascii="Arial" w:cs="Arial" w:eastAsia="Arial" w:hAnsi="Arial"/>
          <w:sz w:val="17"/>
          <w:szCs w:val="17"/>
          <w:color w:val="auto"/>
        </w:rPr>
      </w:pPr>
      <w:r>
        <w:rPr>
          <w:rFonts w:ascii="Arial" w:cs="Arial" w:eastAsia="Arial" w:hAnsi="Arial"/>
          <w:sz w:val="17"/>
          <w:szCs w:val="17"/>
          <w:color w:val="auto"/>
        </w:rPr>
        <w:t>The Loan Agreement shall be amended by deleting following sentence that appears as the last sentence of Section 12.11(a)</w:t>
      </w:r>
    </w:p>
    <w:p>
      <w:pPr>
        <w:spacing w:after="0" w:line="34" w:lineRule="exact"/>
        <w:rPr>
          <w:rFonts w:ascii="Arial" w:cs="Arial" w:eastAsia="Arial" w:hAnsi="Arial"/>
          <w:sz w:val="17"/>
          <w:szCs w:val="17"/>
          <w:color w:val="auto"/>
        </w:rPr>
      </w:pPr>
    </w:p>
    <w:p>
      <w:pPr>
        <w:ind w:left="1060" w:hanging="307"/>
        <w:spacing w:after="0"/>
        <w:tabs>
          <w:tab w:leader="none" w:pos="1060" w:val="left"/>
        </w:tabs>
        <w:numPr>
          <w:ilvl w:val="1"/>
          <w:numId w:val="53"/>
        </w:numPr>
        <w:rPr>
          <w:rFonts w:ascii="Arial" w:cs="Arial" w:eastAsia="Arial" w:hAnsi="Arial"/>
          <w:sz w:val="18"/>
          <w:szCs w:val="18"/>
          <w:color w:val="auto"/>
        </w:rPr>
      </w:pPr>
      <w:r>
        <w:rPr>
          <w:rFonts w:ascii="Arial" w:cs="Arial" w:eastAsia="Arial" w:hAnsi="Arial"/>
          <w:sz w:val="18"/>
          <w:szCs w:val="18"/>
          <w:color w:val="auto"/>
        </w:rPr>
        <w:t>thereof:</w:t>
      </w:r>
    </w:p>
    <w:p>
      <w:pPr>
        <w:spacing w:after="0" w:line="211" w:lineRule="exact"/>
        <w:rPr>
          <w:sz w:val="20"/>
          <w:szCs w:val="20"/>
          <w:color w:val="auto"/>
        </w:rPr>
      </w:pPr>
    </w:p>
    <w:p>
      <w:pPr>
        <w:ind w:left="2040" w:right="100"/>
        <w:spacing w:after="0" w:line="264" w:lineRule="auto"/>
        <w:rPr>
          <w:sz w:val="20"/>
          <w:szCs w:val="20"/>
          <w:color w:val="auto"/>
        </w:rPr>
      </w:pPr>
      <w:r>
        <w:rPr>
          <w:rFonts w:ascii="Arial" w:cs="Arial" w:eastAsia="Arial" w:hAnsi="Arial"/>
          <w:sz w:val="18"/>
          <w:szCs w:val="18"/>
          <w:color w:val="auto"/>
        </w:rPr>
        <w:t>“It is hereby understood and agreed that all Lenders shall be deemed directly affected by an amendment, waiver or other modification of the type described in the preceding clauses (C), (D), (E), (F), (G) and (H) of the preceding sentence.”</w:t>
      </w:r>
    </w:p>
    <w:p>
      <w:pPr>
        <w:spacing w:after="0" w:line="181" w:lineRule="exact"/>
        <w:rPr>
          <w:sz w:val="20"/>
          <w:szCs w:val="20"/>
          <w:color w:val="auto"/>
        </w:rPr>
      </w:pPr>
    </w:p>
    <w:p>
      <w:pPr>
        <w:ind w:left="760"/>
        <w:spacing w:after="0"/>
        <w:rPr>
          <w:sz w:val="20"/>
          <w:szCs w:val="20"/>
          <w:color w:val="auto"/>
        </w:rPr>
      </w:pPr>
      <w:r>
        <w:rPr>
          <w:rFonts w:ascii="Arial" w:cs="Arial" w:eastAsia="Arial" w:hAnsi="Arial"/>
          <w:sz w:val="18"/>
          <w:szCs w:val="18"/>
          <w:color w:val="auto"/>
        </w:rPr>
        <w:t>and inserting in lieu thereof the following:</w:t>
      </w:r>
    </w:p>
    <w:p>
      <w:pPr>
        <w:spacing w:after="0" w:line="225" w:lineRule="exact"/>
        <w:rPr>
          <w:sz w:val="20"/>
          <w:szCs w:val="20"/>
          <w:color w:val="auto"/>
        </w:rPr>
      </w:pPr>
    </w:p>
    <w:p>
      <w:pPr>
        <w:ind w:left="2040" w:right="100"/>
        <w:spacing w:after="0" w:line="264" w:lineRule="auto"/>
        <w:rPr>
          <w:sz w:val="20"/>
          <w:szCs w:val="20"/>
          <w:color w:val="auto"/>
        </w:rPr>
      </w:pPr>
      <w:r>
        <w:rPr>
          <w:rFonts w:ascii="Arial" w:cs="Arial" w:eastAsia="Arial" w:hAnsi="Arial"/>
          <w:sz w:val="18"/>
          <w:szCs w:val="18"/>
          <w:color w:val="auto"/>
        </w:rPr>
        <w:t>“It is hereby understood and agreed that all Lenders shall be deemed directly affected by an amendment, waiver or other modification of the type described in the preceding clauses (C), (D), (E), (F), (G), (H) and (I) of the preceding sentence.”</w:t>
      </w:r>
    </w:p>
    <w:p>
      <w:pPr>
        <w:spacing w:after="0" w:line="181" w:lineRule="exact"/>
        <w:rPr>
          <w:sz w:val="20"/>
          <w:szCs w:val="20"/>
          <w:color w:val="auto"/>
        </w:rPr>
      </w:pPr>
    </w:p>
    <w:p>
      <w:pPr>
        <w:ind w:left="760" w:right="120" w:hanging="655"/>
        <w:spacing w:after="0" w:line="264" w:lineRule="auto"/>
        <w:tabs>
          <w:tab w:leader="none" w:pos="782" w:val="left"/>
        </w:tabs>
        <w:numPr>
          <w:ilvl w:val="0"/>
          <w:numId w:val="54"/>
        </w:numPr>
        <w:rPr>
          <w:rFonts w:ascii="Arial" w:cs="Arial" w:eastAsia="Arial" w:hAnsi="Arial"/>
          <w:sz w:val="18"/>
          <w:szCs w:val="18"/>
          <w:color w:val="auto"/>
        </w:rPr>
      </w:pPr>
      <w:r>
        <w:rPr>
          <w:rFonts w:ascii="Arial" w:cs="Arial" w:eastAsia="Arial" w:hAnsi="Arial"/>
          <w:sz w:val="18"/>
          <w:szCs w:val="18"/>
          <w:color w:val="auto"/>
        </w:rPr>
        <w:t>The Loan Agreement shall be amended by(i) adding the clause “that accepts such assignment” immediately following the word “Lender” in the second line of Section 13.9 and (ii) deleting the clause “50% or more of its Loan” and replacing it with the clause “, in a single transaction, 100% of its Loan”.</w:t>
      </w:r>
    </w:p>
    <w:p>
      <w:pPr>
        <w:spacing w:after="0" w:line="181" w:lineRule="exact"/>
        <w:rPr>
          <w:rFonts w:ascii="Arial" w:cs="Arial" w:eastAsia="Arial" w:hAnsi="Arial"/>
          <w:sz w:val="18"/>
          <w:szCs w:val="18"/>
          <w:color w:val="auto"/>
        </w:rPr>
      </w:pPr>
    </w:p>
    <w:p>
      <w:pPr>
        <w:ind w:left="760" w:right="400" w:hanging="655"/>
        <w:spacing w:after="0" w:line="277" w:lineRule="auto"/>
        <w:tabs>
          <w:tab w:leader="none" w:pos="782" w:val="left"/>
        </w:tabs>
        <w:numPr>
          <w:ilvl w:val="0"/>
          <w:numId w:val="54"/>
        </w:numPr>
        <w:rPr>
          <w:rFonts w:ascii="Arial" w:cs="Arial" w:eastAsia="Arial" w:hAnsi="Arial"/>
          <w:sz w:val="18"/>
          <w:szCs w:val="18"/>
          <w:color w:val="auto"/>
        </w:rPr>
      </w:pPr>
      <w:r>
        <w:rPr>
          <w:rFonts w:ascii="Arial" w:cs="Arial" w:eastAsia="Arial" w:hAnsi="Arial"/>
          <w:sz w:val="18"/>
          <w:szCs w:val="18"/>
          <w:color w:val="auto"/>
        </w:rPr>
        <w:t>The Loan Agreement shall be amended by adding the following as a new Section 13.13 immediately following Section 13.12 thereof:</w:t>
      </w:r>
    </w:p>
    <w:p>
      <w:pPr>
        <w:spacing w:after="0" w:line="170" w:lineRule="exact"/>
        <w:rPr>
          <w:sz w:val="20"/>
          <w:szCs w:val="20"/>
          <w:color w:val="auto"/>
        </w:rPr>
      </w:pPr>
    </w:p>
    <w:p>
      <w:pPr>
        <w:ind w:left="2040" w:right="140"/>
        <w:spacing w:after="0" w:line="264" w:lineRule="auto"/>
        <w:rPr>
          <w:sz w:val="20"/>
          <w:szCs w:val="20"/>
          <w:color w:val="auto"/>
        </w:rPr>
      </w:pPr>
      <w:r>
        <w:rPr>
          <w:rFonts w:ascii="Arial" w:cs="Arial" w:eastAsia="Arial" w:hAnsi="Arial"/>
          <w:sz w:val="18"/>
          <w:szCs w:val="18"/>
          <w:color w:val="auto"/>
        </w:rPr>
        <w:t xml:space="preserve">“Section 13.13. </w:t>
      </w:r>
      <w:r>
        <w:rPr>
          <w:rFonts w:ascii="Arial" w:cs="Arial" w:eastAsia="Arial" w:hAnsi="Arial"/>
          <w:sz w:val="18"/>
          <w:szCs w:val="18"/>
          <w:u w:val="single" w:color="auto"/>
          <w:color w:val="auto"/>
        </w:rPr>
        <w:t>No Third Party Beneficiary</w:t>
      </w:r>
      <w:r>
        <w:rPr>
          <w:rFonts w:ascii="Arial" w:cs="Arial" w:eastAsia="Arial" w:hAnsi="Arial"/>
          <w:sz w:val="18"/>
          <w:szCs w:val="18"/>
          <w:color w:val="auto"/>
        </w:rPr>
        <w:t>. The provisions of this Section 13 are solely for the benefit of Agent and Lenders and none of Borrowers, their Affiliates, nor any other person shall have any rights as a third party beneficiary of any of the provisions hereof.”</w:t>
      </w:r>
    </w:p>
    <w:p>
      <w:pPr>
        <w:spacing w:after="0" w:line="181" w:lineRule="exact"/>
        <w:rPr>
          <w:sz w:val="20"/>
          <w:szCs w:val="20"/>
          <w:color w:val="auto"/>
        </w:rPr>
      </w:pPr>
    </w:p>
    <w:p>
      <w:pPr>
        <w:ind w:left="4420" w:right="860" w:hanging="4315"/>
        <w:spacing w:after="0" w:line="528" w:lineRule="auto"/>
        <w:tabs>
          <w:tab w:leader="none" w:pos="771" w:val="left"/>
        </w:tabs>
        <w:numPr>
          <w:ilvl w:val="0"/>
          <w:numId w:val="55"/>
        </w:numPr>
        <w:rPr>
          <w:rFonts w:ascii="Arial" w:cs="Arial" w:eastAsia="Arial" w:hAnsi="Arial"/>
          <w:sz w:val="18"/>
          <w:szCs w:val="18"/>
          <w:color w:val="auto"/>
        </w:rPr>
      </w:pPr>
      <w:r>
        <w:rPr>
          <w:rFonts w:ascii="Arial" w:cs="Arial" w:eastAsia="Arial" w:hAnsi="Arial"/>
          <w:sz w:val="18"/>
          <w:szCs w:val="18"/>
          <w:color w:val="auto"/>
        </w:rPr>
        <w:t>The Loan Agreement shall be amended by deleting each of the following definitions appearing in Section 14.1 thereof: 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-758190</wp:posOffset>
            </wp:positionH>
            <wp:positionV relativeFrom="paragraph">
              <wp:posOffset>-90170</wp:posOffset>
            </wp:positionV>
            <wp:extent cx="7267575" cy="2984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186" w:lineRule="exact"/>
        <w:rPr>
          <w:sz w:val="20"/>
          <w:szCs w:val="20"/>
          <w:color w:val="auto"/>
        </w:rPr>
      </w:pPr>
    </w:p>
    <w:p>
      <w:pPr>
        <w:ind w:left="2040" w:right="500"/>
        <w:spacing w:after="0" w:line="313"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Drug Application</w:t>
      </w:r>
      <w:r>
        <w:rPr>
          <w:rFonts w:ascii="Arial" w:cs="Arial" w:eastAsia="Arial" w:hAnsi="Arial"/>
          <w:sz w:val="17"/>
          <w:szCs w:val="17"/>
          <w:color w:val="auto"/>
        </w:rPr>
        <w:t>” means a new drug application, an abbreviated drug application, or a product license application for any Product, as appropriate, as those terms are defined in the FDCA.”</w:t>
      </w:r>
    </w:p>
    <w:p>
      <w:pPr>
        <w:sectPr>
          <w:pgSz w:w="11900" w:h="16930" w:orient="portrait"/>
          <w:cols w:equalWidth="0" w:num="1">
            <w:col w:w="10200"/>
          </w:cols>
          <w:pgMar w:left="1440" w:top="125" w:right="259" w:bottom="0" w:gutter="0" w:footer="0" w:header="0"/>
          <w:type w:val="continuous"/>
        </w:sectPr>
      </w:pPr>
    </w:p>
    <w:bookmarkStart w:id="120" w:name="page121"/>
    <w:bookmarkEnd w:id="120"/>
    <w:p>
      <w:pPr>
        <w:ind w:left="2040" w:right="60"/>
        <w:spacing w:after="0" w:line="295"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Eligible Assignee</w:t>
      </w:r>
      <w:r>
        <w:rPr>
          <w:rFonts w:ascii="Arial" w:cs="Arial" w:eastAsia="Arial" w:hAnsi="Arial"/>
          <w:sz w:val="16"/>
          <w:szCs w:val="16"/>
          <w:color w:val="auto"/>
        </w:rPr>
        <w:t>” means (i) a Lender, (ii) an Affiliate of a Lender, (iii) an Approved Fund and (iv) any other Person (other than a natural person) approved by Agent; provided, that notwithstanding the foregoing, “</w:t>
      </w:r>
      <w:r>
        <w:rPr>
          <w:rFonts w:ascii="Arial" w:cs="Arial" w:eastAsia="Arial" w:hAnsi="Arial"/>
          <w:sz w:val="16"/>
          <w:szCs w:val="16"/>
          <w:b w:val="1"/>
          <w:bCs w:val="1"/>
          <w:color w:val="auto"/>
        </w:rPr>
        <w:t>Eligible</w:t>
      </w:r>
      <w:r>
        <w:rPr>
          <w:rFonts w:ascii="Arial" w:cs="Arial" w:eastAsia="Arial" w:hAnsi="Arial"/>
          <w:sz w:val="16"/>
          <w:szCs w:val="16"/>
          <w:color w:val="auto"/>
        </w:rPr>
        <w:t xml:space="preserve"> </w:t>
      </w:r>
      <w:r>
        <w:rPr>
          <w:rFonts w:ascii="Arial" w:cs="Arial" w:eastAsia="Arial" w:hAnsi="Arial"/>
          <w:sz w:val="16"/>
          <w:szCs w:val="16"/>
          <w:b w:val="1"/>
          <w:bCs w:val="1"/>
          <w:color w:val="auto"/>
        </w:rPr>
        <w:t>Assignee</w:t>
      </w:r>
      <w:r>
        <w:rPr>
          <w:rFonts w:ascii="Arial" w:cs="Arial" w:eastAsia="Arial" w:hAnsi="Arial"/>
          <w:sz w:val="16"/>
          <w:szCs w:val="16"/>
          <w:color w:val="auto"/>
        </w:rPr>
        <w:t>” shall not include Borrower, any Guarantor or any of Borrower’s or any Guarantor’s Affiliates or</w:t>
      </w:r>
      <w:r>
        <w:rPr>
          <w:rFonts w:ascii="Arial" w:cs="Arial" w:eastAsia="Arial" w:hAnsi="Arial"/>
          <w:sz w:val="16"/>
          <w:szCs w:val="16"/>
          <w:b w:val="1"/>
          <w:bCs w:val="1"/>
          <w:color w:val="auto"/>
        </w:rPr>
        <w:t xml:space="preserve"> </w:t>
      </w:r>
      <w:r>
        <w:rPr>
          <w:rFonts w:ascii="Arial" w:cs="Arial" w:eastAsia="Arial" w:hAnsi="Arial"/>
          <w:sz w:val="16"/>
          <w:szCs w:val="16"/>
          <w:color w:val="auto"/>
        </w:rPr>
        <w:t>Subsidiaries. Notwithstanding the foregoing, in connection with assignments by a Lender due to a forced divestiture at the request of any regulatory agency, the restrictions set forth herein shall not apply and Eligible Assignee shall mean any Person or party becoming an assignee incident to such forced divestiture.”</w:t>
      </w:r>
    </w:p>
    <w:p>
      <w:pPr>
        <w:spacing w:after="0" w:line="156" w:lineRule="exact"/>
        <w:rPr>
          <w:sz w:val="20"/>
          <w:szCs w:val="20"/>
          <w:color w:val="auto"/>
        </w:rPr>
      </w:pPr>
    </w:p>
    <w:p>
      <w:pPr>
        <w:ind w:left="2040" w:right="40"/>
        <w:spacing w:after="0" w:line="261"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Final Payment</w:t>
      </w:r>
      <w:r>
        <w:rPr>
          <w:rFonts w:ascii="Arial" w:cs="Arial" w:eastAsia="Arial" w:hAnsi="Arial"/>
          <w:sz w:val="18"/>
          <w:szCs w:val="18"/>
          <w:color w:val="auto"/>
        </w:rPr>
        <w:t>” is a payment (in addition to and not in substitution for the regular monthly payments of principal plus accrued interest) due on the earlier to occur of (a) the Maturity Date, or (b) the acceleration of any Term Loan, or (c) the prepayment of a Term Loan pursuant to Section 2.2(c) or (d), equal to the original Term Loan Commitments multiplied by the Final Payment Percentage.”</w:t>
      </w:r>
    </w:p>
    <w:p>
      <w:pPr>
        <w:spacing w:after="0" w:line="180" w:lineRule="exact"/>
        <w:rPr>
          <w:sz w:val="20"/>
          <w:szCs w:val="20"/>
          <w:color w:val="auto"/>
        </w:rPr>
      </w:pPr>
    </w:p>
    <w:p>
      <w:pPr>
        <w:ind w:left="20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Funding Date</w:t>
      </w:r>
      <w:r>
        <w:rPr>
          <w:rFonts w:ascii="Arial" w:cs="Arial" w:eastAsia="Arial" w:hAnsi="Arial"/>
          <w:sz w:val="18"/>
          <w:szCs w:val="18"/>
          <w:color w:val="auto"/>
        </w:rPr>
        <w:t>” is the Effective Date, which date shall be a Business Day.”</w:t>
      </w:r>
    </w:p>
    <w:p>
      <w:pPr>
        <w:spacing w:after="0" w:line="225" w:lineRule="exact"/>
        <w:rPr>
          <w:sz w:val="20"/>
          <w:szCs w:val="20"/>
          <w:color w:val="auto"/>
        </w:rPr>
      </w:pPr>
    </w:p>
    <w:p>
      <w:pPr>
        <w:ind w:left="20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Maturity Date</w:t>
      </w:r>
      <w:r>
        <w:rPr>
          <w:rFonts w:ascii="Arial" w:cs="Arial" w:eastAsia="Arial" w:hAnsi="Arial"/>
          <w:sz w:val="18"/>
          <w:szCs w:val="18"/>
          <w:color w:val="auto"/>
        </w:rPr>
        <w:t>” is the third anniversary of the Funding Date.”</w:t>
      </w:r>
    </w:p>
    <w:p>
      <w:pPr>
        <w:spacing w:after="0" w:line="225" w:lineRule="exact"/>
        <w:rPr>
          <w:sz w:val="20"/>
          <w:szCs w:val="20"/>
          <w:color w:val="auto"/>
        </w:rPr>
      </w:pPr>
    </w:p>
    <w:p>
      <w:pPr>
        <w:ind w:left="2040" w:right="20"/>
        <w:spacing w:after="0" w:line="295"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Permits</w:t>
      </w:r>
      <w:r>
        <w:rPr>
          <w:rFonts w:ascii="Arial" w:cs="Arial" w:eastAsia="Arial" w:hAnsi="Arial"/>
          <w:sz w:val="16"/>
          <w:szCs w:val="16"/>
          <w:color w:val="auto"/>
        </w:rPr>
        <w:t>” means licenses, certificates, accreditations, product clearances or approvals, provider numbers or provider authorizations, marketing authorizations, other authorizations, registrations, permits, consents and approvals required in connection with the conduct of Borrower’s or any Subsidiary’s business or to comply with any applicable Laws, including, without limitation, drug listings and drug establishment registrations under 21 U.S.C. Section 510, registrations issued by DEA under 21 U.S.C. Section 823 (if applicable to any Product), and those issued by State governments for the conduct of Borrower’s or any Subsidiary’s business.”</w:t>
      </w:r>
    </w:p>
    <w:p>
      <w:pPr>
        <w:spacing w:after="0" w:line="156" w:lineRule="exact"/>
        <w:rPr>
          <w:sz w:val="20"/>
          <w:szCs w:val="20"/>
          <w:color w:val="auto"/>
        </w:rPr>
      </w:pPr>
    </w:p>
    <w:p>
      <w:pPr>
        <w:ind w:left="2040" w:right="40"/>
        <w:spacing w:after="0" w:line="284"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Permitted Acquisition</w:t>
      </w:r>
      <w:r>
        <w:rPr>
          <w:rFonts w:ascii="Arial" w:cs="Arial" w:eastAsia="Arial" w:hAnsi="Arial"/>
          <w:sz w:val="16"/>
          <w:szCs w:val="16"/>
          <w:color w:val="auto"/>
        </w:rPr>
        <w:t>” means an acquisition by Borrower of capital stock or property of any Person which results in such stock or property being owned by Borrower following the closing of such transaction, provided that: (a) Borrower has provided the Lenders with no less than thirty (30) days notice prior to the closing of such transaction, including without limitation, a summary description of the Person or assets being acquired by Borrower, the total consideration for the transaction (broken out into line items for cash and other property), the form of the transaction (asset purchase, stock purchase or otherwise) and any other information reasonably requested by the Lenders; (b) each such purchase or acquisition is of a Person or ongoing business engaged in business activities in which the Borrower is engaged; (c) before and after giving effect to the consummation of the transaction, no Event of Default has occurred and is continuing or could not reasonably be expected to result from such transaction; (d) the assets of the target company in such acquisition are free and clear of all Liens that would not otherwise constitute Permitted Liens hereunder at the time of the closing of such transaction;</w:t>
      </w:r>
    </w:p>
    <w:p>
      <w:pPr>
        <w:ind w:left="4420" w:right="5080" w:hanging="2371"/>
        <w:spacing w:after="0" w:line="605" w:lineRule="auto"/>
        <w:tabs>
          <w:tab w:leader="none" w:pos="2287" w:val="left"/>
        </w:tabs>
        <w:numPr>
          <w:ilvl w:val="0"/>
          <w:numId w:val="56"/>
        </w:numPr>
        <w:rPr>
          <w:rFonts w:ascii="Arial" w:cs="Arial" w:eastAsia="Arial" w:hAnsi="Arial"/>
          <w:sz w:val="16"/>
          <w:szCs w:val="16"/>
          <w:color w:val="auto"/>
        </w:rPr>
      </w:pPr>
      <w:r>
        <w:rPr>
          <w:rFonts w:ascii="Arial" w:cs="Arial" w:eastAsia="Arial" w:hAnsi="Arial"/>
          <w:sz w:val="16"/>
          <w:szCs w:val="16"/>
          <w:color w:val="auto"/>
        </w:rPr>
        <w:t>Borrower (or a Subsidiary of Borrower 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-758190</wp:posOffset>
            </wp:positionH>
            <wp:positionV relativeFrom="paragraph">
              <wp:posOffset>-110490</wp:posOffset>
            </wp:positionV>
            <wp:extent cx="7267575" cy="2984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2" w:lineRule="exact"/>
        <w:rPr>
          <w:sz w:val="20"/>
          <w:szCs w:val="20"/>
          <w:color w:val="auto"/>
        </w:rPr>
      </w:pPr>
    </w:p>
    <w:p>
      <w:pPr>
        <w:ind w:left="2040" w:right="140"/>
        <w:spacing w:after="0" w:line="285" w:lineRule="auto"/>
        <w:rPr>
          <w:sz w:val="20"/>
          <w:szCs w:val="20"/>
          <w:color w:val="auto"/>
        </w:rPr>
      </w:pPr>
      <w:r>
        <w:rPr>
          <w:rFonts w:ascii="Arial" w:cs="Arial" w:eastAsia="Arial" w:hAnsi="Arial"/>
          <w:sz w:val="16"/>
          <w:szCs w:val="16"/>
          <w:color w:val="auto"/>
        </w:rPr>
        <w:t>provided that such Subsidiary complies with the provisions of Section 6.10 hereof) is the surviving corporation of any such transaction, (f) Borrower delivers to the Lenders, within thirty (30) days of the closing of any such transaction, any documents required by the Lenders in order for the Lenders to obtain a first priority security interest in the assets acquired by Borrower (including, without limitation, assets owned by a Subsidiary with respect to which Borrower has acquired all or a portion of such entity’s stock) subject only to Permitted Liens,</w:t>
      </w:r>
    </w:p>
    <w:p>
      <w:pPr>
        <w:spacing w:after="0" w:line="2" w:lineRule="exact"/>
        <w:rPr>
          <w:sz w:val="20"/>
          <w:szCs w:val="20"/>
          <w:color w:val="auto"/>
        </w:rPr>
      </w:pPr>
    </w:p>
    <w:p>
      <w:pPr>
        <w:ind w:left="2040" w:right="60" w:firstLine="9"/>
        <w:spacing w:after="0" w:line="281" w:lineRule="auto"/>
        <w:tabs>
          <w:tab w:leader="none" w:pos="2295" w:val="left"/>
        </w:tabs>
        <w:numPr>
          <w:ilvl w:val="0"/>
          <w:numId w:val="57"/>
        </w:numPr>
        <w:rPr>
          <w:rFonts w:ascii="Arial" w:cs="Arial" w:eastAsia="Arial" w:hAnsi="Arial"/>
          <w:sz w:val="16"/>
          <w:szCs w:val="16"/>
          <w:color w:val="auto"/>
        </w:rPr>
      </w:pPr>
      <w:r>
        <w:rPr>
          <w:rFonts w:ascii="Arial" w:cs="Arial" w:eastAsia="Arial" w:hAnsi="Arial"/>
          <w:sz w:val="16"/>
          <w:szCs w:val="16"/>
          <w:color w:val="auto"/>
        </w:rPr>
        <w:t>before and immediately after giving effect to the consummation of the transaction, Borrower has cash and or Cash Equivalents on deposit in a Collateral Account(s) subject to a Control Agreement(s) in favor of Agent for the benefit of the Lenders of not less than the greater of (1) $25,000,000 and (2) Borrower’s projected Cash Burn on the closing date of the transaction (giving pro forma effect for such transaction including all consideration paid in connection with such transaction, including all deferred consideration such as earn-outs),</w:t>
      </w:r>
    </w:p>
    <w:p>
      <w:pPr>
        <w:spacing w:after="0" w:line="3" w:lineRule="exact"/>
        <w:rPr>
          <w:rFonts w:ascii="Arial" w:cs="Arial" w:eastAsia="Arial" w:hAnsi="Arial"/>
          <w:sz w:val="16"/>
          <w:szCs w:val="16"/>
          <w:color w:val="auto"/>
        </w:rPr>
      </w:pPr>
    </w:p>
    <w:p>
      <w:pPr>
        <w:ind w:left="2040" w:right="320" w:firstLine="9"/>
        <w:spacing w:after="0" w:line="277" w:lineRule="auto"/>
        <w:tabs>
          <w:tab w:leader="none" w:pos="2295" w:val="left"/>
        </w:tabs>
        <w:numPr>
          <w:ilvl w:val="0"/>
          <w:numId w:val="57"/>
        </w:numPr>
        <w:rPr>
          <w:rFonts w:ascii="Arial" w:cs="Arial" w:eastAsia="Arial" w:hAnsi="Arial"/>
          <w:sz w:val="17"/>
          <w:szCs w:val="17"/>
          <w:color w:val="auto"/>
        </w:rPr>
      </w:pPr>
      <w:r>
        <w:rPr>
          <w:rFonts w:ascii="Arial" w:cs="Arial" w:eastAsia="Arial" w:hAnsi="Arial"/>
          <w:sz w:val="17"/>
          <w:szCs w:val="17"/>
          <w:color w:val="auto"/>
        </w:rPr>
        <w:t>Borrower’s board of directors has approved the transaction, (i) in the event the transaction involves the acquisition of capital stock of a Person, Borrower or one of its Subsidiaries acquires a majority of the capital stock of such Person and (j) after giving effect to the transaction there is no Change in Control.”</w:t>
      </w:r>
    </w:p>
    <w:p>
      <w:pPr>
        <w:spacing w:after="0" w:line="169" w:lineRule="exact"/>
        <w:rPr>
          <w:sz w:val="20"/>
          <w:szCs w:val="20"/>
          <w:color w:val="auto"/>
        </w:rPr>
      </w:pPr>
    </w:p>
    <w:p>
      <w:pPr>
        <w:ind w:left="2040"/>
        <w:spacing w:after="0" w:line="285"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Required Lenders</w:t>
      </w:r>
      <w:r>
        <w:rPr>
          <w:rFonts w:ascii="Arial" w:cs="Arial" w:eastAsia="Arial" w:hAnsi="Arial"/>
          <w:sz w:val="16"/>
          <w:szCs w:val="16"/>
          <w:color w:val="auto"/>
        </w:rPr>
        <w:t>” means (i) for so long as all of the Persons that are Lenders on the Effective Date (each an “</w:t>
      </w:r>
      <w:r>
        <w:rPr>
          <w:rFonts w:ascii="Arial" w:cs="Arial" w:eastAsia="Arial" w:hAnsi="Arial"/>
          <w:sz w:val="16"/>
          <w:szCs w:val="16"/>
          <w:b w:val="1"/>
          <w:bCs w:val="1"/>
          <w:color w:val="auto"/>
        </w:rPr>
        <w:t>Original Lender</w:t>
      </w:r>
      <w:r>
        <w:rPr>
          <w:rFonts w:ascii="Arial" w:cs="Arial" w:eastAsia="Arial" w:hAnsi="Arial"/>
          <w:sz w:val="16"/>
          <w:szCs w:val="16"/>
          <w:color w:val="auto"/>
        </w:rPr>
        <w:t xml:space="preserve">”) have not assigned or transferred any of their interests in their respective Term Loans, Lenders holding one hundred percent (100%) of the aggregate outstanding principal balance of the Term Loans, or (ii) at any time from and after any Original Lender has assigned or transferred any interest in its Term Loans, Lenders holding sixty-six percent (66%) or more of the aggregate outstanding principal balance of the Term Loans, </w:t>
      </w:r>
      <w:r>
        <w:rPr>
          <w:rFonts w:ascii="Arial" w:cs="Arial" w:eastAsia="Arial" w:hAnsi="Arial"/>
          <w:sz w:val="16"/>
          <w:szCs w:val="16"/>
          <w:i w:val="1"/>
          <w:iCs w:val="1"/>
          <w:color w:val="auto"/>
        </w:rPr>
        <w:t>plus</w:t>
      </w:r>
      <w:r>
        <w:rPr>
          <w:rFonts w:ascii="Arial" w:cs="Arial" w:eastAsia="Arial" w:hAnsi="Arial"/>
          <w:sz w:val="16"/>
          <w:szCs w:val="16"/>
          <w:color w:val="auto"/>
        </w:rPr>
        <w:t xml:space="preserve">, in respect of this clause (ii), (A) each Original Lender that has not assigned or transferred any portion of its respective Term Loans and (B) each assignee of an Original Lender provided such assignee was assigned or transferred and continues to hold 100% of the assigning Original Lender’s interest in the Term Loans (in each case in respect of clauses (A) and (B) of this clause (ii), whether or not such Lender is included within the Lenders holding sixty-six percent (66%) of the Terms Loans);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w:t>
      </w:r>
      <w:r>
        <w:rPr>
          <w:rFonts w:ascii="Arial" w:cs="Arial" w:eastAsia="Arial" w:hAnsi="Arial"/>
          <w:sz w:val="16"/>
          <w:szCs w:val="16"/>
          <w:i w:val="1"/>
          <w:iCs w:val="1"/>
          <w:color w:val="auto"/>
        </w:rPr>
        <w:t>however</w:t>
      </w:r>
      <w:r>
        <w:rPr>
          <w:rFonts w:ascii="Arial" w:cs="Arial" w:eastAsia="Arial" w:hAnsi="Arial"/>
          <w:sz w:val="16"/>
          <w:szCs w:val="16"/>
          <w:color w:val="auto"/>
        </w:rPr>
        <w:t>, that notwithstanding the foregoing, for purposes of Section 9.1(b) hereof, “Required Lenders” means (i) for so long as all Original Lenders retain 100% of their interests in their respective Term Loans, Lenders holding one hundred percent (100%) of the aggregate outstanding principal balance of the Term Loans, or (ii) at any time from and after any Original Lender has assigned or transferred any interest in its Term Loans, Lenders holding sixty-six percent (66%) or more of the aggregate outstanding principal balance of the Term Loans, plus, in respect of this clause (ii), each Original Lender that has not assigned or transferred any portion of its respective Term Loan (in each case in respect of this clause (ii), whether or not such Original Lender is included within the Lenders holding sixty-six percent (66%) of the Term Loans). For purposes of this definition only, a Lender shall be deemed to include itself, and any Lender that is an Affiliate or Approved Fund of such Lender.”</w:t>
      </w:r>
    </w:p>
    <w:p>
      <w:pPr>
        <w:sectPr>
          <w:pgSz w:w="11900" w:h="16838" w:orient="portrait"/>
          <w:cols w:equalWidth="0" w:num="1">
            <w:col w:w="10180"/>
          </w:cols>
          <w:pgMar w:left="1440" w:top="337" w:right="279" w:bottom="49" w:gutter="0" w:footer="0" w:header="0"/>
        </w:sectPr>
      </w:pPr>
    </w:p>
    <w:bookmarkStart w:id="121" w:name="page122"/>
    <w:bookmarkEnd w:id="121"/>
    <w:p>
      <w:pPr>
        <w:spacing w:after="0" w:line="92" w:lineRule="exact"/>
        <w:rPr>
          <w:sz w:val="20"/>
          <w:szCs w:val="20"/>
          <w:color w:val="auto"/>
        </w:rPr>
      </w:pPr>
    </w:p>
    <w:p>
      <w:pPr>
        <w:ind w:left="2040"/>
        <w:spacing w:after="0" w:line="266"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Required Permit</w:t>
      </w:r>
      <w:r>
        <w:rPr>
          <w:rFonts w:ascii="Arial" w:cs="Arial" w:eastAsia="Arial" w:hAnsi="Arial"/>
          <w:sz w:val="18"/>
          <w:szCs w:val="18"/>
          <w:color w:val="auto"/>
        </w:rPr>
        <w:t>” means a Permit (a) issued or required under Laws applicable to the business of Borrower or any of its Subsidiaries or necessary in the manufacturing, importing, exporting, possession, ownership, warehousing, marketing, promoting, sale, labeling,</w:t>
      </w:r>
    </w:p>
    <w:p>
      <w:pPr>
        <w:spacing w:after="0" w:line="180" w:lineRule="exact"/>
        <w:rPr>
          <w:sz w:val="20"/>
          <w:szCs w:val="20"/>
          <w:color w:val="auto"/>
        </w:rPr>
      </w:pPr>
    </w:p>
    <w:p>
      <w:pPr>
        <w:ind w:left="4420"/>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-758190</wp:posOffset>
            </wp:positionH>
            <wp:positionV relativeFrom="paragraph">
              <wp:posOffset>81280</wp:posOffset>
            </wp:positionV>
            <wp:extent cx="7267575" cy="2984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2040" w:right="40"/>
        <w:spacing w:after="0" w:line="273" w:lineRule="auto"/>
        <w:rPr>
          <w:sz w:val="20"/>
          <w:szCs w:val="20"/>
          <w:color w:val="auto"/>
        </w:rPr>
      </w:pPr>
      <w:r>
        <w:rPr>
          <w:rFonts w:ascii="Arial" w:cs="Arial" w:eastAsia="Arial" w:hAnsi="Arial"/>
          <w:sz w:val="17"/>
          <w:szCs w:val="17"/>
          <w:color w:val="auto"/>
        </w:rPr>
        <w:t>furnishing, distribution or delivery of goods or services under Laws applicable to the business of Borrower or any of its Subsidiaries or any Drug Application (including without limitation, at any point in time, all licenses, approvals and permits issued by the FDA or any other applicable Governmental Authority necessary for the testing, manufacture, marketing or sale of any Product by any applicable Borrower(s) as such activities are being conducted by such Borrower with respect to such Product at such time), and (b) issued by any Person from which Borrower or any of their Subsidiaries have received an accreditation.”</w:t>
      </w:r>
    </w:p>
    <w:p>
      <w:pPr>
        <w:spacing w:after="0" w:line="178" w:lineRule="exact"/>
        <w:rPr>
          <w:sz w:val="20"/>
          <w:szCs w:val="20"/>
          <w:color w:val="auto"/>
        </w:rPr>
      </w:pPr>
    </w:p>
    <w:p>
      <w:pPr>
        <w:ind w:left="760"/>
        <w:spacing w:after="0"/>
        <w:rPr>
          <w:sz w:val="20"/>
          <w:szCs w:val="20"/>
          <w:color w:val="auto"/>
        </w:rPr>
      </w:pPr>
      <w:r>
        <w:rPr>
          <w:rFonts w:ascii="Arial" w:cs="Arial" w:eastAsia="Arial" w:hAnsi="Arial"/>
          <w:sz w:val="18"/>
          <w:szCs w:val="18"/>
          <w:color w:val="auto"/>
        </w:rPr>
        <w:t>and inserting in lieu thereof each of the following:</w:t>
      </w:r>
    </w:p>
    <w:p>
      <w:pPr>
        <w:spacing w:after="0" w:line="221" w:lineRule="exact"/>
        <w:rPr>
          <w:sz w:val="20"/>
          <w:szCs w:val="20"/>
          <w:color w:val="auto"/>
        </w:rPr>
      </w:pPr>
    </w:p>
    <w:p>
      <w:pPr>
        <w:ind w:left="2040" w:right="120"/>
        <w:spacing w:after="0" w:line="261"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Drug Application</w:t>
      </w:r>
      <w:r>
        <w:rPr>
          <w:rFonts w:ascii="Arial" w:cs="Arial" w:eastAsia="Arial" w:hAnsi="Arial"/>
          <w:sz w:val="18"/>
          <w:szCs w:val="18"/>
          <w:color w:val="auto"/>
        </w:rPr>
        <w:t>” means a new drug application or an abbreviated new drug application for any Product, as those terms are defined in the FDCA or a biologic license application for any Product, as appropriate, under the Public Health Service Act, as amended, 42 U.S.C. Section 2.67et seq. and the regulations promulgated thereunder.</w:t>
      </w:r>
    </w:p>
    <w:p>
      <w:pPr>
        <w:spacing w:after="0" w:line="180" w:lineRule="exact"/>
        <w:rPr>
          <w:sz w:val="20"/>
          <w:szCs w:val="20"/>
          <w:color w:val="auto"/>
        </w:rPr>
      </w:pPr>
    </w:p>
    <w:p>
      <w:pPr>
        <w:ind w:left="2040" w:right="40"/>
        <w:spacing w:after="0" w:line="288"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Eligible Assignee</w:t>
      </w:r>
      <w:r>
        <w:rPr>
          <w:rFonts w:ascii="Arial" w:cs="Arial" w:eastAsia="Arial" w:hAnsi="Arial"/>
          <w:sz w:val="16"/>
          <w:szCs w:val="16"/>
          <w:color w:val="auto"/>
        </w:rPr>
        <w:t xml:space="preserve">” means (a) any Lender and any Affiliate of any Lender and (b) any commercial bank, savings and loan association or savings bank or any other entity which is an “accredited investor” (as defined in Regulation D under the Securities Act) which extends credit or buys loans as one of its businesses, including insurance companies, mutual funds, lease financing companies and commercial finance companies, in each case, which has a rating of BBB or higher from S&amp;P and a rating of Baa2 or higher from Moody’s at the date that it becomes a Lender and in each case of clauses (a) and (b), which, through its applicable lending office, is capable of lending to Borrower without the imposition of any withholding or similar taxes;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no person proposed to become a Lender after the Effective Date and determined by Agent to be acting in the capacity of a vulture fund or distressed debt purchaser shall be a Eligible Assignee, and no person or Affiliate of such person proposed to become a Lender after the Effective Date and that holds any subordinated debt or stock issued by any Borrower, Guarantor or its Affiliates shall be a Eligible Assignee.”</w:t>
      </w:r>
    </w:p>
    <w:p>
      <w:pPr>
        <w:spacing w:after="0" w:line="164" w:lineRule="exact"/>
        <w:rPr>
          <w:sz w:val="20"/>
          <w:szCs w:val="20"/>
          <w:color w:val="auto"/>
        </w:rPr>
      </w:pPr>
    </w:p>
    <w:p>
      <w:pPr>
        <w:ind w:left="2040" w:right="80"/>
        <w:spacing w:after="0" w:line="281"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Final Payment</w:t>
      </w:r>
      <w:r>
        <w:rPr>
          <w:rFonts w:ascii="Arial" w:cs="Arial" w:eastAsia="Arial" w:hAnsi="Arial"/>
          <w:sz w:val="17"/>
          <w:szCs w:val="17"/>
          <w:color w:val="auto"/>
        </w:rPr>
        <w:t>” is a payment (in addition to and not in substitution for the regular monthly payments of principal plus accrued interest) due on the earlier to occur of (a) the Maturity Date, or (b) the acceleration of any Term Loan, or (c) the prepayment of a Term Loan pursuant to Section 2.2(c) or (d), equal to the original Term Loan Commitment for each Term Loan being so repaid multiplied by the Final Payment Percentage.”</w:t>
      </w:r>
    </w:p>
    <w:p>
      <w:pPr>
        <w:spacing w:after="0" w:line="165" w:lineRule="exact"/>
        <w:rPr>
          <w:sz w:val="20"/>
          <w:szCs w:val="20"/>
          <w:color w:val="auto"/>
        </w:rPr>
      </w:pPr>
    </w:p>
    <w:p>
      <w:pPr>
        <w:ind w:left="2040" w:right="360"/>
        <w:spacing w:after="0" w:line="266"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Funding Date</w:t>
      </w:r>
      <w:r>
        <w:rPr>
          <w:rFonts w:ascii="Arial" w:cs="Arial" w:eastAsia="Arial" w:hAnsi="Arial"/>
          <w:sz w:val="18"/>
          <w:szCs w:val="18"/>
          <w:color w:val="auto"/>
        </w:rPr>
        <w:t>” is (i) with respect to the Term A Loans, the Effective Date, which date shall be a Business Day, and (ii) with respect to the Term B Loans, the First Amendment Effective Date, which date shall be a Business Day.”</w:t>
      </w:r>
    </w:p>
    <w:p>
      <w:pPr>
        <w:spacing w:after="0" w:line="176" w:lineRule="exact"/>
        <w:rPr>
          <w:sz w:val="20"/>
          <w:szCs w:val="20"/>
          <w:color w:val="auto"/>
        </w:rPr>
      </w:pPr>
    </w:p>
    <w:p>
      <w:pPr>
        <w:ind w:left="20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Maturity Date</w:t>
      </w:r>
      <w:r>
        <w:rPr>
          <w:rFonts w:ascii="Arial" w:cs="Arial" w:eastAsia="Arial" w:hAnsi="Arial"/>
          <w:sz w:val="18"/>
          <w:szCs w:val="18"/>
          <w:color w:val="auto"/>
        </w:rPr>
        <w:t>” means December 30, 2013.”</w:t>
      </w:r>
    </w:p>
    <w:p>
      <w:pPr>
        <w:spacing w:after="0" w:line="225" w:lineRule="exact"/>
        <w:rPr>
          <w:sz w:val="20"/>
          <w:szCs w:val="20"/>
          <w:color w:val="auto"/>
        </w:rPr>
      </w:pPr>
    </w:p>
    <w:p>
      <w:pPr>
        <w:ind w:left="2040" w:right="300"/>
        <w:spacing w:after="0" w:line="266"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Permits</w:t>
      </w:r>
      <w:r>
        <w:rPr>
          <w:rFonts w:ascii="Arial" w:cs="Arial" w:eastAsia="Arial" w:hAnsi="Arial"/>
          <w:sz w:val="18"/>
          <w:szCs w:val="18"/>
          <w:color w:val="auto"/>
        </w:rPr>
        <w:t>” means licenses, certificates, accreditations, product clearances or approvals, provider numbers or provider authorizations, marketing authorizations, other authorizations, registrations, permits, consents and approvals required in connection with the conduct of</w:t>
      </w:r>
    </w:p>
    <w:p>
      <w:pPr>
        <w:spacing w:after="0" w:line="180" w:lineRule="exact"/>
        <w:rPr>
          <w:sz w:val="20"/>
          <w:szCs w:val="20"/>
          <w:color w:val="auto"/>
        </w:rPr>
      </w:pPr>
    </w:p>
    <w:p>
      <w:pPr>
        <w:ind w:left="4420"/>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-758190</wp:posOffset>
            </wp:positionH>
            <wp:positionV relativeFrom="paragraph">
              <wp:posOffset>81280</wp:posOffset>
            </wp:positionV>
            <wp:extent cx="7267575" cy="2984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2040" w:right="20"/>
        <w:spacing w:after="0" w:line="302" w:lineRule="auto"/>
        <w:rPr>
          <w:sz w:val="20"/>
          <w:szCs w:val="20"/>
          <w:color w:val="auto"/>
        </w:rPr>
      </w:pPr>
      <w:r>
        <w:rPr>
          <w:rFonts w:ascii="Arial" w:cs="Arial" w:eastAsia="Arial" w:hAnsi="Arial"/>
          <w:sz w:val="16"/>
          <w:szCs w:val="16"/>
          <w:color w:val="auto"/>
        </w:rPr>
        <w:t>Borrower’s or any Subsidiary’s business or to comply with any applicable Laws, including, without limitation, investigational new drug applications 21 U.S.C. Section 355(i), drug listings and drug establishment registrations under 21 U.S.C. Section 510, registrations issued by DEA under 21 U.S.C. Section 823 (if applicable to any Product), and those issued by State governments for the conduct of Borrower’s or any Subsidiary’s business.”</w:t>
      </w:r>
    </w:p>
    <w:p>
      <w:pPr>
        <w:spacing w:after="0" w:line="150" w:lineRule="exact"/>
        <w:rPr>
          <w:sz w:val="20"/>
          <w:szCs w:val="20"/>
          <w:color w:val="auto"/>
        </w:rPr>
      </w:pPr>
    </w:p>
    <w:p>
      <w:pPr>
        <w:ind w:left="2040" w:right="80"/>
        <w:spacing w:after="0" w:line="284"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Permitted Acquisition</w:t>
      </w:r>
      <w:r>
        <w:rPr>
          <w:rFonts w:ascii="Arial" w:cs="Arial" w:eastAsia="Arial" w:hAnsi="Arial"/>
          <w:sz w:val="16"/>
          <w:szCs w:val="16"/>
          <w:color w:val="auto"/>
        </w:rPr>
        <w:t>” means an acquisition by Borrower of capital stock or property of any Person which results in such stock or property being owned by Borrower following the closing of such transaction, provided that: (a) Borrower has provided the Lenders with no less than thirty (30) days notice prior to the closing of such transaction, including without limitation, a summary description of the Person or assets being acquired by Borrower, the total consideration for the transaction (broken out into line items for cash and other property), the form of the transaction (asset purchase, stock purchase or otherwise) and any other information reasonably requested by the Lenders; (b) each such purchase or acquisition is of a Person or ongoing business engaged in business activities in which the Borrower is engaged; (c) before and after giving effect to the consummation of the transaction, no Event of Default has occurred and is continuing or could not reasonably be expected to result from such transaction; (d) the assets of the target company in such acquisition are free and clear of all Liens that would not otherwise constitute Permitted Liens hereunder at the time of the closing of such transaction;</w:t>
      </w:r>
    </w:p>
    <w:p>
      <w:pPr>
        <w:ind w:left="2040" w:right="20" w:firstLine="9"/>
        <w:spacing w:after="0" w:line="288" w:lineRule="auto"/>
        <w:tabs>
          <w:tab w:leader="none" w:pos="2285" w:val="left"/>
        </w:tabs>
        <w:numPr>
          <w:ilvl w:val="0"/>
          <w:numId w:val="58"/>
        </w:numPr>
        <w:rPr>
          <w:rFonts w:ascii="Arial" w:cs="Arial" w:eastAsia="Arial" w:hAnsi="Arial"/>
          <w:sz w:val="16"/>
          <w:szCs w:val="16"/>
          <w:color w:val="auto"/>
        </w:rPr>
      </w:pPr>
      <w:r>
        <w:rPr>
          <w:rFonts w:ascii="Arial" w:cs="Arial" w:eastAsia="Arial" w:hAnsi="Arial"/>
          <w:sz w:val="16"/>
          <w:szCs w:val="16"/>
          <w:color w:val="auto"/>
        </w:rPr>
        <w:t>Borrower (or a Subsidiary of Borrower provided that such Subsidiary complies with the provisions of Section 6.10 hereof) is the surviving corporation of any such transaction, (f) Borrower delivers to the Lenders, within thirty (30) days of the closing of any such transaction, any documents required by the Lenders in order for the Lenders to obtain a first priority security interest in the assets acquired by Borrower (including, without limitation, assets owned by a Subsidiary with respect to which Borrower has acquired all or a portion of such entity’s stock) subject only to Permitted Liens, (g) before and immediately after giving effect to the consummation of the transaction, Borrower has cash and or Cash Equivalents on deposit in a Collateral</w:t>
      </w:r>
    </w:p>
    <w:p>
      <w:pPr>
        <w:sectPr>
          <w:pgSz w:w="11900" w:h="16930" w:orient="portrait"/>
          <w:cols w:equalWidth="0" w:num="1">
            <w:col w:w="10220"/>
          </w:cols>
          <w:pgMar w:left="1440" w:top="121" w:right="239" w:bottom="0" w:gutter="0" w:footer="0" w:header="0"/>
        </w:sectPr>
      </w:pPr>
    </w:p>
    <w:bookmarkStart w:id="122" w:name="page123"/>
    <w:bookmarkEnd w:id="122"/>
    <w:p>
      <w:pPr>
        <w:ind w:left="3240" w:right="20"/>
        <w:spacing w:after="0" w:line="270" w:lineRule="auto"/>
        <w:rPr>
          <w:sz w:val="20"/>
          <w:szCs w:val="20"/>
          <w:color w:val="auto"/>
        </w:rPr>
      </w:pPr>
      <w:r>
        <w:rPr>
          <w:rFonts w:ascii="Arial" w:cs="Arial" w:eastAsia="Arial" w:hAnsi="Arial"/>
          <w:sz w:val="17"/>
          <w:szCs w:val="17"/>
          <w:color w:val="auto"/>
        </w:rPr>
        <w:t>Account(s) subject to a Control Agreement(s) in favor of Agent for the benefit of the Lenders of not less than the greater of (1) $25,000,000 and (2) Borrower’s projected Cash Burn on the closing date of the transaction (giving pro forma effect for such transaction including all consideration paid in connection with such transaction, including all deferred consideration such as earn-outs), (h) Borrower’s board of directors has approved the transaction, (i) in the event the transaction involves the acquisition of capital stock of a Person, Borrower or one of its Subsidiaries acquires a majority of the capital stock of such Person, (j) such acquisition shall not be hostile and shall have been approved by the board of directors (or other similar body) and/or the stockholders or other equity holders of the Person whose capital stock or property is being acquired, and (k) after giving effect to the transaction there is no Change in Control.”</w:t>
      </w:r>
    </w:p>
    <w:p>
      <w:pPr>
        <w:spacing w:after="0" w:line="178" w:lineRule="exact"/>
        <w:rPr>
          <w:sz w:val="20"/>
          <w:szCs w:val="20"/>
          <w:color w:val="auto"/>
        </w:rPr>
      </w:pPr>
    </w:p>
    <w:p>
      <w:pPr>
        <w:ind w:left="3240" w:right="400"/>
        <w:spacing w:after="0" w:line="303"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Required Lenders</w:t>
      </w:r>
      <w:r>
        <w:rPr>
          <w:rFonts w:ascii="Arial" w:cs="Arial" w:eastAsia="Arial" w:hAnsi="Arial"/>
          <w:sz w:val="16"/>
          <w:szCs w:val="16"/>
          <w:color w:val="auto"/>
        </w:rPr>
        <w:t>” means (i) for so long as all of the Persons that are Lenders on the First Amendment Effective Date (each an “</w:t>
      </w:r>
      <w:r>
        <w:rPr>
          <w:rFonts w:ascii="Arial" w:cs="Arial" w:eastAsia="Arial" w:hAnsi="Arial"/>
          <w:sz w:val="16"/>
          <w:szCs w:val="16"/>
          <w:b w:val="1"/>
          <w:bCs w:val="1"/>
          <w:color w:val="auto"/>
        </w:rPr>
        <w:t>Original Lender</w:t>
      </w:r>
      <w:r>
        <w:rPr>
          <w:rFonts w:ascii="Arial" w:cs="Arial" w:eastAsia="Arial" w:hAnsi="Arial"/>
          <w:sz w:val="16"/>
          <w:szCs w:val="16"/>
          <w:color w:val="auto"/>
        </w:rPr>
        <w:t>”) have not assigned or transferred any of their interests in their respective Term Loans, Lenders holding one hundred percent (100%) of the aggregate outstanding principal balance of the Term Loans, or (ii) at any time from and after any Original Lender has assigned or</w:t>
      </w:r>
    </w:p>
    <w:p>
      <w:pPr>
        <w:spacing w:after="0" w:line="15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3240"/>
        <w:spacing w:after="0" w:line="271" w:lineRule="auto"/>
        <w:rPr>
          <w:sz w:val="20"/>
          <w:szCs w:val="20"/>
          <w:color w:val="auto"/>
        </w:rPr>
      </w:pPr>
      <w:r>
        <w:rPr>
          <w:rFonts w:ascii="Arial" w:cs="Arial" w:eastAsia="Arial" w:hAnsi="Arial"/>
          <w:sz w:val="17"/>
          <w:szCs w:val="17"/>
          <w:color w:val="auto"/>
        </w:rPr>
        <w:t xml:space="preserve">transferred any interest in its Term Loans, Lenders holding sixty percent (60%) or more of the aggregate outstanding principal balance of the Term Loans, </w:t>
      </w:r>
      <w:r>
        <w:rPr>
          <w:rFonts w:ascii="Arial" w:cs="Arial" w:eastAsia="Arial" w:hAnsi="Arial"/>
          <w:sz w:val="17"/>
          <w:szCs w:val="17"/>
          <w:i w:val="1"/>
          <w:iCs w:val="1"/>
          <w:color w:val="auto"/>
        </w:rPr>
        <w:t>plus</w:t>
      </w:r>
      <w:r>
        <w:rPr>
          <w:rFonts w:ascii="Arial" w:cs="Arial" w:eastAsia="Arial" w:hAnsi="Arial"/>
          <w:sz w:val="17"/>
          <w:szCs w:val="17"/>
          <w:color w:val="auto"/>
        </w:rPr>
        <w:t>, in respect of this clause (ii), (A) each Original Lender that has not assigned or transferred any portion of its respective Term Loans and (B) each assignee of an Original Lender provided such assignee was assigned or transferred and continues to hold 100% of the assigning Original Lender’s interest in the Term Loans (in each case in respect of clauses (A) and (B) of this clause (ii), whether or not such Lender is included within the Lenders holding sixty percent (60%) of the Terms Loans). For purposes of this definition only, a Lender shall be deemed to include itself, and any Lender that is an Affiliate or Approved Fund of such Lender.”</w:t>
      </w:r>
    </w:p>
    <w:p>
      <w:pPr>
        <w:spacing w:after="0" w:line="175" w:lineRule="exact"/>
        <w:rPr>
          <w:sz w:val="20"/>
          <w:szCs w:val="20"/>
          <w:color w:val="auto"/>
        </w:rPr>
      </w:pPr>
    </w:p>
    <w:p>
      <w:pPr>
        <w:ind w:left="3240"/>
        <w:spacing w:after="0" w:line="271"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Required Permit</w:t>
      </w:r>
      <w:r>
        <w:rPr>
          <w:rFonts w:ascii="Arial" w:cs="Arial" w:eastAsia="Arial" w:hAnsi="Arial"/>
          <w:sz w:val="17"/>
          <w:szCs w:val="17"/>
          <w:color w:val="auto"/>
        </w:rPr>
        <w:t>” means a Permit (a) issued or required under Laws applicable to the business of Borrower or any of its Subsidiaries or necessary in the manufacturing, importing, exporting, possession, ownership, warehousing, marketing, promoting, sale, labeling, furnishing, distribution or delivery of goods or services under Laws applicable to the business of Borrower or any of its Subsidiaries or any Drug Application (including without limitation, at any point in time, all licenses, approvals and permits issued by the FDA or any other applicable Governmental Authority necessary for the testing, manufacture, marketing or sale of any Product by any applicable Borrower(s) as such activities are being conducted by such Borrower with respect to such Product at such time), or (b) issued by any Person from which Borrower or any of their Subsidiaries have received an accreditation.”</w:t>
      </w:r>
    </w:p>
    <w:p>
      <w:pPr>
        <w:spacing w:after="0" w:line="178" w:lineRule="exact"/>
        <w:rPr>
          <w:sz w:val="20"/>
          <w:szCs w:val="20"/>
          <w:color w:val="auto"/>
        </w:rPr>
      </w:pPr>
    </w:p>
    <w:p>
      <w:pPr>
        <w:ind w:left="1960" w:right="40" w:hanging="655"/>
        <w:spacing w:after="0" w:line="342" w:lineRule="auto"/>
        <w:tabs>
          <w:tab w:leader="none" w:pos="1982" w:val="left"/>
        </w:tabs>
        <w:numPr>
          <w:ilvl w:val="0"/>
          <w:numId w:val="59"/>
        </w:numPr>
        <w:rPr>
          <w:rFonts w:ascii="Arial" w:cs="Arial" w:eastAsia="Arial" w:hAnsi="Arial"/>
          <w:sz w:val="16"/>
          <w:szCs w:val="16"/>
          <w:color w:val="auto"/>
        </w:rPr>
      </w:pPr>
      <w:r>
        <w:rPr>
          <w:rFonts w:ascii="Arial" w:cs="Arial" w:eastAsia="Arial" w:hAnsi="Arial"/>
          <w:sz w:val="16"/>
          <w:szCs w:val="16"/>
          <w:color w:val="auto"/>
        </w:rPr>
        <w:t>The Loan Agreement shall be amended by deleting the defined term “Funding Date” in each of clauses (j) and (k) of the definition of “Permitted Liens” appearing in Section 14.1 and replacing such defined term with the defined term “Effective Date”.</w:t>
      </w:r>
    </w:p>
    <w:p>
      <w:pPr>
        <w:spacing w:after="0" w:line="123" w:lineRule="exact"/>
        <w:rPr>
          <w:rFonts w:ascii="Arial" w:cs="Arial" w:eastAsia="Arial" w:hAnsi="Arial"/>
          <w:sz w:val="16"/>
          <w:szCs w:val="16"/>
          <w:color w:val="auto"/>
        </w:rPr>
      </w:pPr>
    </w:p>
    <w:p>
      <w:pPr>
        <w:ind w:left="1980" w:hanging="675"/>
        <w:spacing w:after="0"/>
        <w:tabs>
          <w:tab w:leader="none" w:pos="1980" w:val="left"/>
        </w:tabs>
        <w:numPr>
          <w:ilvl w:val="0"/>
          <w:numId w:val="59"/>
        </w:numPr>
        <w:rPr>
          <w:rFonts w:ascii="Arial" w:cs="Arial" w:eastAsia="Arial" w:hAnsi="Arial"/>
          <w:sz w:val="17"/>
          <w:szCs w:val="17"/>
          <w:color w:val="auto"/>
        </w:rPr>
      </w:pPr>
      <w:r>
        <w:rPr>
          <w:rFonts w:ascii="Arial" w:cs="Arial" w:eastAsia="Arial" w:hAnsi="Arial"/>
          <w:sz w:val="17"/>
          <w:szCs w:val="17"/>
          <w:color w:val="auto"/>
        </w:rPr>
        <w:t>The Loan Agreement shall be amended by adding the following definitions in Section 14.1 thereof in alphabetical order:</w:t>
      </w:r>
    </w:p>
    <w:p>
      <w:pPr>
        <w:spacing w:after="0" w:line="233" w:lineRule="exact"/>
        <w:rPr>
          <w:sz w:val="20"/>
          <w:szCs w:val="20"/>
          <w:color w:val="auto"/>
        </w:rPr>
      </w:pPr>
    </w:p>
    <w:p>
      <w:pPr>
        <w:ind w:left="32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First Amendment Effective Date</w:t>
      </w:r>
      <w:r>
        <w:rPr>
          <w:rFonts w:ascii="Arial" w:cs="Arial" w:eastAsia="Arial" w:hAnsi="Arial"/>
          <w:sz w:val="18"/>
          <w:szCs w:val="18"/>
          <w:color w:val="auto"/>
        </w:rPr>
        <w:t>” means March 7, 2011.”</w:t>
      </w:r>
    </w:p>
    <w:p>
      <w:pPr>
        <w:spacing w:after="0" w:line="225" w:lineRule="exact"/>
        <w:rPr>
          <w:sz w:val="20"/>
          <w:szCs w:val="20"/>
          <w:color w:val="auto"/>
        </w:rPr>
      </w:pPr>
    </w:p>
    <w:p>
      <w:pPr>
        <w:ind w:left="32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Term A Loan</w:t>
      </w:r>
      <w:r>
        <w:rPr>
          <w:rFonts w:ascii="Arial" w:cs="Arial" w:eastAsia="Arial" w:hAnsi="Arial"/>
          <w:sz w:val="18"/>
          <w:szCs w:val="18"/>
          <w:color w:val="auto"/>
        </w:rPr>
        <w:t>” or “</w:t>
      </w:r>
      <w:r>
        <w:rPr>
          <w:rFonts w:ascii="Arial" w:cs="Arial" w:eastAsia="Arial" w:hAnsi="Arial"/>
          <w:sz w:val="18"/>
          <w:szCs w:val="18"/>
          <w:b w:val="1"/>
          <w:bCs w:val="1"/>
          <w:color w:val="auto"/>
        </w:rPr>
        <w:t>Term A Loans</w:t>
      </w:r>
      <w:r>
        <w:rPr>
          <w:rFonts w:ascii="Arial" w:cs="Arial" w:eastAsia="Arial" w:hAnsi="Arial"/>
          <w:sz w:val="18"/>
          <w:szCs w:val="18"/>
          <w:color w:val="auto"/>
        </w:rPr>
        <w:t>” is defined in Section 2.2(a)(i) hereof.”</w:t>
      </w:r>
    </w:p>
    <w:p>
      <w:pPr>
        <w:spacing w:after="0" w:line="225" w:lineRule="exact"/>
        <w:rPr>
          <w:sz w:val="20"/>
          <w:szCs w:val="20"/>
          <w:color w:val="auto"/>
        </w:rPr>
      </w:pPr>
    </w:p>
    <w:p>
      <w:pPr>
        <w:ind w:left="3240" w:right="160"/>
        <w:spacing w:after="0" w:line="266"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Term A Loan Commitment</w:t>
      </w:r>
      <w:r>
        <w:rPr>
          <w:rFonts w:ascii="Arial" w:cs="Arial" w:eastAsia="Arial" w:hAnsi="Arial"/>
          <w:sz w:val="18"/>
          <w:szCs w:val="18"/>
          <w:color w:val="auto"/>
        </w:rPr>
        <w:t xml:space="preserve">” means, for any Lender, the obligation of such Lender to make a Term A Loan, up to the principal amount shown on </w:t>
      </w:r>
      <w:r>
        <w:rPr>
          <w:rFonts w:ascii="Arial" w:cs="Arial" w:eastAsia="Arial" w:hAnsi="Arial"/>
          <w:sz w:val="18"/>
          <w:szCs w:val="18"/>
          <w:b w:val="1"/>
          <w:bCs w:val="1"/>
          <w:u w:val="single" w:color="auto"/>
          <w:color w:val="auto"/>
        </w:rPr>
        <w:t>Schedule 1.1</w:t>
      </w:r>
      <w:r>
        <w:rPr>
          <w:rFonts w:ascii="Arial" w:cs="Arial" w:eastAsia="Arial" w:hAnsi="Arial"/>
          <w:sz w:val="18"/>
          <w:szCs w:val="18"/>
          <w:b w:val="1"/>
          <w:bCs w:val="1"/>
          <w:color w:val="auto"/>
        </w:rPr>
        <w:t>.</w:t>
      </w:r>
      <w:r>
        <w:rPr>
          <w:rFonts w:ascii="Arial" w:cs="Arial" w:eastAsia="Arial" w:hAnsi="Arial"/>
          <w:sz w:val="18"/>
          <w:szCs w:val="18"/>
          <w:color w:val="auto"/>
        </w:rPr>
        <w:t xml:space="preserve"> “</w:t>
      </w:r>
      <w:r>
        <w:rPr>
          <w:rFonts w:ascii="Arial" w:cs="Arial" w:eastAsia="Arial" w:hAnsi="Arial"/>
          <w:sz w:val="18"/>
          <w:szCs w:val="18"/>
          <w:b w:val="1"/>
          <w:bCs w:val="1"/>
          <w:color w:val="auto"/>
        </w:rPr>
        <w:t>Term A Loan Commitments</w:t>
      </w:r>
      <w:r>
        <w:rPr>
          <w:rFonts w:ascii="Arial" w:cs="Arial" w:eastAsia="Arial" w:hAnsi="Arial"/>
          <w:sz w:val="18"/>
          <w:szCs w:val="18"/>
          <w:color w:val="auto"/>
        </w:rPr>
        <w:t>” means the aggregate amount of such commitments of all Lenders.”</w:t>
      </w:r>
    </w:p>
    <w:p>
      <w:pPr>
        <w:spacing w:after="0" w:line="176" w:lineRule="exact"/>
        <w:rPr>
          <w:sz w:val="20"/>
          <w:szCs w:val="20"/>
          <w:color w:val="auto"/>
        </w:rPr>
      </w:pPr>
    </w:p>
    <w:p>
      <w:pPr>
        <w:ind w:left="32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Term B Loan</w:t>
      </w:r>
      <w:r>
        <w:rPr>
          <w:rFonts w:ascii="Arial" w:cs="Arial" w:eastAsia="Arial" w:hAnsi="Arial"/>
          <w:sz w:val="18"/>
          <w:szCs w:val="18"/>
          <w:color w:val="auto"/>
        </w:rPr>
        <w:t>” or “</w:t>
      </w:r>
      <w:r>
        <w:rPr>
          <w:rFonts w:ascii="Arial" w:cs="Arial" w:eastAsia="Arial" w:hAnsi="Arial"/>
          <w:sz w:val="18"/>
          <w:szCs w:val="18"/>
          <w:b w:val="1"/>
          <w:bCs w:val="1"/>
          <w:color w:val="auto"/>
        </w:rPr>
        <w:t>Term B Loans</w:t>
      </w:r>
      <w:r>
        <w:rPr>
          <w:rFonts w:ascii="Arial" w:cs="Arial" w:eastAsia="Arial" w:hAnsi="Arial"/>
          <w:sz w:val="18"/>
          <w:szCs w:val="18"/>
          <w:color w:val="auto"/>
        </w:rPr>
        <w:t>” is defined in Section 2.2(a)(ii) hereof.”</w:t>
      </w:r>
    </w:p>
    <w:p>
      <w:pPr>
        <w:spacing w:after="0" w:line="225" w:lineRule="exact"/>
        <w:rPr>
          <w:sz w:val="20"/>
          <w:szCs w:val="20"/>
          <w:color w:val="auto"/>
        </w:rPr>
      </w:pPr>
    </w:p>
    <w:p>
      <w:pPr>
        <w:ind w:left="3240" w:right="180"/>
        <w:spacing w:after="0" w:line="266"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Term B Loan Commitment</w:t>
      </w:r>
      <w:r>
        <w:rPr>
          <w:rFonts w:ascii="Arial" w:cs="Arial" w:eastAsia="Arial" w:hAnsi="Arial"/>
          <w:sz w:val="18"/>
          <w:szCs w:val="18"/>
          <w:color w:val="auto"/>
        </w:rPr>
        <w:t xml:space="preserve">” means, for any Lender, the obligation of such Lender to make a Term B Loan, up to the principal amount shown on </w:t>
      </w:r>
      <w:r>
        <w:rPr>
          <w:rFonts w:ascii="Arial" w:cs="Arial" w:eastAsia="Arial" w:hAnsi="Arial"/>
          <w:sz w:val="18"/>
          <w:szCs w:val="18"/>
          <w:b w:val="1"/>
          <w:bCs w:val="1"/>
          <w:u w:val="single" w:color="auto"/>
          <w:color w:val="auto"/>
        </w:rPr>
        <w:t>Schedule 1.1</w:t>
      </w:r>
      <w:r>
        <w:rPr>
          <w:rFonts w:ascii="Arial" w:cs="Arial" w:eastAsia="Arial" w:hAnsi="Arial"/>
          <w:sz w:val="18"/>
          <w:szCs w:val="18"/>
          <w:b w:val="1"/>
          <w:bCs w:val="1"/>
          <w:color w:val="auto"/>
        </w:rPr>
        <w:t>.</w:t>
      </w:r>
      <w:r>
        <w:rPr>
          <w:rFonts w:ascii="Arial" w:cs="Arial" w:eastAsia="Arial" w:hAnsi="Arial"/>
          <w:sz w:val="18"/>
          <w:szCs w:val="18"/>
          <w:color w:val="auto"/>
        </w:rPr>
        <w:t xml:space="preserve"> “</w:t>
      </w:r>
      <w:r>
        <w:rPr>
          <w:rFonts w:ascii="Arial" w:cs="Arial" w:eastAsia="Arial" w:hAnsi="Arial"/>
          <w:sz w:val="18"/>
          <w:szCs w:val="18"/>
          <w:b w:val="1"/>
          <w:bCs w:val="1"/>
          <w:color w:val="auto"/>
        </w:rPr>
        <w:t>Term B Loan Commitments</w:t>
      </w:r>
      <w:r>
        <w:rPr>
          <w:rFonts w:ascii="Arial" w:cs="Arial" w:eastAsia="Arial" w:hAnsi="Arial"/>
          <w:sz w:val="18"/>
          <w:szCs w:val="18"/>
          <w:color w:val="auto"/>
        </w:rPr>
        <w:t>” means the aggregate amount of such commitments of all Lenders.”</w:t>
      </w:r>
    </w:p>
    <w:p>
      <w:pPr>
        <w:spacing w:after="0" w:line="180" w:lineRule="exact"/>
        <w:rPr>
          <w:sz w:val="20"/>
          <w:szCs w:val="20"/>
          <w:color w:val="auto"/>
        </w:rPr>
      </w:pPr>
    </w:p>
    <w:p>
      <w:pPr>
        <w:ind w:left="1960" w:right="100" w:hanging="655"/>
        <w:spacing w:after="0" w:line="277" w:lineRule="auto"/>
        <w:tabs>
          <w:tab w:leader="none" w:pos="1982" w:val="left"/>
        </w:tabs>
        <w:numPr>
          <w:ilvl w:val="0"/>
          <w:numId w:val="60"/>
        </w:numPr>
        <w:rPr>
          <w:rFonts w:ascii="Arial" w:cs="Arial" w:eastAsia="Arial" w:hAnsi="Arial"/>
          <w:sz w:val="18"/>
          <w:szCs w:val="18"/>
          <w:color w:val="auto"/>
        </w:rPr>
      </w:pPr>
      <w:r>
        <w:rPr>
          <w:rFonts w:ascii="Arial" w:cs="Arial" w:eastAsia="Arial" w:hAnsi="Arial"/>
          <w:sz w:val="18"/>
          <w:szCs w:val="18"/>
          <w:color w:val="auto"/>
        </w:rPr>
        <w:t>The Loan Agreement shall be amended by deleting Schedule 1.1 thereto in its entirety and replacing it with Schedule 1.1 attached to this Loan Modification Agreement as Exhibit A.</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180" w:firstLine="8"/>
        <w:spacing w:after="0" w:line="277" w:lineRule="auto"/>
        <w:tabs>
          <w:tab w:leader="none" w:pos="720" w:val="left"/>
        </w:tabs>
        <w:numPr>
          <w:ilvl w:val="0"/>
          <w:numId w:val="61"/>
        </w:numPr>
        <w:rPr>
          <w:rFonts w:ascii="Arial" w:cs="Arial" w:eastAsia="Arial" w:hAnsi="Arial"/>
          <w:sz w:val="18"/>
          <w:szCs w:val="18"/>
          <w:color w:val="auto"/>
        </w:rPr>
      </w:pPr>
      <w:r>
        <w:rPr>
          <w:rFonts w:ascii="Arial" w:cs="Arial" w:eastAsia="Arial" w:hAnsi="Arial"/>
          <w:sz w:val="18"/>
          <w:szCs w:val="18"/>
          <w:u w:val="single" w:color="auto"/>
          <w:color w:val="auto"/>
        </w:rPr>
        <w:t>EXPENSES</w:t>
      </w:r>
      <w:r>
        <w:rPr>
          <w:rFonts w:ascii="Arial" w:cs="Arial" w:eastAsia="Arial" w:hAnsi="Arial"/>
          <w:sz w:val="18"/>
          <w:szCs w:val="18"/>
          <w:color w:val="auto"/>
        </w:rPr>
        <w:t>. Borrower shall reimburse Agent and the Lenders for all legal fees and out-of pocket expenses incurred in connection with this Loan Modification Agreement.</w:t>
      </w:r>
    </w:p>
    <w:p>
      <w:pPr>
        <w:spacing w:after="0" w:line="170" w:lineRule="exact"/>
        <w:rPr>
          <w:rFonts w:ascii="Arial" w:cs="Arial" w:eastAsia="Arial" w:hAnsi="Arial"/>
          <w:sz w:val="18"/>
          <w:szCs w:val="18"/>
          <w:color w:val="auto"/>
        </w:rPr>
      </w:pPr>
    </w:p>
    <w:p>
      <w:pPr>
        <w:ind w:right="380" w:firstLine="8"/>
        <w:spacing w:after="0" w:line="264" w:lineRule="auto"/>
        <w:tabs>
          <w:tab w:leader="none" w:pos="720" w:val="left"/>
        </w:tabs>
        <w:numPr>
          <w:ilvl w:val="0"/>
          <w:numId w:val="61"/>
        </w:numPr>
        <w:rPr>
          <w:rFonts w:ascii="Arial" w:cs="Arial" w:eastAsia="Arial" w:hAnsi="Arial"/>
          <w:sz w:val="18"/>
          <w:szCs w:val="18"/>
          <w:color w:val="auto"/>
        </w:rPr>
      </w:pPr>
      <w:r>
        <w:rPr>
          <w:rFonts w:ascii="Arial" w:cs="Arial" w:eastAsia="Arial" w:hAnsi="Arial"/>
          <w:sz w:val="18"/>
          <w:szCs w:val="18"/>
          <w:u w:val="single" w:color="auto"/>
          <w:color w:val="auto"/>
        </w:rPr>
        <w:t>RATIFICATION OF LOAN DOCUMENTS</w:t>
      </w:r>
      <w:r>
        <w:rPr>
          <w:rFonts w:ascii="Arial" w:cs="Arial" w:eastAsia="Arial" w:hAnsi="Arial"/>
          <w:sz w:val="18"/>
          <w:szCs w:val="18"/>
          <w:color w:val="auto"/>
        </w:rPr>
        <w:t>. Borrower hereby ratifies, confirms, and reaffirms all terms and conditions of all security or other collateral granted to Agent for the ratable benefit of the Lenders, and confirms that the indebtedness secured thereby includes, without limitation, the Obligations.</w:t>
      </w:r>
    </w:p>
    <w:p>
      <w:pPr>
        <w:spacing w:after="0" w:line="181" w:lineRule="exact"/>
        <w:rPr>
          <w:rFonts w:ascii="Arial" w:cs="Arial" w:eastAsia="Arial" w:hAnsi="Arial"/>
          <w:sz w:val="18"/>
          <w:szCs w:val="18"/>
          <w:color w:val="auto"/>
        </w:rPr>
      </w:pPr>
    </w:p>
    <w:p>
      <w:pPr>
        <w:ind w:right="280" w:firstLine="8"/>
        <w:spacing w:after="0" w:line="302" w:lineRule="auto"/>
        <w:tabs>
          <w:tab w:leader="none" w:pos="720" w:val="left"/>
        </w:tabs>
        <w:numPr>
          <w:ilvl w:val="0"/>
          <w:numId w:val="61"/>
        </w:numPr>
        <w:rPr>
          <w:rFonts w:ascii="Arial" w:cs="Arial" w:eastAsia="Arial" w:hAnsi="Arial"/>
          <w:sz w:val="16"/>
          <w:szCs w:val="16"/>
          <w:color w:val="auto"/>
        </w:rPr>
      </w:pPr>
      <w:r>
        <w:rPr>
          <w:rFonts w:ascii="Arial" w:cs="Arial" w:eastAsia="Arial" w:hAnsi="Arial"/>
          <w:sz w:val="16"/>
          <w:szCs w:val="16"/>
          <w:u w:val="single" w:color="auto"/>
          <w:color w:val="auto"/>
        </w:rPr>
        <w:t>PERFECTION CERTIFICATE</w:t>
      </w:r>
      <w:r>
        <w:rPr>
          <w:rFonts w:ascii="Arial" w:cs="Arial" w:eastAsia="Arial" w:hAnsi="Arial"/>
          <w:sz w:val="16"/>
          <w:szCs w:val="16"/>
          <w:color w:val="auto"/>
        </w:rPr>
        <w:t>. Borrower hereby ratifies, confirms and reaffirms, all and singular, the terms and disclosures contained in Borrower’s Perfection Certificate dated as of December 30, 2010 as updated by the Perfection Certificate dated March 7, 2010 delivered by Borrower to Agent and the Lenders (the “Perfection Certificate”), and acknowledges, confirms and agrees the disclosures and information Borrower provided to Agent and the Lenders in such Perfection Certificate have not changed, as of the date hereof. On and after the date hereof, the term “Perfection Certificate” in the</w:t>
      </w:r>
    </w:p>
    <w:p>
      <w:pPr>
        <w:sectPr>
          <w:pgSz w:w="11900" w:h="16838" w:orient="portrait"/>
          <w:cols w:equalWidth="0" w:num="1">
            <w:col w:w="11420"/>
          </w:cols>
          <w:pgMar w:left="240" w:top="125" w:right="239" w:bottom="0" w:gutter="0" w:footer="0" w:header="0"/>
        </w:sectPr>
      </w:pPr>
    </w:p>
    <w:bookmarkStart w:id="123" w:name="page124"/>
    <w:bookmarkEnd w:id="123"/>
    <w:p>
      <w:pPr>
        <w:spacing w:after="0" w:line="87" w:lineRule="exact"/>
        <w:rPr>
          <w:sz w:val="20"/>
          <w:szCs w:val="20"/>
          <w:color w:val="auto"/>
        </w:rPr>
      </w:pPr>
    </w:p>
    <w:p>
      <w:pPr>
        <w:ind w:right="180"/>
        <w:spacing w:after="0" w:line="277" w:lineRule="auto"/>
        <w:rPr>
          <w:sz w:val="20"/>
          <w:szCs w:val="20"/>
          <w:color w:val="auto"/>
        </w:rPr>
      </w:pPr>
      <w:r>
        <w:rPr>
          <w:rFonts w:ascii="Arial" w:cs="Arial" w:eastAsia="Arial" w:hAnsi="Arial"/>
          <w:sz w:val="18"/>
          <w:szCs w:val="18"/>
          <w:color w:val="auto"/>
        </w:rPr>
        <w:t>Loan Agreement shall mean Borrower’s Perfection Certificate dated as of December 30, 2010 as updated by the Perfection Certificate dated March 7, 2010 delivered by Borrower to Agent and the Lenders.</w:t>
      </w:r>
    </w:p>
    <w:p>
      <w:pPr>
        <w:spacing w:after="0" w:line="170" w:lineRule="exact"/>
        <w:rPr>
          <w:sz w:val="20"/>
          <w:szCs w:val="20"/>
          <w:color w:val="auto"/>
        </w:rPr>
      </w:pPr>
    </w:p>
    <w:p>
      <w:pPr>
        <w:ind w:firstLine="8"/>
        <w:spacing w:after="0" w:line="289" w:lineRule="auto"/>
        <w:tabs>
          <w:tab w:leader="none" w:pos="720" w:val="left"/>
        </w:tabs>
        <w:numPr>
          <w:ilvl w:val="0"/>
          <w:numId w:val="62"/>
        </w:numPr>
        <w:rPr>
          <w:rFonts w:ascii="Arial" w:cs="Arial" w:eastAsia="Arial" w:hAnsi="Arial"/>
          <w:sz w:val="16"/>
          <w:szCs w:val="16"/>
          <w:color w:val="auto"/>
        </w:rPr>
      </w:pPr>
      <w:r>
        <w:rPr>
          <w:rFonts w:ascii="Arial" w:cs="Arial" w:eastAsia="Arial" w:hAnsi="Arial"/>
          <w:sz w:val="16"/>
          <w:szCs w:val="16"/>
          <w:u w:val="single" w:color="auto"/>
          <w:color w:val="auto"/>
        </w:rPr>
        <w:t>NO DEFENSES OF BORROWER</w:t>
      </w:r>
      <w:r>
        <w:rPr>
          <w:rFonts w:ascii="Arial" w:cs="Arial" w:eastAsia="Arial" w:hAnsi="Arial"/>
          <w:sz w:val="16"/>
          <w:szCs w:val="16"/>
          <w:color w:val="auto"/>
        </w:rPr>
        <w:t>. Borrower and each Guarantor hereby acknowledges and agrees that no Borrower and/or Guarantor has any offsets, defenses, claims, or counterclaims against Agent and/or the Lenders with respect to the Obligations, or otherwise, and that if Borrower now has, or ever did have, any offsets, defenses, claims, or counterclaims against Agent and/or the Lenders, whether known or unknown, at law or in equity, all of them are hereby expressly WAIVED and Borrower hereby RELEASES Agent and/or the Lenders from any liability thereunder. Notwithstanding the generality of the foregoing, Each Borrower and Guarantor waives, releases and agrees (and shall cause each other Borrower and Guarantor to waive, release and agree) not to sue upon any such claim for any special, indirect, consequential or punitive damages, whether or not accrued and whether or not known or suspected to exist in its favor. This provision shall survive the termination of this Agreement. Each Borrower and each Guarantor agrees not to sue upon any such claim for any special, indirect, consequential or punitive damages, whether or not accrued and whether or not known or suspected to exist in its favor. This provision shall survive the termination of this Loan Modification Agreement, the Loan Agreement and the other Loan Documents.</w:t>
      </w:r>
    </w:p>
    <w:p>
      <w:pPr>
        <w:spacing w:after="0" w:line="166" w:lineRule="exact"/>
        <w:rPr>
          <w:rFonts w:ascii="Arial" w:cs="Arial" w:eastAsia="Arial" w:hAnsi="Arial"/>
          <w:sz w:val="16"/>
          <w:szCs w:val="16"/>
          <w:color w:val="auto"/>
        </w:rPr>
      </w:pPr>
    </w:p>
    <w:p>
      <w:pPr>
        <w:ind w:right="20" w:firstLine="8"/>
        <w:spacing w:after="0" w:line="291" w:lineRule="auto"/>
        <w:tabs>
          <w:tab w:leader="none" w:pos="720" w:val="left"/>
        </w:tabs>
        <w:numPr>
          <w:ilvl w:val="0"/>
          <w:numId w:val="62"/>
        </w:numPr>
        <w:rPr>
          <w:rFonts w:ascii="Arial" w:cs="Arial" w:eastAsia="Arial" w:hAnsi="Arial"/>
          <w:sz w:val="16"/>
          <w:szCs w:val="16"/>
          <w:color w:val="auto"/>
        </w:rPr>
      </w:pPr>
      <w:r>
        <w:rPr>
          <w:rFonts w:ascii="Arial" w:cs="Arial" w:eastAsia="Arial" w:hAnsi="Arial"/>
          <w:sz w:val="16"/>
          <w:szCs w:val="16"/>
          <w:u w:val="single" w:color="auto"/>
          <w:color w:val="auto"/>
        </w:rPr>
        <w:t>REPRESENTATIONS AND WARRANTIES</w:t>
      </w:r>
      <w:r>
        <w:rPr>
          <w:rFonts w:ascii="Arial" w:cs="Arial" w:eastAsia="Arial" w:hAnsi="Arial"/>
          <w:sz w:val="16"/>
          <w:szCs w:val="16"/>
          <w:color w:val="auto"/>
        </w:rPr>
        <w:t>. To induce Agent and the Lenders to enter into this Loan Modification Agreement Borrower does hereby warrant, represent and covenant to Agent and Lenders that after giving effect to this Loan Modification Agreement (i) each representation or warranty of Borrower set forth in the Loan Agreement is hereby restated and reaffirmed as true and correct in all material respects on and as of the date of this Loan Modification Agreement as if such representation or warranty were made on and as of the date of this Loan Modification Agreement (except to the extent that any such representation or warranty expressly relates to a prior specific date or period), (ii) no Default or Event of Default has occurred and is continuing as of the date hereof and (iii) Borrower has the power and is duly authorized to enter into, deliver and perform this Loan Modification Agreement and this Loan Modification Agreement is the legal, valid and binding obligation of Borrower enforceable against Borrower in accordance with its terms.</w:t>
      </w:r>
    </w:p>
    <w:p>
      <w:pPr>
        <w:spacing w:after="0" w:line="167" w:lineRule="exact"/>
        <w:rPr>
          <w:rFonts w:ascii="Arial" w:cs="Arial" w:eastAsia="Arial" w:hAnsi="Arial"/>
          <w:sz w:val="16"/>
          <w:szCs w:val="16"/>
          <w:color w:val="auto"/>
        </w:rPr>
      </w:pPr>
    </w:p>
    <w:p>
      <w:pPr>
        <w:ind w:right="80" w:firstLine="8"/>
        <w:spacing w:after="0" w:line="255" w:lineRule="auto"/>
        <w:tabs>
          <w:tab w:leader="none" w:pos="713" w:val="left"/>
        </w:tabs>
        <w:numPr>
          <w:ilvl w:val="0"/>
          <w:numId w:val="62"/>
        </w:numPr>
        <w:rPr>
          <w:rFonts w:ascii="Arial" w:cs="Arial" w:eastAsia="Arial" w:hAnsi="Arial"/>
          <w:sz w:val="18"/>
          <w:szCs w:val="18"/>
          <w:color w:val="auto"/>
        </w:rPr>
      </w:pPr>
      <w:r>
        <w:rPr>
          <w:rFonts w:ascii="Arial" w:cs="Arial" w:eastAsia="Arial" w:hAnsi="Arial"/>
          <w:sz w:val="18"/>
          <w:szCs w:val="18"/>
          <w:u w:val="single" w:color="auto"/>
          <w:color w:val="auto"/>
        </w:rPr>
        <w:t>CONTINUING VALIDITY</w:t>
      </w:r>
      <w:r>
        <w:rPr>
          <w:rFonts w:ascii="Arial" w:cs="Arial" w:eastAsia="Arial" w:hAnsi="Arial"/>
          <w:sz w:val="18"/>
          <w:szCs w:val="18"/>
          <w:color w:val="auto"/>
        </w:rPr>
        <w:t>. Except as expressly modified pursuant to this Loan Modification Agreement, the terms of the Existing Loan Documents remain unchanged and in full force and effect. The Lenders’ agreement to modifications to the existing Obligations pursuant to this Loan Modification Agreement in no way shall obligate Agent or the Lenders to make any future modifications to the Obligations. Nothing in this Loan Modification Agreement shall constitute a satisfaction of the Obligations. It is the intention of Agent, the Lenders and Borrower to retain as liable parties all makers of Existing Loan Documents, unless the party is expressly released by the Lenders in writing. No maker will be released by virtue of this Loan Modification Agreement.</w:t>
      </w:r>
    </w:p>
    <w:p>
      <w:pPr>
        <w:spacing w:after="0" w:line="193" w:lineRule="exact"/>
        <w:rPr>
          <w:rFonts w:ascii="Arial" w:cs="Arial" w:eastAsia="Arial" w:hAnsi="Arial"/>
          <w:sz w:val="18"/>
          <w:szCs w:val="18"/>
          <w:color w:val="auto"/>
        </w:rPr>
      </w:pPr>
    </w:p>
    <w:p>
      <w:pPr>
        <w:ind w:firstLine="8"/>
        <w:spacing w:after="0" w:line="264" w:lineRule="auto"/>
        <w:tabs>
          <w:tab w:leader="none" w:pos="720" w:val="left"/>
        </w:tabs>
        <w:numPr>
          <w:ilvl w:val="0"/>
          <w:numId w:val="62"/>
        </w:numPr>
        <w:rPr>
          <w:rFonts w:ascii="Arial" w:cs="Arial" w:eastAsia="Arial" w:hAnsi="Arial"/>
          <w:sz w:val="18"/>
          <w:szCs w:val="18"/>
          <w:color w:val="auto"/>
        </w:rPr>
      </w:pPr>
      <w:r>
        <w:rPr>
          <w:rFonts w:ascii="Arial" w:cs="Arial" w:eastAsia="Arial" w:hAnsi="Arial"/>
          <w:sz w:val="18"/>
          <w:szCs w:val="18"/>
          <w:u w:val="single" w:color="auto"/>
          <w:color w:val="auto"/>
        </w:rPr>
        <w:t>CONDITION PRECEDENT TO EFFECTIVENESS OF THIS LOAN MODIFICATION AGREEMENT</w:t>
      </w:r>
      <w:r>
        <w:rPr>
          <w:rFonts w:ascii="Arial" w:cs="Arial" w:eastAsia="Arial" w:hAnsi="Arial"/>
          <w:sz w:val="18"/>
          <w:szCs w:val="18"/>
          <w:color w:val="auto"/>
        </w:rPr>
        <w:t>. This Loan Modification Agreement shall become effective as of date referred to above upon the receipt by Agent, in form and substance satisfactory to Agent and Lenders, of each of the following items:</w:t>
      </w:r>
    </w:p>
    <w:p>
      <w:pPr>
        <w:spacing w:after="0" w:line="181" w:lineRule="exact"/>
        <w:rPr>
          <w:rFonts w:ascii="Arial" w:cs="Arial" w:eastAsia="Arial" w:hAnsi="Arial"/>
          <w:sz w:val="18"/>
          <w:szCs w:val="18"/>
          <w:color w:val="auto"/>
        </w:rPr>
      </w:pPr>
    </w:p>
    <w:p>
      <w:pPr>
        <w:ind w:left="1300" w:hanging="644"/>
        <w:spacing w:after="0"/>
        <w:tabs>
          <w:tab w:leader="none" w:pos="1300" w:val="left"/>
        </w:tabs>
        <w:numPr>
          <w:ilvl w:val="1"/>
          <w:numId w:val="62"/>
        </w:numPr>
        <w:rPr>
          <w:rFonts w:ascii="Arial" w:cs="Arial" w:eastAsia="Arial" w:hAnsi="Arial"/>
          <w:sz w:val="18"/>
          <w:szCs w:val="18"/>
          <w:color w:val="auto"/>
        </w:rPr>
      </w:pPr>
      <w:r>
        <w:rPr>
          <w:rFonts w:ascii="Arial" w:cs="Arial" w:eastAsia="Arial" w:hAnsi="Arial"/>
          <w:sz w:val="18"/>
          <w:szCs w:val="18"/>
          <w:color w:val="auto"/>
        </w:rPr>
        <w:t>duly executed original signatures to this Loan Modification;</w:t>
      </w:r>
    </w:p>
    <w:p>
      <w:pPr>
        <w:spacing w:after="0" w:line="225" w:lineRule="exact"/>
        <w:rPr>
          <w:rFonts w:ascii="Arial" w:cs="Arial" w:eastAsia="Arial" w:hAnsi="Arial"/>
          <w:sz w:val="18"/>
          <w:szCs w:val="18"/>
          <w:color w:val="auto"/>
        </w:rPr>
      </w:pPr>
    </w:p>
    <w:p>
      <w:pPr>
        <w:ind w:left="1300" w:right="460" w:hanging="644"/>
        <w:spacing w:after="0" w:line="277" w:lineRule="auto"/>
        <w:tabs>
          <w:tab w:leader="none" w:pos="1316" w:val="left"/>
        </w:tabs>
        <w:numPr>
          <w:ilvl w:val="1"/>
          <w:numId w:val="62"/>
        </w:numPr>
        <w:rPr>
          <w:rFonts w:ascii="Arial" w:cs="Arial" w:eastAsia="Arial" w:hAnsi="Arial"/>
          <w:sz w:val="18"/>
          <w:szCs w:val="18"/>
          <w:color w:val="auto"/>
        </w:rPr>
      </w:pPr>
      <w:r>
        <w:rPr>
          <w:rFonts w:ascii="Arial" w:cs="Arial" w:eastAsia="Arial" w:hAnsi="Arial"/>
          <w:sz w:val="18"/>
          <w:szCs w:val="18"/>
          <w:color w:val="auto"/>
        </w:rPr>
        <w:t>re-delivery or supplemental delivery of the items required by the following sections of the Loan Agreement to the extent necessary to reasonably address changes since the Effective Date, each in</w:t>
      </w:r>
    </w:p>
    <w:p>
      <w:pPr>
        <w:spacing w:after="0" w:line="17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form and substance reasonably satisfactory to Agent and the Lenders: 3.1(c), (d), (e), (f), (g), (h), and (n).</w:t>
      </w:r>
    </w:p>
    <w:p>
      <w:pPr>
        <w:spacing w:after="0" w:line="225" w:lineRule="exact"/>
        <w:rPr>
          <w:sz w:val="20"/>
          <w:szCs w:val="20"/>
          <w:color w:val="auto"/>
        </w:rPr>
      </w:pPr>
    </w:p>
    <w:p>
      <w:pPr>
        <w:ind w:right="20" w:firstLine="8"/>
        <w:spacing w:after="0" w:line="277" w:lineRule="auto"/>
        <w:tabs>
          <w:tab w:leader="none" w:pos="720" w:val="left"/>
        </w:tabs>
        <w:numPr>
          <w:ilvl w:val="0"/>
          <w:numId w:val="63"/>
        </w:numPr>
        <w:rPr>
          <w:rFonts w:ascii="Arial" w:cs="Arial" w:eastAsia="Arial" w:hAnsi="Arial"/>
          <w:sz w:val="18"/>
          <w:szCs w:val="18"/>
          <w:color w:val="auto"/>
        </w:rPr>
      </w:pPr>
      <w:r>
        <w:rPr>
          <w:rFonts w:ascii="Arial" w:cs="Arial" w:eastAsia="Arial" w:hAnsi="Arial"/>
          <w:sz w:val="18"/>
          <w:szCs w:val="18"/>
          <w:u w:val="single" w:color="auto"/>
          <w:color w:val="auto"/>
        </w:rPr>
        <w:t>COUNTERPARTS</w:t>
      </w:r>
      <w:r>
        <w:rPr>
          <w:rFonts w:ascii="Arial" w:cs="Arial" w:eastAsia="Arial" w:hAnsi="Arial"/>
          <w:sz w:val="18"/>
          <w:szCs w:val="18"/>
          <w:color w:val="auto"/>
        </w:rPr>
        <w:t>. This Loan Modification Agreement may be executed in multiple counterparts, each of which shall be deemed to be an original and all of which when taken together shall constitute one and the same instrument.</w:t>
      </w:r>
    </w:p>
    <w:p>
      <w:pPr>
        <w:spacing w:after="0" w:line="170" w:lineRule="exact"/>
        <w:rPr>
          <w:rFonts w:ascii="Arial" w:cs="Arial" w:eastAsia="Arial" w:hAnsi="Arial"/>
          <w:sz w:val="18"/>
          <w:szCs w:val="18"/>
          <w:color w:val="auto"/>
        </w:rPr>
      </w:pPr>
    </w:p>
    <w:p>
      <w:pPr>
        <w:ind w:right="220" w:firstLine="8"/>
        <w:spacing w:after="0" w:line="264" w:lineRule="auto"/>
        <w:tabs>
          <w:tab w:leader="none" w:pos="720" w:val="left"/>
        </w:tabs>
        <w:numPr>
          <w:ilvl w:val="0"/>
          <w:numId w:val="63"/>
        </w:numPr>
        <w:rPr>
          <w:rFonts w:ascii="Arial" w:cs="Arial" w:eastAsia="Arial" w:hAnsi="Arial"/>
          <w:sz w:val="18"/>
          <w:szCs w:val="18"/>
          <w:color w:val="auto"/>
        </w:rPr>
      </w:pPr>
      <w:r>
        <w:rPr>
          <w:rFonts w:ascii="Arial" w:cs="Arial" w:eastAsia="Arial" w:hAnsi="Arial"/>
          <w:sz w:val="18"/>
          <w:szCs w:val="18"/>
          <w:u w:val="single" w:color="auto"/>
          <w:color w:val="auto"/>
        </w:rPr>
        <w:t>GOVERNING LAW</w:t>
      </w:r>
      <w:r>
        <w:rPr>
          <w:rFonts w:ascii="Arial" w:cs="Arial" w:eastAsia="Arial" w:hAnsi="Arial"/>
          <w:sz w:val="18"/>
          <w:szCs w:val="18"/>
          <w:color w:val="auto"/>
        </w:rPr>
        <w:t>. THIS LOAN MODIFICATION AGREEMENT SHALL BE GOVERNED BY, AND CONSTRUED IN ACCORDANCE WITH, THE INTERNAL LAWS OF THE STATE OF MARYLAND APPLICABLE TO CONTRACTS MADE AND PERFORMED IN SUCH STATE WITHOUT REGARD TO THE PRINCIPLES THEREOF REGARDING CONFLICTS OF LAWS.</w:t>
      </w:r>
    </w:p>
    <w:p>
      <w:pPr>
        <w:spacing w:after="0" w:line="181" w:lineRule="exact"/>
        <w:rPr>
          <w:rFonts w:ascii="Arial" w:cs="Arial" w:eastAsia="Arial" w:hAnsi="Arial"/>
          <w:sz w:val="18"/>
          <w:szCs w:val="18"/>
          <w:color w:val="auto"/>
        </w:rPr>
      </w:pPr>
    </w:p>
    <w:p>
      <w:pPr>
        <w:jc w:val="both"/>
        <w:ind w:right="340" w:firstLine="8"/>
        <w:spacing w:after="0" w:line="264" w:lineRule="auto"/>
        <w:tabs>
          <w:tab w:leader="none" w:pos="720" w:val="left"/>
        </w:tabs>
        <w:numPr>
          <w:ilvl w:val="0"/>
          <w:numId w:val="63"/>
        </w:numPr>
        <w:rPr>
          <w:rFonts w:ascii="Arial" w:cs="Arial" w:eastAsia="Arial" w:hAnsi="Arial"/>
          <w:sz w:val="18"/>
          <w:szCs w:val="18"/>
          <w:color w:val="auto"/>
        </w:rPr>
      </w:pPr>
      <w:r>
        <w:rPr>
          <w:rFonts w:ascii="Arial" w:cs="Arial" w:eastAsia="Arial" w:hAnsi="Arial"/>
          <w:sz w:val="18"/>
          <w:szCs w:val="18"/>
          <w:u w:val="single" w:color="auto"/>
          <w:color w:val="auto"/>
        </w:rPr>
        <w:t>ENTIRE AGREEMENT</w:t>
      </w:r>
      <w:r>
        <w:rPr>
          <w:rFonts w:ascii="Arial" w:cs="Arial" w:eastAsia="Arial" w:hAnsi="Arial"/>
          <w:sz w:val="18"/>
          <w:szCs w:val="18"/>
          <w:color w:val="auto"/>
        </w:rPr>
        <w:t>. The Existing Loan Documents as and when amended through this Loan Modification Agreement embody the entire agreement between the parties hereto relating to the subject matter thereof and supersede all prior agreements, representations and understandings, if any, relating to the subject matter thereof.</w:t>
      </w:r>
    </w:p>
    <w:p>
      <w:pPr>
        <w:spacing w:after="0" w:line="181"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[Remainder of Page Intentionally Left Blank —</w:t>
      </w:r>
    </w:p>
    <w:p>
      <w:pPr>
        <w:spacing w:after="0" w:line="2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Signature Page(s) to Follow.]</w:t>
      </w:r>
    </w:p>
    <w:p>
      <w:pPr>
        <w:spacing w:after="0" w:line="21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660"/>
        <w:spacing w:after="0"/>
        <w:rPr>
          <w:sz w:val="20"/>
          <w:szCs w:val="20"/>
          <w:color w:val="auto"/>
        </w:rPr>
      </w:pPr>
      <w:r>
        <w:rPr>
          <w:rFonts w:ascii="Arial" w:cs="Arial" w:eastAsia="Arial" w:hAnsi="Arial"/>
          <w:sz w:val="17"/>
          <w:szCs w:val="17"/>
          <w:color w:val="auto"/>
        </w:rPr>
        <w:t>IN WITNESS WHEREOF, the parties hereto have caused this Loan Modification Agreement to be executed as of the date first written above.</w:t>
      </w:r>
    </w:p>
    <w:p>
      <w:pPr>
        <w:spacing w:after="0" w:line="200" w:lineRule="exact"/>
        <w:rPr>
          <w:sz w:val="20"/>
          <w:szCs w:val="20"/>
          <w:color w:val="auto"/>
        </w:rPr>
      </w:pPr>
    </w:p>
    <w:p>
      <w:pPr>
        <w:spacing w:after="0" w:line="24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BORROWER</w:t>
      </w:r>
      <w:r>
        <w:rPr>
          <w:rFonts w:ascii="Arial" w:cs="Arial" w:eastAsia="Arial" w:hAnsi="Arial"/>
          <w:sz w:val="18"/>
          <w:szCs w:val="18"/>
          <w:color w:val="auto"/>
        </w:rPr>
        <w: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CELLDEX THERAPEUTICS, INC.</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760" w:type="dxa"/>
            <w:vAlign w:val="bottom"/>
          </w:tcPr>
          <w:p>
            <w:pPr>
              <w:spacing w:after="0"/>
              <w:rPr>
                <w:sz w:val="20"/>
                <w:szCs w:val="20"/>
                <w:color w:val="auto"/>
              </w:rPr>
            </w:pPr>
            <w:r>
              <w:rPr>
                <w:rFonts w:ascii="Arial" w:cs="Arial" w:eastAsia="Arial" w:hAnsi="Arial"/>
                <w:sz w:val="18"/>
                <w:szCs w:val="18"/>
                <w:color w:val="auto"/>
              </w:rPr>
              <w:t>By</w:t>
            </w:r>
          </w:p>
        </w:tc>
        <w:tc>
          <w:tcPr>
            <w:tcW w:w="49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Anthony S. Marucci</w:t>
            </w:r>
          </w:p>
        </w:tc>
      </w:tr>
      <w:tr>
        <w:trPr>
          <w:trHeight w:val="195"/>
        </w:trPr>
        <w:tc>
          <w:tcPr>
            <w:tcW w:w="760" w:type="dxa"/>
            <w:vAlign w:val="bottom"/>
          </w:tcPr>
          <w:p>
            <w:pPr>
              <w:spacing w:after="0" w:line="195" w:lineRule="exact"/>
              <w:rPr>
                <w:sz w:val="20"/>
                <w:szCs w:val="20"/>
                <w:color w:val="auto"/>
              </w:rPr>
            </w:pPr>
            <w:r>
              <w:rPr>
                <w:rFonts w:ascii="Arial" w:cs="Arial" w:eastAsia="Arial" w:hAnsi="Arial"/>
                <w:sz w:val="18"/>
                <w:szCs w:val="18"/>
                <w:color w:val="auto"/>
              </w:rPr>
              <w:t>Name:</w:t>
            </w:r>
          </w:p>
        </w:tc>
        <w:tc>
          <w:tcPr>
            <w:tcW w:w="4940" w:type="dxa"/>
            <w:vAlign w:val="bottom"/>
          </w:tcPr>
          <w:p>
            <w:pPr>
              <w:spacing w:after="0" w:line="195" w:lineRule="exact"/>
              <w:rPr>
                <w:sz w:val="20"/>
                <w:szCs w:val="20"/>
                <w:color w:val="auto"/>
              </w:rPr>
            </w:pPr>
            <w:r>
              <w:rPr>
                <w:rFonts w:ascii="Arial" w:cs="Arial" w:eastAsia="Arial" w:hAnsi="Arial"/>
                <w:sz w:val="18"/>
                <w:szCs w:val="18"/>
                <w:color w:val="auto"/>
              </w:rPr>
              <w:t>Anthony S. Marucci</w:t>
            </w:r>
          </w:p>
        </w:tc>
      </w:tr>
      <w:tr>
        <w:trPr>
          <w:trHeight w:val="230"/>
        </w:trPr>
        <w:tc>
          <w:tcPr>
            <w:tcW w:w="760" w:type="dxa"/>
            <w:vAlign w:val="bottom"/>
          </w:tcPr>
          <w:p>
            <w:pPr>
              <w:spacing w:after="0"/>
              <w:rPr>
                <w:sz w:val="20"/>
                <w:szCs w:val="20"/>
                <w:color w:val="auto"/>
              </w:rPr>
            </w:pPr>
            <w:r>
              <w:rPr>
                <w:rFonts w:ascii="Arial" w:cs="Arial" w:eastAsia="Arial" w:hAnsi="Arial"/>
                <w:sz w:val="18"/>
                <w:szCs w:val="18"/>
                <w:color w:val="auto"/>
              </w:rPr>
              <w:t>Title:</w:t>
            </w:r>
          </w:p>
        </w:tc>
        <w:tc>
          <w:tcPr>
            <w:tcW w:w="4940" w:type="dxa"/>
            <w:vAlign w:val="bottom"/>
          </w:tcPr>
          <w:p>
            <w:pPr>
              <w:spacing w:after="0"/>
              <w:rPr>
                <w:sz w:val="20"/>
                <w:szCs w:val="20"/>
                <w:color w:val="auto"/>
              </w:rPr>
            </w:pPr>
            <w:r>
              <w:rPr>
                <w:rFonts w:ascii="Arial" w:cs="Arial" w:eastAsia="Arial" w:hAnsi="Arial"/>
                <w:sz w:val="18"/>
                <w:szCs w:val="18"/>
                <w:color w:val="auto"/>
              </w:rPr>
              <w:t>President and Chief Executive Officer</w:t>
            </w:r>
          </w:p>
        </w:tc>
      </w:tr>
      <w:tr>
        <w:trPr>
          <w:trHeight w:val="432"/>
        </w:trPr>
        <w:tc>
          <w:tcPr>
            <w:tcW w:w="5700" w:type="dxa"/>
            <w:vAlign w:val="bottom"/>
            <w:gridSpan w:val="2"/>
          </w:tcPr>
          <w:p>
            <w:pPr>
              <w:spacing w:after="0"/>
              <w:rPr>
                <w:sz w:val="20"/>
                <w:szCs w:val="20"/>
                <w:color w:val="auto"/>
              </w:rPr>
            </w:pPr>
            <w:r>
              <w:rPr>
                <w:rFonts w:ascii="Arial" w:cs="Arial" w:eastAsia="Arial" w:hAnsi="Arial"/>
                <w:sz w:val="18"/>
                <w:szCs w:val="18"/>
                <w:b w:val="1"/>
                <w:bCs w:val="1"/>
                <w:color w:val="auto"/>
              </w:rPr>
              <w:t>CELLDEX RESEARCH CORPORATION</w:t>
            </w:r>
          </w:p>
        </w:tc>
      </w:tr>
      <w:tr>
        <w:trPr>
          <w:trHeight w:val="432"/>
        </w:trPr>
        <w:tc>
          <w:tcPr>
            <w:tcW w:w="760" w:type="dxa"/>
            <w:vAlign w:val="bottom"/>
          </w:tcPr>
          <w:p>
            <w:pPr>
              <w:spacing w:after="0"/>
              <w:rPr>
                <w:sz w:val="20"/>
                <w:szCs w:val="20"/>
                <w:color w:val="auto"/>
              </w:rPr>
            </w:pPr>
            <w:r>
              <w:rPr>
                <w:rFonts w:ascii="Arial" w:cs="Arial" w:eastAsia="Arial" w:hAnsi="Arial"/>
                <w:sz w:val="18"/>
                <w:szCs w:val="18"/>
                <w:color w:val="auto"/>
              </w:rPr>
              <w:t>By</w:t>
            </w:r>
          </w:p>
        </w:tc>
        <w:tc>
          <w:tcPr>
            <w:tcW w:w="49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Anthony S. Marucci</w:t>
            </w:r>
          </w:p>
        </w:tc>
      </w:tr>
      <w:tr>
        <w:trPr>
          <w:trHeight w:val="210"/>
        </w:trPr>
        <w:tc>
          <w:tcPr>
            <w:tcW w:w="760" w:type="dxa"/>
            <w:vAlign w:val="bottom"/>
          </w:tcPr>
          <w:p>
            <w:pPr>
              <w:spacing w:after="0"/>
              <w:rPr>
                <w:sz w:val="20"/>
                <w:szCs w:val="20"/>
                <w:color w:val="auto"/>
              </w:rPr>
            </w:pPr>
            <w:r>
              <w:rPr>
                <w:rFonts w:ascii="Arial" w:cs="Arial" w:eastAsia="Arial" w:hAnsi="Arial"/>
                <w:sz w:val="18"/>
                <w:szCs w:val="18"/>
                <w:color w:val="auto"/>
              </w:rPr>
              <w:t>Name:</w:t>
            </w:r>
          </w:p>
        </w:tc>
        <w:tc>
          <w:tcPr>
            <w:tcW w:w="4940" w:type="dxa"/>
            <w:vAlign w:val="bottom"/>
          </w:tcPr>
          <w:p>
            <w:pPr>
              <w:spacing w:after="0"/>
              <w:rPr>
                <w:sz w:val="18"/>
                <w:szCs w:val="18"/>
                <w:color w:val="auto"/>
              </w:rPr>
            </w:pPr>
          </w:p>
        </w:tc>
      </w:tr>
    </w:tbl>
    <w:p>
      <w:pPr>
        <w:sectPr>
          <w:pgSz w:w="11900" w:h="16925" w:orient="portrait"/>
          <w:cols w:equalWidth="0" w:num="1">
            <w:col w:w="11380"/>
          </w:cols>
          <w:pgMar w:left="240" w:top="125" w:right="279" w:bottom="0" w:gutter="0" w:footer="0" w:header="0"/>
        </w:sectPr>
      </w:pPr>
    </w:p>
    <w:bookmarkStart w:id="124" w:name="page125"/>
    <w:bookmarkEnd w:id="124"/>
    <w:p>
      <w:pPr>
        <w:spacing w:after="0" w:line="216" w:lineRule="exact"/>
        <w:rPr>
          <w:sz w:val="20"/>
          <w:szCs w:val="20"/>
          <w:color w:val="auto"/>
        </w:rPr>
      </w:pPr>
    </w:p>
    <w:p>
      <w:pPr>
        <w:spacing w:after="0"/>
        <w:rPr>
          <w:sz w:val="20"/>
          <w:szCs w:val="20"/>
          <w:color w:val="auto"/>
        </w:rPr>
      </w:pPr>
      <w:r>
        <w:rPr>
          <w:rFonts w:ascii="Arial" w:cs="Arial" w:eastAsia="Arial" w:hAnsi="Arial"/>
          <w:sz w:val="18"/>
          <w:szCs w:val="18"/>
          <w:color w:val="auto"/>
        </w:rPr>
        <w:t>Title: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8"/>
          <w:szCs w:val="18"/>
          <w:color w:val="auto"/>
        </w:rPr>
        <w:t>Anthony S. Marucci</w:t>
      </w:r>
    </w:p>
    <w:p>
      <w:pPr>
        <w:spacing w:after="0" w:line="23" w:lineRule="exact"/>
        <w:rPr>
          <w:sz w:val="20"/>
          <w:szCs w:val="20"/>
          <w:color w:val="auto"/>
        </w:rPr>
      </w:pPr>
    </w:p>
    <w:p>
      <w:pPr>
        <w:spacing w:after="0"/>
        <w:rPr>
          <w:sz w:val="20"/>
          <w:szCs w:val="20"/>
          <w:color w:val="auto"/>
        </w:rPr>
      </w:pPr>
      <w:r>
        <w:rPr>
          <w:rFonts w:ascii="Arial" w:cs="Arial" w:eastAsia="Arial" w:hAnsi="Arial"/>
          <w:sz w:val="16"/>
          <w:szCs w:val="16"/>
          <w:color w:val="auto"/>
        </w:rPr>
        <w:t>President and Chief Executive Officer</w:t>
      </w:r>
    </w:p>
    <w:p>
      <w:pPr>
        <w:spacing w:after="0" w:line="208" w:lineRule="exact"/>
        <w:rPr>
          <w:sz w:val="20"/>
          <w:szCs w:val="20"/>
          <w:color w:val="auto"/>
        </w:rPr>
      </w:pPr>
    </w:p>
    <w:p>
      <w:pPr>
        <w:sectPr>
          <w:pgSz w:w="11900" w:h="16838" w:orient="portrait"/>
          <w:cols w:equalWidth="0" w:num="2">
            <w:col w:w="400" w:space="360"/>
            <w:col w:w="10700"/>
          </w:cols>
          <w:pgMar w:left="240" w:top="125" w:right="199" w:bottom="1440" w:gutter="0" w:footer="0" w:header="0"/>
        </w:sectPr>
      </w:pPr>
    </w:p>
    <w:p>
      <w:pPr>
        <w:spacing w:after="0" w:line="23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AGENT</w:t>
      </w:r>
      <w:r>
        <w:rPr>
          <w:rFonts w:ascii="Arial" w:cs="Arial" w:eastAsia="Arial" w:hAnsi="Arial"/>
          <w:sz w:val="18"/>
          <w:szCs w:val="18"/>
          <w:color w:val="auto"/>
        </w:rPr>
        <w: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MIDCAP FUNDING V, LLC, as Agent</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760" w:type="dxa"/>
            <w:vAlign w:val="bottom"/>
          </w:tcPr>
          <w:p>
            <w:pPr>
              <w:spacing w:after="0"/>
              <w:rPr>
                <w:sz w:val="20"/>
                <w:szCs w:val="20"/>
                <w:color w:val="auto"/>
              </w:rPr>
            </w:pPr>
            <w:r>
              <w:rPr>
                <w:rFonts w:ascii="Arial" w:cs="Arial" w:eastAsia="Arial" w:hAnsi="Arial"/>
                <w:sz w:val="18"/>
                <w:szCs w:val="18"/>
                <w:color w:val="auto"/>
              </w:rPr>
              <w:t>By</w:t>
            </w:r>
          </w:p>
        </w:tc>
        <w:tc>
          <w:tcPr>
            <w:tcW w:w="49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Luis Viera</w:t>
            </w:r>
          </w:p>
        </w:tc>
      </w:tr>
      <w:tr>
        <w:trPr>
          <w:trHeight w:val="195"/>
        </w:trPr>
        <w:tc>
          <w:tcPr>
            <w:tcW w:w="760" w:type="dxa"/>
            <w:vAlign w:val="bottom"/>
          </w:tcPr>
          <w:p>
            <w:pPr>
              <w:spacing w:after="0" w:line="195" w:lineRule="exact"/>
              <w:rPr>
                <w:sz w:val="20"/>
                <w:szCs w:val="20"/>
                <w:color w:val="auto"/>
              </w:rPr>
            </w:pPr>
            <w:r>
              <w:rPr>
                <w:rFonts w:ascii="Arial" w:cs="Arial" w:eastAsia="Arial" w:hAnsi="Arial"/>
                <w:sz w:val="18"/>
                <w:szCs w:val="18"/>
                <w:color w:val="auto"/>
              </w:rPr>
              <w:t>Name:</w:t>
            </w:r>
          </w:p>
        </w:tc>
        <w:tc>
          <w:tcPr>
            <w:tcW w:w="4940" w:type="dxa"/>
            <w:vAlign w:val="bottom"/>
          </w:tcPr>
          <w:p>
            <w:pPr>
              <w:spacing w:after="0" w:line="195" w:lineRule="exact"/>
              <w:rPr>
                <w:sz w:val="20"/>
                <w:szCs w:val="20"/>
                <w:color w:val="auto"/>
              </w:rPr>
            </w:pPr>
            <w:r>
              <w:rPr>
                <w:rFonts w:ascii="Arial" w:cs="Arial" w:eastAsia="Arial" w:hAnsi="Arial"/>
                <w:sz w:val="18"/>
                <w:szCs w:val="18"/>
                <w:color w:val="auto"/>
              </w:rPr>
              <w:t>Luis Viera</w:t>
            </w:r>
          </w:p>
        </w:tc>
      </w:tr>
      <w:tr>
        <w:trPr>
          <w:trHeight w:val="230"/>
        </w:trPr>
        <w:tc>
          <w:tcPr>
            <w:tcW w:w="760" w:type="dxa"/>
            <w:vAlign w:val="bottom"/>
          </w:tcPr>
          <w:p>
            <w:pPr>
              <w:spacing w:after="0"/>
              <w:rPr>
                <w:sz w:val="20"/>
                <w:szCs w:val="20"/>
                <w:color w:val="auto"/>
              </w:rPr>
            </w:pPr>
            <w:r>
              <w:rPr>
                <w:rFonts w:ascii="Arial" w:cs="Arial" w:eastAsia="Arial" w:hAnsi="Arial"/>
                <w:sz w:val="18"/>
                <w:szCs w:val="18"/>
                <w:color w:val="auto"/>
              </w:rPr>
              <w:t>Title:</w:t>
            </w:r>
          </w:p>
        </w:tc>
        <w:tc>
          <w:tcPr>
            <w:tcW w:w="4940" w:type="dxa"/>
            <w:vAlign w:val="bottom"/>
          </w:tcPr>
          <w:p>
            <w:pPr>
              <w:spacing w:after="0"/>
              <w:rPr>
                <w:sz w:val="20"/>
                <w:szCs w:val="20"/>
                <w:color w:val="auto"/>
              </w:rPr>
            </w:pPr>
            <w:r>
              <w:rPr>
                <w:rFonts w:ascii="Arial" w:cs="Arial" w:eastAsia="Arial" w:hAnsi="Arial"/>
                <w:sz w:val="18"/>
                <w:szCs w:val="18"/>
                <w:color w:val="auto"/>
              </w:rPr>
              <w:t>Managing Director</w:t>
            </w:r>
          </w:p>
        </w:tc>
      </w:tr>
    </w:tbl>
    <w:p>
      <w:pPr>
        <w:spacing w:after="0" w:line="200" w:lineRule="exact"/>
        <w:rPr>
          <w:sz w:val="20"/>
          <w:szCs w:val="20"/>
          <w:color w:val="auto"/>
        </w:rPr>
      </w:pP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LENDERS: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MIDCAP FUNDING V, LLC, as a Lender</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760" w:type="dxa"/>
            <w:vAlign w:val="bottom"/>
          </w:tcPr>
          <w:p>
            <w:pPr>
              <w:spacing w:after="0"/>
              <w:rPr>
                <w:sz w:val="20"/>
                <w:szCs w:val="20"/>
                <w:color w:val="auto"/>
              </w:rPr>
            </w:pPr>
            <w:r>
              <w:rPr>
                <w:rFonts w:ascii="Arial" w:cs="Arial" w:eastAsia="Arial" w:hAnsi="Arial"/>
                <w:sz w:val="18"/>
                <w:szCs w:val="18"/>
                <w:color w:val="auto"/>
              </w:rPr>
              <w:t>By</w:t>
            </w:r>
          </w:p>
        </w:tc>
        <w:tc>
          <w:tcPr>
            <w:tcW w:w="49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Luis Viera</w:t>
            </w:r>
          </w:p>
        </w:tc>
      </w:tr>
      <w:tr>
        <w:trPr>
          <w:trHeight w:val="195"/>
        </w:trPr>
        <w:tc>
          <w:tcPr>
            <w:tcW w:w="760" w:type="dxa"/>
            <w:vAlign w:val="bottom"/>
          </w:tcPr>
          <w:p>
            <w:pPr>
              <w:spacing w:after="0" w:line="195" w:lineRule="exact"/>
              <w:rPr>
                <w:sz w:val="20"/>
                <w:szCs w:val="20"/>
                <w:color w:val="auto"/>
              </w:rPr>
            </w:pPr>
            <w:r>
              <w:rPr>
                <w:rFonts w:ascii="Arial" w:cs="Arial" w:eastAsia="Arial" w:hAnsi="Arial"/>
                <w:sz w:val="18"/>
                <w:szCs w:val="18"/>
                <w:color w:val="auto"/>
              </w:rPr>
              <w:t>Name:</w:t>
            </w:r>
          </w:p>
        </w:tc>
        <w:tc>
          <w:tcPr>
            <w:tcW w:w="4940" w:type="dxa"/>
            <w:vAlign w:val="bottom"/>
          </w:tcPr>
          <w:p>
            <w:pPr>
              <w:spacing w:after="0" w:line="195" w:lineRule="exact"/>
              <w:rPr>
                <w:sz w:val="20"/>
                <w:szCs w:val="20"/>
                <w:color w:val="auto"/>
              </w:rPr>
            </w:pPr>
            <w:r>
              <w:rPr>
                <w:rFonts w:ascii="Arial" w:cs="Arial" w:eastAsia="Arial" w:hAnsi="Arial"/>
                <w:sz w:val="18"/>
                <w:szCs w:val="18"/>
                <w:color w:val="auto"/>
              </w:rPr>
              <w:t>Luis Viera</w:t>
            </w:r>
          </w:p>
        </w:tc>
      </w:tr>
      <w:tr>
        <w:trPr>
          <w:trHeight w:val="230"/>
        </w:trPr>
        <w:tc>
          <w:tcPr>
            <w:tcW w:w="760" w:type="dxa"/>
            <w:vAlign w:val="bottom"/>
          </w:tcPr>
          <w:p>
            <w:pPr>
              <w:spacing w:after="0"/>
              <w:rPr>
                <w:sz w:val="20"/>
                <w:szCs w:val="20"/>
                <w:color w:val="auto"/>
              </w:rPr>
            </w:pPr>
            <w:r>
              <w:rPr>
                <w:rFonts w:ascii="Arial" w:cs="Arial" w:eastAsia="Arial" w:hAnsi="Arial"/>
                <w:sz w:val="18"/>
                <w:szCs w:val="18"/>
                <w:color w:val="auto"/>
              </w:rPr>
              <w:t>Title:</w:t>
            </w:r>
          </w:p>
        </w:tc>
        <w:tc>
          <w:tcPr>
            <w:tcW w:w="4940" w:type="dxa"/>
            <w:vAlign w:val="bottom"/>
          </w:tcPr>
          <w:p>
            <w:pPr>
              <w:spacing w:after="0"/>
              <w:rPr>
                <w:sz w:val="20"/>
                <w:szCs w:val="20"/>
                <w:color w:val="auto"/>
              </w:rPr>
            </w:pPr>
            <w:r>
              <w:rPr>
                <w:rFonts w:ascii="Arial" w:cs="Arial" w:eastAsia="Arial" w:hAnsi="Arial"/>
                <w:sz w:val="18"/>
                <w:szCs w:val="18"/>
                <w:color w:val="auto"/>
              </w:rPr>
              <w:t>Managing Director</w:t>
            </w:r>
          </w:p>
        </w:tc>
      </w:tr>
    </w:tbl>
    <w:p>
      <w:pPr>
        <w:spacing w:after="0" w:line="200" w:lineRule="exact"/>
        <w:rPr>
          <w:sz w:val="20"/>
          <w:szCs w:val="20"/>
          <w:color w:val="auto"/>
        </w:rPr>
      </w:pP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GENERAL ELECTRIC CAPITAL CORPORATION, as a Lender</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760" w:type="dxa"/>
            <w:vAlign w:val="bottom"/>
          </w:tcPr>
          <w:p>
            <w:pPr>
              <w:spacing w:after="0"/>
              <w:rPr>
                <w:sz w:val="20"/>
                <w:szCs w:val="20"/>
                <w:color w:val="auto"/>
              </w:rPr>
            </w:pPr>
            <w:r>
              <w:rPr>
                <w:rFonts w:ascii="Arial" w:cs="Arial" w:eastAsia="Arial" w:hAnsi="Arial"/>
                <w:sz w:val="18"/>
                <w:szCs w:val="18"/>
                <w:color w:val="auto"/>
              </w:rPr>
              <w:t>By</w:t>
            </w:r>
          </w:p>
        </w:tc>
        <w:tc>
          <w:tcPr>
            <w:tcW w:w="49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R. Hanes Whiteley</w:t>
            </w:r>
          </w:p>
        </w:tc>
        <w:tc>
          <w:tcPr>
            <w:tcW w:w="5760" w:type="dxa"/>
            <w:vAlign w:val="bottom"/>
          </w:tcPr>
          <w:p>
            <w:pPr>
              <w:spacing w:after="0"/>
              <w:rPr>
                <w:sz w:val="20"/>
                <w:szCs w:val="20"/>
                <w:color w:val="auto"/>
              </w:rPr>
            </w:pPr>
          </w:p>
        </w:tc>
      </w:tr>
      <w:tr>
        <w:trPr>
          <w:trHeight w:val="195"/>
        </w:trPr>
        <w:tc>
          <w:tcPr>
            <w:tcW w:w="760" w:type="dxa"/>
            <w:vAlign w:val="bottom"/>
          </w:tcPr>
          <w:p>
            <w:pPr>
              <w:spacing w:after="0" w:line="195" w:lineRule="exact"/>
              <w:rPr>
                <w:sz w:val="20"/>
                <w:szCs w:val="20"/>
                <w:color w:val="auto"/>
              </w:rPr>
            </w:pPr>
            <w:r>
              <w:rPr>
                <w:rFonts w:ascii="Arial" w:cs="Arial" w:eastAsia="Arial" w:hAnsi="Arial"/>
                <w:sz w:val="18"/>
                <w:szCs w:val="18"/>
                <w:color w:val="auto"/>
              </w:rPr>
              <w:t>Name:</w:t>
            </w:r>
          </w:p>
        </w:tc>
        <w:tc>
          <w:tcPr>
            <w:tcW w:w="4940" w:type="dxa"/>
            <w:vAlign w:val="bottom"/>
          </w:tcPr>
          <w:p>
            <w:pPr>
              <w:spacing w:after="0" w:line="195" w:lineRule="exact"/>
              <w:rPr>
                <w:sz w:val="20"/>
                <w:szCs w:val="20"/>
                <w:color w:val="auto"/>
              </w:rPr>
            </w:pPr>
            <w:r>
              <w:rPr>
                <w:rFonts w:ascii="Arial" w:cs="Arial" w:eastAsia="Arial" w:hAnsi="Arial"/>
                <w:sz w:val="18"/>
                <w:szCs w:val="18"/>
                <w:color w:val="auto"/>
              </w:rPr>
              <w:t>R. Hanes Whiteley</w:t>
            </w:r>
          </w:p>
        </w:tc>
        <w:tc>
          <w:tcPr>
            <w:tcW w:w="5760" w:type="dxa"/>
            <w:vAlign w:val="bottom"/>
          </w:tcPr>
          <w:p>
            <w:pPr>
              <w:spacing w:after="0"/>
              <w:rPr>
                <w:sz w:val="16"/>
                <w:szCs w:val="16"/>
                <w:color w:val="auto"/>
              </w:rPr>
            </w:pPr>
          </w:p>
        </w:tc>
      </w:tr>
      <w:tr>
        <w:trPr>
          <w:trHeight w:val="230"/>
        </w:trPr>
        <w:tc>
          <w:tcPr>
            <w:tcW w:w="760" w:type="dxa"/>
            <w:vAlign w:val="bottom"/>
          </w:tcPr>
          <w:p>
            <w:pPr>
              <w:spacing w:after="0"/>
              <w:rPr>
                <w:sz w:val="20"/>
                <w:szCs w:val="20"/>
                <w:color w:val="auto"/>
              </w:rPr>
            </w:pPr>
            <w:r>
              <w:rPr>
                <w:rFonts w:ascii="Arial" w:cs="Arial" w:eastAsia="Arial" w:hAnsi="Arial"/>
                <w:sz w:val="18"/>
                <w:szCs w:val="18"/>
                <w:color w:val="auto"/>
              </w:rPr>
              <w:t>Title:</w:t>
            </w:r>
          </w:p>
        </w:tc>
        <w:tc>
          <w:tcPr>
            <w:tcW w:w="4940" w:type="dxa"/>
            <w:vAlign w:val="bottom"/>
          </w:tcPr>
          <w:p>
            <w:pPr>
              <w:spacing w:after="0"/>
              <w:rPr>
                <w:sz w:val="20"/>
                <w:szCs w:val="20"/>
                <w:color w:val="auto"/>
              </w:rPr>
            </w:pPr>
            <w:r>
              <w:rPr>
                <w:rFonts w:ascii="Arial" w:cs="Arial" w:eastAsia="Arial" w:hAnsi="Arial"/>
                <w:sz w:val="18"/>
                <w:szCs w:val="18"/>
                <w:color w:val="auto"/>
              </w:rPr>
              <w:t>Duly Authorized Signatory</w:t>
            </w:r>
          </w:p>
        </w:tc>
        <w:tc>
          <w:tcPr>
            <w:tcW w:w="5760" w:type="dxa"/>
            <w:vAlign w:val="bottom"/>
          </w:tcPr>
          <w:p>
            <w:pPr>
              <w:spacing w:after="0"/>
              <w:rPr>
                <w:sz w:val="20"/>
                <w:szCs w:val="20"/>
                <w:color w:val="auto"/>
              </w:rPr>
            </w:pPr>
          </w:p>
        </w:tc>
      </w:tr>
      <w:tr>
        <w:trPr>
          <w:trHeight w:val="348"/>
        </w:trPr>
        <w:tc>
          <w:tcPr>
            <w:tcW w:w="760" w:type="dxa"/>
            <w:vAlign w:val="bottom"/>
            <w:tcBorders>
              <w:bottom w:val="single" w:sz="8" w:color="010101"/>
            </w:tcBorders>
          </w:tcPr>
          <w:p>
            <w:pPr>
              <w:spacing w:after="0"/>
              <w:rPr>
                <w:sz w:val="24"/>
                <w:szCs w:val="24"/>
                <w:color w:val="auto"/>
              </w:rPr>
            </w:pPr>
          </w:p>
        </w:tc>
        <w:tc>
          <w:tcPr>
            <w:tcW w:w="4940" w:type="dxa"/>
            <w:vAlign w:val="bottom"/>
            <w:tcBorders>
              <w:bottom w:val="single" w:sz="8" w:color="010101"/>
            </w:tcBorders>
          </w:tcPr>
          <w:p>
            <w:pPr>
              <w:spacing w:after="0"/>
              <w:rPr>
                <w:sz w:val="24"/>
                <w:szCs w:val="24"/>
                <w:color w:val="auto"/>
              </w:rPr>
            </w:pPr>
          </w:p>
        </w:tc>
        <w:tc>
          <w:tcPr>
            <w:tcW w:w="5760" w:type="dxa"/>
            <w:vAlign w:val="bottom"/>
            <w:tcBorders>
              <w:bottom w:val="single" w:sz="8" w:color="010101"/>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pacing w:after="0" w:line="200" w:lineRule="exact"/>
        <w:rPr>
          <w:sz w:val="20"/>
          <w:szCs w:val="20"/>
          <w:color w:val="auto"/>
        </w:rPr>
      </w:pPr>
    </w:p>
    <w:p>
      <w:pPr>
        <w:spacing w:after="0" w:line="330" w:lineRule="exact"/>
        <w:rPr>
          <w:sz w:val="20"/>
          <w:szCs w:val="20"/>
          <w:color w:val="auto"/>
        </w:rPr>
      </w:pPr>
    </w:p>
    <w:p>
      <w:pPr>
        <w:jc w:val="center"/>
        <w:ind w:right="40"/>
        <w:spacing w:after="0"/>
        <w:rPr>
          <w:sz w:val="20"/>
          <w:szCs w:val="20"/>
          <w:color w:val="auto"/>
        </w:rPr>
      </w:pPr>
      <w:r>
        <w:rPr>
          <w:rFonts w:ascii="Arial" w:cs="Arial" w:eastAsia="Arial" w:hAnsi="Arial"/>
          <w:sz w:val="18"/>
          <w:szCs w:val="18"/>
          <w:u w:val="single" w:color="auto"/>
          <w:color w:val="auto"/>
        </w:rPr>
        <w:t>EXHIBIT A TO LOAN MODIFICATION AGREEMENT</w:t>
      </w:r>
    </w:p>
    <w:p>
      <w:pPr>
        <w:spacing w:after="0" w:line="221"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u w:val="single" w:color="auto"/>
          <w:color w:val="auto"/>
        </w:rPr>
        <w:t>SCHEDULE 1.1</w:t>
      </w:r>
    </w:p>
    <w:p>
      <w:pPr>
        <w:spacing w:after="0" w:line="225"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u w:val="single" w:color="auto"/>
          <w:color w:val="auto"/>
        </w:rPr>
        <w:t>LENDERS AND COMMITMENTS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454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Lender</w:t>
            </w:r>
          </w:p>
        </w:tc>
        <w:tc>
          <w:tcPr>
            <w:tcW w:w="280" w:type="dxa"/>
            <w:vAlign w:val="bottom"/>
            <w:tcBorders>
              <w:bottom w:val="single" w:sz="8" w:color="CCEEFF"/>
            </w:tcBorders>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2680" w:type="dxa"/>
            <w:vAlign w:val="bottom"/>
            <w:tcBorders>
              <w:bottom w:val="single" w:sz="8" w:color="auto"/>
            </w:tcBorders>
          </w:tcPr>
          <w:p>
            <w:pPr>
              <w:jc w:val="center"/>
              <w:ind w:right="295"/>
              <w:spacing w:after="0"/>
              <w:rPr>
                <w:sz w:val="20"/>
                <w:szCs w:val="20"/>
                <w:color w:val="auto"/>
              </w:rPr>
            </w:pPr>
            <w:r>
              <w:rPr>
                <w:rFonts w:ascii="Arial" w:cs="Arial" w:eastAsia="Arial" w:hAnsi="Arial"/>
                <w:sz w:val="14"/>
                <w:szCs w:val="14"/>
                <w:b w:val="1"/>
                <w:bCs w:val="1"/>
                <w:color w:val="auto"/>
                <w:w w:val="94"/>
              </w:rPr>
              <w:t>Term A Loan Commitment</w:t>
            </w:r>
          </w:p>
        </w:tc>
        <w:tc>
          <w:tcPr>
            <w:tcW w:w="280" w:type="dxa"/>
            <w:vAlign w:val="bottom"/>
            <w:tcBorders>
              <w:bottom w:val="single" w:sz="8" w:color="CCEEFF"/>
            </w:tcBorders>
          </w:tcPr>
          <w:p>
            <w:pPr>
              <w:spacing w:after="0"/>
              <w:rPr>
                <w:sz w:val="14"/>
                <w:szCs w:val="14"/>
                <w:color w:val="auto"/>
              </w:rPr>
            </w:pPr>
          </w:p>
        </w:tc>
        <w:tc>
          <w:tcPr>
            <w:tcW w:w="3080" w:type="dxa"/>
            <w:vAlign w:val="bottom"/>
            <w:tcBorders>
              <w:bottom w:val="single" w:sz="8" w:color="auto"/>
            </w:tcBorders>
          </w:tcPr>
          <w:p>
            <w:pPr>
              <w:jc w:val="right"/>
              <w:ind w:right="695"/>
              <w:spacing w:after="0"/>
              <w:rPr>
                <w:sz w:val="20"/>
                <w:szCs w:val="20"/>
                <w:color w:val="auto"/>
              </w:rPr>
            </w:pPr>
            <w:r>
              <w:rPr>
                <w:rFonts w:ascii="Arial" w:cs="Arial" w:eastAsia="Arial" w:hAnsi="Arial"/>
                <w:sz w:val="14"/>
                <w:szCs w:val="14"/>
                <w:b w:val="1"/>
                <w:bCs w:val="1"/>
                <w:color w:val="auto"/>
              </w:rPr>
              <w:t>Commitment Percentage</w:t>
            </w:r>
          </w:p>
        </w:tc>
        <w:tc>
          <w:tcPr>
            <w:tcW w:w="160" w:type="dxa"/>
            <w:vAlign w:val="bottom"/>
            <w:tcBorders>
              <w:bottom w:val="single" w:sz="8" w:color="CCEEFF"/>
            </w:tcBorders>
          </w:tcPr>
          <w:p>
            <w:pPr>
              <w:spacing w:after="0"/>
              <w:rPr>
                <w:sz w:val="14"/>
                <w:szCs w:val="14"/>
                <w:color w:val="auto"/>
              </w:rPr>
            </w:pPr>
          </w:p>
        </w:tc>
        <w:tc>
          <w:tcPr>
            <w:tcW w:w="40" w:type="dxa"/>
            <w:vAlign w:val="bottom"/>
          </w:tcPr>
          <w:p>
            <w:pPr>
              <w:spacing w:after="0"/>
              <w:rPr>
                <w:sz w:val="14"/>
                <w:szCs w:val="14"/>
                <w:color w:val="auto"/>
              </w:rPr>
            </w:pPr>
          </w:p>
        </w:tc>
      </w:tr>
      <w:tr>
        <w:trPr>
          <w:trHeight w:val="210"/>
        </w:trPr>
        <w:tc>
          <w:tcPr>
            <w:tcW w:w="45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4"/>
              </w:rPr>
              <w:t>MidCap Funding V, LLC</w:t>
            </w:r>
          </w:p>
        </w:tc>
        <w:tc>
          <w:tcPr>
            <w:tcW w:w="280" w:type="dxa"/>
            <w:vAlign w:val="bottom"/>
            <w:shd w:val="clear" w:color="auto" w:fill="CCEEFF"/>
          </w:tcPr>
          <w:p>
            <w:pPr>
              <w:spacing w:after="0"/>
              <w:rPr>
                <w:sz w:val="18"/>
                <w:szCs w:val="18"/>
                <w:color w:val="auto"/>
              </w:rPr>
            </w:pPr>
          </w:p>
        </w:tc>
        <w:tc>
          <w:tcPr>
            <w:tcW w:w="40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w w:val="79"/>
              </w:rPr>
              <w:t>$</w:t>
            </w:r>
          </w:p>
        </w:tc>
        <w:tc>
          <w:tcPr>
            <w:tcW w:w="2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10,000,000</w:t>
            </w:r>
          </w:p>
        </w:tc>
        <w:tc>
          <w:tcPr>
            <w:tcW w:w="280" w:type="dxa"/>
            <w:vAlign w:val="bottom"/>
            <w:shd w:val="clear" w:color="auto" w:fill="CCEEFF"/>
          </w:tcPr>
          <w:p>
            <w:pPr>
              <w:spacing w:after="0"/>
              <w:rPr>
                <w:sz w:val="18"/>
                <w:szCs w:val="18"/>
                <w:color w:val="auto"/>
              </w:rPr>
            </w:pPr>
          </w:p>
        </w:tc>
        <w:tc>
          <w:tcPr>
            <w:tcW w:w="3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100%</w:t>
            </w:r>
          </w:p>
        </w:tc>
        <w:tc>
          <w:tcPr>
            <w:tcW w:w="40" w:type="dxa"/>
            <w:vAlign w:val="bottom"/>
          </w:tcPr>
          <w:p>
            <w:pPr>
              <w:spacing w:after="0"/>
              <w:rPr>
                <w:sz w:val="18"/>
                <w:szCs w:val="18"/>
                <w:color w:val="auto"/>
              </w:rPr>
            </w:pPr>
          </w:p>
        </w:tc>
      </w:tr>
      <w:tr>
        <w:trPr>
          <w:trHeight w:val="210"/>
        </w:trPr>
        <w:tc>
          <w:tcPr>
            <w:tcW w:w="4540" w:type="dxa"/>
            <w:vAlign w:val="bottom"/>
          </w:tcPr>
          <w:p>
            <w:pPr>
              <w:jc w:val="center"/>
              <w:spacing w:after="0"/>
              <w:rPr>
                <w:sz w:val="20"/>
                <w:szCs w:val="20"/>
                <w:color w:val="auto"/>
              </w:rPr>
            </w:pPr>
            <w:r>
              <w:rPr>
                <w:rFonts w:ascii="Arial" w:cs="Arial" w:eastAsia="Arial" w:hAnsi="Arial"/>
                <w:sz w:val="18"/>
                <w:szCs w:val="18"/>
                <w:color w:val="auto"/>
                <w:w w:val="98"/>
              </w:rPr>
              <w:t>TOTAL TERM A LOANS</w:t>
            </w:r>
          </w:p>
        </w:tc>
        <w:tc>
          <w:tcPr>
            <w:tcW w:w="280" w:type="dxa"/>
            <w:vAlign w:val="bottom"/>
          </w:tcPr>
          <w:p>
            <w:pPr>
              <w:spacing w:after="0"/>
              <w:rPr>
                <w:sz w:val="18"/>
                <w:szCs w:val="18"/>
                <w:color w:val="auto"/>
              </w:rPr>
            </w:pPr>
          </w:p>
        </w:tc>
        <w:tc>
          <w:tcPr>
            <w:tcW w:w="400" w:type="dxa"/>
            <w:vAlign w:val="bottom"/>
            <w:tcBorders>
              <w:top w:val="single" w:sz="8" w:color="auto"/>
              <w:bottom w:val="single" w:sz="8" w:color="auto"/>
            </w:tcBorders>
          </w:tcPr>
          <w:p>
            <w:pPr>
              <w:jc w:val="right"/>
              <w:ind w:right="210"/>
              <w:spacing w:after="0"/>
              <w:rPr>
                <w:sz w:val="20"/>
                <w:szCs w:val="20"/>
                <w:color w:val="auto"/>
              </w:rPr>
            </w:pPr>
            <w:r>
              <w:rPr>
                <w:rFonts w:ascii="Arial" w:cs="Arial" w:eastAsia="Arial" w:hAnsi="Arial"/>
                <w:sz w:val="18"/>
                <w:szCs w:val="18"/>
                <w:color w:val="auto"/>
                <w:w w:val="79"/>
              </w:rPr>
              <w:t>$</w:t>
            </w:r>
          </w:p>
        </w:tc>
        <w:tc>
          <w:tcPr>
            <w:tcW w:w="2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10,000,000</w:t>
            </w:r>
          </w:p>
        </w:tc>
        <w:tc>
          <w:tcPr>
            <w:tcW w:w="280" w:type="dxa"/>
            <w:vAlign w:val="bottom"/>
          </w:tcPr>
          <w:p>
            <w:pPr>
              <w:spacing w:after="0"/>
              <w:rPr>
                <w:sz w:val="18"/>
                <w:szCs w:val="18"/>
                <w:color w:val="auto"/>
              </w:rPr>
            </w:pPr>
          </w:p>
        </w:tc>
        <w:tc>
          <w:tcPr>
            <w:tcW w:w="3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100</w:t>
            </w:r>
          </w:p>
        </w:tc>
        <w:tc>
          <w:tcPr>
            <w:tcW w:w="160" w:type="dxa"/>
            <w:vAlign w:val="bottom"/>
          </w:tcPr>
          <w:p>
            <w:pPr>
              <w:jc w:val="right"/>
              <w:spacing w:after="0"/>
              <w:rPr>
                <w:sz w:val="20"/>
                <w:szCs w:val="20"/>
                <w:color w:val="auto"/>
              </w:rPr>
            </w:pPr>
            <w:r>
              <w:rPr>
                <w:rFonts w:ascii="Arial" w:cs="Arial" w:eastAsia="Arial" w:hAnsi="Arial"/>
                <w:sz w:val="18"/>
                <w:szCs w:val="18"/>
                <w:color w:val="auto"/>
                <w:w w:val="74"/>
              </w:rPr>
              <w:t>%</w:t>
            </w:r>
          </w:p>
        </w:tc>
        <w:tc>
          <w:tcPr>
            <w:tcW w:w="40" w:type="dxa"/>
            <w:vAlign w:val="bottom"/>
          </w:tcPr>
          <w:p>
            <w:pPr>
              <w:spacing w:after="0"/>
              <w:rPr>
                <w:sz w:val="18"/>
                <w:szCs w:val="18"/>
                <w:color w:val="auto"/>
              </w:rPr>
            </w:pPr>
          </w:p>
        </w:tc>
      </w:tr>
      <w:tr>
        <w:trPr>
          <w:trHeight w:val="385"/>
        </w:trPr>
        <w:tc>
          <w:tcPr>
            <w:tcW w:w="454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Lender</w:t>
            </w:r>
          </w:p>
        </w:tc>
        <w:tc>
          <w:tcPr>
            <w:tcW w:w="280" w:type="dxa"/>
            <w:vAlign w:val="bottom"/>
            <w:tcBorders>
              <w:bottom w:val="single" w:sz="8" w:color="CCEEFF"/>
            </w:tcBorders>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2680" w:type="dxa"/>
            <w:vAlign w:val="bottom"/>
            <w:tcBorders>
              <w:bottom w:val="single" w:sz="8" w:color="auto"/>
            </w:tcBorders>
          </w:tcPr>
          <w:p>
            <w:pPr>
              <w:jc w:val="center"/>
              <w:ind w:right="315"/>
              <w:spacing w:after="0"/>
              <w:rPr>
                <w:sz w:val="20"/>
                <w:szCs w:val="20"/>
                <w:color w:val="auto"/>
              </w:rPr>
            </w:pPr>
            <w:r>
              <w:rPr>
                <w:rFonts w:ascii="Arial" w:cs="Arial" w:eastAsia="Arial" w:hAnsi="Arial"/>
                <w:sz w:val="14"/>
                <w:szCs w:val="14"/>
                <w:b w:val="1"/>
                <w:bCs w:val="1"/>
                <w:color w:val="auto"/>
                <w:w w:val="95"/>
              </w:rPr>
              <w:t>Term B Loan Commitment</w:t>
            </w:r>
          </w:p>
        </w:tc>
        <w:tc>
          <w:tcPr>
            <w:tcW w:w="280" w:type="dxa"/>
            <w:vAlign w:val="bottom"/>
            <w:tcBorders>
              <w:bottom w:val="single" w:sz="8" w:color="CCEEFF"/>
            </w:tcBorders>
          </w:tcPr>
          <w:p>
            <w:pPr>
              <w:spacing w:after="0"/>
              <w:rPr>
                <w:sz w:val="24"/>
                <w:szCs w:val="24"/>
                <w:color w:val="auto"/>
              </w:rPr>
            </w:pPr>
          </w:p>
        </w:tc>
        <w:tc>
          <w:tcPr>
            <w:tcW w:w="3080" w:type="dxa"/>
            <w:vAlign w:val="bottom"/>
            <w:tcBorders>
              <w:bottom w:val="single" w:sz="8" w:color="auto"/>
            </w:tcBorders>
          </w:tcPr>
          <w:p>
            <w:pPr>
              <w:jc w:val="right"/>
              <w:ind w:right="695"/>
              <w:spacing w:after="0"/>
              <w:rPr>
                <w:sz w:val="20"/>
                <w:szCs w:val="20"/>
                <w:color w:val="auto"/>
              </w:rPr>
            </w:pPr>
            <w:r>
              <w:rPr>
                <w:rFonts w:ascii="Arial" w:cs="Arial" w:eastAsia="Arial" w:hAnsi="Arial"/>
                <w:sz w:val="14"/>
                <w:szCs w:val="14"/>
                <w:b w:val="1"/>
                <w:bCs w:val="1"/>
                <w:color w:val="auto"/>
              </w:rPr>
              <w:t>Commitment Percentage</w:t>
            </w:r>
          </w:p>
        </w:tc>
        <w:tc>
          <w:tcPr>
            <w:tcW w:w="160" w:type="dxa"/>
            <w:vAlign w:val="bottom"/>
            <w:tcBorders>
              <w:bottom w:val="single" w:sz="8" w:color="CCEEFF"/>
            </w:tcBorders>
          </w:tcPr>
          <w:p>
            <w:pPr>
              <w:spacing w:after="0"/>
              <w:rPr>
                <w:sz w:val="24"/>
                <w:szCs w:val="24"/>
                <w:color w:val="auto"/>
              </w:rPr>
            </w:pPr>
          </w:p>
        </w:tc>
        <w:tc>
          <w:tcPr>
            <w:tcW w:w="40" w:type="dxa"/>
            <w:vAlign w:val="bottom"/>
          </w:tcPr>
          <w:p>
            <w:pPr>
              <w:spacing w:after="0"/>
              <w:rPr>
                <w:sz w:val="24"/>
                <w:szCs w:val="24"/>
                <w:color w:val="auto"/>
              </w:rPr>
            </w:pPr>
          </w:p>
        </w:tc>
      </w:tr>
      <w:tr>
        <w:trPr>
          <w:trHeight w:val="210"/>
        </w:trPr>
        <w:tc>
          <w:tcPr>
            <w:tcW w:w="45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1"/>
              </w:rPr>
              <w:t>General Electric Capital Corporation</w:t>
            </w:r>
          </w:p>
        </w:tc>
        <w:tc>
          <w:tcPr>
            <w:tcW w:w="280" w:type="dxa"/>
            <w:vAlign w:val="bottom"/>
            <w:shd w:val="clear" w:color="auto" w:fill="CCEEFF"/>
          </w:tcPr>
          <w:p>
            <w:pPr>
              <w:spacing w:after="0"/>
              <w:rPr>
                <w:sz w:val="18"/>
                <w:szCs w:val="18"/>
                <w:color w:val="auto"/>
              </w:rPr>
            </w:pPr>
          </w:p>
        </w:tc>
        <w:tc>
          <w:tcPr>
            <w:tcW w:w="40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w w:val="79"/>
              </w:rPr>
              <w:t>$</w:t>
            </w:r>
          </w:p>
        </w:tc>
        <w:tc>
          <w:tcPr>
            <w:tcW w:w="2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5,000,000</w:t>
            </w:r>
          </w:p>
        </w:tc>
        <w:tc>
          <w:tcPr>
            <w:tcW w:w="280" w:type="dxa"/>
            <w:vAlign w:val="bottom"/>
            <w:shd w:val="clear" w:color="auto" w:fill="CCEEFF"/>
          </w:tcPr>
          <w:p>
            <w:pPr>
              <w:spacing w:after="0"/>
              <w:rPr>
                <w:sz w:val="18"/>
                <w:szCs w:val="18"/>
                <w:color w:val="auto"/>
              </w:rPr>
            </w:pPr>
          </w:p>
        </w:tc>
        <w:tc>
          <w:tcPr>
            <w:tcW w:w="3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100%</w:t>
            </w:r>
          </w:p>
        </w:tc>
        <w:tc>
          <w:tcPr>
            <w:tcW w:w="40" w:type="dxa"/>
            <w:vAlign w:val="bottom"/>
          </w:tcPr>
          <w:p>
            <w:pPr>
              <w:spacing w:after="0"/>
              <w:rPr>
                <w:sz w:val="18"/>
                <w:szCs w:val="18"/>
                <w:color w:val="auto"/>
              </w:rPr>
            </w:pPr>
          </w:p>
        </w:tc>
      </w:tr>
      <w:tr>
        <w:trPr>
          <w:trHeight w:val="210"/>
        </w:trPr>
        <w:tc>
          <w:tcPr>
            <w:tcW w:w="4540" w:type="dxa"/>
            <w:vAlign w:val="bottom"/>
          </w:tcPr>
          <w:p>
            <w:pPr>
              <w:jc w:val="center"/>
              <w:spacing w:after="0"/>
              <w:rPr>
                <w:sz w:val="20"/>
                <w:szCs w:val="20"/>
                <w:color w:val="auto"/>
              </w:rPr>
            </w:pPr>
            <w:r>
              <w:rPr>
                <w:rFonts w:ascii="Arial" w:cs="Arial" w:eastAsia="Arial" w:hAnsi="Arial"/>
                <w:sz w:val="18"/>
                <w:szCs w:val="18"/>
                <w:color w:val="auto"/>
                <w:w w:val="97"/>
              </w:rPr>
              <w:t>TOTAL TERM B LOANS</w:t>
            </w:r>
          </w:p>
        </w:tc>
        <w:tc>
          <w:tcPr>
            <w:tcW w:w="280" w:type="dxa"/>
            <w:vAlign w:val="bottom"/>
          </w:tcPr>
          <w:p>
            <w:pPr>
              <w:spacing w:after="0"/>
              <w:rPr>
                <w:sz w:val="18"/>
                <w:szCs w:val="18"/>
                <w:color w:val="auto"/>
              </w:rPr>
            </w:pPr>
          </w:p>
        </w:tc>
        <w:tc>
          <w:tcPr>
            <w:tcW w:w="400" w:type="dxa"/>
            <w:vAlign w:val="bottom"/>
            <w:tcBorders>
              <w:top w:val="single" w:sz="8" w:color="auto"/>
              <w:bottom w:val="single" w:sz="8" w:color="auto"/>
            </w:tcBorders>
          </w:tcPr>
          <w:p>
            <w:pPr>
              <w:jc w:val="right"/>
              <w:ind w:right="210"/>
              <w:spacing w:after="0"/>
              <w:rPr>
                <w:sz w:val="20"/>
                <w:szCs w:val="20"/>
                <w:color w:val="auto"/>
              </w:rPr>
            </w:pPr>
            <w:r>
              <w:rPr>
                <w:rFonts w:ascii="Arial" w:cs="Arial" w:eastAsia="Arial" w:hAnsi="Arial"/>
                <w:sz w:val="18"/>
                <w:szCs w:val="18"/>
                <w:color w:val="auto"/>
                <w:w w:val="79"/>
              </w:rPr>
              <w:t>$</w:t>
            </w:r>
          </w:p>
        </w:tc>
        <w:tc>
          <w:tcPr>
            <w:tcW w:w="2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5,000,000</w:t>
            </w:r>
          </w:p>
        </w:tc>
        <w:tc>
          <w:tcPr>
            <w:tcW w:w="280" w:type="dxa"/>
            <w:vAlign w:val="bottom"/>
          </w:tcPr>
          <w:p>
            <w:pPr>
              <w:spacing w:after="0"/>
              <w:rPr>
                <w:sz w:val="18"/>
                <w:szCs w:val="18"/>
                <w:color w:val="auto"/>
              </w:rPr>
            </w:pPr>
          </w:p>
        </w:tc>
        <w:tc>
          <w:tcPr>
            <w:tcW w:w="3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100</w:t>
            </w:r>
          </w:p>
        </w:tc>
        <w:tc>
          <w:tcPr>
            <w:tcW w:w="160" w:type="dxa"/>
            <w:vAlign w:val="bottom"/>
          </w:tcPr>
          <w:p>
            <w:pPr>
              <w:jc w:val="right"/>
              <w:spacing w:after="0"/>
              <w:rPr>
                <w:sz w:val="20"/>
                <w:szCs w:val="20"/>
                <w:color w:val="auto"/>
              </w:rPr>
            </w:pPr>
            <w:r>
              <w:rPr>
                <w:rFonts w:ascii="Arial" w:cs="Arial" w:eastAsia="Arial" w:hAnsi="Arial"/>
                <w:sz w:val="18"/>
                <w:szCs w:val="18"/>
                <w:color w:val="auto"/>
                <w:w w:val="74"/>
              </w:rPr>
              <w:t>%</w:t>
            </w:r>
          </w:p>
        </w:tc>
        <w:tc>
          <w:tcPr>
            <w:tcW w:w="40" w:type="dxa"/>
            <w:vAlign w:val="bottom"/>
          </w:tcPr>
          <w:p>
            <w:pPr>
              <w:spacing w:after="0"/>
              <w:rPr>
                <w:sz w:val="18"/>
                <w:szCs w:val="18"/>
                <w:color w:val="auto"/>
              </w:rPr>
            </w:pPr>
          </w:p>
        </w:tc>
      </w:tr>
      <w:tr>
        <w:trPr>
          <w:trHeight w:val="385"/>
        </w:trPr>
        <w:tc>
          <w:tcPr>
            <w:tcW w:w="454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Lender</w:t>
            </w:r>
          </w:p>
        </w:tc>
        <w:tc>
          <w:tcPr>
            <w:tcW w:w="280" w:type="dxa"/>
            <w:vAlign w:val="bottom"/>
            <w:tcBorders>
              <w:bottom w:val="single" w:sz="8" w:color="CCEEFF"/>
            </w:tcBorders>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2680" w:type="dxa"/>
            <w:vAlign w:val="bottom"/>
            <w:tcBorders>
              <w:bottom w:val="single" w:sz="8" w:color="auto"/>
            </w:tcBorders>
          </w:tcPr>
          <w:p>
            <w:pPr>
              <w:jc w:val="center"/>
              <w:ind w:right="315"/>
              <w:spacing w:after="0"/>
              <w:rPr>
                <w:sz w:val="20"/>
                <w:szCs w:val="20"/>
                <w:color w:val="auto"/>
              </w:rPr>
            </w:pPr>
            <w:r>
              <w:rPr>
                <w:rFonts w:ascii="Arial" w:cs="Arial" w:eastAsia="Arial" w:hAnsi="Arial"/>
                <w:sz w:val="14"/>
                <w:szCs w:val="14"/>
                <w:b w:val="1"/>
                <w:bCs w:val="1"/>
                <w:color w:val="auto"/>
                <w:w w:val="94"/>
              </w:rPr>
              <w:t>Term Loan Commitments</w:t>
            </w:r>
          </w:p>
        </w:tc>
        <w:tc>
          <w:tcPr>
            <w:tcW w:w="280" w:type="dxa"/>
            <w:vAlign w:val="bottom"/>
            <w:tcBorders>
              <w:bottom w:val="single" w:sz="8" w:color="CCEEFF"/>
            </w:tcBorders>
          </w:tcPr>
          <w:p>
            <w:pPr>
              <w:spacing w:after="0"/>
              <w:rPr>
                <w:sz w:val="24"/>
                <w:szCs w:val="24"/>
                <w:color w:val="auto"/>
              </w:rPr>
            </w:pPr>
          </w:p>
        </w:tc>
        <w:tc>
          <w:tcPr>
            <w:tcW w:w="3080" w:type="dxa"/>
            <w:vAlign w:val="bottom"/>
            <w:tcBorders>
              <w:bottom w:val="single" w:sz="8" w:color="auto"/>
            </w:tcBorders>
          </w:tcPr>
          <w:p>
            <w:pPr>
              <w:jc w:val="right"/>
              <w:ind w:right="695"/>
              <w:spacing w:after="0"/>
              <w:rPr>
                <w:sz w:val="20"/>
                <w:szCs w:val="20"/>
                <w:color w:val="auto"/>
              </w:rPr>
            </w:pPr>
            <w:r>
              <w:rPr>
                <w:rFonts w:ascii="Arial" w:cs="Arial" w:eastAsia="Arial" w:hAnsi="Arial"/>
                <w:sz w:val="14"/>
                <w:szCs w:val="14"/>
                <w:b w:val="1"/>
                <w:bCs w:val="1"/>
                <w:color w:val="auto"/>
              </w:rPr>
              <w:t>Commitment Percentage</w:t>
            </w:r>
          </w:p>
        </w:tc>
        <w:tc>
          <w:tcPr>
            <w:tcW w:w="160" w:type="dxa"/>
            <w:vAlign w:val="bottom"/>
            <w:tcBorders>
              <w:bottom w:val="single" w:sz="8" w:color="CCEEFF"/>
            </w:tcBorders>
          </w:tcPr>
          <w:p>
            <w:pPr>
              <w:spacing w:after="0"/>
              <w:rPr>
                <w:sz w:val="24"/>
                <w:szCs w:val="24"/>
                <w:color w:val="auto"/>
              </w:rPr>
            </w:pPr>
          </w:p>
        </w:tc>
        <w:tc>
          <w:tcPr>
            <w:tcW w:w="40" w:type="dxa"/>
            <w:vAlign w:val="bottom"/>
          </w:tcPr>
          <w:p>
            <w:pPr>
              <w:spacing w:after="0"/>
              <w:rPr>
                <w:sz w:val="24"/>
                <w:szCs w:val="24"/>
                <w:color w:val="auto"/>
              </w:rPr>
            </w:pPr>
          </w:p>
        </w:tc>
      </w:tr>
      <w:tr>
        <w:trPr>
          <w:trHeight w:val="210"/>
        </w:trPr>
        <w:tc>
          <w:tcPr>
            <w:tcW w:w="45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4"/>
              </w:rPr>
              <w:t>MidCap Funding V, LLC</w:t>
            </w:r>
          </w:p>
        </w:tc>
        <w:tc>
          <w:tcPr>
            <w:tcW w:w="280" w:type="dxa"/>
            <w:vAlign w:val="bottom"/>
            <w:shd w:val="clear" w:color="auto" w:fill="CCEEFF"/>
          </w:tcPr>
          <w:p>
            <w:pPr>
              <w:spacing w:after="0"/>
              <w:rPr>
                <w:sz w:val="18"/>
                <w:szCs w:val="18"/>
                <w:color w:val="auto"/>
              </w:rPr>
            </w:pPr>
          </w:p>
        </w:tc>
        <w:tc>
          <w:tcPr>
            <w:tcW w:w="40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w w:val="79"/>
              </w:rPr>
              <w:t>$</w:t>
            </w:r>
          </w:p>
        </w:tc>
        <w:tc>
          <w:tcPr>
            <w:tcW w:w="2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10,000,000</w:t>
            </w:r>
          </w:p>
        </w:tc>
        <w:tc>
          <w:tcPr>
            <w:tcW w:w="280" w:type="dxa"/>
            <w:vAlign w:val="bottom"/>
            <w:shd w:val="clear" w:color="auto" w:fill="CCEEFF"/>
          </w:tcPr>
          <w:p>
            <w:pPr>
              <w:spacing w:after="0"/>
              <w:rPr>
                <w:sz w:val="18"/>
                <w:szCs w:val="18"/>
                <w:color w:val="auto"/>
              </w:rPr>
            </w:pPr>
          </w:p>
        </w:tc>
        <w:tc>
          <w:tcPr>
            <w:tcW w:w="3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66.67%</w:t>
            </w:r>
          </w:p>
        </w:tc>
        <w:tc>
          <w:tcPr>
            <w:tcW w:w="40" w:type="dxa"/>
            <w:vAlign w:val="bottom"/>
          </w:tcPr>
          <w:p>
            <w:pPr>
              <w:spacing w:after="0"/>
              <w:rPr>
                <w:sz w:val="18"/>
                <w:szCs w:val="18"/>
                <w:color w:val="auto"/>
              </w:rPr>
            </w:pPr>
          </w:p>
        </w:tc>
      </w:tr>
      <w:tr>
        <w:trPr>
          <w:trHeight w:val="216"/>
        </w:trPr>
        <w:tc>
          <w:tcPr>
            <w:tcW w:w="4540" w:type="dxa"/>
            <w:vAlign w:val="bottom"/>
          </w:tcPr>
          <w:p>
            <w:pPr>
              <w:jc w:val="center"/>
              <w:spacing w:after="0"/>
              <w:rPr>
                <w:sz w:val="20"/>
                <w:szCs w:val="20"/>
                <w:color w:val="auto"/>
              </w:rPr>
            </w:pPr>
            <w:r>
              <w:rPr>
                <w:rFonts w:ascii="Arial" w:cs="Arial" w:eastAsia="Arial" w:hAnsi="Arial"/>
                <w:sz w:val="18"/>
                <w:szCs w:val="18"/>
                <w:color w:val="auto"/>
                <w:w w:val="91"/>
              </w:rPr>
              <w:t>General Electric Capital Corporation</w:t>
            </w:r>
          </w:p>
        </w:tc>
        <w:tc>
          <w:tcPr>
            <w:tcW w:w="680" w:type="dxa"/>
            <w:vAlign w:val="bottom"/>
            <w:gridSpan w:val="2"/>
          </w:tcPr>
          <w:p>
            <w:pPr>
              <w:jc w:val="right"/>
              <w:ind w:right="210"/>
              <w:spacing w:after="0"/>
              <w:rPr>
                <w:sz w:val="20"/>
                <w:szCs w:val="20"/>
                <w:color w:val="auto"/>
              </w:rPr>
            </w:pPr>
            <w:r>
              <w:rPr>
                <w:rFonts w:ascii="Arial" w:cs="Arial" w:eastAsia="Arial" w:hAnsi="Arial"/>
                <w:sz w:val="18"/>
                <w:szCs w:val="18"/>
                <w:color w:val="auto"/>
              </w:rPr>
              <w:t>$</w:t>
            </w:r>
          </w:p>
        </w:tc>
        <w:tc>
          <w:tcPr>
            <w:tcW w:w="2960" w:type="dxa"/>
            <w:vAlign w:val="bottom"/>
            <w:gridSpan w:val="2"/>
          </w:tcPr>
          <w:p>
            <w:pPr>
              <w:jc w:val="right"/>
              <w:ind w:right="280"/>
              <w:spacing w:after="0"/>
              <w:rPr>
                <w:sz w:val="20"/>
                <w:szCs w:val="20"/>
                <w:color w:val="auto"/>
              </w:rPr>
            </w:pPr>
            <w:r>
              <w:rPr>
                <w:rFonts w:ascii="Arial" w:cs="Arial" w:eastAsia="Arial" w:hAnsi="Arial"/>
                <w:sz w:val="18"/>
                <w:szCs w:val="18"/>
                <w:color w:val="auto"/>
              </w:rPr>
              <w:t>5,000,000</w:t>
            </w:r>
          </w:p>
        </w:tc>
        <w:tc>
          <w:tcPr>
            <w:tcW w:w="3240" w:type="dxa"/>
            <w:vAlign w:val="bottom"/>
            <w:gridSpan w:val="2"/>
          </w:tcPr>
          <w:p>
            <w:pPr>
              <w:jc w:val="right"/>
              <w:spacing w:after="0"/>
              <w:rPr>
                <w:sz w:val="20"/>
                <w:szCs w:val="20"/>
                <w:color w:val="auto"/>
              </w:rPr>
            </w:pPr>
            <w:r>
              <w:rPr>
                <w:rFonts w:ascii="Arial" w:cs="Arial" w:eastAsia="Arial" w:hAnsi="Arial"/>
                <w:sz w:val="18"/>
                <w:szCs w:val="18"/>
                <w:color w:val="auto"/>
              </w:rPr>
              <w:t>33.33%</w:t>
            </w:r>
          </w:p>
        </w:tc>
        <w:tc>
          <w:tcPr>
            <w:tcW w:w="40" w:type="dxa"/>
            <w:vAlign w:val="bottom"/>
          </w:tcPr>
          <w:p>
            <w:pPr>
              <w:spacing w:after="0"/>
              <w:rPr>
                <w:sz w:val="18"/>
                <w:szCs w:val="18"/>
                <w:color w:val="auto"/>
              </w:rPr>
            </w:pPr>
          </w:p>
        </w:tc>
      </w:tr>
      <w:tr>
        <w:trPr>
          <w:trHeight w:val="210"/>
        </w:trPr>
        <w:tc>
          <w:tcPr>
            <w:tcW w:w="4540" w:type="dxa"/>
            <w:vAlign w:val="bottom"/>
            <w:tcBorders>
              <w:top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7"/>
              </w:rPr>
              <w:t>TOTAL TERM LOANS</w:t>
            </w:r>
          </w:p>
        </w:tc>
        <w:tc>
          <w:tcPr>
            <w:tcW w:w="280" w:type="dxa"/>
            <w:vAlign w:val="bottom"/>
            <w:tcBorders>
              <w:top w:val="single" w:sz="8" w:color="CCEEFF"/>
            </w:tcBorders>
            <w:shd w:val="clear" w:color="auto" w:fill="CCEEFF"/>
          </w:tcPr>
          <w:p>
            <w:pPr>
              <w:spacing w:after="0"/>
              <w:rPr>
                <w:sz w:val="18"/>
                <w:szCs w:val="18"/>
                <w:color w:val="auto"/>
              </w:rPr>
            </w:pPr>
          </w:p>
        </w:tc>
        <w:tc>
          <w:tcPr>
            <w:tcW w:w="400" w:type="dxa"/>
            <w:vAlign w:val="bottom"/>
            <w:tcBorders>
              <w:top w:val="single" w:sz="8" w:color="auto"/>
              <w:bottom w:val="single" w:sz="8" w:color="auto"/>
            </w:tcBorders>
            <w:shd w:val="clear" w:color="auto" w:fill="CCEEFF"/>
          </w:tcPr>
          <w:p>
            <w:pPr>
              <w:jc w:val="right"/>
              <w:ind w:right="210"/>
              <w:spacing w:after="0"/>
              <w:rPr>
                <w:sz w:val="20"/>
                <w:szCs w:val="20"/>
                <w:color w:val="auto"/>
              </w:rPr>
            </w:pPr>
            <w:r>
              <w:rPr>
                <w:rFonts w:ascii="Arial" w:cs="Arial" w:eastAsia="Arial" w:hAnsi="Arial"/>
                <w:sz w:val="18"/>
                <w:szCs w:val="18"/>
                <w:color w:val="auto"/>
                <w:w w:val="79"/>
              </w:rPr>
              <w:t>$</w:t>
            </w:r>
          </w:p>
        </w:tc>
        <w:tc>
          <w:tcPr>
            <w:tcW w:w="2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15,000,000</w:t>
            </w:r>
          </w:p>
        </w:tc>
        <w:tc>
          <w:tcPr>
            <w:tcW w:w="280" w:type="dxa"/>
            <w:vAlign w:val="bottom"/>
            <w:tcBorders>
              <w:top w:val="single" w:sz="8" w:color="CCEEFF"/>
            </w:tcBorders>
            <w:shd w:val="clear" w:color="auto" w:fill="CCEEFF"/>
          </w:tcPr>
          <w:p>
            <w:pPr>
              <w:spacing w:after="0"/>
              <w:rPr>
                <w:sz w:val="18"/>
                <w:szCs w:val="18"/>
                <w:color w:val="auto"/>
              </w:rPr>
            </w:pPr>
          </w:p>
        </w:tc>
        <w:tc>
          <w:tcPr>
            <w:tcW w:w="3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w:t>
            </w:r>
          </w:p>
        </w:tc>
        <w:tc>
          <w:tcPr>
            <w:tcW w:w="160" w:type="dxa"/>
            <w:vAlign w:val="bottom"/>
            <w:tcBorders>
              <w:top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4"/>
              </w:rPr>
              <w:t>%</w:t>
            </w:r>
          </w:p>
        </w:tc>
        <w:tc>
          <w:tcPr>
            <w:tcW w:w="40" w:type="dxa"/>
            <w:vAlign w:val="bottom"/>
          </w:tcPr>
          <w:p>
            <w:pPr>
              <w:spacing w:after="0"/>
              <w:rPr>
                <w:sz w:val="18"/>
                <w:szCs w:val="18"/>
                <w:color w:val="auto"/>
              </w:rPr>
            </w:pPr>
          </w:p>
        </w:tc>
      </w:tr>
      <w:tr>
        <w:trPr>
          <w:trHeight w:val="426"/>
        </w:trPr>
        <w:tc>
          <w:tcPr>
            <w:tcW w:w="45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680" w:type="dxa"/>
            <w:vAlign w:val="bottom"/>
          </w:tcPr>
          <w:p>
            <w:pPr>
              <w:jc w:val="right"/>
              <w:ind w:right="2015"/>
              <w:spacing w:after="0"/>
              <w:rPr>
                <w:sz w:val="20"/>
                <w:szCs w:val="20"/>
                <w:color w:val="auto"/>
              </w:rPr>
            </w:pPr>
            <w:r>
              <w:rPr>
                <w:rFonts w:ascii="Arial" w:cs="Arial" w:eastAsia="Arial" w:hAnsi="Arial"/>
                <w:sz w:val="18"/>
                <w:szCs w:val="18"/>
                <w:color w:val="auto"/>
              </w:rPr>
              <w:t>19</w:t>
            </w:r>
          </w:p>
        </w:tc>
        <w:tc>
          <w:tcPr>
            <w:tcW w:w="280" w:type="dxa"/>
            <w:vAlign w:val="bottom"/>
          </w:tcPr>
          <w:p>
            <w:pPr>
              <w:spacing w:after="0"/>
              <w:rPr>
                <w:sz w:val="24"/>
                <w:szCs w:val="24"/>
                <w:color w:val="auto"/>
              </w:rPr>
            </w:pPr>
          </w:p>
        </w:tc>
        <w:tc>
          <w:tcPr>
            <w:tcW w:w="30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132"/>
        </w:trPr>
        <w:tc>
          <w:tcPr>
            <w:tcW w:w="4540" w:type="dxa"/>
            <w:vAlign w:val="bottom"/>
            <w:tcBorders>
              <w:bottom w:val="single" w:sz="8" w:color="010101"/>
            </w:tcBorders>
          </w:tcPr>
          <w:p>
            <w:pPr>
              <w:spacing w:after="0"/>
              <w:rPr>
                <w:sz w:val="11"/>
                <w:szCs w:val="11"/>
                <w:color w:val="auto"/>
              </w:rPr>
            </w:pPr>
          </w:p>
        </w:tc>
        <w:tc>
          <w:tcPr>
            <w:tcW w:w="280" w:type="dxa"/>
            <w:vAlign w:val="bottom"/>
            <w:tcBorders>
              <w:bottom w:val="single" w:sz="8" w:color="010101"/>
            </w:tcBorders>
          </w:tcPr>
          <w:p>
            <w:pPr>
              <w:spacing w:after="0"/>
              <w:rPr>
                <w:sz w:val="11"/>
                <w:szCs w:val="11"/>
                <w:color w:val="auto"/>
              </w:rPr>
            </w:pPr>
          </w:p>
        </w:tc>
        <w:tc>
          <w:tcPr>
            <w:tcW w:w="400" w:type="dxa"/>
            <w:vAlign w:val="bottom"/>
            <w:tcBorders>
              <w:bottom w:val="single" w:sz="8" w:color="010101"/>
            </w:tcBorders>
          </w:tcPr>
          <w:p>
            <w:pPr>
              <w:spacing w:after="0"/>
              <w:rPr>
                <w:sz w:val="11"/>
                <w:szCs w:val="11"/>
                <w:color w:val="auto"/>
              </w:rPr>
            </w:pPr>
          </w:p>
        </w:tc>
        <w:tc>
          <w:tcPr>
            <w:tcW w:w="2680" w:type="dxa"/>
            <w:vAlign w:val="bottom"/>
            <w:tcBorders>
              <w:bottom w:val="single" w:sz="8" w:color="010101"/>
            </w:tcBorders>
          </w:tcPr>
          <w:p>
            <w:pPr>
              <w:spacing w:after="0"/>
              <w:rPr>
                <w:sz w:val="11"/>
                <w:szCs w:val="11"/>
                <w:color w:val="auto"/>
              </w:rPr>
            </w:pPr>
          </w:p>
        </w:tc>
        <w:tc>
          <w:tcPr>
            <w:tcW w:w="280" w:type="dxa"/>
            <w:vAlign w:val="bottom"/>
            <w:tcBorders>
              <w:bottom w:val="single" w:sz="8" w:color="010101"/>
            </w:tcBorders>
          </w:tcPr>
          <w:p>
            <w:pPr>
              <w:spacing w:after="0"/>
              <w:rPr>
                <w:sz w:val="11"/>
                <w:szCs w:val="11"/>
                <w:color w:val="auto"/>
              </w:rPr>
            </w:pPr>
          </w:p>
        </w:tc>
        <w:tc>
          <w:tcPr>
            <w:tcW w:w="3080" w:type="dxa"/>
            <w:vAlign w:val="bottom"/>
            <w:tcBorders>
              <w:bottom w:val="single" w:sz="8" w:color="010101"/>
            </w:tcBorders>
          </w:tcPr>
          <w:p>
            <w:pPr>
              <w:spacing w:after="0"/>
              <w:rPr>
                <w:sz w:val="11"/>
                <w:szCs w:val="11"/>
                <w:color w:val="auto"/>
              </w:rPr>
            </w:pPr>
          </w:p>
        </w:tc>
        <w:tc>
          <w:tcPr>
            <w:tcW w:w="160" w:type="dxa"/>
            <w:vAlign w:val="bottom"/>
            <w:tcBorders>
              <w:bottom w:val="single" w:sz="8" w:color="010101"/>
            </w:tcBorders>
          </w:tcPr>
          <w:p>
            <w:pPr>
              <w:spacing w:after="0"/>
              <w:rPr>
                <w:sz w:val="11"/>
                <w:szCs w:val="11"/>
                <w:color w:val="auto"/>
              </w:rPr>
            </w:pPr>
          </w:p>
        </w:tc>
        <w:tc>
          <w:tcPr>
            <w:tcW w:w="40" w:type="dxa"/>
            <w:vAlign w:val="bottom"/>
            <w:tcBorders>
              <w:bottom w:val="single" w:sz="8" w:color="010101"/>
            </w:tcBorders>
          </w:tcPr>
          <w:p>
            <w:pPr>
              <w:spacing w:after="0"/>
              <w:rPr>
                <w:sz w:val="11"/>
                <w:szCs w:val="1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ectPr>
          <w:pgSz w:w="11900" w:h="16838" w:orient="portrait"/>
          <w:cols w:equalWidth="0" w:num="1">
            <w:col w:w="11460"/>
          </w:cols>
          <w:pgMar w:left="240" w:top="125" w:right="199" w:bottom="1440" w:gutter="0" w:footer="0" w:header="0"/>
          <w:type w:val="continuous"/>
        </w:sectPr>
      </w:pPr>
    </w:p>
    <w:bookmarkStart w:id="125" w:name="page126"/>
    <w:bookmarkEnd w:id="125"/>
    <w:p>
      <w:pPr>
        <w:jc w:val="right"/>
        <w:ind w:right="40"/>
        <w:spacing w:after="0"/>
        <w:rPr>
          <w:sz w:val="20"/>
          <w:szCs w:val="20"/>
          <w:color w:val="auto"/>
        </w:rPr>
      </w:pPr>
      <w:r>
        <w:rPr>
          <w:rFonts w:ascii="Arial" w:cs="Arial" w:eastAsia="Arial" w:hAnsi="Arial"/>
          <w:sz w:val="18"/>
          <w:szCs w:val="18"/>
          <w:b w:val="1"/>
          <w:bCs w:val="1"/>
          <w:color w:val="auto"/>
        </w:rPr>
        <w:t>Exhibit 10.54</w:t>
      </w:r>
    </w:p>
    <w:p>
      <w:pPr>
        <w:spacing w:after="0" w:line="225"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SECURED PROMISSORY NOTE</w:t>
      </w:r>
    </w:p>
    <w:p>
      <w:pPr>
        <w:spacing w:after="0" w:line="229" w:lineRule="exact"/>
        <w:rPr>
          <w:sz w:val="20"/>
          <w:szCs w:val="20"/>
          <w:color w:val="auto"/>
        </w:rPr>
      </w:pPr>
    </w:p>
    <w:p>
      <w:pPr>
        <w:spacing w:after="0"/>
        <w:tabs>
          <w:tab w:leader="none" w:pos="9820" w:val="left"/>
        </w:tabs>
        <w:rPr>
          <w:sz w:val="20"/>
          <w:szCs w:val="20"/>
          <w:color w:val="auto"/>
        </w:rPr>
      </w:pPr>
      <w:r>
        <w:rPr>
          <w:rFonts w:ascii="Arial" w:cs="Arial" w:eastAsia="Arial" w:hAnsi="Arial"/>
          <w:sz w:val="18"/>
          <w:szCs w:val="18"/>
          <w:color w:val="auto"/>
        </w:rPr>
        <w:t>$5,000,000</w:t>
      </w:r>
      <w:r>
        <w:rPr>
          <w:sz w:val="20"/>
          <w:szCs w:val="20"/>
          <w:color w:val="auto"/>
        </w:rPr>
        <w:tab/>
      </w:r>
      <w:r>
        <w:rPr>
          <w:rFonts w:ascii="Arial" w:cs="Arial" w:eastAsia="Arial" w:hAnsi="Arial"/>
          <w:sz w:val="16"/>
          <w:szCs w:val="16"/>
          <w:color w:val="auto"/>
        </w:rPr>
        <w:t>Dated: March 7, 2011</w:t>
      </w:r>
    </w:p>
    <w:p>
      <w:pPr>
        <w:spacing w:after="0" w:line="221" w:lineRule="exact"/>
        <w:rPr>
          <w:sz w:val="20"/>
          <w:szCs w:val="20"/>
          <w:color w:val="auto"/>
        </w:rPr>
      </w:pPr>
    </w:p>
    <w:p>
      <w:pPr>
        <w:ind w:right="220" w:firstLine="648"/>
        <w:spacing w:after="0" w:line="270" w:lineRule="auto"/>
        <w:rPr>
          <w:sz w:val="20"/>
          <w:szCs w:val="20"/>
          <w:color w:val="auto"/>
        </w:rPr>
      </w:pPr>
      <w:r>
        <w:rPr>
          <w:rFonts w:ascii="Arial" w:cs="Arial" w:eastAsia="Arial" w:hAnsi="Arial"/>
          <w:sz w:val="17"/>
          <w:szCs w:val="17"/>
          <w:color w:val="auto"/>
        </w:rPr>
        <w:t xml:space="preserve">FOR VALUE RECEIVED, the undersigned, </w:t>
      </w:r>
      <w:r>
        <w:rPr>
          <w:rFonts w:ascii="Arial" w:cs="Arial" w:eastAsia="Arial" w:hAnsi="Arial"/>
          <w:sz w:val="17"/>
          <w:szCs w:val="17"/>
          <w:b w:val="1"/>
          <w:bCs w:val="1"/>
          <w:color w:val="auto"/>
        </w:rPr>
        <w:t>CELLDEX THERAPEUTICS, INC.</w:t>
      </w:r>
      <w:r>
        <w:rPr>
          <w:rFonts w:ascii="Arial" w:cs="Arial" w:eastAsia="Arial" w:hAnsi="Arial"/>
          <w:sz w:val="17"/>
          <w:szCs w:val="17"/>
          <w:color w:val="auto"/>
        </w:rPr>
        <w:t>, a Delaware corporation (“</w:t>
      </w:r>
      <w:r>
        <w:rPr>
          <w:rFonts w:ascii="Arial" w:cs="Arial" w:eastAsia="Arial" w:hAnsi="Arial"/>
          <w:sz w:val="17"/>
          <w:szCs w:val="17"/>
          <w:b w:val="1"/>
          <w:bCs w:val="1"/>
          <w:color w:val="auto"/>
        </w:rPr>
        <w:t>Celldex</w:t>
      </w:r>
      <w:r>
        <w:rPr>
          <w:rFonts w:ascii="Arial" w:cs="Arial" w:eastAsia="Arial" w:hAnsi="Arial"/>
          <w:sz w:val="17"/>
          <w:szCs w:val="17"/>
          <w:color w:val="auto"/>
        </w:rPr>
        <w:t xml:space="preserve">”) and </w:t>
      </w:r>
      <w:r>
        <w:rPr>
          <w:rFonts w:ascii="Arial" w:cs="Arial" w:eastAsia="Arial" w:hAnsi="Arial"/>
          <w:sz w:val="17"/>
          <w:szCs w:val="17"/>
          <w:b w:val="1"/>
          <w:bCs w:val="1"/>
          <w:color w:val="auto"/>
        </w:rPr>
        <w:t>CELLDEX</w:t>
      </w:r>
      <w:r>
        <w:rPr>
          <w:rFonts w:ascii="Arial" w:cs="Arial" w:eastAsia="Arial" w:hAnsi="Arial"/>
          <w:sz w:val="17"/>
          <w:szCs w:val="17"/>
          <w:color w:val="auto"/>
        </w:rPr>
        <w:t xml:space="preserve"> </w:t>
      </w:r>
      <w:r>
        <w:rPr>
          <w:rFonts w:ascii="Arial" w:cs="Arial" w:eastAsia="Arial" w:hAnsi="Arial"/>
          <w:sz w:val="17"/>
          <w:szCs w:val="17"/>
          <w:b w:val="1"/>
          <w:bCs w:val="1"/>
          <w:color w:val="auto"/>
        </w:rPr>
        <w:t>RESEARCH CORPORATION</w:t>
      </w:r>
      <w:r>
        <w:rPr>
          <w:rFonts w:ascii="Arial" w:cs="Arial" w:eastAsia="Arial" w:hAnsi="Arial"/>
          <w:sz w:val="17"/>
          <w:szCs w:val="17"/>
          <w:color w:val="auto"/>
        </w:rPr>
        <w:t>, a Delaware corporation (“</w:t>
      </w:r>
      <w:r>
        <w:rPr>
          <w:rFonts w:ascii="Arial" w:cs="Arial" w:eastAsia="Arial" w:hAnsi="Arial"/>
          <w:sz w:val="17"/>
          <w:szCs w:val="17"/>
          <w:b w:val="1"/>
          <w:bCs w:val="1"/>
          <w:color w:val="auto"/>
        </w:rPr>
        <w:t>Celldex Research</w:t>
      </w:r>
      <w:r>
        <w:rPr>
          <w:rFonts w:ascii="Arial" w:cs="Arial" w:eastAsia="Arial" w:hAnsi="Arial"/>
          <w:sz w:val="17"/>
          <w:szCs w:val="17"/>
          <w:color w:val="auto"/>
        </w:rPr>
        <w:t>”; Celldex and Celldex Research are referred to herein individually and</w:t>
      </w:r>
      <w:r>
        <w:rPr>
          <w:rFonts w:ascii="Arial" w:cs="Arial" w:eastAsia="Arial" w:hAnsi="Arial"/>
          <w:sz w:val="17"/>
          <w:szCs w:val="17"/>
          <w:b w:val="1"/>
          <w:bCs w:val="1"/>
          <w:color w:val="auto"/>
        </w:rPr>
        <w:t xml:space="preserve"> </w:t>
      </w:r>
      <w:r>
        <w:rPr>
          <w:rFonts w:ascii="Arial" w:cs="Arial" w:eastAsia="Arial" w:hAnsi="Arial"/>
          <w:sz w:val="17"/>
          <w:szCs w:val="17"/>
          <w:color w:val="auto"/>
        </w:rPr>
        <w:t>collectively, jointly and severally, as “</w:t>
      </w:r>
      <w:r>
        <w:rPr>
          <w:rFonts w:ascii="Arial" w:cs="Arial" w:eastAsia="Arial" w:hAnsi="Arial"/>
          <w:sz w:val="17"/>
          <w:szCs w:val="17"/>
          <w:b w:val="1"/>
          <w:bCs w:val="1"/>
          <w:color w:val="auto"/>
        </w:rPr>
        <w:t>Borrower</w:t>
      </w:r>
      <w:r>
        <w:rPr>
          <w:rFonts w:ascii="Arial" w:cs="Arial" w:eastAsia="Arial" w:hAnsi="Arial"/>
          <w:sz w:val="17"/>
          <w:szCs w:val="17"/>
          <w:color w:val="auto"/>
        </w:rPr>
        <w:t xml:space="preserve">”) HEREBY PROMISES TO PAY to the order of </w:t>
      </w:r>
      <w:r>
        <w:rPr>
          <w:rFonts w:ascii="Arial" w:cs="Arial" w:eastAsia="Arial" w:hAnsi="Arial"/>
          <w:sz w:val="17"/>
          <w:szCs w:val="17"/>
          <w:b w:val="1"/>
          <w:bCs w:val="1"/>
          <w:color w:val="auto"/>
        </w:rPr>
        <w:t>GENERAL ELECTRIC CAPITAL CORPORATION</w:t>
      </w:r>
      <w:r>
        <w:rPr>
          <w:rFonts w:ascii="Arial" w:cs="Arial" w:eastAsia="Arial" w:hAnsi="Arial"/>
          <w:sz w:val="17"/>
          <w:szCs w:val="17"/>
          <w:color w:val="auto"/>
        </w:rPr>
        <w:t xml:space="preserve"> (“</w:t>
      </w:r>
      <w:r>
        <w:rPr>
          <w:rFonts w:ascii="Arial" w:cs="Arial" w:eastAsia="Arial" w:hAnsi="Arial"/>
          <w:sz w:val="17"/>
          <w:szCs w:val="17"/>
          <w:b w:val="1"/>
          <w:bCs w:val="1"/>
          <w:color w:val="auto"/>
        </w:rPr>
        <w:t>GECC</w:t>
      </w:r>
      <w:r>
        <w:rPr>
          <w:rFonts w:ascii="Arial" w:cs="Arial" w:eastAsia="Arial" w:hAnsi="Arial"/>
          <w:sz w:val="17"/>
          <w:szCs w:val="17"/>
          <w:color w:val="auto"/>
        </w:rPr>
        <w:t xml:space="preserve">”) the principal amount of FIVE MILLION DOLLARS ($5,000,000) or such lesser amount as shall equal the outstanding principal balance of the Term Loan made to Borrower by GECC, plus interest on the aggregate unpaid principal amount of the Term Loan, at the rates and in accordance with the terms of certain Loan and Security Agreement dated as of December 30, 2010 by and among Borrower, </w:t>
      </w:r>
      <w:r>
        <w:rPr>
          <w:rFonts w:ascii="Arial" w:cs="Arial" w:eastAsia="Arial" w:hAnsi="Arial"/>
          <w:sz w:val="17"/>
          <w:szCs w:val="17"/>
          <w:b w:val="1"/>
          <w:bCs w:val="1"/>
          <w:color w:val="auto"/>
        </w:rPr>
        <w:t>MIDCAP FUNDING V, LLC</w:t>
      </w:r>
      <w:r>
        <w:rPr>
          <w:rFonts w:ascii="Arial" w:cs="Arial" w:eastAsia="Arial" w:hAnsi="Arial"/>
          <w:sz w:val="17"/>
          <w:szCs w:val="17"/>
          <w:color w:val="auto"/>
        </w:rPr>
        <w:t xml:space="preserve">, a Delaware limited liability company (as assignee of </w:t>
      </w:r>
      <w:r>
        <w:rPr>
          <w:rFonts w:ascii="Arial" w:cs="Arial" w:eastAsia="Arial" w:hAnsi="Arial"/>
          <w:sz w:val="17"/>
          <w:szCs w:val="17"/>
          <w:b w:val="1"/>
          <w:bCs w:val="1"/>
          <w:color w:val="auto"/>
        </w:rPr>
        <w:t>MIDCAP FINANCIAL, LLC</w:t>
      </w:r>
      <w:r>
        <w:rPr>
          <w:rFonts w:ascii="Arial" w:cs="Arial" w:eastAsia="Arial" w:hAnsi="Arial"/>
          <w:sz w:val="17"/>
          <w:szCs w:val="17"/>
          <w:color w:val="auto"/>
        </w:rPr>
        <w:t>, a Delaware limited liability company (“</w:t>
      </w:r>
      <w:r>
        <w:rPr>
          <w:rFonts w:ascii="Arial" w:cs="Arial" w:eastAsia="Arial" w:hAnsi="Arial"/>
          <w:sz w:val="17"/>
          <w:szCs w:val="17"/>
          <w:b w:val="1"/>
          <w:bCs w:val="1"/>
          <w:color w:val="auto"/>
        </w:rPr>
        <w:t>MidCap</w:t>
      </w:r>
      <w:r>
        <w:rPr>
          <w:rFonts w:ascii="Arial" w:cs="Arial" w:eastAsia="Arial" w:hAnsi="Arial"/>
          <w:sz w:val="17"/>
          <w:szCs w:val="17"/>
          <w:color w:val="auto"/>
        </w:rPr>
        <w:t>”), as collateral agent (“</w:t>
      </w:r>
      <w:r>
        <w:rPr>
          <w:rFonts w:ascii="Arial" w:cs="Arial" w:eastAsia="Arial" w:hAnsi="Arial"/>
          <w:sz w:val="17"/>
          <w:szCs w:val="17"/>
          <w:b w:val="1"/>
          <w:bCs w:val="1"/>
          <w:color w:val="auto"/>
        </w:rPr>
        <w:t>Agent</w:t>
      </w:r>
      <w:r>
        <w:rPr>
          <w:rFonts w:ascii="Arial" w:cs="Arial" w:eastAsia="Arial" w:hAnsi="Arial"/>
          <w:sz w:val="17"/>
          <w:szCs w:val="17"/>
          <w:color w:val="auto"/>
        </w:rPr>
        <w:t>”), and MidCap as a “Lender” thereunder, as amended by a certain Joinder and First Loan Modification Agreement of even date herewith by and among Borrower, Agent and MidCap and GECC, as Lenders (the “</w:t>
      </w:r>
      <w:r>
        <w:rPr>
          <w:rFonts w:ascii="Arial" w:cs="Arial" w:eastAsia="Arial" w:hAnsi="Arial"/>
          <w:sz w:val="17"/>
          <w:szCs w:val="17"/>
          <w:b w:val="1"/>
          <w:bCs w:val="1"/>
          <w:color w:val="auto"/>
        </w:rPr>
        <w:t>Loan Agreement</w:t>
      </w:r>
      <w:r>
        <w:rPr>
          <w:rFonts w:ascii="Arial" w:cs="Arial" w:eastAsia="Arial" w:hAnsi="Arial"/>
          <w:sz w:val="17"/>
          <w:szCs w:val="17"/>
          <w:color w:val="auto"/>
        </w:rPr>
        <w:t>”). If not sooner paid, the entire principal amount and all accrued interest hereunder and under the Loan Agreement shall be due and payable on Maturity Date as set forth in the Loan Agreement.</w:t>
      </w:r>
    </w:p>
    <w:p>
      <w:pPr>
        <w:spacing w:after="0" w:line="182" w:lineRule="exact"/>
        <w:rPr>
          <w:sz w:val="20"/>
          <w:szCs w:val="20"/>
          <w:color w:val="auto"/>
        </w:rPr>
      </w:pPr>
    </w:p>
    <w:p>
      <w:pPr>
        <w:ind w:right="540"/>
        <w:spacing w:after="0" w:line="277" w:lineRule="auto"/>
        <w:rPr>
          <w:sz w:val="20"/>
          <w:szCs w:val="20"/>
          <w:color w:val="auto"/>
        </w:rPr>
      </w:pPr>
      <w:r>
        <w:rPr>
          <w:rFonts w:ascii="Arial" w:cs="Arial" w:eastAsia="Arial" w:hAnsi="Arial"/>
          <w:sz w:val="18"/>
          <w:szCs w:val="18"/>
          <w:color w:val="auto"/>
        </w:rPr>
        <w:t>Borrower agrees to pay any initial partial month interest payment from the date of this Secured Promissory Note (this “Note”) to the first Payment Date (“Interim Interest”) on the first Payment Date.</w:t>
      </w:r>
    </w:p>
    <w:p>
      <w:pPr>
        <w:spacing w:after="0" w:line="170" w:lineRule="exact"/>
        <w:rPr>
          <w:sz w:val="20"/>
          <w:szCs w:val="20"/>
          <w:color w:val="auto"/>
        </w:rPr>
      </w:pPr>
    </w:p>
    <w:p>
      <w:pPr>
        <w:ind w:right="60"/>
        <w:spacing w:after="0" w:line="286" w:lineRule="auto"/>
        <w:rPr>
          <w:sz w:val="20"/>
          <w:szCs w:val="20"/>
          <w:color w:val="auto"/>
        </w:rPr>
      </w:pPr>
      <w:r>
        <w:rPr>
          <w:rFonts w:ascii="Arial" w:cs="Arial" w:eastAsia="Arial" w:hAnsi="Arial"/>
          <w:sz w:val="17"/>
          <w:szCs w:val="17"/>
          <w:color w:val="auto"/>
        </w:rPr>
        <w:t>Principal, interest and all other amounts due with respect to the Term Loan, are payable in lawful money of the United States of America to GECC as set forth in the Loan Agreement and this Note. The principal amount of this Note and the interest rate applicable thereto, and all payments made with respect thereto, shall be recorded by GECC and, prior to any transfer hereof, endorsed on the grid attached hereto which is part of this Note.</w:t>
      </w:r>
    </w:p>
    <w:p>
      <w:pPr>
        <w:spacing w:after="0" w:line="166"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color w:val="auto"/>
        </w:rPr>
        <w:t>The Loan Agreement, among other things, (a) provides for the making of secured Term Loans to Borrower, and (b) contains provisions for acceleration of the maturity hereof upon the happening of certain stated events.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This Note may not be prepaid except as set forth in Section 2.2(c) and Section 2.2(d) of the Loan Agreement.</w:t>
      </w:r>
    </w:p>
    <w:p>
      <w:pPr>
        <w:spacing w:after="0" w:line="225"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color w:val="auto"/>
        </w:rPr>
        <w:t>This Note and the obligation of Borrower to repay the unpaid principal amount of the Term Loan, interest on the Term Loan and all other amounts due GECC under the Loan Agreement is secured under the Loan Agreement.</w:t>
      </w:r>
    </w:p>
    <w:p>
      <w:pPr>
        <w:spacing w:after="0" w:line="170" w:lineRule="exact"/>
        <w:rPr>
          <w:sz w:val="20"/>
          <w:szCs w:val="20"/>
          <w:color w:val="auto"/>
        </w:rPr>
      </w:pPr>
    </w:p>
    <w:p>
      <w:pPr>
        <w:ind w:right="300"/>
        <w:spacing w:after="0" w:line="277" w:lineRule="auto"/>
        <w:rPr>
          <w:sz w:val="20"/>
          <w:szCs w:val="20"/>
          <w:color w:val="auto"/>
        </w:rPr>
      </w:pPr>
      <w:r>
        <w:rPr>
          <w:rFonts w:ascii="Arial" w:cs="Arial" w:eastAsia="Arial" w:hAnsi="Arial"/>
          <w:sz w:val="18"/>
          <w:szCs w:val="18"/>
          <w:color w:val="auto"/>
        </w:rPr>
        <w:t>Presentment for payment, demand, notice of protest and all other demands and notices of any kind in connection with the execution, delivery, performance and enforcement of this Note are hereby waived.</w:t>
      </w:r>
    </w:p>
    <w:p>
      <w:pPr>
        <w:spacing w:after="0" w:line="170" w:lineRule="exact"/>
        <w:rPr>
          <w:sz w:val="20"/>
          <w:szCs w:val="20"/>
          <w:color w:val="auto"/>
        </w:rPr>
      </w:pPr>
    </w:p>
    <w:p>
      <w:pPr>
        <w:ind w:right="40"/>
        <w:spacing w:after="0" w:line="264" w:lineRule="auto"/>
        <w:rPr>
          <w:sz w:val="20"/>
          <w:szCs w:val="20"/>
          <w:color w:val="auto"/>
        </w:rPr>
      </w:pPr>
      <w:r>
        <w:rPr>
          <w:rFonts w:ascii="Arial" w:cs="Arial" w:eastAsia="Arial" w:hAnsi="Arial"/>
          <w:sz w:val="18"/>
          <w:szCs w:val="18"/>
          <w:color w:val="auto"/>
        </w:rPr>
        <w:t>Borrower shall pay all reasonable fees and expenses, including, without limitation, reasonable attorneys’ fees and costs, incurred by GECC in the enforcement or attempt to enforce any of Borrower’s obligations hereunder not performed when due. This Note shall be governed by, and construed and interpreted in accordance with, the laws of the State of Maryland.</w:t>
      </w:r>
    </w:p>
    <w:p>
      <w:pPr>
        <w:spacing w:after="0" w:line="181" w:lineRule="exact"/>
        <w:rPr>
          <w:sz w:val="20"/>
          <w:szCs w:val="20"/>
          <w:color w:val="auto"/>
        </w:rPr>
      </w:pPr>
    </w:p>
    <w:p>
      <w:pPr>
        <w:jc w:val="both"/>
        <w:ind w:right="120"/>
        <w:spacing w:after="0" w:line="264" w:lineRule="auto"/>
        <w:rPr>
          <w:sz w:val="20"/>
          <w:szCs w:val="20"/>
          <w:color w:val="auto"/>
        </w:rPr>
      </w:pPr>
      <w:r>
        <w:rPr>
          <w:rFonts w:ascii="Arial" w:cs="Arial" w:eastAsia="Arial" w:hAnsi="Arial"/>
          <w:sz w:val="18"/>
          <w:szCs w:val="18"/>
          <w:u w:val="single" w:color="auto"/>
          <w:color w:val="auto"/>
        </w:rPr>
        <w:t>Note Register; Ownership of Note</w:t>
      </w:r>
      <w:r>
        <w:rPr>
          <w:rFonts w:ascii="Arial" w:cs="Arial" w:eastAsia="Arial" w:hAnsi="Arial"/>
          <w:sz w:val="18"/>
          <w:szCs w:val="18"/>
          <w:color w:val="auto"/>
        </w:rPr>
        <w:t>. The ownership of an interest in this Note shall be registered on a record of ownership maintained by GECC or its agent. Notwithstanding anything else in this Note to the contrary, the right to the principal of, and stated interest on, this Note may be transferred only if the transfer is registered on such record of ownership and the transferee is identified as the owner of 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190500</wp:posOffset>
            </wp:positionV>
            <wp:extent cx="7267575" cy="2984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ind w:right="180"/>
        <w:spacing w:after="0" w:line="342" w:lineRule="auto"/>
        <w:rPr>
          <w:sz w:val="20"/>
          <w:szCs w:val="20"/>
          <w:color w:val="auto"/>
        </w:rPr>
      </w:pPr>
      <w:r>
        <w:rPr>
          <w:rFonts w:ascii="Arial" w:cs="Arial" w:eastAsia="Arial" w:hAnsi="Arial"/>
          <w:sz w:val="16"/>
          <w:szCs w:val="16"/>
          <w:color w:val="auto"/>
        </w:rPr>
        <w:t>interest in the obligation. Borrower shall be entitled to treat the registered holder of this Note (as recorded on such record of ownership) as the owner in fact thereof for all purposes and shall not be bound to recognize any equitable or other claim to or interest in this Note on the part of any other person or entity.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154305</wp:posOffset>
            </wp:positionV>
            <wp:extent cx="7267575" cy="2984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ind w:left="660"/>
        <w:spacing w:after="0"/>
        <w:rPr>
          <w:sz w:val="20"/>
          <w:szCs w:val="20"/>
          <w:color w:val="auto"/>
        </w:rPr>
      </w:pPr>
      <w:r>
        <w:rPr>
          <w:rFonts w:ascii="Arial" w:cs="Arial" w:eastAsia="Arial" w:hAnsi="Arial"/>
          <w:sz w:val="16"/>
          <w:szCs w:val="16"/>
          <w:color w:val="auto"/>
        </w:rPr>
        <w:t>IN WITNESS WHEREOF, Borrower has caused this Note to be duly executed by one of its officers thereunto duly authorized on the date hereof.</w:t>
      </w:r>
    </w:p>
    <w:p>
      <w:pPr>
        <w:spacing w:after="0" w:line="200" w:lineRule="exact"/>
        <w:rPr>
          <w:sz w:val="20"/>
          <w:szCs w:val="20"/>
          <w:color w:val="auto"/>
        </w:rPr>
      </w:pPr>
    </w:p>
    <w:p>
      <w:pPr>
        <w:spacing w:after="0" w:line="260" w:lineRule="exact"/>
        <w:rPr>
          <w:sz w:val="20"/>
          <w:szCs w:val="20"/>
          <w:color w:val="auto"/>
        </w:rPr>
      </w:pPr>
    </w:p>
    <w:p>
      <w:pPr>
        <w:ind w:left="5720"/>
        <w:spacing w:after="0"/>
        <w:rPr>
          <w:sz w:val="20"/>
          <w:szCs w:val="20"/>
          <w:color w:val="auto"/>
        </w:rPr>
      </w:pPr>
      <w:r>
        <w:rPr>
          <w:rFonts w:ascii="Arial" w:cs="Arial" w:eastAsia="Arial" w:hAnsi="Arial"/>
          <w:sz w:val="18"/>
          <w:szCs w:val="18"/>
          <w:b w:val="1"/>
          <w:bCs w:val="1"/>
          <w:color w:val="auto"/>
        </w:rPr>
        <w:t>BORROWER</w:t>
      </w:r>
      <w:r>
        <w:rPr>
          <w:rFonts w:ascii="Arial" w:cs="Arial" w:eastAsia="Arial" w:hAnsi="Arial"/>
          <w:sz w:val="18"/>
          <w:szCs w:val="18"/>
          <w:color w:val="auto"/>
        </w:rPr>
        <w:t>:</w:t>
      </w:r>
    </w:p>
    <w:p>
      <w:pPr>
        <w:spacing w:after="0" w:line="225" w:lineRule="exact"/>
        <w:rPr>
          <w:sz w:val="20"/>
          <w:szCs w:val="20"/>
          <w:color w:val="auto"/>
        </w:rPr>
      </w:pPr>
    </w:p>
    <w:p>
      <w:pPr>
        <w:ind w:left="5720"/>
        <w:spacing w:after="0"/>
        <w:rPr>
          <w:sz w:val="20"/>
          <w:szCs w:val="20"/>
          <w:color w:val="auto"/>
        </w:rPr>
      </w:pPr>
      <w:r>
        <w:rPr>
          <w:rFonts w:ascii="Arial" w:cs="Arial" w:eastAsia="Arial" w:hAnsi="Arial"/>
          <w:sz w:val="18"/>
          <w:szCs w:val="18"/>
          <w:b w:val="1"/>
          <w:bCs w:val="1"/>
          <w:color w:val="auto"/>
        </w:rPr>
        <w:t>CELLDEX THERAPEUTICS, INC.</w:t>
      </w:r>
    </w:p>
    <w:p>
      <w:pPr>
        <w:spacing w:after="0" w:line="229" w:lineRule="exact"/>
        <w:rPr>
          <w:sz w:val="20"/>
          <w:szCs w:val="20"/>
          <w:color w:val="auto"/>
        </w:rPr>
      </w:pPr>
    </w:p>
    <w:tbl>
      <w:tblPr>
        <w:tblLayout w:type="fixed"/>
        <w:tblInd w:w="5720" w:type="dxa"/>
        <w:tblCellMar>
          <w:top w:w="0" w:type="dxa"/>
          <w:left w:w="0" w:type="dxa"/>
          <w:bottom w:w="0" w:type="dxa"/>
          <w:right w:w="0" w:type="dxa"/>
        </w:tblCellMar>
      </w:tblPr>
      <w:tr>
        <w:trPr>
          <w:trHeight w:val="230"/>
        </w:trPr>
        <w:tc>
          <w:tcPr>
            <w:tcW w:w="760" w:type="dxa"/>
            <w:vAlign w:val="bottom"/>
          </w:tcPr>
          <w:p>
            <w:pPr>
              <w:spacing w:after="0"/>
              <w:rPr>
                <w:sz w:val="20"/>
                <w:szCs w:val="20"/>
                <w:color w:val="auto"/>
              </w:rPr>
            </w:pPr>
            <w:r>
              <w:rPr>
                <w:rFonts w:ascii="Arial" w:cs="Arial" w:eastAsia="Arial" w:hAnsi="Arial"/>
                <w:sz w:val="18"/>
                <w:szCs w:val="18"/>
                <w:color w:val="auto"/>
              </w:rPr>
              <w:t>By:</w:t>
            </w:r>
          </w:p>
        </w:tc>
        <w:tc>
          <w:tcPr>
            <w:tcW w:w="49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Anthony S. Marucci</w:t>
            </w:r>
          </w:p>
        </w:tc>
      </w:tr>
      <w:tr>
        <w:trPr>
          <w:trHeight w:val="195"/>
        </w:trPr>
        <w:tc>
          <w:tcPr>
            <w:tcW w:w="760" w:type="dxa"/>
            <w:vAlign w:val="bottom"/>
          </w:tcPr>
          <w:p>
            <w:pPr>
              <w:spacing w:after="0" w:line="195" w:lineRule="exact"/>
              <w:rPr>
                <w:sz w:val="20"/>
                <w:szCs w:val="20"/>
                <w:color w:val="auto"/>
              </w:rPr>
            </w:pPr>
            <w:r>
              <w:rPr>
                <w:rFonts w:ascii="Arial" w:cs="Arial" w:eastAsia="Arial" w:hAnsi="Arial"/>
                <w:sz w:val="18"/>
                <w:szCs w:val="18"/>
                <w:color w:val="auto"/>
              </w:rPr>
              <w:t>Name:</w:t>
            </w:r>
          </w:p>
        </w:tc>
        <w:tc>
          <w:tcPr>
            <w:tcW w:w="4940" w:type="dxa"/>
            <w:vAlign w:val="bottom"/>
          </w:tcPr>
          <w:p>
            <w:pPr>
              <w:spacing w:after="0" w:line="195" w:lineRule="exact"/>
              <w:rPr>
                <w:sz w:val="20"/>
                <w:szCs w:val="20"/>
                <w:color w:val="auto"/>
              </w:rPr>
            </w:pPr>
            <w:r>
              <w:rPr>
                <w:rFonts w:ascii="Arial" w:cs="Arial" w:eastAsia="Arial" w:hAnsi="Arial"/>
                <w:sz w:val="18"/>
                <w:szCs w:val="18"/>
                <w:color w:val="auto"/>
              </w:rPr>
              <w:t>Anthony S. Marucci</w:t>
            </w:r>
          </w:p>
        </w:tc>
      </w:tr>
      <w:tr>
        <w:trPr>
          <w:trHeight w:val="216"/>
        </w:trPr>
        <w:tc>
          <w:tcPr>
            <w:tcW w:w="760" w:type="dxa"/>
            <w:vAlign w:val="bottom"/>
          </w:tcPr>
          <w:p>
            <w:pPr>
              <w:spacing w:after="0"/>
              <w:rPr>
                <w:sz w:val="20"/>
                <w:szCs w:val="20"/>
                <w:color w:val="auto"/>
              </w:rPr>
            </w:pPr>
            <w:r>
              <w:rPr>
                <w:rFonts w:ascii="Arial" w:cs="Arial" w:eastAsia="Arial" w:hAnsi="Arial"/>
                <w:sz w:val="18"/>
                <w:szCs w:val="18"/>
                <w:color w:val="auto"/>
              </w:rPr>
              <w:t>Title:</w:t>
            </w:r>
          </w:p>
        </w:tc>
        <w:tc>
          <w:tcPr>
            <w:tcW w:w="4940" w:type="dxa"/>
            <w:vAlign w:val="bottom"/>
          </w:tcPr>
          <w:p>
            <w:pPr>
              <w:spacing w:after="0"/>
              <w:rPr>
                <w:sz w:val="20"/>
                <w:szCs w:val="20"/>
                <w:color w:val="auto"/>
              </w:rPr>
            </w:pPr>
            <w:r>
              <w:rPr>
                <w:rFonts w:ascii="Arial" w:cs="Arial" w:eastAsia="Arial" w:hAnsi="Arial"/>
                <w:sz w:val="18"/>
                <w:szCs w:val="18"/>
                <w:color w:val="auto"/>
              </w:rPr>
              <w:t>President and</w:t>
            </w:r>
          </w:p>
        </w:tc>
      </w:tr>
      <w:tr>
        <w:trPr>
          <w:trHeight w:val="230"/>
        </w:trPr>
        <w:tc>
          <w:tcPr>
            <w:tcW w:w="760" w:type="dxa"/>
            <w:vAlign w:val="bottom"/>
          </w:tcPr>
          <w:p>
            <w:pPr>
              <w:spacing w:after="0"/>
              <w:rPr>
                <w:sz w:val="20"/>
                <w:szCs w:val="20"/>
                <w:color w:val="auto"/>
              </w:rPr>
            </w:pPr>
          </w:p>
        </w:tc>
        <w:tc>
          <w:tcPr>
            <w:tcW w:w="4940" w:type="dxa"/>
            <w:vAlign w:val="bottom"/>
          </w:tcPr>
          <w:p>
            <w:pPr>
              <w:spacing w:after="0"/>
              <w:rPr>
                <w:sz w:val="20"/>
                <w:szCs w:val="20"/>
                <w:color w:val="auto"/>
              </w:rPr>
            </w:pPr>
            <w:r>
              <w:rPr>
                <w:rFonts w:ascii="Arial" w:cs="Arial" w:eastAsia="Arial" w:hAnsi="Arial"/>
                <w:sz w:val="18"/>
                <w:szCs w:val="18"/>
                <w:color w:val="auto"/>
              </w:rPr>
              <w:t>Chief Executive Officer</w:t>
            </w:r>
          </w:p>
        </w:tc>
      </w:tr>
    </w:tbl>
    <w:p>
      <w:pPr>
        <w:spacing w:after="0" w:line="200" w:lineRule="exact"/>
        <w:rPr>
          <w:sz w:val="20"/>
          <w:szCs w:val="20"/>
          <w:color w:val="auto"/>
        </w:rPr>
      </w:pPr>
    </w:p>
    <w:p>
      <w:pPr>
        <w:spacing w:after="0" w:line="214" w:lineRule="exact"/>
        <w:rPr>
          <w:sz w:val="20"/>
          <w:szCs w:val="20"/>
          <w:color w:val="auto"/>
        </w:rPr>
      </w:pPr>
    </w:p>
    <w:p>
      <w:pPr>
        <w:ind w:left="5720"/>
        <w:spacing w:after="0"/>
        <w:rPr>
          <w:sz w:val="20"/>
          <w:szCs w:val="20"/>
          <w:color w:val="auto"/>
        </w:rPr>
      </w:pPr>
      <w:r>
        <w:rPr>
          <w:rFonts w:ascii="Arial" w:cs="Arial" w:eastAsia="Arial" w:hAnsi="Arial"/>
          <w:sz w:val="18"/>
          <w:szCs w:val="18"/>
          <w:b w:val="1"/>
          <w:bCs w:val="1"/>
          <w:color w:val="auto"/>
        </w:rPr>
        <w:t>CELLDEX RESEARCH CORPORATION</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480" w:type="dxa"/>
            <w:vAlign w:val="bottom"/>
          </w:tcPr>
          <w:p>
            <w:pPr>
              <w:ind w:left="5720"/>
              <w:spacing w:after="0"/>
              <w:rPr>
                <w:sz w:val="20"/>
                <w:szCs w:val="20"/>
                <w:color w:val="auto"/>
              </w:rPr>
            </w:pPr>
            <w:r>
              <w:rPr>
                <w:rFonts w:ascii="Arial" w:cs="Arial" w:eastAsia="Arial" w:hAnsi="Arial"/>
                <w:sz w:val="18"/>
                <w:szCs w:val="18"/>
                <w:color w:val="auto"/>
              </w:rPr>
              <w:t>By:</w:t>
            </w:r>
          </w:p>
        </w:tc>
        <w:tc>
          <w:tcPr>
            <w:tcW w:w="49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Anthony S. Marucci</w:t>
            </w:r>
          </w:p>
        </w:tc>
        <w:tc>
          <w:tcPr>
            <w:tcW w:w="40" w:type="dxa"/>
            <w:vAlign w:val="bottom"/>
          </w:tcPr>
          <w:p>
            <w:pPr>
              <w:spacing w:after="0"/>
              <w:rPr>
                <w:sz w:val="20"/>
                <w:szCs w:val="20"/>
                <w:color w:val="auto"/>
              </w:rPr>
            </w:pPr>
          </w:p>
        </w:tc>
      </w:tr>
      <w:tr>
        <w:trPr>
          <w:trHeight w:val="195"/>
        </w:trPr>
        <w:tc>
          <w:tcPr>
            <w:tcW w:w="6480" w:type="dxa"/>
            <w:vAlign w:val="bottom"/>
          </w:tcPr>
          <w:p>
            <w:pPr>
              <w:ind w:left="5720"/>
              <w:spacing w:after="0" w:line="195" w:lineRule="exact"/>
              <w:rPr>
                <w:sz w:val="20"/>
                <w:szCs w:val="20"/>
                <w:color w:val="auto"/>
              </w:rPr>
            </w:pPr>
            <w:r>
              <w:rPr>
                <w:rFonts w:ascii="Arial" w:cs="Arial" w:eastAsia="Arial" w:hAnsi="Arial"/>
                <w:sz w:val="18"/>
                <w:szCs w:val="18"/>
                <w:color w:val="auto"/>
              </w:rPr>
              <w:t>Name:</w:t>
            </w:r>
          </w:p>
        </w:tc>
        <w:tc>
          <w:tcPr>
            <w:tcW w:w="4940" w:type="dxa"/>
            <w:vAlign w:val="bottom"/>
          </w:tcPr>
          <w:p>
            <w:pPr>
              <w:spacing w:after="0" w:line="195" w:lineRule="exact"/>
              <w:rPr>
                <w:sz w:val="20"/>
                <w:szCs w:val="20"/>
                <w:color w:val="auto"/>
              </w:rPr>
            </w:pPr>
            <w:r>
              <w:rPr>
                <w:rFonts w:ascii="Arial" w:cs="Arial" w:eastAsia="Arial" w:hAnsi="Arial"/>
                <w:sz w:val="18"/>
                <w:szCs w:val="18"/>
                <w:color w:val="auto"/>
              </w:rPr>
              <w:t>Anthony S. Marucci</w:t>
            </w:r>
          </w:p>
        </w:tc>
        <w:tc>
          <w:tcPr>
            <w:tcW w:w="40" w:type="dxa"/>
            <w:vAlign w:val="bottom"/>
          </w:tcPr>
          <w:p>
            <w:pPr>
              <w:spacing w:after="0"/>
              <w:rPr>
                <w:sz w:val="16"/>
                <w:szCs w:val="16"/>
                <w:color w:val="auto"/>
              </w:rPr>
            </w:pPr>
          </w:p>
        </w:tc>
      </w:tr>
      <w:tr>
        <w:trPr>
          <w:trHeight w:val="216"/>
        </w:trPr>
        <w:tc>
          <w:tcPr>
            <w:tcW w:w="6480" w:type="dxa"/>
            <w:vAlign w:val="bottom"/>
          </w:tcPr>
          <w:p>
            <w:pPr>
              <w:ind w:left="5720"/>
              <w:spacing w:after="0"/>
              <w:rPr>
                <w:sz w:val="20"/>
                <w:szCs w:val="20"/>
                <w:color w:val="auto"/>
              </w:rPr>
            </w:pPr>
            <w:r>
              <w:rPr>
                <w:rFonts w:ascii="Arial" w:cs="Arial" w:eastAsia="Arial" w:hAnsi="Arial"/>
                <w:sz w:val="18"/>
                <w:szCs w:val="18"/>
                <w:color w:val="auto"/>
              </w:rPr>
              <w:t>Title:</w:t>
            </w:r>
          </w:p>
        </w:tc>
        <w:tc>
          <w:tcPr>
            <w:tcW w:w="4940" w:type="dxa"/>
            <w:vAlign w:val="bottom"/>
          </w:tcPr>
          <w:p>
            <w:pPr>
              <w:spacing w:after="0"/>
              <w:rPr>
                <w:sz w:val="20"/>
                <w:szCs w:val="20"/>
                <w:color w:val="auto"/>
              </w:rPr>
            </w:pPr>
            <w:r>
              <w:rPr>
                <w:rFonts w:ascii="Arial" w:cs="Arial" w:eastAsia="Arial" w:hAnsi="Arial"/>
                <w:sz w:val="18"/>
                <w:szCs w:val="18"/>
                <w:color w:val="auto"/>
              </w:rPr>
              <w:t>President and</w:t>
            </w:r>
          </w:p>
        </w:tc>
        <w:tc>
          <w:tcPr>
            <w:tcW w:w="40" w:type="dxa"/>
            <w:vAlign w:val="bottom"/>
          </w:tcPr>
          <w:p>
            <w:pPr>
              <w:spacing w:after="0"/>
              <w:rPr>
                <w:sz w:val="18"/>
                <w:szCs w:val="18"/>
                <w:color w:val="auto"/>
              </w:rPr>
            </w:pPr>
          </w:p>
        </w:tc>
      </w:tr>
      <w:tr>
        <w:trPr>
          <w:trHeight w:val="230"/>
        </w:trPr>
        <w:tc>
          <w:tcPr>
            <w:tcW w:w="6480" w:type="dxa"/>
            <w:vAlign w:val="bottom"/>
          </w:tcPr>
          <w:p>
            <w:pPr>
              <w:spacing w:after="0"/>
              <w:rPr>
                <w:sz w:val="20"/>
                <w:szCs w:val="20"/>
                <w:color w:val="auto"/>
              </w:rPr>
            </w:pPr>
          </w:p>
        </w:tc>
        <w:tc>
          <w:tcPr>
            <w:tcW w:w="4940" w:type="dxa"/>
            <w:vAlign w:val="bottom"/>
          </w:tcPr>
          <w:p>
            <w:pPr>
              <w:spacing w:after="0"/>
              <w:rPr>
                <w:sz w:val="20"/>
                <w:szCs w:val="20"/>
                <w:color w:val="auto"/>
              </w:rPr>
            </w:pPr>
            <w:r>
              <w:rPr>
                <w:rFonts w:ascii="Arial" w:cs="Arial" w:eastAsia="Arial" w:hAnsi="Arial"/>
                <w:sz w:val="18"/>
                <w:szCs w:val="18"/>
                <w:color w:val="auto"/>
              </w:rPr>
              <w:t>Chief Executive Officer</w:t>
            </w:r>
          </w:p>
        </w:tc>
        <w:tc>
          <w:tcPr>
            <w:tcW w:w="40" w:type="dxa"/>
            <w:vAlign w:val="bottom"/>
          </w:tcPr>
          <w:p>
            <w:pPr>
              <w:spacing w:after="0"/>
              <w:rPr>
                <w:sz w:val="20"/>
                <w:szCs w:val="20"/>
                <w:color w:val="auto"/>
              </w:rPr>
            </w:pPr>
          </w:p>
        </w:tc>
      </w:tr>
      <w:tr>
        <w:trPr>
          <w:trHeight w:val="348"/>
        </w:trPr>
        <w:tc>
          <w:tcPr>
            <w:tcW w:w="6480" w:type="dxa"/>
            <w:vAlign w:val="bottom"/>
            <w:tcBorders>
              <w:bottom w:val="single" w:sz="8" w:color="010101"/>
            </w:tcBorders>
          </w:tcPr>
          <w:p>
            <w:pPr>
              <w:spacing w:after="0"/>
              <w:rPr>
                <w:sz w:val="24"/>
                <w:szCs w:val="24"/>
                <w:color w:val="auto"/>
              </w:rPr>
            </w:pPr>
          </w:p>
        </w:tc>
        <w:tc>
          <w:tcPr>
            <w:tcW w:w="4940" w:type="dxa"/>
            <w:vAlign w:val="bottom"/>
            <w:tcBorders>
              <w:bottom w:val="single" w:sz="8" w:color="010101"/>
            </w:tcBorders>
          </w:tcPr>
          <w:p>
            <w:pPr>
              <w:spacing w:after="0"/>
              <w:rPr>
                <w:sz w:val="24"/>
                <w:szCs w:val="24"/>
                <w:color w:val="auto"/>
              </w:rPr>
            </w:pPr>
          </w:p>
        </w:tc>
        <w:tc>
          <w:tcPr>
            <w:tcW w:w="40" w:type="dxa"/>
            <w:vAlign w:val="bottom"/>
            <w:tcBorders>
              <w:bottom w:val="single" w:sz="8" w:color="010101"/>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ectPr>
          <w:pgSz w:w="11900" w:h="16838" w:orient="portrait"/>
          <w:cols w:equalWidth="0" w:num="1">
            <w:col w:w="11460"/>
          </w:cols>
          <w:pgMar w:left="240" w:top="364" w:right="199" w:bottom="19" w:gutter="0" w:footer="0" w:header="0"/>
        </w:sectPr>
      </w:pPr>
    </w:p>
    <w:bookmarkStart w:id="126" w:name="page127"/>
    <w:bookmarkEnd w:id="126"/>
    <w:p>
      <w:pPr>
        <w:spacing w:after="0"/>
        <w:rPr>
          <w:rFonts w:ascii="Arial" w:cs="Arial" w:eastAsia="Arial" w:hAnsi="Arial"/>
          <w:sz w:val="22"/>
          <w:szCs w:val="22"/>
          <w:color w:val="0000EE"/>
        </w:rPr>
      </w:pPr>
      <w:hyperlink w:anchor="page128">
        <w:r>
          <w:rPr>
            <w:rFonts w:ascii="Arial" w:cs="Arial" w:eastAsia="Arial" w:hAnsi="Arial"/>
            <w:sz w:val="22"/>
            <w:szCs w:val="22"/>
            <w:u w:val="single" w:color="auto"/>
            <w:color w:val="0000EE"/>
          </w:rPr>
          <w:t>QuickLinks</w:t>
        </w:r>
        <w:r>
          <w:rPr>
            <w:rFonts w:ascii="Arial" w:cs="Arial" w:eastAsia="Arial" w:hAnsi="Arial"/>
            <w:sz w:val="22"/>
            <w:szCs w:val="22"/>
            <w:color w:val="0000EE"/>
          </w:rPr>
          <w:t xml:space="preserve"> </w:t>
        </w:r>
      </w:hyperlink>
      <w:r>
        <w:rPr>
          <w:rFonts w:ascii="Arial" w:cs="Arial" w:eastAsia="Arial" w:hAnsi="Arial"/>
          <w:sz w:val="22"/>
          <w:szCs w:val="22"/>
          <w:color w:val="000000"/>
        </w:rPr>
        <w:t>--</w:t>
      </w:r>
      <w:r>
        <w:rPr>
          <w:rFonts w:ascii="Arial" w:cs="Arial" w:eastAsia="Arial" w:hAnsi="Arial"/>
          <w:sz w:val="22"/>
          <w:szCs w:val="22"/>
          <w:color w:val="0000EE"/>
        </w:rPr>
        <w:t xml:space="preserve"> </w:t>
      </w:r>
      <w:r>
        <w:rPr>
          <w:rFonts w:ascii="Arial" w:cs="Arial" w:eastAsia="Arial" w:hAnsi="Arial"/>
          <w:sz w:val="22"/>
          <w:szCs w:val="22"/>
          <w:color w:val="000000"/>
        </w:rPr>
        <w:t>Click here to rapidly navigate through this document</w:t>
      </w:r>
    </w:p>
    <w:p>
      <w:pPr>
        <w:spacing w:after="0" w:line="200" w:lineRule="exact"/>
        <w:rPr>
          <w:sz w:val="20"/>
          <w:szCs w:val="20"/>
          <w:color w:val="auto"/>
        </w:rPr>
      </w:pP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3060" w:type="dxa"/>
            <w:vAlign w:val="bottom"/>
          </w:tcPr>
          <w:p>
            <w:pPr>
              <w:spacing w:after="0"/>
              <w:rPr>
                <w:sz w:val="19"/>
                <w:szCs w:val="19"/>
                <w:color w:val="auto"/>
              </w:rPr>
            </w:pPr>
          </w:p>
        </w:tc>
        <w:tc>
          <w:tcPr>
            <w:tcW w:w="6580" w:type="dxa"/>
            <w:vAlign w:val="bottom"/>
          </w:tcPr>
          <w:p>
            <w:pPr>
              <w:spacing w:after="0"/>
              <w:rPr>
                <w:sz w:val="19"/>
                <w:szCs w:val="19"/>
                <w:color w:val="auto"/>
              </w:rPr>
            </w:pPr>
          </w:p>
        </w:tc>
        <w:tc>
          <w:tcPr>
            <w:tcW w:w="1400" w:type="dxa"/>
            <w:vAlign w:val="bottom"/>
          </w:tcPr>
          <w:p>
            <w:pPr>
              <w:ind w:left="440"/>
              <w:spacing w:after="0"/>
              <w:rPr>
                <w:sz w:val="20"/>
                <w:szCs w:val="20"/>
                <w:color w:val="auto"/>
              </w:rPr>
            </w:pPr>
            <w:r>
              <w:rPr>
                <w:rFonts w:ascii="Arial" w:cs="Arial" w:eastAsia="Arial" w:hAnsi="Arial"/>
                <w:sz w:val="18"/>
                <w:szCs w:val="18"/>
                <w:b w:val="1"/>
                <w:bCs w:val="1"/>
                <w:color w:val="auto"/>
                <w:w w:val="93"/>
              </w:rPr>
              <w:t>Exhibit 21.0</w:t>
            </w:r>
          </w:p>
        </w:tc>
        <w:tc>
          <w:tcPr>
            <w:tcW w:w="0" w:type="dxa"/>
            <w:vAlign w:val="bottom"/>
          </w:tcPr>
          <w:p>
            <w:pPr>
              <w:spacing w:after="0"/>
              <w:rPr>
                <w:sz w:val="1"/>
                <w:szCs w:val="1"/>
                <w:color w:val="auto"/>
              </w:rPr>
            </w:pPr>
          </w:p>
        </w:tc>
      </w:tr>
      <w:tr>
        <w:trPr>
          <w:trHeight w:val="432"/>
        </w:trPr>
        <w:tc>
          <w:tcPr>
            <w:tcW w:w="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060" w:type="dxa"/>
            <w:vAlign w:val="bottom"/>
          </w:tcPr>
          <w:p>
            <w:pPr>
              <w:spacing w:after="0"/>
              <w:rPr>
                <w:sz w:val="24"/>
                <w:szCs w:val="24"/>
                <w:color w:val="auto"/>
              </w:rPr>
            </w:pPr>
          </w:p>
        </w:tc>
        <w:tc>
          <w:tcPr>
            <w:tcW w:w="7980" w:type="dxa"/>
            <w:vAlign w:val="bottom"/>
            <w:gridSpan w:val="2"/>
          </w:tcPr>
          <w:p>
            <w:pPr>
              <w:ind w:left="1280"/>
              <w:spacing w:after="0"/>
              <w:rPr>
                <w:sz w:val="20"/>
                <w:szCs w:val="20"/>
                <w:color w:val="auto"/>
              </w:rPr>
            </w:pPr>
            <w:r>
              <w:rPr>
                <w:rFonts w:ascii="Arial" w:cs="Arial" w:eastAsia="Arial" w:hAnsi="Arial"/>
                <w:sz w:val="18"/>
                <w:szCs w:val="18"/>
                <w:b w:val="1"/>
                <w:bCs w:val="1"/>
                <w:color w:val="auto"/>
              </w:rPr>
              <w:t>LIST OF SUBSIDIARIES</w:t>
            </w:r>
          </w:p>
        </w:tc>
        <w:tc>
          <w:tcPr>
            <w:tcW w:w="0" w:type="dxa"/>
            <w:vAlign w:val="bottom"/>
          </w:tcPr>
          <w:p>
            <w:pPr>
              <w:spacing w:after="0"/>
              <w:rPr>
                <w:sz w:val="1"/>
                <w:szCs w:val="1"/>
                <w:color w:val="auto"/>
              </w:rPr>
            </w:pPr>
          </w:p>
        </w:tc>
      </w:tr>
      <w:tr>
        <w:trPr>
          <w:trHeight w:val="367"/>
        </w:trPr>
        <w:tc>
          <w:tcPr>
            <w:tcW w:w="3440" w:type="dxa"/>
            <w:vAlign w:val="bottom"/>
            <w:gridSpan w:val="3"/>
          </w:tcPr>
          <w:p>
            <w:pPr>
              <w:spacing w:after="0"/>
              <w:rPr>
                <w:sz w:val="20"/>
                <w:szCs w:val="20"/>
                <w:color w:val="auto"/>
              </w:rPr>
            </w:pPr>
            <w:r>
              <w:rPr>
                <w:rFonts w:ascii="Arial" w:cs="Arial" w:eastAsia="Arial" w:hAnsi="Arial"/>
                <w:sz w:val="14"/>
                <w:szCs w:val="14"/>
                <w:b w:val="1"/>
                <w:bCs w:val="1"/>
                <w:color w:val="auto"/>
              </w:rPr>
              <w:t>Name</w:t>
            </w:r>
          </w:p>
        </w:tc>
        <w:tc>
          <w:tcPr>
            <w:tcW w:w="6580" w:type="dxa"/>
            <w:vAlign w:val="bottom"/>
          </w:tcPr>
          <w:p>
            <w:pPr>
              <w:spacing w:after="0"/>
              <w:rPr>
                <w:sz w:val="24"/>
                <w:szCs w:val="24"/>
                <w:color w:val="auto"/>
              </w:rPr>
            </w:pPr>
          </w:p>
        </w:tc>
        <w:tc>
          <w:tcPr>
            <w:tcW w:w="1400" w:type="dxa"/>
            <w:vAlign w:val="bottom"/>
          </w:tcPr>
          <w:p>
            <w:pPr>
              <w:ind w:left="60"/>
              <w:spacing w:after="0"/>
              <w:rPr>
                <w:sz w:val="20"/>
                <w:szCs w:val="20"/>
                <w:color w:val="auto"/>
              </w:rPr>
            </w:pPr>
            <w:r>
              <w:rPr>
                <w:rFonts w:ascii="Arial" w:cs="Arial" w:eastAsia="Arial" w:hAnsi="Arial"/>
                <w:sz w:val="14"/>
                <w:szCs w:val="14"/>
                <w:b w:val="1"/>
                <w:bCs w:val="1"/>
                <w:color w:val="auto"/>
                <w:w w:val="90"/>
              </w:rPr>
              <w:t>State of Incorporation</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3060" w:type="dxa"/>
            <w:vAlign w:val="bottom"/>
          </w:tcPr>
          <w:p>
            <w:pPr>
              <w:spacing w:after="0" w:line="20" w:lineRule="exact"/>
              <w:rPr>
                <w:sz w:val="1"/>
                <w:szCs w:val="1"/>
                <w:color w:val="auto"/>
              </w:rPr>
            </w:pPr>
          </w:p>
        </w:tc>
        <w:tc>
          <w:tcPr>
            <w:tcW w:w="6580" w:type="dxa"/>
            <w:vAlign w:val="bottom"/>
          </w:tcPr>
          <w:p>
            <w:pPr>
              <w:spacing w:after="0" w:line="20" w:lineRule="exact"/>
              <w:rPr>
                <w:sz w:val="1"/>
                <w:szCs w:val="1"/>
                <w:color w:val="auto"/>
              </w:rPr>
            </w:pPr>
          </w:p>
        </w:tc>
        <w:tc>
          <w:tcPr>
            <w:tcW w:w="140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34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Celldex Research Corporation</w:t>
            </w:r>
          </w:p>
        </w:tc>
        <w:tc>
          <w:tcPr>
            <w:tcW w:w="6580" w:type="dxa"/>
            <w:vAlign w:val="bottom"/>
            <w:shd w:val="clear" w:color="auto" w:fill="CCEEFF"/>
          </w:tcPr>
          <w:p>
            <w:pPr>
              <w:spacing w:after="0"/>
              <w:rPr>
                <w:sz w:val="18"/>
                <w:szCs w:val="18"/>
                <w:color w:val="auto"/>
              </w:rPr>
            </w:pPr>
          </w:p>
        </w:tc>
        <w:tc>
          <w:tcPr>
            <w:tcW w:w="1400" w:type="dxa"/>
            <w:vAlign w:val="bottom"/>
            <w:shd w:val="clear" w:color="auto" w:fill="CCEEFF"/>
          </w:tcPr>
          <w:p>
            <w:pPr>
              <w:spacing w:after="0"/>
              <w:rPr>
                <w:sz w:val="20"/>
                <w:szCs w:val="20"/>
                <w:color w:val="auto"/>
              </w:rPr>
            </w:pPr>
            <w:r>
              <w:rPr>
                <w:rFonts w:ascii="Arial" w:cs="Arial" w:eastAsia="Arial" w:hAnsi="Arial"/>
                <w:sz w:val="18"/>
                <w:szCs w:val="18"/>
                <w:color w:val="auto"/>
              </w:rPr>
              <w:t>Delaware</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3420" w:type="dxa"/>
            <w:vAlign w:val="bottom"/>
            <w:gridSpan w:val="2"/>
          </w:tcPr>
          <w:p>
            <w:pPr>
              <w:spacing w:after="0"/>
              <w:rPr>
                <w:sz w:val="20"/>
                <w:szCs w:val="20"/>
                <w:color w:val="auto"/>
              </w:rPr>
            </w:pPr>
            <w:r>
              <w:rPr>
                <w:rFonts w:ascii="Arial" w:cs="Arial" w:eastAsia="Arial" w:hAnsi="Arial"/>
                <w:sz w:val="18"/>
                <w:szCs w:val="18"/>
                <w:color w:val="auto"/>
              </w:rPr>
              <w:t>Celldex Therapeutics, Ltd.</w:t>
            </w:r>
          </w:p>
        </w:tc>
        <w:tc>
          <w:tcPr>
            <w:tcW w:w="6580" w:type="dxa"/>
            <w:vAlign w:val="bottom"/>
          </w:tcPr>
          <w:p>
            <w:pPr>
              <w:spacing w:after="0"/>
              <w:rPr>
                <w:sz w:val="19"/>
                <w:szCs w:val="19"/>
                <w:color w:val="auto"/>
              </w:rPr>
            </w:pPr>
          </w:p>
        </w:tc>
        <w:tc>
          <w:tcPr>
            <w:tcW w:w="1400" w:type="dxa"/>
            <w:vAlign w:val="bottom"/>
          </w:tcPr>
          <w:p>
            <w:pPr>
              <w:spacing w:after="0"/>
              <w:rPr>
                <w:sz w:val="20"/>
                <w:szCs w:val="20"/>
                <w:color w:val="auto"/>
              </w:rPr>
            </w:pPr>
            <w:r>
              <w:rPr>
                <w:rFonts w:ascii="Arial" w:cs="Arial" w:eastAsia="Arial" w:hAnsi="Arial"/>
                <w:sz w:val="18"/>
                <w:szCs w:val="18"/>
                <w:color w:val="auto"/>
              </w:rPr>
              <w:t>United Kingdom</w:t>
            </w:r>
          </w:p>
        </w:tc>
        <w:tc>
          <w:tcPr>
            <w:tcW w:w="0" w:type="dxa"/>
            <w:vAlign w:val="bottom"/>
          </w:tcPr>
          <w:p>
            <w:pPr>
              <w:spacing w:after="0"/>
              <w:rPr>
                <w:sz w:val="1"/>
                <w:szCs w:val="1"/>
                <w:color w:val="auto"/>
              </w:rPr>
            </w:pPr>
          </w:p>
        </w:tc>
      </w:tr>
      <w:tr>
        <w:trPr>
          <w:trHeight w:val="112"/>
        </w:trPr>
        <w:tc>
          <w:tcPr>
            <w:tcW w:w="20" w:type="dxa"/>
            <w:vAlign w:val="bottom"/>
            <w:tcBorders>
              <w:bottom w:val="single" w:sz="8" w:color="808080"/>
            </w:tcBorders>
          </w:tcPr>
          <w:p>
            <w:pPr>
              <w:spacing w:after="0"/>
              <w:rPr>
                <w:sz w:val="9"/>
                <w:szCs w:val="9"/>
                <w:color w:val="auto"/>
              </w:rPr>
            </w:pPr>
          </w:p>
        </w:tc>
        <w:tc>
          <w:tcPr>
            <w:tcW w:w="360" w:type="dxa"/>
            <w:vAlign w:val="bottom"/>
            <w:tcBorders>
              <w:bottom w:val="single" w:sz="8" w:color="808080"/>
            </w:tcBorders>
          </w:tcPr>
          <w:p>
            <w:pPr>
              <w:spacing w:after="0"/>
              <w:rPr>
                <w:sz w:val="9"/>
                <w:szCs w:val="9"/>
                <w:color w:val="auto"/>
              </w:rPr>
            </w:pPr>
          </w:p>
        </w:tc>
        <w:tc>
          <w:tcPr>
            <w:tcW w:w="3060" w:type="dxa"/>
            <w:vAlign w:val="bottom"/>
            <w:tcBorders>
              <w:bottom w:val="single" w:sz="8" w:color="808080"/>
            </w:tcBorders>
          </w:tcPr>
          <w:p>
            <w:pPr>
              <w:spacing w:after="0"/>
              <w:rPr>
                <w:sz w:val="9"/>
                <w:szCs w:val="9"/>
                <w:color w:val="auto"/>
              </w:rPr>
            </w:pPr>
          </w:p>
        </w:tc>
        <w:tc>
          <w:tcPr>
            <w:tcW w:w="6580" w:type="dxa"/>
            <w:vAlign w:val="bottom"/>
            <w:tcBorders>
              <w:bottom w:val="single" w:sz="8" w:color="808080"/>
            </w:tcBorders>
          </w:tcPr>
          <w:p>
            <w:pPr>
              <w:spacing w:after="0"/>
              <w:rPr>
                <w:sz w:val="9"/>
                <w:szCs w:val="9"/>
                <w:color w:val="auto"/>
              </w:rPr>
            </w:pPr>
          </w:p>
        </w:tc>
        <w:tc>
          <w:tcPr>
            <w:tcW w:w="1400" w:type="dxa"/>
            <w:vAlign w:val="bottom"/>
            <w:tcBorders>
              <w:bottom w:val="single" w:sz="8" w:color="808080"/>
            </w:tcBorders>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361" w:right="239" w:bottom="1440" w:gutter="0" w:footer="0" w:header="0"/>
        </w:sectPr>
      </w:pPr>
    </w:p>
    <w:bookmarkStart w:id="127" w:name="page128"/>
    <w:bookmarkEnd w:id="127"/>
    <w:p>
      <w:pPr>
        <w:spacing w:after="0"/>
        <w:rPr>
          <w:sz w:val="20"/>
          <w:szCs w:val="20"/>
          <w:color w:val="auto"/>
        </w:rPr>
      </w:pPr>
      <w:r>
        <w:rPr>
          <w:rFonts w:ascii="Arial" w:cs="Arial" w:eastAsia="Arial" w:hAnsi="Arial"/>
          <w:sz w:val="22"/>
          <w:szCs w:val="22"/>
          <w:color w:val="auto"/>
        </w:rPr>
        <w:t>QuickLinks</w:t>
      </w:r>
    </w:p>
    <w:p>
      <w:pPr>
        <w:spacing w:after="0" w:line="219" w:lineRule="exact"/>
        <w:rPr>
          <w:sz w:val="20"/>
          <w:szCs w:val="20"/>
          <w:color w:val="auto"/>
        </w:rPr>
      </w:pPr>
    </w:p>
    <w:p>
      <w:pPr>
        <w:jc w:val="right"/>
        <w:ind w:right="8799"/>
        <w:spacing w:after="0"/>
        <w:rPr>
          <w:rFonts w:ascii="Arial" w:cs="Arial" w:eastAsia="Arial" w:hAnsi="Arial"/>
          <w:sz w:val="18"/>
          <w:szCs w:val="18"/>
          <w:u w:val="single" w:color="auto"/>
          <w:color w:val="0000EE"/>
        </w:rPr>
      </w:pPr>
      <w:hyperlink w:anchor="page127">
        <w:r>
          <w:rPr>
            <w:rFonts w:ascii="Arial" w:cs="Arial" w:eastAsia="Arial" w:hAnsi="Arial"/>
            <w:sz w:val="18"/>
            <w:szCs w:val="18"/>
            <w:u w:val="single" w:color="auto"/>
            <w:color w:val="0000EE"/>
          </w:rPr>
          <w:t>Exhibit 21.0</w:t>
        </w:r>
      </w:hyperlink>
    </w:p>
    <w:p>
      <w:pPr>
        <w:sectPr>
          <w:pgSz w:w="11900" w:h="16838" w:orient="portrait"/>
          <w:cols w:equalWidth="0" w:num="1">
            <w:col w:w="10219"/>
          </w:cols>
          <w:pgMar w:left="240" w:top="820" w:right="1440" w:bottom="1440" w:gutter="0" w:footer="0" w:header="0"/>
        </w:sectPr>
      </w:pPr>
    </w:p>
    <w:bookmarkStart w:id="128" w:name="page129"/>
    <w:bookmarkEnd w:id="128"/>
    <w:p>
      <w:pPr>
        <w:spacing w:after="0"/>
        <w:rPr>
          <w:rFonts w:ascii="Arial" w:cs="Arial" w:eastAsia="Arial" w:hAnsi="Arial"/>
          <w:sz w:val="22"/>
          <w:szCs w:val="22"/>
          <w:color w:val="0000EE"/>
        </w:rPr>
      </w:pPr>
      <w:hyperlink w:anchor="page130">
        <w:r>
          <w:rPr>
            <w:rFonts w:ascii="Arial" w:cs="Arial" w:eastAsia="Arial" w:hAnsi="Arial"/>
            <w:sz w:val="22"/>
            <w:szCs w:val="22"/>
            <w:u w:val="single" w:color="auto"/>
            <w:color w:val="0000EE"/>
          </w:rPr>
          <w:t>QuickLinks</w:t>
        </w:r>
        <w:r>
          <w:rPr>
            <w:rFonts w:ascii="Arial" w:cs="Arial" w:eastAsia="Arial" w:hAnsi="Arial"/>
            <w:sz w:val="22"/>
            <w:szCs w:val="22"/>
            <w:color w:val="0000EE"/>
          </w:rPr>
          <w:t xml:space="preserve"> </w:t>
        </w:r>
      </w:hyperlink>
      <w:r>
        <w:rPr>
          <w:rFonts w:ascii="Arial" w:cs="Arial" w:eastAsia="Arial" w:hAnsi="Arial"/>
          <w:sz w:val="22"/>
          <w:szCs w:val="22"/>
          <w:color w:val="000000"/>
        </w:rPr>
        <w:t>--</w:t>
      </w:r>
      <w:r>
        <w:rPr>
          <w:rFonts w:ascii="Arial" w:cs="Arial" w:eastAsia="Arial" w:hAnsi="Arial"/>
          <w:sz w:val="22"/>
          <w:szCs w:val="22"/>
          <w:color w:val="0000EE"/>
        </w:rPr>
        <w:t xml:space="preserve"> </w:t>
      </w:r>
      <w:r>
        <w:rPr>
          <w:rFonts w:ascii="Arial" w:cs="Arial" w:eastAsia="Arial" w:hAnsi="Arial"/>
          <w:sz w:val="22"/>
          <w:szCs w:val="22"/>
          <w:color w:val="000000"/>
        </w:rPr>
        <w:t>Click here to rapidly navigate through this document</w:t>
      </w:r>
    </w:p>
    <w:p>
      <w:pPr>
        <w:spacing w:after="0" w:line="200" w:lineRule="exact"/>
        <w:rPr>
          <w:sz w:val="20"/>
          <w:szCs w:val="20"/>
          <w:color w:val="auto"/>
        </w:rPr>
      </w:pPr>
    </w:p>
    <w:p>
      <w:pPr>
        <w:spacing w:after="0" w:line="229"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Exhibit 23.1</w:t>
      </w:r>
    </w:p>
    <w:p>
      <w:pPr>
        <w:spacing w:after="0" w:line="225"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CONSENT OF INDEPENDENT REGISTERED PUBLIC ACCOUNTING FIRM</w:t>
      </w:r>
    </w:p>
    <w:p>
      <w:pPr>
        <w:spacing w:after="0" w:line="231" w:lineRule="exact"/>
        <w:rPr>
          <w:sz w:val="20"/>
          <w:szCs w:val="20"/>
          <w:color w:val="auto"/>
        </w:rPr>
      </w:pPr>
    </w:p>
    <w:p>
      <w:pPr>
        <w:jc w:val="both"/>
        <w:ind w:right="240" w:firstLine="348"/>
        <w:spacing w:after="0" w:line="259" w:lineRule="auto"/>
        <w:rPr>
          <w:sz w:val="20"/>
          <w:szCs w:val="20"/>
          <w:color w:val="auto"/>
        </w:rPr>
      </w:pPr>
      <w:r>
        <w:rPr>
          <w:rFonts w:ascii="Arial" w:cs="Arial" w:eastAsia="Arial" w:hAnsi="Arial"/>
          <w:sz w:val="18"/>
          <w:szCs w:val="18"/>
          <w:color w:val="auto"/>
        </w:rPr>
        <w:t>We hereby consent to the incorporation by reference in the Registration Statements on Form S-8 (Nos. 333-151728, 333-117602 and 333-162423) and on Form S-3 (Nos. 333-143112, 333-162613 and 333-165899) of Celldex Therapeutics, Inc. of our report dated March 9, 2011 relating to the financial statements and the effectiveness of internal control over financial reporting, which appears in this Form 10-K.</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color w:val="auto"/>
        </w:rPr>
        <w:t>/s/ PricewaterhouseCoopers LLP</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Boston, Massachusetts</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March 9, 2011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142240</wp:posOffset>
            </wp:positionV>
            <wp:extent cx="7250430" cy="21590"/>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361" w:right="279" w:bottom="1440" w:gutter="0" w:footer="0" w:header="0"/>
        </w:sectPr>
      </w:pPr>
    </w:p>
    <w:bookmarkStart w:id="129" w:name="page130"/>
    <w:bookmarkEnd w:id="129"/>
    <w:p>
      <w:pPr>
        <w:spacing w:after="0"/>
        <w:rPr>
          <w:sz w:val="20"/>
          <w:szCs w:val="20"/>
          <w:color w:val="auto"/>
        </w:rPr>
      </w:pPr>
      <w:r>
        <w:rPr>
          <w:rFonts w:ascii="Arial" w:cs="Arial" w:eastAsia="Arial" w:hAnsi="Arial"/>
          <w:sz w:val="22"/>
          <w:szCs w:val="22"/>
          <w:color w:val="auto"/>
        </w:rPr>
        <w:t>QuickLinks</w:t>
      </w:r>
    </w:p>
    <w:p>
      <w:pPr>
        <w:spacing w:after="0" w:line="219" w:lineRule="exact"/>
        <w:rPr>
          <w:sz w:val="20"/>
          <w:szCs w:val="20"/>
          <w:color w:val="auto"/>
        </w:rPr>
      </w:pPr>
    </w:p>
    <w:p>
      <w:pPr>
        <w:jc w:val="right"/>
        <w:ind w:right="8799"/>
        <w:spacing w:after="0"/>
        <w:rPr>
          <w:rFonts w:ascii="Arial" w:cs="Arial" w:eastAsia="Arial" w:hAnsi="Arial"/>
          <w:sz w:val="18"/>
          <w:szCs w:val="18"/>
          <w:u w:val="single" w:color="auto"/>
          <w:color w:val="0000EE"/>
        </w:rPr>
      </w:pPr>
      <w:hyperlink w:anchor="page129">
        <w:r>
          <w:rPr>
            <w:rFonts w:ascii="Arial" w:cs="Arial" w:eastAsia="Arial" w:hAnsi="Arial"/>
            <w:sz w:val="18"/>
            <w:szCs w:val="18"/>
            <w:u w:val="single" w:color="auto"/>
            <w:color w:val="0000EE"/>
          </w:rPr>
          <w:t>Exhibit 23.1</w:t>
        </w:r>
      </w:hyperlink>
    </w:p>
    <w:p>
      <w:pPr>
        <w:sectPr>
          <w:pgSz w:w="11900" w:h="16838" w:orient="portrait"/>
          <w:cols w:equalWidth="0" w:num="1">
            <w:col w:w="10219"/>
          </w:cols>
          <w:pgMar w:left="240" w:top="820" w:right="1440" w:bottom="1440" w:gutter="0" w:footer="0" w:header="0"/>
        </w:sectPr>
      </w:pPr>
    </w:p>
    <w:bookmarkStart w:id="130" w:name="page131"/>
    <w:bookmarkEnd w:id="130"/>
    <w:p>
      <w:pPr>
        <w:spacing w:after="0"/>
        <w:rPr>
          <w:rFonts w:ascii="Arial" w:cs="Arial" w:eastAsia="Arial" w:hAnsi="Arial"/>
          <w:sz w:val="22"/>
          <w:szCs w:val="22"/>
          <w:color w:val="0000EE"/>
        </w:rPr>
      </w:pPr>
      <w:hyperlink w:anchor="page132">
        <w:r>
          <w:rPr>
            <w:rFonts w:ascii="Arial" w:cs="Arial" w:eastAsia="Arial" w:hAnsi="Arial"/>
            <w:sz w:val="22"/>
            <w:szCs w:val="22"/>
            <w:u w:val="single" w:color="auto"/>
            <w:color w:val="0000EE"/>
          </w:rPr>
          <w:t>QuickLinks</w:t>
        </w:r>
        <w:r>
          <w:rPr>
            <w:rFonts w:ascii="Arial" w:cs="Arial" w:eastAsia="Arial" w:hAnsi="Arial"/>
            <w:sz w:val="22"/>
            <w:szCs w:val="22"/>
            <w:color w:val="0000EE"/>
          </w:rPr>
          <w:t xml:space="preserve"> </w:t>
        </w:r>
      </w:hyperlink>
      <w:r>
        <w:rPr>
          <w:rFonts w:ascii="Arial" w:cs="Arial" w:eastAsia="Arial" w:hAnsi="Arial"/>
          <w:sz w:val="22"/>
          <w:szCs w:val="22"/>
          <w:color w:val="000000"/>
        </w:rPr>
        <w:t>--</w:t>
      </w:r>
      <w:r>
        <w:rPr>
          <w:rFonts w:ascii="Arial" w:cs="Arial" w:eastAsia="Arial" w:hAnsi="Arial"/>
          <w:sz w:val="22"/>
          <w:szCs w:val="22"/>
          <w:color w:val="0000EE"/>
        </w:rPr>
        <w:t xml:space="preserve"> </w:t>
      </w:r>
      <w:r>
        <w:rPr>
          <w:rFonts w:ascii="Arial" w:cs="Arial" w:eastAsia="Arial" w:hAnsi="Arial"/>
          <w:sz w:val="22"/>
          <w:szCs w:val="22"/>
          <w:color w:val="000000"/>
        </w:rPr>
        <w:t>Click here to rapidly navigate through this document</w:t>
      </w:r>
    </w:p>
    <w:p>
      <w:pPr>
        <w:spacing w:after="0" w:line="200" w:lineRule="exact"/>
        <w:rPr>
          <w:sz w:val="20"/>
          <w:szCs w:val="20"/>
          <w:color w:val="auto"/>
        </w:rPr>
      </w:pPr>
    </w:p>
    <w:p>
      <w:pPr>
        <w:spacing w:after="0" w:line="229" w:lineRule="exact"/>
        <w:rPr>
          <w:sz w:val="20"/>
          <w:szCs w:val="20"/>
          <w:color w:val="auto"/>
        </w:rPr>
      </w:pPr>
    </w:p>
    <w:p>
      <w:pPr>
        <w:ind w:left="10460"/>
        <w:spacing w:after="0"/>
        <w:rPr>
          <w:sz w:val="20"/>
          <w:szCs w:val="20"/>
          <w:color w:val="auto"/>
        </w:rPr>
      </w:pPr>
      <w:r>
        <w:rPr>
          <w:rFonts w:ascii="Arial" w:cs="Arial" w:eastAsia="Arial" w:hAnsi="Arial"/>
          <w:sz w:val="16"/>
          <w:szCs w:val="16"/>
          <w:b w:val="1"/>
          <w:bCs w:val="1"/>
          <w:color w:val="auto"/>
        </w:rPr>
        <w:t>Exhibit 31.1</w:t>
      </w:r>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color w:val="auto"/>
        </w:rPr>
        <w:t>I, Anthony S. Marucci, certify that:</w:t>
      </w:r>
    </w:p>
    <w:p>
      <w:pPr>
        <w:spacing w:after="0" w:line="225" w:lineRule="exact"/>
        <w:rPr>
          <w:sz w:val="20"/>
          <w:szCs w:val="20"/>
          <w:color w:val="auto"/>
        </w:rPr>
      </w:pPr>
    </w:p>
    <w:p>
      <w:pPr>
        <w:ind w:left="720" w:hanging="361"/>
        <w:spacing w:after="0"/>
        <w:tabs>
          <w:tab w:leader="none" w:pos="720" w:val="left"/>
        </w:tabs>
        <w:numPr>
          <w:ilvl w:val="0"/>
          <w:numId w:val="64"/>
        </w:numPr>
        <w:rPr>
          <w:rFonts w:ascii="Arial" w:cs="Arial" w:eastAsia="Arial" w:hAnsi="Arial"/>
          <w:sz w:val="18"/>
          <w:szCs w:val="18"/>
          <w:color w:val="auto"/>
        </w:rPr>
      </w:pPr>
      <w:r>
        <w:rPr>
          <w:rFonts w:ascii="Arial" w:cs="Arial" w:eastAsia="Arial" w:hAnsi="Arial"/>
          <w:sz w:val="18"/>
          <w:szCs w:val="18"/>
          <w:color w:val="auto"/>
        </w:rPr>
        <w:t>I have reviewed this annual report on Form 10-K of Celldex Therapeutics, Inc.;</w:t>
      </w:r>
    </w:p>
    <w:p>
      <w:pPr>
        <w:spacing w:after="0" w:line="225" w:lineRule="exact"/>
        <w:rPr>
          <w:rFonts w:ascii="Arial" w:cs="Arial" w:eastAsia="Arial" w:hAnsi="Arial"/>
          <w:sz w:val="18"/>
          <w:szCs w:val="18"/>
          <w:color w:val="auto"/>
        </w:rPr>
      </w:pPr>
    </w:p>
    <w:p>
      <w:pPr>
        <w:ind w:right="500" w:firstLine="359"/>
        <w:spacing w:after="0" w:line="370" w:lineRule="auto"/>
        <w:tabs>
          <w:tab w:leader="none" w:pos="702" w:val="left"/>
        </w:tabs>
        <w:numPr>
          <w:ilvl w:val="0"/>
          <w:numId w:val="64"/>
        </w:numPr>
        <w:rPr>
          <w:rFonts w:ascii="Arial" w:cs="Arial" w:eastAsia="Arial" w:hAnsi="Arial"/>
          <w:sz w:val="15"/>
          <w:szCs w:val="15"/>
          <w:color w:val="auto"/>
        </w:rPr>
      </w:pPr>
      <w:r>
        <w:rPr>
          <w:rFonts w:ascii="Arial" w:cs="Arial" w:eastAsia="Arial" w:hAnsi="Arial"/>
          <w:sz w:val="15"/>
          <w:szCs w:val="15"/>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16" w:lineRule="exact"/>
        <w:rPr>
          <w:rFonts w:ascii="Arial" w:cs="Arial" w:eastAsia="Arial" w:hAnsi="Arial"/>
          <w:sz w:val="15"/>
          <w:szCs w:val="15"/>
          <w:color w:val="auto"/>
        </w:rPr>
      </w:pPr>
    </w:p>
    <w:p>
      <w:pPr>
        <w:ind w:right="460" w:firstLine="359"/>
        <w:spacing w:after="0" w:line="332" w:lineRule="auto"/>
        <w:tabs>
          <w:tab w:leader="none" w:pos="702" w:val="left"/>
        </w:tabs>
        <w:numPr>
          <w:ilvl w:val="0"/>
          <w:numId w:val="64"/>
        </w:numPr>
        <w:rPr>
          <w:rFonts w:ascii="Arial" w:cs="Arial" w:eastAsia="Arial" w:hAnsi="Arial"/>
          <w:sz w:val="16"/>
          <w:szCs w:val="16"/>
          <w:color w:val="auto"/>
        </w:rPr>
      </w:pPr>
      <w:r>
        <w:rPr>
          <w:rFonts w:ascii="Arial" w:cs="Arial" w:eastAsia="Arial" w:hAnsi="Arial"/>
          <w:sz w:val="16"/>
          <w:szCs w:val="16"/>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39" w:lineRule="exact"/>
        <w:rPr>
          <w:rFonts w:ascii="Arial" w:cs="Arial" w:eastAsia="Arial" w:hAnsi="Arial"/>
          <w:sz w:val="16"/>
          <w:szCs w:val="16"/>
          <w:color w:val="auto"/>
        </w:rPr>
      </w:pPr>
    </w:p>
    <w:p>
      <w:pPr>
        <w:ind w:left="700" w:hanging="341"/>
        <w:spacing w:after="0"/>
        <w:tabs>
          <w:tab w:leader="none" w:pos="700" w:val="left"/>
        </w:tabs>
        <w:numPr>
          <w:ilvl w:val="0"/>
          <w:numId w:val="64"/>
        </w:numPr>
        <w:rPr>
          <w:rFonts w:ascii="Arial" w:cs="Arial" w:eastAsia="Arial" w:hAnsi="Arial"/>
          <w:sz w:val="16"/>
          <w:szCs w:val="16"/>
          <w:color w:val="auto"/>
        </w:rPr>
      </w:pPr>
      <w:r>
        <w:rPr>
          <w:rFonts w:ascii="Arial" w:cs="Arial" w:eastAsia="Arial" w:hAnsi="Arial"/>
          <w:sz w:val="16"/>
          <w:szCs w:val="16"/>
          <w:color w:val="auto"/>
        </w:rPr>
        <w:t>The registrant's other certifying officer and I are responsible for establishing and maintaining disclosure controls and procedures (as defined in</w:t>
      </w:r>
    </w:p>
    <w:p>
      <w:pPr>
        <w:spacing w:after="0" w:line="38" w:lineRule="exact"/>
        <w:rPr>
          <w:rFonts w:ascii="Arial" w:cs="Arial" w:eastAsia="Arial" w:hAnsi="Arial"/>
          <w:sz w:val="16"/>
          <w:szCs w:val="16"/>
          <w:color w:val="auto"/>
        </w:rPr>
      </w:pPr>
    </w:p>
    <w:p>
      <w:pPr>
        <w:ind w:right="20"/>
        <w:spacing w:after="0" w:line="261" w:lineRule="auto"/>
        <w:rPr>
          <w:rFonts w:ascii="Arial" w:cs="Arial" w:eastAsia="Arial" w:hAnsi="Arial"/>
          <w:sz w:val="16"/>
          <w:szCs w:val="16"/>
          <w:color w:val="auto"/>
        </w:rPr>
      </w:pPr>
      <w:r>
        <w:rPr>
          <w:rFonts w:ascii="Arial" w:cs="Arial" w:eastAsia="Arial" w:hAnsi="Arial"/>
          <w:sz w:val="18"/>
          <w:szCs w:val="18"/>
          <w:color w:val="auto"/>
        </w:rPr>
        <w:t>Exchange Act Rules 13a-15(e) and 15d-15(e)) and internal control over financial reporting (as defined in the Exchange Act Rules 13a-15(f) and 15d-15(f)) for the registrant and have:</w:t>
      </w:r>
    </w:p>
    <w:p>
      <w:pPr>
        <w:spacing w:after="0" w:line="191" w:lineRule="exact"/>
        <w:rPr>
          <w:rFonts w:ascii="Arial" w:cs="Arial" w:eastAsia="Arial" w:hAnsi="Arial"/>
          <w:sz w:val="16"/>
          <w:szCs w:val="16"/>
          <w:color w:val="auto"/>
        </w:rPr>
      </w:pPr>
    </w:p>
    <w:p>
      <w:pPr>
        <w:ind w:left="540" w:right="240" w:firstLine="359"/>
        <w:spacing w:after="0" w:line="259" w:lineRule="auto"/>
        <w:tabs>
          <w:tab w:leader="none" w:pos="1218" w:val="left"/>
        </w:tabs>
        <w:numPr>
          <w:ilvl w:val="1"/>
          <w:numId w:val="64"/>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94" w:lineRule="exact"/>
        <w:rPr>
          <w:rFonts w:ascii="Arial" w:cs="Arial" w:eastAsia="Arial" w:hAnsi="Arial"/>
          <w:sz w:val="18"/>
          <w:szCs w:val="18"/>
          <w:color w:val="auto"/>
        </w:rPr>
      </w:pPr>
    </w:p>
    <w:p>
      <w:pPr>
        <w:jc w:val="both"/>
        <w:ind w:left="540" w:right="600" w:firstLine="359"/>
        <w:spacing w:after="0" w:line="259" w:lineRule="auto"/>
        <w:tabs>
          <w:tab w:leader="none" w:pos="1228" w:val="left"/>
        </w:tabs>
        <w:numPr>
          <w:ilvl w:val="1"/>
          <w:numId w:val="64"/>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94" w:lineRule="exact"/>
        <w:rPr>
          <w:rFonts w:ascii="Arial" w:cs="Arial" w:eastAsia="Arial" w:hAnsi="Arial"/>
          <w:sz w:val="18"/>
          <w:szCs w:val="18"/>
          <w:color w:val="auto"/>
        </w:rPr>
      </w:pPr>
    </w:p>
    <w:p>
      <w:pPr>
        <w:ind w:left="540" w:right="740" w:firstLine="359"/>
        <w:spacing w:after="0" w:line="332" w:lineRule="auto"/>
        <w:tabs>
          <w:tab w:leader="none" w:pos="1218" w:val="left"/>
        </w:tabs>
        <w:numPr>
          <w:ilvl w:val="1"/>
          <w:numId w:val="64"/>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39" w:lineRule="exact"/>
        <w:rPr>
          <w:rFonts w:ascii="Arial" w:cs="Arial" w:eastAsia="Arial" w:hAnsi="Arial"/>
          <w:sz w:val="16"/>
          <w:szCs w:val="16"/>
          <w:color w:val="auto"/>
        </w:rPr>
      </w:pPr>
    </w:p>
    <w:p>
      <w:pPr>
        <w:ind w:left="540" w:right="160" w:firstLine="359"/>
        <w:spacing w:after="0" w:line="259" w:lineRule="auto"/>
        <w:tabs>
          <w:tab w:leader="none" w:pos="1228" w:val="left"/>
        </w:tabs>
        <w:numPr>
          <w:ilvl w:val="1"/>
          <w:numId w:val="64"/>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94" w:lineRule="exact"/>
        <w:rPr>
          <w:rFonts w:ascii="Arial" w:cs="Arial" w:eastAsia="Arial" w:hAnsi="Arial"/>
          <w:sz w:val="18"/>
          <w:szCs w:val="18"/>
          <w:color w:val="auto"/>
        </w:rPr>
      </w:pPr>
    </w:p>
    <w:p>
      <w:pPr>
        <w:ind w:right="400" w:firstLine="359"/>
        <w:spacing w:after="0" w:line="332" w:lineRule="auto"/>
        <w:tabs>
          <w:tab w:leader="none" w:pos="699" w:val="left"/>
        </w:tabs>
        <w:numPr>
          <w:ilvl w:val="0"/>
          <w:numId w:val="64"/>
        </w:numPr>
        <w:rPr>
          <w:rFonts w:ascii="Arial" w:cs="Arial" w:eastAsia="Arial" w:hAnsi="Arial"/>
          <w:sz w:val="16"/>
          <w:szCs w:val="16"/>
          <w:color w:val="auto"/>
        </w:rPr>
      </w:pPr>
      <w:r>
        <w:rPr>
          <w:rFonts w:ascii="Arial" w:cs="Arial" w:eastAsia="Arial" w:hAnsi="Arial"/>
          <w:sz w:val="16"/>
          <w:szCs w:val="16"/>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39" w:lineRule="exact"/>
        <w:rPr>
          <w:rFonts w:ascii="Arial" w:cs="Arial" w:eastAsia="Arial" w:hAnsi="Arial"/>
          <w:sz w:val="16"/>
          <w:szCs w:val="16"/>
          <w:color w:val="auto"/>
        </w:rPr>
      </w:pPr>
    </w:p>
    <w:p>
      <w:pPr>
        <w:ind w:left="540" w:right="140" w:firstLine="359"/>
        <w:spacing w:after="0" w:line="268" w:lineRule="auto"/>
        <w:tabs>
          <w:tab w:leader="none" w:pos="1208" w:val="left"/>
        </w:tabs>
        <w:numPr>
          <w:ilvl w:val="1"/>
          <w:numId w:val="64"/>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85" w:lineRule="exact"/>
        <w:rPr>
          <w:rFonts w:ascii="Arial" w:cs="Arial" w:eastAsia="Arial" w:hAnsi="Arial"/>
          <w:sz w:val="18"/>
          <w:szCs w:val="18"/>
          <w:color w:val="auto"/>
        </w:rPr>
      </w:pPr>
    </w:p>
    <w:p>
      <w:pPr>
        <w:ind w:left="540" w:right="120" w:firstLine="359"/>
        <w:spacing w:after="0" w:line="268" w:lineRule="auto"/>
        <w:tabs>
          <w:tab w:leader="none" w:pos="1218" w:val="left"/>
        </w:tabs>
        <w:numPr>
          <w:ilvl w:val="1"/>
          <w:numId w:val="64"/>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86"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3840" w:type="dxa"/>
            <w:vAlign w:val="bottom"/>
          </w:tcPr>
          <w:p>
            <w:pPr>
              <w:ind w:left="1140"/>
              <w:spacing w:after="0"/>
              <w:rPr>
                <w:sz w:val="20"/>
                <w:szCs w:val="20"/>
                <w:color w:val="auto"/>
              </w:rPr>
            </w:pPr>
            <w:r>
              <w:rPr>
                <w:rFonts w:ascii="Arial" w:cs="Arial" w:eastAsia="Arial" w:hAnsi="Arial"/>
                <w:sz w:val="18"/>
                <w:szCs w:val="18"/>
                <w:color w:val="auto"/>
              </w:rPr>
              <w:t>Date: March 9, 2011</w:t>
            </w:r>
          </w:p>
        </w:tc>
        <w:tc>
          <w:tcPr>
            <w:tcW w:w="7580" w:type="dxa"/>
            <w:vAlign w:val="bottom"/>
            <w:gridSpan w:val="4"/>
          </w:tcPr>
          <w:p>
            <w:pPr>
              <w:ind w:left="1240"/>
              <w:spacing w:after="0"/>
              <w:rPr>
                <w:sz w:val="20"/>
                <w:szCs w:val="20"/>
                <w:color w:val="auto"/>
              </w:rPr>
            </w:pPr>
            <w:r>
              <w:rPr>
                <w:rFonts w:ascii="Arial" w:cs="Arial" w:eastAsia="Arial" w:hAnsi="Arial"/>
                <w:sz w:val="18"/>
                <w:szCs w:val="18"/>
                <w:color w:val="auto"/>
              </w:rPr>
              <w:t>By:  /s/ ANTHONY S. MARUCCI</w:t>
            </w:r>
          </w:p>
        </w:tc>
      </w:tr>
      <w:tr>
        <w:trPr>
          <w:trHeight w:val="97"/>
        </w:trPr>
        <w:tc>
          <w:tcPr>
            <w:tcW w:w="3840" w:type="dxa"/>
            <w:vAlign w:val="bottom"/>
          </w:tcPr>
          <w:p>
            <w:pPr>
              <w:spacing w:after="0"/>
              <w:rPr>
                <w:sz w:val="8"/>
                <w:szCs w:val="8"/>
                <w:color w:val="auto"/>
              </w:rPr>
            </w:pPr>
          </w:p>
        </w:tc>
        <w:tc>
          <w:tcPr>
            <w:tcW w:w="1700" w:type="dxa"/>
            <w:vAlign w:val="bottom"/>
          </w:tcPr>
          <w:p>
            <w:pPr>
              <w:spacing w:after="0"/>
              <w:rPr>
                <w:sz w:val="8"/>
                <w:szCs w:val="8"/>
                <w:color w:val="auto"/>
              </w:rPr>
            </w:pPr>
          </w:p>
        </w:tc>
        <w:tc>
          <w:tcPr>
            <w:tcW w:w="580" w:type="dxa"/>
            <w:vAlign w:val="bottom"/>
            <w:tcBorders>
              <w:bottom w:val="single" w:sz="8" w:color="auto"/>
            </w:tcBorders>
          </w:tcPr>
          <w:p>
            <w:pPr>
              <w:spacing w:after="0"/>
              <w:rPr>
                <w:sz w:val="8"/>
                <w:szCs w:val="8"/>
                <w:color w:val="auto"/>
              </w:rPr>
            </w:pPr>
          </w:p>
        </w:tc>
        <w:tc>
          <w:tcPr>
            <w:tcW w:w="4240" w:type="dxa"/>
            <w:vAlign w:val="bottom"/>
            <w:tcBorders>
              <w:bottom w:val="single" w:sz="8" w:color="auto"/>
            </w:tcBorders>
          </w:tcPr>
          <w:p>
            <w:pPr>
              <w:spacing w:after="0"/>
              <w:rPr>
                <w:sz w:val="8"/>
                <w:szCs w:val="8"/>
                <w:color w:val="auto"/>
              </w:rPr>
            </w:pPr>
          </w:p>
        </w:tc>
        <w:tc>
          <w:tcPr>
            <w:tcW w:w="1060" w:type="dxa"/>
            <w:vAlign w:val="bottom"/>
          </w:tcPr>
          <w:p>
            <w:pPr>
              <w:spacing w:after="0"/>
              <w:rPr>
                <w:sz w:val="8"/>
                <w:szCs w:val="8"/>
                <w:color w:val="auto"/>
              </w:rPr>
            </w:pPr>
          </w:p>
        </w:tc>
      </w:tr>
      <w:tr>
        <w:trPr>
          <w:trHeight w:val="282"/>
        </w:trPr>
        <w:tc>
          <w:tcPr>
            <w:tcW w:w="384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580" w:type="dxa"/>
            <w:vAlign w:val="bottom"/>
          </w:tcPr>
          <w:p>
            <w:pPr>
              <w:spacing w:after="0"/>
              <w:rPr>
                <w:sz w:val="20"/>
                <w:szCs w:val="20"/>
                <w:color w:val="auto"/>
              </w:rPr>
            </w:pPr>
            <w:r>
              <w:rPr>
                <w:rFonts w:ascii="Arial" w:cs="Arial" w:eastAsia="Arial" w:hAnsi="Arial"/>
                <w:sz w:val="18"/>
                <w:szCs w:val="18"/>
                <w:color w:val="auto"/>
              </w:rPr>
              <w:t>Name:</w:t>
            </w:r>
          </w:p>
        </w:tc>
        <w:tc>
          <w:tcPr>
            <w:tcW w:w="5300" w:type="dxa"/>
            <w:vAlign w:val="bottom"/>
            <w:gridSpan w:val="2"/>
          </w:tcPr>
          <w:p>
            <w:pPr>
              <w:ind w:left="120"/>
              <w:spacing w:after="0"/>
              <w:rPr>
                <w:sz w:val="20"/>
                <w:szCs w:val="20"/>
                <w:color w:val="auto"/>
              </w:rPr>
            </w:pPr>
            <w:r>
              <w:rPr>
                <w:rFonts w:ascii="Arial" w:cs="Arial" w:eastAsia="Arial" w:hAnsi="Arial"/>
                <w:sz w:val="18"/>
                <w:szCs w:val="18"/>
                <w:color w:val="auto"/>
              </w:rPr>
              <w:t>Anthony S. Marucci</w:t>
            </w:r>
          </w:p>
        </w:tc>
      </w:tr>
      <w:tr>
        <w:trPr>
          <w:trHeight w:val="222"/>
        </w:trPr>
        <w:tc>
          <w:tcPr>
            <w:tcW w:w="3840" w:type="dxa"/>
            <w:vAlign w:val="bottom"/>
          </w:tcPr>
          <w:p>
            <w:pPr>
              <w:spacing w:after="0"/>
              <w:rPr>
                <w:sz w:val="19"/>
                <w:szCs w:val="19"/>
                <w:color w:val="auto"/>
              </w:rPr>
            </w:pPr>
          </w:p>
        </w:tc>
        <w:tc>
          <w:tcPr>
            <w:tcW w:w="1700" w:type="dxa"/>
            <w:vAlign w:val="bottom"/>
          </w:tcPr>
          <w:p>
            <w:pPr>
              <w:spacing w:after="0"/>
              <w:rPr>
                <w:sz w:val="19"/>
                <w:szCs w:val="19"/>
                <w:color w:val="auto"/>
              </w:rPr>
            </w:pPr>
          </w:p>
        </w:tc>
        <w:tc>
          <w:tcPr>
            <w:tcW w:w="580" w:type="dxa"/>
            <w:vAlign w:val="bottom"/>
          </w:tcPr>
          <w:p>
            <w:pPr>
              <w:spacing w:after="0"/>
              <w:rPr>
                <w:sz w:val="20"/>
                <w:szCs w:val="20"/>
                <w:color w:val="auto"/>
              </w:rPr>
            </w:pPr>
            <w:r>
              <w:rPr>
                <w:rFonts w:ascii="Arial" w:cs="Arial" w:eastAsia="Arial" w:hAnsi="Arial"/>
                <w:sz w:val="18"/>
                <w:szCs w:val="18"/>
                <w:color w:val="auto"/>
              </w:rPr>
              <w:t>Title:</w:t>
            </w:r>
          </w:p>
        </w:tc>
        <w:tc>
          <w:tcPr>
            <w:tcW w:w="5300" w:type="dxa"/>
            <w:vAlign w:val="bottom"/>
            <w:gridSpan w:val="2"/>
          </w:tcPr>
          <w:p>
            <w:pPr>
              <w:ind w:left="120"/>
              <w:spacing w:after="0"/>
              <w:rPr>
                <w:sz w:val="20"/>
                <w:szCs w:val="20"/>
                <w:color w:val="auto"/>
              </w:rPr>
            </w:pPr>
            <w:r>
              <w:rPr>
                <w:rFonts w:ascii="Arial" w:cs="Arial" w:eastAsia="Arial" w:hAnsi="Arial"/>
                <w:sz w:val="18"/>
                <w:szCs w:val="18"/>
                <w:i w:val="1"/>
                <w:iCs w:val="1"/>
                <w:color w:val="auto"/>
              </w:rPr>
              <w:t>President and Chief Executive Officer</w:t>
            </w:r>
          </w:p>
        </w:tc>
      </w:tr>
      <w:tr>
        <w:trPr>
          <w:trHeight w:val="120"/>
        </w:trPr>
        <w:tc>
          <w:tcPr>
            <w:tcW w:w="3840" w:type="dxa"/>
            <w:vAlign w:val="bottom"/>
            <w:tcBorders>
              <w:bottom w:val="single" w:sz="8" w:color="808080"/>
            </w:tcBorders>
          </w:tcPr>
          <w:p>
            <w:pPr>
              <w:spacing w:after="0"/>
              <w:rPr>
                <w:sz w:val="10"/>
                <w:szCs w:val="10"/>
                <w:color w:val="auto"/>
              </w:rPr>
            </w:pPr>
          </w:p>
        </w:tc>
        <w:tc>
          <w:tcPr>
            <w:tcW w:w="1700" w:type="dxa"/>
            <w:vAlign w:val="bottom"/>
            <w:tcBorders>
              <w:bottom w:val="single" w:sz="8" w:color="808080"/>
            </w:tcBorders>
          </w:tcPr>
          <w:p>
            <w:pPr>
              <w:spacing w:after="0"/>
              <w:rPr>
                <w:sz w:val="10"/>
                <w:szCs w:val="10"/>
                <w:color w:val="auto"/>
              </w:rPr>
            </w:pPr>
          </w:p>
        </w:tc>
        <w:tc>
          <w:tcPr>
            <w:tcW w:w="580" w:type="dxa"/>
            <w:vAlign w:val="bottom"/>
            <w:tcBorders>
              <w:bottom w:val="single" w:sz="8" w:color="808080"/>
            </w:tcBorders>
          </w:tcPr>
          <w:p>
            <w:pPr>
              <w:spacing w:after="0"/>
              <w:rPr>
                <w:sz w:val="10"/>
                <w:szCs w:val="10"/>
                <w:color w:val="auto"/>
              </w:rPr>
            </w:pPr>
          </w:p>
        </w:tc>
        <w:tc>
          <w:tcPr>
            <w:tcW w:w="4240" w:type="dxa"/>
            <w:vAlign w:val="bottom"/>
            <w:tcBorders>
              <w:bottom w:val="single" w:sz="8" w:color="808080"/>
            </w:tcBorders>
          </w:tcPr>
          <w:p>
            <w:pPr>
              <w:spacing w:after="0"/>
              <w:rPr>
                <w:sz w:val="10"/>
                <w:szCs w:val="10"/>
                <w:color w:val="auto"/>
              </w:rPr>
            </w:pPr>
          </w:p>
        </w:tc>
        <w:tc>
          <w:tcPr>
            <w:tcW w:w="1060" w:type="dxa"/>
            <w:vAlign w:val="bottom"/>
            <w:tcBorders>
              <w:bottom w:val="single" w:sz="8" w:color="808080"/>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361" w:right="239" w:bottom="1440" w:gutter="0" w:footer="0" w:header="0"/>
        </w:sectPr>
      </w:pPr>
    </w:p>
    <w:bookmarkStart w:id="131" w:name="page132"/>
    <w:bookmarkEnd w:id="131"/>
    <w:p>
      <w:pPr>
        <w:spacing w:after="0"/>
        <w:rPr>
          <w:sz w:val="20"/>
          <w:szCs w:val="20"/>
          <w:color w:val="auto"/>
        </w:rPr>
      </w:pPr>
      <w:r>
        <w:rPr>
          <w:rFonts w:ascii="Arial" w:cs="Arial" w:eastAsia="Arial" w:hAnsi="Arial"/>
          <w:sz w:val="22"/>
          <w:szCs w:val="22"/>
          <w:color w:val="auto"/>
        </w:rPr>
        <w:t>QuickLinks</w:t>
      </w:r>
    </w:p>
    <w:p>
      <w:pPr>
        <w:spacing w:after="0" w:line="219" w:lineRule="exact"/>
        <w:rPr>
          <w:sz w:val="20"/>
          <w:szCs w:val="20"/>
          <w:color w:val="auto"/>
        </w:rPr>
      </w:pPr>
    </w:p>
    <w:p>
      <w:pPr>
        <w:jc w:val="right"/>
        <w:ind w:right="8799"/>
        <w:spacing w:after="0"/>
        <w:rPr>
          <w:rFonts w:ascii="Arial" w:cs="Arial" w:eastAsia="Arial" w:hAnsi="Arial"/>
          <w:sz w:val="18"/>
          <w:szCs w:val="18"/>
          <w:u w:val="single" w:color="auto"/>
          <w:color w:val="0000EE"/>
        </w:rPr>
      </w:pPr>
      <w:hyperlink w:anchor="page131">
        <w:r>
          <w:rPr>
            <w:rFonts w:ascii="Arial" w:cs="Arial" w:eastAsia="Arial" w:hAnsi="Arial"/>
            <w:sz w:val="18"/>
            <w:szCs w:val="18"/>
            <w:u w:val="single" w:color="auto"/>
            <w:color w:val="0000EE"/>
          </w:rPr>
          <w:t>Exhibit 31.1</w:t>
        </w:r>
      </w:hyperlink>
    </w:p>
    <w:p>
      <w:pPr>
        <w:sectPr>
          <w:pgSz w:w="11900" w:h="16838" w:orient="portrait"/>
          <w:cols w:equalWidth="0" w:num="1">
            <w:col w:w="10219"/>
          </w:cols>
          <w:pgMar w:left="240" w:top="820" w:right="1440" w:bottom="1440" w:gutter="0" w:footer="0" w:header="0"/>
        </w:sectPr>
      </w:pPr>
    </w:p>
    <w:bookmarkStart w:id="132" w:name="page133"/>
    <w:bookmarkEnd w:id="132"/>
    <w:p>
      <w:pPr>
        <w:spacing w:after="0"/>
        <w:rPr>
          <w:rFonts w:ascii="Arial" w:cs="Arial" w:eastAsia="Arial" w:hAnsi="Arial"/>
          <w:sz w:val="22"/>
          <w:szCs w:val="22"/>
          <w:color w:val="0000EE"/>
        </w:rPr>
      </w:pPr>
      <w:hyperlink w:anchor="page134">
        <w:r>
          <w:rPr>
            <w:rFonts w:ascii="Arial" w:cs="Arial" w:eastAsia="Arial" w:hAnsi="Arial"/>
            <w:sz w:val="22"/>
            <w:szCs w:val="22"/>
            <w:u w:val="single" w:color="auto"/>
            <w:color w:val="0000EE"/>
          </w:rPr>
          <w:t>QuickLinks</w:t>
        </w:r>
        <w:r>
          <w:rPr>
            <w:rFonts w:ascii="Arial" w:cs="Arial" w:eastAsia="Arial" w:hAnsi="Arial"/>
            <w:sz w:val="22"/>
            <w:szCs w:val="22"/>
            <w:color w:val="0000EE"/>
          </w:rPr>
          <w:t xml:space="preserve"> </w:t>
        </w:r>
      </w:hyperlink>
      <w:r>
        <w:rPr>
          <w:rFonts w:ascii="Arial" w:cs="Arial" w:eastAsia="Arial" w:hAnsi="Arial"/>
          <w:sz w:val="22"/>
          <w:szCs w:val="22"/>
          <w:color w:val="000000"/>
        </w:rPr>
        <w:t>--</w:t>
      </w:r>
      <w:r>
        <w:rPr>
          <w:rFonts w:ascii="Arial" w:cs="Arial" w:eastAsia="Arial" w:hAnsi="Arial"/>
          <w:sz w:val="22"/>
          <w:szCs w:val="22"/>
          <w:color w:val="0000EE"/>
        </w:rPr>
        <w:t xml:space="preserve"> </w:t>
      </w:r>
      <w:r>
        <w:rPr>
          <w:rFonts w:ascii="Arial" w:cs="Arial" w:eastAsia="Arial" w:hAnsi="Arial"/>
          <w:sz w:val="22"/>
          <w:szCs w:val="22"/>
          <w:color w:val="000000"/>
        </w:rPr>
        <w:t>Click here to rapidly navigate through this document</w:t>
      </w:r>
    </w:p>
    <w:p>
      <w:pPr>
        <w:spacing w:after="0" w:line="200" w:lineRule="exact"/>
        <w:rPr>
          <w:sz w:val="20"/>
          <w:szCs w:val="20"/>
          <w:color w:val="auto"/>
        </w:rPr>
      </w:pPr>
    </w:p>
    <w:p>
      <w:pPr>
        <w:spacing w:after="0" w:line="229" w:lineRule="exact"/>
        <w:rPr>
          <w:sz w:val="20"/>
          <w:szCs w:val="20"/>
          <w:color w:val="auto"/>
        </w:rPr>
      </w:pPr>
    </w:p>
    <w:p>
      <w:pPr>
        <w:ind w:left="10460"/>
        <w:spacing w:after="0"/>
        <w:rPr>
          <w:sz w:val="20"/>
          <w:szCs w:val="20"/>
          <w:color w:val="auto"/>
        </w:rPr>
      </w:pPr>
      <w:r>
        <w:rPr>
          <w:rFonts w:ascii="Arial" w:cs="Arial" w:eastAsia="Arial" w:hAnsi="Arial"/>
          <w:sz w:val="16"/>
          <w:szCs w:val="16"/>
          <w:b w:val="1"/>
          <w:bCs w:val="1"/>
          <w:color w:val="auto"/>
        </w:rPr>
        <w:t>Exhibit 31.2</w:t>
      </w:r>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color w:val="auto"/>
        </w:rPr>
        <w:t>I, Avery W. Catlin, certify that:</w:t>
      </w:r>
    </w:p>
    <w:p>
      <w:pPr>
        <w:spacing w:after="0" w:line="225" w:lineRule="exact"/>
        <w:rPr>
          <w:sz w:val="20"/>
          <w:szCs w:val="20"/>
          <w:color w:val="auto"/>
        </w:rPr>
      </w:pPr>
    </w:p>
    <w:p>
      <w:pPr>
        <w:ind w:left="720" w:hanging="361"/>
        <w:spacing w:after="0"/>
        <w:tabs>
          <w:tab w:leader="none" w:pos="720" w:val="left"/>
        </w:tabs>
        <w:numPr>
          <w:ilvl w:val="0"/>
          <w:numId w:val="65"/>
        </w:numPr>
        <w:rPr>
          <w:rFonts w:ascii="Arial" w:cs="Arial" w:eastAsia="Arial" w:hAnsi="Arial"/>
          <w:sz w:val="18"/>
          <w:szCs w:val="18"/>
          <w:color w:val="auto"/>
        </w:rPr>
      </w:pPr>
      <w:r>
        <w:rPr>
          <w:rFonts w:ascii="Arial" w:cs="Arial" w:eastAsia="Arial" w:hAnsi="Arial"/>
          <w:sz w:val="18"/>
          <w:szCs w:val="18"/>
          <w:color w:val="auto"/>
        </w:rPr>
        <w:t>I have reviewed this annual report on Form 10-K of Celldex Therapeutics, Inc.;</w:t>
      </w:r>
    </w:p>
    <w:p>
      <w:pPr>
        <w:spacing w:after="0" w:line="225" w:lineRule="exact"/>
        <w:rPr>
          <w:rFonts w:ascii="Arial" w:cs="Arial" w:eastAsia="Arial" w:hAnsi="Arial"/>
          <w:sz w:val="18"/>
          <w:szCs w:val="18"/>
          <w:color w:val="auto"/>
        </w:rPr>
      </w:pPr>
    </w:p>
    <w:p>
      <w:pPr>
        <w:ind w:right="500" w:firstLine="359"/>
        <w:spacing w:after="0" w:line="370" w:lineRule="auto"/>
        <w:tabs>
          <w:tab w:leader="none" w:pos="702" w:val="left"/>
        </w:tabs>
        <w:numPr>
          <w:ilvl w:val="0"/>
          <w:numId w:val="65"/>
        </w:numPr>
        <w:rPr>
          <w:rFonts w:ascii="Arial" w:cs="Arial" w:eastAsia="Arial" w:hAnsi="Arial"/>
          <w:sz w:val="15"/>
          <w:szCs w:val="15"/>
          <w:color w:val="auto"/>
        </w:rPr>
      </w:pPr>
      <w:r>
        <w:rPr>
          <w:rFonts w:ascii="Arial" w:cs="Arial" w:eastAsia="Arial" w:hAnsi="Arial"/>
          <w:sz w:val="15"/>
          <w:szCs w:val="15"/>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16" w:lineRule="exact"/>
        <w:rPr>
          <w:rFonts w:ascii="Arial" w:cs="Arial" w:eastAsia="Arial" w:hAnsi="Arial"/>
          <w:sz w:val="15"/>
          <w:szCs w:val="15"/>
          <w:color w:val="auto"/>
        </w:rPr>
      </w:pPr>
    </w:p>
    <w:p>
      <w:pPr>
        <w:ind w:right="460" w:firstLine="359"/>
        <w:spacing w:after="0" w:line="332" w:lineRule="auto"/>
        <w:tabs>
          <w:tab w:leader="none" w:pos="702" w:val="left"/>
        </w:tabs>
        <w:numPr>
          <w:ilvl w:val="0"/>
          <w:numId w:val="65"/>
        </w:numPr>
        <w:rPr>
          <w:rFonts w:ascii="Arial" w:cs="Arial" w:eastAsia="Arial" w:hAnsi="Arial"/>
          <w:sz w:val="16"/>
          <w:szCs w:val="16"/>
          <w:color w:val="auto"/>
        </w:rPr>
      </w:pPr>
      <w:r>
        <w:rPr>
          <w:rFonts w:ascii="Arial" w:cs="Arial" w:eastAsia="Arial" w:hAnsi="Arial"/>
          <w:sz w:val="16"/>
          <w:szCs w:val="16"/>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39" w:lineRule="exact"/>
        <w:rPr>
          <w:rFonts w:ascii="Arial" w:cs="Arial" w:eastAsia="Arial" w:hAnsi="Arial"/>
          <w:sz w:val="16"/>
          <w:szCs w:val="16"/>
          <w:color w:val="auto"/>
        </w:rPr>
      </w:pPr>
    </w:p>
    <w:p>
      <w:pPr>
        <w:ind w:left="700" w:hanging="341"/>
        <w:spacing w:after="0"/>
        <w:tabs>
          <w:tab w:leader="none" w:pos="700" w:val="left"/>
        </w:tabs>
        <w:numPr>
          <w:ilvl w:val="0"/>
          <w:numId w:val="65"/>
        </w:numPr>
        <w:rPr>
          <w:rFonts w:ascii="Arial" w:cs="Arial" w:eastAsia="Arial" w:hAnsi="Arial"/>
          <w:sz w:val="16"/>
          <w:szCs w:val="16"/>
          <w:color w:val="auto"/>
        </w:rPr>
      </w:pPr>
      <w:r>
        <w:rPr>
          <w:rFonts w:ascii="Arial" w:cs="Arial" w:eastAsia="Arial" w:hAnsi="Arial"/>
          <w:sz w:val="16"/>
          <w:szCs w:val="16"/>
          <w:color w:val="auto"/>
        </w:rPr>
        <w:t>The registrant's other certifying officer and I are responsible for establishing and maintaining disclosure controls and procedures (as defined in</w:t>
      </w:r>
    </w:p>
    <w:p>
      <w:pPr>
        <w:spacing w:after="0" w:line="38" w:lineRule="exact"/>
        <w:rPr>
          <w:rFonts w:ascii="Arial" w:cs="Arial" w:eastAsia="Arial" w:hAnsi="Arial"/>
          <w:sz w:val="16"/>
          <w:szCs w:val="16"/>
          <w:color w:val="auto"/>
        </w:rPr>
      </w:pPr>
    </w:p>
    <w:p>
      <w:pPr>
        <w:ind w:right="20"/>
        <w:spacing w:after="0" w:line="261" w:lineRule="auto"/>
        <w:rPr>
          <w:rFonts w:ascii="Arial" w:cs="Arial" w:eastAsia="Arial" w:hAnsi="Arial"/>
          <w:sz w:val="16"/>
          <w:szCs w:val="16"/>
          <w:color w:val="auto"/>
        </w:rPr>
      </w:pPr>
      <w:r>
        <w:rPr>
          <w:rFonts w:ascii="Arial" w:cs="Arial" w:eastAsia="Arial" w:hAnsi="Arial"/>
          <w:sz w:val="18"/>
          <w:szCs w:val="18"/>
          <w:color w:val="auto"/>
        </w:rPr>
        <w:t>Exchange Act Rules 13a-15(e) and 15d-15(e)) and internal control over financial reporting (as defined in the Exchange Act Rules 13a-15(f) and 15d-15(f)) for the registrant and have:</w:t>
      </w:r>
    </w:p>
    <w:p>
      <w:pPr>
        <w:spacing w:after="0" w:line="191" w:lineRule="exact"/>
        <w:rPr>
          <w:rFonts w:ascii="Arial" w:cs="Arial" w:eastAsia="Arial" w:hAnsi="Arial"/>
          <w:sz w:val="16"/>
          <w:szCs w:val="16"/>
          <w:color w:val="auto"/>
        </w:rPr>
      </w:pPr>
    </w:p>
    <w:p>
      <w:pPr>
        <w:ind w:left="540" w:right="240" w:firstLine="359"/>
        <w:spacing w:after="0" w:line="259" w:lineRule="auto"/>
        <w:tabs>
          <w:tab w:leader="none" w:pos="1218" w:val="left"/>
        </w:tabs>
        <w:numPr>
          <w:ilvl w:val="1"/>
          <w:numId w:val="65"/>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94" w:lineRule="exact"/>
        <w:rPr>
          <w:rFonts w:ascii="Arial" w:cs="Arial" w:eastAsia="Arial" w:hAnsi="Arial"/>
          <w:sz w:val="18"/>
          <w:szCs w:val="18"/>
          <w:color w:val="auto"/>
        </w:rPr>
      </w:pPr>
    </w:p>
    <w:p>
      <w:pPr>
        <w:jc w:val="both"/>
        <w:ind w:left="540" w:right="600" w:firstLine="359"/>
        <w:spacing w:after="0" w:line="259" w:lineRule="auto"/>
        <w:tabs>
          <w:tab w:leader="none" w:pos="1228" w:val="left"/>
        </w:tabs>
        <w:numPr>
          <w:ilvl w:val="1"/>
          <w:numId w:val="65"/>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94" w:lineRule="exact"/>
        <w:rPr>
          <w:rFonts w:ascii="Arial" w:cs="Arial" w:eastAsia="Arial" w:hAnsi="Arial"/>
          <w:sz w:val="18"/>
          <w:szCs w:val="18"/>
          <w:color w:val="auto"/>
        </w:rPr>
      </w:pPr>
    </w:p>
    <w:p>
      <w:pPr>
        <w:ind w:left="540" w:right="740" w:firstLine="359"/>
        <w:spacing w:after="0" w:line="332" w:lineRule="auto"/>
        <w:tabs>
          <w:tab w:leader="none" w:pos="1218" w:val="left"/>
        </w:tabs>
        <w:numPr>
          <w:ilvl w:val="1"/>
          <w:numId w:val="65"/>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39" w:lineRule="exact"/>
        <w:rPr>
          <w:rFonts w:ascii="Arial" w:cs="Arial" w:eastAsia="Arial" w:hAnsi="Arial"/>
          <w:sz w:val="16"/>
          <w:szCs w:val="16"/>
          <w:color w:val="auto"/>
        </w:rPr>
      </w:pPr>
    </w:p>
    <w:p>
      <w:pPr>
        <w:ind w:left="540" w:right="160" w:firstLine="359"/>
        <w:spacing w:after="0" w:line="259" w:lineRule="auto"/>
        <w:tabs>
          <w:tab w:leader="none" w:pos="1228" w:val="left"/>
        </w:tabs>
        <w:numPr>
          <w:ilvl w:val="1"/>
          <w:numId w:val="65"/>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94" w:lineRule="exact"/>
        <w:rPr>
          <w:rFonts w:ascii="Arial" w:cs="Arial" w:eastAsia="Arial" w:hAnsi="Arial"/>
          <w:sz w:val="18"/>
          <w:szCs w:val="18"/>
          <w:color w:val="auto"/>
        </w:rPr>
      </w:pPr>
    </w:p>
    <w:p>
      <w:pPr>
        <w:ind w:right="400" w:firstLine="359"/>
        <w:spacing w:after="0" w:line="332" w:lineRule="auto"/>
        <w:tabs>
          <w:tab w:leader="none" w:pos="699" w:val="left"/>
        </w:tabs>
        <w:numPr>
          <w:ilvl w:val="0"/>
          <w:numId w:val="65"/>
        </w:numPr>
        <w:rPr>
          <w:rFonts w:ascii="Arial" w:cs="Arial" w:eastAsia="Arial" w:hAnsi="Arial"/>
          <w:sz w:val="16"/>
          <w:szCs w:val="16"/>
          <w:color w:val="auto"/>
        </w:rPr>
      </w:pPr>
      <w:r>
        <w:rPr>
          <w:rFonts w:ascii="Arial" w:cs="Arial" w:eastAsia="Arial" w:hAnsi="Arial"/>
          <w:sz w:val="16"/>
          <w:szCs w:val="16"/>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39" w:lineRule="exact"/>
        <w:rPr>
          <w:rFonts w:ascii="Arial" w:cs="Arial" w:eastAsia="Arial" w:hAnsi="Arial"/>
          <w:sz w:val="16"/>
          <w:szCs w:val="16"/>
          <w:color w:val="auto"/>
        </w:rPr>
      </w:pPr>
    </w:p>
    <w:p>
      <w:pPr>
        <w:ind w:left="540" w:right="140" w:firstLine="359"/>
        <w:spacing w:after="0" w:line="268" w:lineRule="auto"/>
        <w:tabs>
          <w:tab w:leader="none" w:pos="1208" w:val="left"/>
        </w:tabs>
        <w:numPr>
          <w:ilvl w:val="1"/>
          <w:numId w:val="65"/>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85" w:lineRule="exact"/>
        <w:rPr>
          <w:rFonts w:ascii="Arial" w:cs="Arial" w:eastAsia="Arial" w:hAnsi="Arial"/>
          <w:sz w:val="18"/>
          <w:szCs w:val="18"/>
          <w:color w:val="auto"/>
        </w:rPr>
      </w:pPr>
    </w:p>
    <w:p>
      <w:pPr>
        <w:ind w:left="540" w:right="120" w:firstLine="359"/>
        <w:spacing w:after="0" w:line="268" w:lineRule="auto"/>
        <w:tabs>
          <w:tab w:leader="none" w:pos="1218" w:val="left"/>
        </w:tabs>
        <w:numPr>
          <w:ilvl w:val="1"/>
          <w:numId w:val="65"/>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86"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3840" w:type="dxa"/>
            <w:vAlign w:val="bottom"/>
          </w:tcPr>
          <w:p>
            <w:pPr>
              <w:ind w:left="1140"/>
              <w:spacing w:after="0"/>
              <w:rPr>
                <w:sz w:val="20"/>
                <w:szCs w:val="20"/>
                <w:color w:val="auto"/>
              </w:rPr>
            </w:pPr>
            <w:r>
              <w:rPr>
                <w:rFonts w:ascii="Arial" w:cs="Arial" w:eastAsia="Arial" w:hAnsi="Arial"/>
                <w:sz w:val="18"/>
                <w:szCs w:val="18"/>
                <w:color w:val="auto"/>
              </w:rPr>
              <w:t>Date: March 9, 2011</w:t>
            </w:r>
          </w:p>
        </w:tc>
        <w:tc>
          <w:tcPr>
            <w:tcW w:w="7580" w:type="dxa"/>
            <w:vAlign w:val="bottom"/>
            <w:gridSpan w:val="4"/>
          </w:tcPr>
          <w:p>
            <w:pPr>
              <w:ind w:left="1240"/>
              <w:spacing w:after="0"/>
              <w:rPr>
                <w:sz w:val="20"/>
                <w:szCs w:val="20"/>
                <w:color w:val="auto"/>
              </w:rPr>
            </w:pPr>
            <w:r>
              <w:rPr>
                <w:rFonts w:ascii="Arial" w:cs="Arial" w:eastAsia="Arial" w:hAnsi="Arial"/>
                <w:sz w:val="18"/>
                <w:szCs w:val="18"/>
                <w:color w:val="auto"/>
              </w:rPr>
              <w:t>By:  /s/ AVERY W. CATLIN</w:t>
            </w:r>
          </w:p>
        </w:tc>
      </w:tr>
      <w:tr>
        <w:trPr>
          <w:trHeight w:val="97"/>
        </w:trPr>
        <w:tc>
          <w:tcPr>
            <w:tcW w:w="3840" w:type="dxa"/>
            <w:vAlign w:val="bottom"/>
          </w:tcPr>
          <w:p>
            <w:pPr>
              <w:spacing w:after="0"/>
              <w:rPr>
                <w:sz w:val="8"/>
                <w:szCs w:val="8"/>
                <w:color w:val="auto"/>
              </w:rPr>
            </w:pPr>
          </w:p>
        </w:tc>
        <w:tc>
          <w:tcPr>
            <w:tcW w:w="1700" w:type="dxa"/>
            <w:vAlign w:val="bottom"/>
          </w:tcPr>
          <w:p>
            <w:pPr>
              <w:spacing w:after="0"/>
              <w:rPr>
                <w:sz w:val="8"/>
                <w:szCs w:val="8"/>
                <w:color w:val="auto"/>
              </w:rPr>
            </w:pPr>
          </w:p>
        </w:tc>
        <w:tc>
          <w:tcPr>
            <w:tcW w:w="580" w:type="dxa"/>
            <w:vAlign w:val="bottom"/>
            <w:tcBorders>
              <w:bottom w:val="single" w:sz="8" w:color="auto"/>
            </w:tcBorders>
          </w:tcPr>
          <w:p>
            <w:pPr>
              <w:spacing w:after="0"/>
              <w:rPr>
                <w:sz w:val="8"/>
                <w:szCs w:val="8"/>
                <w:color w:val="auto"/>
              </w:rPr>
            </w:pPr>
          </w:p>
        </w:tc>
        <w:tc>
          <w:tcPr>
            <w:tcW w:w="4240" w:type="dxa"/>
            <w:vAlign w:val="bottom"/>
            <w:tcBorders>
              <w:bottom w:val="single" w:sz="8" w:color="auto"/>
            </w:tcBorders>
          </w:tcPr>
          <w:p>
            <w:pPr>
              <w:spacing w:after="0"/>
              <w:rPr>
                <w:sz w:val="8"/>
                <w:szCs w:val="8"/>
                <w:color w:val="auto"/>
              </w:rPr>
            </w:pPr>
          </w:p>
        </w:tc>
        <w:tc>
          <w:tcPr>
            <w:tcW w:w="1060" w:type="dxa"/>
            <w:vAlign w:val="bottom"/>
          </w:tcPr>
          <w:p>
            <w:pPr>
              <w:spacing w:after="0"/>
              <w:rPr>
                <w:sz w:val="8"/>
                <w:szCs w:val="8"/>
                <w:color w:val="auto"/>
              </w:rPr>
            </w:pPr>
          </w:p>
        </w:tc>
      </w:tr>
      <w:tr>
        <w:trPr>
          <w:trHeight w:val="282"/>
        </w:trPr>
        <w:tc>
          <w:tcPr>
            <w:tcW w:w="384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580" w:type="dxa"/>
            <w:vAlign w:val="bottom"/>
          </w:tcPr>
          <w:p>
            <w:pPr>
              <w:spacing w:after="0"/>
              <w:rPr>
                <w:sz w:val="20"/>
                <w:szCs w:val="20"/>
                <w:color w:val="auto"/>
              </w:rPr>
            </w:pPr>
            <w:r>
              <w:rPr>
                <w:rFonts w:ascii="Arial" w:cs="Arial" w:eastAsia="Arial" w:hAnsi="Arial"/>
                <w:sz w:val="18"/>
                <w:szCs w:val="18"/>
                <w:color w:val="auto"/>
              </w:rPr>
              <w:t>Name:</w:t>
            </w:r>
          </w:p>
        </w:tc>
        <w:tc>
          <w:tcPr>
            <w:tcW w:w="5300" w:type="dxa"/>
            <w:vAlign w:val="bottom"/>
            <w:gridSpan w:val="2"/>
          </w:tcPr>
          <w:p>
            <w:pPr>
              <w:ind w:left="120"/>
              <w:spacing w:after="0"/>
              <w:rPr>
                <w:sz w:val="20"/>
                <w:szCs w:val="20"/>
                <w:color w:val="auto"/>
              </w:rPr>
            </w:pPr>
            <w:r>
              <w:rPr>
                <w:rFonts w:ascii="Arial" w:cs="Arial" w:eastAsia="Arial" w:hAnsi="Arial"/>
                <w:sz w:val="18"/>
                <w:szCs w:val="18"/>
                <w:color w:val="auto"/>
              </w:rPr>
              <w:t>Avery W. Catlin</w:t>
            </w:r>
          </w:p>
        </w:tc>
      </w:tr>
      <w:tr>
        <w:trPr>
          <w:trHeight w:val="216"/>
        </w:trPr>
        <w:tc>
          <w:tcPr>
            <w:tcW w:w="384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580" w:type="dxa"/>
            <w:vAlign w:val="bottom"/>
          </w:tcPr>
          <w:p>
            <w:pPr>
              <w:spacing w:after="0"/>
              <w:rPr>
                <w:sz w:val="20"/>
                <w:szCs w:val="20"/>
                <w:color w:val="auto"/>
              </w:rPr>
            </w:pPr>
            <w:r>
              <w:rPr>
                <w:rFonts w:ascii="Arial" w:cs="Arial" w:eastAsia="Arial" w:hAnsi="Arial"/>
                <w:sz w:val="18"/>
                <w:szCs w:val="18"/>
                <w:color w:val="auto"/>
              </w:rPr>
              <w:t>Title:</w:t>
            </w:r>
          </w:p>
        </w:tc>
        <w:tc>
          <w:tcPr>
            <w:tcW w:w="5300" w:type="dxa"/>
            <w:vAlign w:val="bottom"/>
            <w:gridSpan w:val="2"/>
          </w:tcPr>
          <w:p>
            <w:pPr>
              <w:ind w:left="120"/>
              <w:spacing w:after="0"/>
              <w:rPr>
                <w:sz w:val="20"/>
                <w:szCs w:val="20"/>
                <w:color w:val="auto"/>
              </w:rPr>
            </w:pPr>
            <w:r>
              <w:rPr>
                <w:rFonts w:ascii="Arial" w:cs="Arial" w:eastAsia="Arial" w:hAnsi="Arial"/>
                <w:sz w:val="18"/>
                <w:szCs w:val="18"/>
                <w:i w:val="1"/>
                <w:iCs w:val="1"/>
                <w:color w:val="auto"/>
              </w:rPr>
              <w:t>Senior Vice President and</w:t>
            </w:r>
          </w:p>
        </w:tc>
      </w:tr>
      <w:tr>
        <w:trPr>
          <w:trHeight w:val="222"/>
        </w:trPr>
        <w:tc>
          <w:tcPr>
            <w:tcW w:w="3840" w:type="dxa"/>
            <w:vAlign w:val="bottom"/>
          </w:tcPr>
          <w:p>
            <w:pPr>
              <w:spacing w:after="0"/>
              <w:rPr>
                <w:sz w:val="19"/>
                <w:szCs w:val="19"/>
                <w:color w:val="auto"/>
              </w:rPr>
            </w:pPr>
          </w:p>
        </w:tc>
        <w:tc>
          <w:tcPr>
            <w:tcW w:w="17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5300" w:type="dxa"/>
            <w:vAlign w:val="bottom"/>
            <w:gridSpan w:val="2"/>
          </w:tcPr>
          <w:p>
            <w:pPr>
              <w:ind w:left="120"/>
              <w:spacing w:after="0"/>
              <w:rPr>
                <w:sz w:val="20"/>
                <w:szCs w:val="20"/>
                <w:color w:val="auto"/>
              </w:rPr>
            </w:pPr>
            <w:r>
              <w:rPr>
                <w:rFonts w:ascii="Arial" w:cs="Arial" w:eastAsia="Arial" w:hAnsi="Arial"/>
                <w:sz w:val="18"/>
                <w:szCs w:val="18"/>
                <w:i w:val="1"/>
                <w:iCs w:val="1"/>
                <w:color w:val="auto"/>
              </w:rPr>
              <w:t>Chief Financial Officer</w:t>
            </w:r>
          </w:p>
        </w:tc>
      </w:tr>
      <w:tr>
        <w:trPr>
          <w:trHeight w:val="120"/>
        </w:trPr>
        <w:tc>
          <w:tcPr>
            <w:tcW w:w="3840" w:type="dxa"/>
            <w:vAlign w:val="bottom"/>
            <w:tcBorders>
              <w:bottom w:val="single" w:sz="8" w:color="808080"/>
            </w:tcBorders>
          </w:tcPr>
          <w:p>
            <w:pPr>
              <w:spacing w:after="0"/>
              <w:rPr>
                <w:sz w:val="10"/>
                <w:szCs w:val="10"/>
                <w:color w:val="auto"/>
              </w:rPr>
            </w:pPr>
          </w:p>
        </w:tc>
        <w:tc>
          <w:tcPr>
            <w:tcW w:w="1700" w:type="dxa"/>
            <w:vAlign w:val="bottom"/>
            <w:tcBorders>
              <w:bottom w:val="single" w:sz="8" w:color="808080"/>
            </w:tcBorders>
          </w:tcPr>
          <w:p>
            <w:pPr>
              <w:spacing w:after="0"/>
              <w:rPr>
                <w:sz w:val="10"/>
                <w:szCs w:val="10"/>
                <w:color w:val="auto"/>
              </w:rPr>
            </w:pPr>
          </w:p>
        </w:tc>
        <w:tc>
          <w:tcPr>
            <w:tcW w:w="580" w:type="dxa"/>
            <w:vAlign w:val="bottom"/>
            <w:tcBorders>
              <w:bottom w:val="single" w:sz="8" w:color="808080"/>
            </w:tcBorders>
          </w:tcPr>
          <w:p>
            <w:pPr>
              <w:spacing w:after="0"/>
              <w:rPr>
                <w:sz w:val="10"/>
                <w:szCs w:val="10"/>
                <w:color w:val="auto"/>
              </w:rPr>
            </w:pPr>
          </w:p>
        </w:tc>
        <w:tc>
          <w:tcPr>
            <w:tcW w:w="4240" w:type="dxa"/>
            <w:vAlign w:val="bottom"/>
            <w:tcBorders>
              <w:bottom w:val="single" w:sz="8" w:color="808080"/>
            </w:tcBorders>
          </w:tcPr>
          <w:p>
            <w:pPr>
              <w:spacing w:after="0"/>
              <w:rPr>
                <w:sz w:val="10"/>
                <w:szCs w:val="10"/>
                <w:color w:val="auto"/>
              </w:rPr>
            </w:pPr>
          </w:p>
        </w:tc>
        <w:tc>
          <w:tcPr>
            <w:tcW w:w="1060" w:type="dxa"/>
            <w:vAlign w:val="bottom"/>
            <w:tcBorders>
              <w:bottom w:val="single" w:sz="8" w:color="808080"/>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361" w:right="239" w:bottom="1440" w:gutter="0" w:footer="0" w:header="0"/>
        </w:sectPr>
      </w:pPr>
    </w:p>
    <w:bookmarkStart w:id="133" w:name="page134"/>
    <w:bookmarkEnd w:id="133"/>
    <w:p>
      <w:pPr>
        <w:spacing w:after="0"/>
        <w:rPr>
          <w:sz w:val="20"/>
          <w:szCs w:val="20"/>
          <w:color w:val="auto"/>
        </w:rPr>
      </w:pPr>
      <w:r>
        <w:rPr>
          <w:rFonts w:ascii="Arial" w:cs="Arial" w:eastAsia="Arial" w:hAnsi="Arial"/>
          <w:sz w:val="22"/>
          <w:szCs w:val="22"/>
          <w:color w:val="auto"/>
        </w:rPr>
        <w:t>QuickLinks</w:t>
      </w:r>
    </w:p>
    <w:p>
      <w:pPr>
        <w:spacing w:after="0" w:line="219" w:lineRule="exact"/>
        <w:rPr>
          <w:sz w:val="20"/>
          <w:szCs w:val="20"/>
          <w:color w:val="auto"/>
        </w:rPr>
      </w:pPr>
    </w:p>
    <w:p>
      <w:pPr>
        <w:jc w:val="right"/>
        <w:ind w:right="8799"/>
        <w:spacing w:after="0"/>
        <w:rPr>
          <w:rFonts w:ascii="Arial" w:cs="Arial" w:eastAsia="Arial" w:hAnsi="Arial"/>
          <w:sz w:val="18"/>
          <w:szCs w:val="18"/>
          <w:u w:val="single" w:color="auto"/>
          <w:color w:val="0000EE"/>
        </w:rPr>
      </w:pPr>
      <w:hyperlink w:anchor="page133">
        <w:r>
          <w:rPr>
            <w:rFonts w:ascii="Arial" w:cs="Arial" w:eastAsia="Arial" w:hAnsi="Arial"/>
            <w:sz w:val="18"/>
            <w:szCs w:val="18"/>
            <w:u w:val="single" w:color="auto"/>
            <w:color w:val="0000EE"/>
          </w:rPr>
          <w:t>Exhibit 31.2</w:t>
        </w:r>
      </w:hyperlink>
    </w:p>
    <w:p>
      <w:pPr>
        <w:sectPr>
          <w:pgSz w:w="11900" w:h="16838" w:orient="portrait"/>
          <w:cols w:equalWidth="0" w:num="1">
            <w:col w:w="10219"/>
          </w:cols>
          <w:pgMar w:left="240" w:top="820" w:right="1440" w:bottom="1440" w:gutter="0" w:footer="0" w:header="0"/>
        </w:sectPr>
      </w:pPr>
    </w:p>
    <w:bookmarkStart w:id="134" w:name="page135"/>
    <w:bookmarkEnd w:id="134"/>
    <w:p>
      <w:pPr>
        <w:spacing w:after="0"/>
        <w:rPr>
          <w:rFonts w:ascii="Arial" w:cs="Arial" w:eastAsia="Arial" w:hAnsi="Arial"/>
          <w:sz w:val="22"/>
          <w:szCs w:val="22"/>
          <w:color w:val="0000EE"/>
        </w:rPr>
      </w:pPr>
      <w:hyperlink w:anchor="page136">
        <w:r>
          <w:rPr>
            <w:rFonts w:ascii="Arial" w:cs="Arial" w:eastAsia="Arial" w:hAnsi="Arial"/>
            <w:sz w:val="22"/>
            <w:szCs w:val="22"/>
            <w:u w:val="single" w:color="auto"/>
            <w:color w:val="0000EE"/>
          </w:rPr>
          <w:t>QuickLinks</w:t>
        </w:r>
        <w:r>
          <w:rPr>
            <w:rFonts w:ascii="Arial" w:cs="Arial" w:eastAsia="Arial" w:hAnsi="Arial"/>
            <w:sz w:val="22"/>
            <w:szCs w:val="22"/>
            <w:color w:val="0000EE"/>
          </w:rPr>
          <w:t xml:space="preserve"> </w:t>
        </w:r>
      </w:hyperlink>
      <w:r>
        <w:rPr>
          <w:rFonts w:ascii="Arial" w:cs="Arial" w:eastAsia="Arial" w:hAnsi="Arial"/>
          <w:sz w:val="22"/>
          <w:szCs w:val="22"/>
          <w:color w:val="000000"/>
        </w:rPr>
        <w:t>--</w:t>
      </w:r>
      <w:r>
        <w:rPr>
          <w:rFonts w:ascii="Arial" w:cs="Arial" w:eastAsia="Arial" w:hAnsi="Arial"/>
          <w:sz w:val="22"/>
          <w:szCs w:val="22"/>
          <w:color w:val="0000EE"/>
        </w:rPr>
        <w:t xml:space="preserve"> </w:t>
      </w:r>
      <w:r>
        <w:rPr>
          <w:rFonts w:ascii="Arial" w:cs="Arial" w:eastAsia="Arial" w:hAnsi="Arial"/>
          <w:sz w:val="22"/>
          <w:szCs w:val="22"/>
          <w:color w:val="000000"/>
        </w:rPr>
        <w:t>Click here to rapidly navigate through this document</w:t>
      </w:r>
    </w:p>
    <w:p>
      <w:pPr>
        <w:spacing w:after="0" w:line="200" w:lineRule="exact"/>
        <w:rPr>
          <w:sz w:val="20"/>
          <w:szCs w:val="20"/>
          <w:color w:val="auto"/>
        </w:rPr>
      </w:pPr>
    </w:p>
    <w:p>
      <w:pPr>
        <w:spacing w:after="0" w:line="229"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Exhibit 32</w:t>
      </w:r>
    </w:p>
    <w:p>
      <w:pPr>
        <w:spacing w:after="0" w:line="225"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CERTIFICATION OF CHIEF EXECUTIVE OFFICER AND</w:t>
      </w:r>
    </w:p>
    <w:p>
      <w:pPr>
        <w:spacing w:after="0" w:line="21"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CHIEF FINANCIAL OFFICER PURSUANT TO</w:t>
      </w:r>
    </w:p>
    <w:p>
      <w:pPr>
        <w:spacing w:after="0" w:line="9" w:lineRule="exact"/>
        <w:rPr>
          <w:sz w:val="20"/>
          <w:szCs w:val="20"/>
          <w:color w:val="auto"/>
        </w:rPr>
      </w:pPr>
    </w:p>
    <w:p>
      <w:pPr>
        <w:ind w:left="3500"/>
        <w:spacing w:after="0"/>
        <w:rPr>
          <w:sz w:val="20"/>
          <w:szCs w:val="20"/>
          <w:color w:val="auto"/>
        </w:rPr>
      </w:pPr>
      <w:r>
        <w:rPr>
          <w:rFonts w:ascii="Arial" w:cs="Arial" w:eastAsia="Arial" w:hAnsi="Arial"/>
          <w:sz w:val="18"/>
          <w:szCs w:val="18"/>
          <w:b w:val="1"/>
          <w:bCs w:val="1"/>
          <w:color w:val="auto"/>
        </w:rPr>
        <w:t>18 U.S.C. SECTION 1350, AS ADOPTED PURSUANT TO</w:t>
      </w:r>
    </w:p>
    <w:p>
      <w:pPr>
        <w:spacing w:after="0" w:line="9" w:lineRule="exact"/>
        <w:rPr>
          <w:sz w:val="20"/>
          <w:szCs w:val="20"/>
          <w:color w:val="auto"/>
        </w:rPr>
      </w:pPr>
    </w:p>
    <w:p>
      <w:pPr>
        <w:ind w:left="3440"/>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19" w:lineRule="exact"/>
        <w:rPr>
          <w:sz w:val="20"/>
          <w:szCs w:val="20"/>
          <w:color w:val="auto"/>
        </w:rPr>
      </w:pPr>
    </w:p>
    <w:p>
      <w:pPr>
        <w:ind w:right="100" w:firstLine="351"/>
        <w:spacing w:after="0" w:line="253" w:lineRule="auto"/>
        <w:rPr>
          <w:sz w:val="20"/>
          <w:szCs w:val="20"/>
          <w:color w:val="auto"/>
        </w:rPr>
      </w:pPr>
      <w:r>
        <w:rPr>
          <w:rFonts w:ascii="Arial" w:cs="Arial" w:eastAsia="Arial" w:hAnsi="Arial"/>
          <w:sz w:val="18"/>
          <w:szCs w:val="18"/>
          <w:color w:val="auto"/>
        </w:rPr>
        <w:t>Each of the undersigned hereby certifies, pursuant to 18 U.S.C. Section 1350, as adopted pursuant to Section 906 of the Sarbanes-Oxley Act of 2002, in his capacity as an officer of Force Protection, Inc. (the "Company"), that, to his knowledge, the Annual Report of the Company on Form 10-K for the period ended December 31, 2009 (the "Form 10-K"), fully complies with the requirements of Section 13(a) or 15(d) of the Securities Exchange Act of 1934 (15 U.S.C. §78m or 78o(d)) and that the information contained in such report fairly presents, in all material respects, the financial condition and results of operations of the Company. This written statement is being furnished to the Securities and Exchange Commission as an exhibit to the Form 10-K. A signed original of this statement has been provided to the Company and will be retained by the Company and furnished to the Securities and Exchange Commission or its staff upon request.</w:t>
      </w:r>
    </w:p>
    <w:p>
      <w:pPr>
        <w:spacing w:after="0" w:line="201" w:lineRule="exact"/>
        <w:rPr>
          <w:sz w:val="20"/>
          <w:szCs w:val="20"/>
          <w:color w:val="auto"/>
        </w:rPr>
      </w:pPr>
    </w:p>
    <w:tbl>
      <w:tblPr>
        <w:tblLayout w:type="fixed"/>
        <w:tblInd w:w="1140" w:type="dxa"/>
        <w:tblCellMar>
          <w:top w:w="0" w:type="dxa"/>
          <w:left w:w="0" w:type="dxa"/>
          <w:bottom w:w="0" w:type="dxa"/>
          <w:right w:w="0" w:type="dxa"/>
        </w:tblCellMar>
      </w:tblPr>
      <w:tr>
        <w:trPr>
          <w:trHeight w:val="222"/>
        </w:trPr>
        <w:tc>
          <w:tcPr>
            <w:tcW w:w="2700" w:type="dxa"/>
            <w:vAlign w:val="bottom"/>
          </w:tcPr>
          <w:p>
            <w:pPr>
              <w:spacing w:after="0"/>
              <w:rPr>
                <w:sz w:val="20"/>
                <w:szCs w:val="20"/>
                <w:color w:val="auto"/>
              </w:rPr>
            </w:pPr>
            <w:r>
              <w:rPr>
                <w:rFonts w:ascii="Arial" w:cs="Arial" w:eastAsia="Arial" w:hAnsi="Arial"/>
                <w:sz w:val="18"/>
                <w:szCs w:val="18"/>
                <w:color w:val="auto"/>
              </w:rPr>
              <w:t>Date: March 9, 2011</w:t>
            </w:r>
          </w:p>
        </w:tc>
        <w:tc>
          <w:tcPr>
            <w:tcW w:w="1700" w:type="dxa"/>
            <w:vAlign w:val="bottom"/>
          </w:tcPr>
          <w:p>
            <w:pPr>
              <w:ind w:left="1240"/>
              <w:spacing w:after="0"/>
              <w:rPr>
                <w:sz w:val="20"/>
                <w:szCs w:val="20"/>
                <w:color w:val="auto"/>
              </w:rPr>
            </w:pPr>
            <w:r>
              <w:rPr>
                <w:rFonts w:ascii="Arial" w:cs="Arial" w:eastAsia="Arial" w:hAnsi="Arial"/>
                <w:sz w:val="18"/>
                <w:szCs w:val="18"/>
                <w:color w:val="auto"/>
              </w:rPr>
              <w:t>By:</w:t>
            </w:r>
          </w:p>
        </w:tc>
        <w:tc>
          <w:tcPr>
            <w:tcW w:w="4820" w:type="dxa"/>
            <w:vAlign w:val="bottom"/>
            <w:gridSpan w:val="2"/>
          </w:tcPr>
          <w:p>
            <w:pPr>
              <w:spacing w:after="0"/>
              <w:rPr>
                <w:sz w:val="20"/>
                <w:szCs w:val="20"/>
                <w:color w:val="auto"/>
              </w:rPr>
            </w:pPr>
            <w:r>
              <w:rPr>
                <w:rFonts w:ascii="Arial" w:cs="Arial" w:eastAsia="Arial" w:hAnsi="Arial"/>
                <w:sz w:val="18"/>
                <w:szCs w:val="18"/>
                <w:color w:val="auto"/>
              </w:rPr>
              <w:t>/s/ ANTHONY S. MARUCCI</w:t>
            </w:r>
          </w:p>
        </w:tc>
      </w:tr>
      <w:tr>
        <w:trPr>
          <w:trHeight w:val="97"/>
        </w:trPr>
        <w:tc>
          <w:tcPr>
            <w:tcW w:w="2700" w:type="dxa"/>
            <w:vAlign w:val="bottom"/>
          </w:tcPr>
          <w:p>
            <w:pPr>
              <w:spacing w:after="0"/>
              <w:rPr>
                <w:sz w:val="8"/>
                <w:szCs w:val="8"/>
                <w:color w:val="auto"/>
              </w:rPr>
            </w:pPr>
          </w:p>
        </w:tc>
        <w:tc>
          <w:tcPr>
            <w:tcW w:w="1700" w:type="dxa"/>
            <w:vAlign w:val="bottom"/>
          </w:tcPr>
          <w:p>
            <w:pPr>
              <w:spacing w:after="0"/>
              <w:rPr>
                <w:sz w:val="8"/>
                <w:szCs w:val="8"/>
                <w:color w:val="auto"/>
              </w:rPr>
            </w:pPr>
          </w:p>
        </w:tc>
        <w:tc>
          <w:tcPr>
            <w:tcW w:w="580" w:type="dxa"/>
            <w:vAlign w:val="bottom"/>
            <w:tcBorders>
              <w:bottom w:val="single" w:sz="8" w:color="auto"/>
            </w:tcBorders>
          </w:tcPr>
          <w:p>
            <w:pPr>
              <w:spacing w:after="0"/>
              <w:rPr>
                <w:sz w:val="8"/>
                <w:szCs w:val="8"/>
                <w:color w:val="auto"/>
              </w:rPr>
            </w:pPr>
          </w:p>
        </w:tc>
        <w:tc>
          <w:tcPr>
            <w:tcW w:w="4240" w:type="dxa"/>
            <w:vAlign w:val="bottom"/>
            <w:tcBorders>
              <w:bottom w:val="single" w:sz="8" w:color="auto"/>
            </w:tcBorders>
          </w:tcPr>
          <w:p>
            <w:pPr>
              <w:spacing w:after="0"/>
              <w:rPr>
                <w:sz w:val="8"/>
                <w:szCs w:val="8"/>
                <w:color w:val="auto"/>
              </w:rPr>
            </w:pPr>
          </w:p>
        </w:tc>
      </w:tr>
      <w:tr>
        <w:trPr>
          <w:trHeight w:val="282"/>
        </w:trPr>
        <w:tc>
          <w:tcPr>
            <w:tcW w:w="270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580" w:type="dxa"/>
            <w:vAlign w:val="bottom"/>
          </w:tcPr>
          <w:p>
            <w:pPr>
              <w:spacing w:after="0"/>
              <w:rPr>
                <w:sz w:val="20"/>
                <w:szCs w:val="20"/>
                <w:color w:val="auto"/>
              </w:rPr>
            </w:pPr>
            <w:r>
              <w:rPr>
                <w:rFonts w:ascii="Arial" w:cs="Arial" w:eastAsia="Arial" w:hAnsi="Arial"/>
                <w:sz w:val="18"/>
                <w:szCs w:val="18"/>
                <w:color w:val="auto"/>
              </w:rPr>
              <w:t>Name:</w:t>
            </w:r>
          </w:p>
        </w:tc>
        <w:tc>
          <w:tcPr>
            <w:tcW w:w="4240" w:type="dxa"/>
            <w:vAlign w:val="bottom"/>
          </w:tcPr>
          <w:p>
            <w:pPr>
              <w:ind w:left="120"/>
              <w:spacing w:after="0"/>
              <w:rPr>
                <w:sz w:val="20"/>
                <w:szCs w:val="20"/>
                <w:color w:val="auto"/>
              </w:rPr>
            </w:pPr>
            <w:r>
              <w:rPr>
                <w:rFonts w:ascii="Arial" w:cs="Arial" w:eastAsia="Arial" w:hAnsi="Arial"/>
                <w:sz w:val="18"/>
                <w:szCs w:val="18"/>
                <w:color w:val="auto"/>
              </w:rPr>
              <w:t>Anthony S. Marucci</w:t>
            </w:r>
          </w:p>
        </w:tc>
      </w:tr>
      <w:tr>
        <w:trPr>
          <w:trHeight w:val="222"/>
        </w:trPr>
        <w:tc>
          <w:tcPr>
            <w:tcW w:w="2700" w:type="dxa"/>
            <w:vAlign w:val="bottom"/>
          </w:tcPr>
          <w:p>
            <w:pPr>
              <w:spacing w:after="0"/>
              <w:rPr>
                <w:sz w:val="19"/>
                <w:szCs w:val="19"/>
                <w:color w:val="auto"/>
              </w:rPr>
            </w:pPr>
          </w:p>
        </w:tc>
        <w:tc>
          <w:tcPr>
            <w:tcW w:w="1700" w:type="dxa"/>
            <w:vAlign w:val="bottom"/>
          </w:tcPr>
          <w:p>
            <w:pPr>
              <w:spacing w:after="0"/>
              <w:rPr>
                <w:sz w:val="19"/>
                <w:szCs w:val="19"/>
                <w:color w:val="auto"/>
              </w:rPr>
            </w:pPr>
          </w:p>
        </w:tc>
        <w:tc>
          <w:tcPr>
            <w:tcW w:w="580" w:type="dxa"/>
            <w:vAlign w:val="bottom"/>
          </w:tcPr>
          <w:p>
            <w:pPr>
              <w:spacing w:after="0"/>
              <w:rPr>
                <w:sz w:val="20"/>
                <w:szCs w:val="20"/>
                <w:color w:val="auto"/>
              </w:rPr>
            </w:pPr>
            <w:r>
              <w:rPr>
                <w:rFonts w:ascii="Arial" w:cs="Arial" w:eastAsia="Arial" w:hAnsi="Arial"/>
                <w:sz w:val="18"/>
                <w:szCs w:val="18"/>
                <w:color w:val="auto"/>
              </w:rPr>
              <w:t>Title:</w:t>
            </w:r>
          </w:p>
        </w:tc>
        <w:tc>
          <w:tcPr>
            <w:tcW w:w="4240" w:type="dxa"/>
            <w:vAlign w:val="bottom"/>
          </w:tcPr>
          <w:p>
            <w:pPr>
              <w:ind w:left="120"/>
              <w:spacing w:after="0"/>
              <w:rPr>
                <w:sz w:val="20"/>
                <w:szCs w:val="20"/>
                <w:color w:val="auto"/>
              </w:rPr>
            </w:pPr>
            <w:r>
              <w:rPr>
                <w:rFonts w:ascii="Arial" w:cs="Arial" w:eastAsia="Arial" w:hAnsi="Arial"/>
                <w:sz w:val="18"/>
                <w:szCs w:val="18"/>
                <w:i w:val="1"/>
                <w:iCs w:val="1"/>
                <w:color w:val="auto"/>
              </w:rPr>
              <w:t>President and Chief Executive Officer</w:t>
            </w:r>
          </w:p>
        </w:tc>
      </w:tr>
      <w:tr>
        <w:trPr>
          <w:trHeight w:val="459"/>
        </w:trPr>
        <w:tc>
          <w:tcPr>
            <w:tcW w:w="2700" w:type="dxa"/>
            <w:vAlign w:val="bottom"/>
          </w:tcPr>
          <w:p>
            <w:pPr>
              <w:spacing w:after="0"/>
              <w:rPr>
                <w:sz w:val="20"/>
                <w:szCs w:val="20"/>
                <w:color w:val="auto"/>
              </w:rPr>
            </w:pPr>
            <w:r>
              <w:rPr>
                <w:rFonts w:ascii="Arial" w:cs="Arial" w:eastAsia="Arial" w:hAnsi="Arial"/>
                <w:sz w:val="18"/>
                <w:szCs w:val="18"/>
                <w:color w:val="auto"/>
              </w:rPr>
              <w:t>Date: March 9, 2011</w:t>
            </w:r>
          </w:p>
        </w:tc>
        <w:tc>
          <w:tcPr>
            <w:tcW w:w="1700" w:type="dxa"/>
            <w:vAlign w:val="bottom"/>
          </w:tcPr>
          <w:p>
            <w:pPr>
              <w:ind w:left="1240"/>
              <w:spacing w:after="0"/>
              <w:rPr>
                <w:sz w:val="20"/>
                <w:szCs w:val="20"/>
                <w:color w:val="auto"/>
              </w:rPr>
            </w:pPr>
            <w:r>
              <w:rPr>
                <w:rFonts w:ascii="Arial" w:cs="Arial" w:eastAsia="Arial" w:hAnsi="Arial"/>
                <w:sz w:val="18"/>
                <w:szCs w:val="18"/>
                <w:color w:val="auto"/>
              </w:rPr>
              <w:t>By:</w:t>
            </w:r>
          </w:p>
        </w:tc>
        <w:tc>
          <w:tcPr>
            <w:tcW w:w="4820" w:type="dxa"/>
            <w:vAlign w:val="bottom"/>
            <w:gridSpan w:val="2"/>
          </w:tcPr>
          <w:p>
            <w:pPr>
              <w:spacing w:after="0"/>
              <w:rPr>
                <w:sz w:val="20"/>
                <w:szCs w:val="20"/>
                <w:color w:val="auto"/>
              </w:rPr>
            </w:pPr>
            <w:r>
              <w:rPr>
                <w:rFonts w:ascii="Arial" w:cs="Arial" w:eastAsia="Arial" w:hAnsi="Arial"/>
                <w:sz w:val="18"/>
                <w:szCs w:val="18"/>
                <w:color w:val="auto"/>
              </w:rPr>
              <w:t>/s/ AVERY W. CATLIN</w:t>
            </w:r>
          </w:p>
        </w:tc>
      </w:tr>
      <w:tr>
        <w:trPr>
          <w:trHeight w:val="97"/>
        </w:trPr>
        <w:tc>
          <w:tcPr>
            <w:tcW w:w="2700" w:type="dxa"/>
            <w:vAlign w:val="bottom"/>
          </w:tcPr>
          <w:p>
            <w:pPr>
              <w:spacing w:after="0"/>
              <w:rPr>
                <w:sz w:val="8"/>
                <w:szCs w:val="8"/>
                <w:color w:val="auto"/>
              </w:rPr>
            </w:pPr>
          </w:p>
        </w:tc>
        <w:tc>
          <w:tcPr>
            <w:tcW w:w="1700" w:type="dxa"/>
            <w:vAlign w:val="bottom"/>
          </w:tcPr>
          <w:p>
            <w:pPr>
              <w:spacing w:after="0"/>
              <w:rPr>
                <w:sz w:val="8"/>
                <w:szCs w:val="8"/>
                <w:color w:val="auto"/>
              </w:rPr>
            </w:pPr>
          </w:p>
        </w:tc>
        <w:tc>
          <w:tcPr>
            <w:tcW w:w="580" w:type="dxa"/>
            <w:vAlign w:val="bottom"/>
            <w:tcBorders>
              <w:bottom w:val="single" w:sz="8" w:color="auto"/>
            </w:tcBorders>
          </w:tcPr>
          <w:p>
            <w:pPr>
              <w:spacing w:after="0"/>
              <w:rPr>
                <w:sz w:val="8"/>
                <w:szCs w:val="8"/>
                <w:color w:val="auto"/>
              </w:rPr>
            </w:pPr>
          </w:p>
        </w:tc>
        <w:tc>
          <w:tcPr>
            <w:tcW w:w="4240" w:type="dxa"/>
            <w:vAlign w:val="bottom"/>
            <w:tcBorders>
              <w:bottom w:val="single" w:sz="8" w:color="auto"/>
            </w:tcBorders>
          </w:tcPr>
          <w:p>
            <w:pPr>
              <w:spacing w:after="0"/>
              <w:rPr>
                <w:sz w:val="8"/>
                <w:szCs w:val="8"/>
                <w:color w:val="auto"/>
              </w:rPr>
            </w:pPr>
          </w:p>
        </w:tc>
      </w:tr>
      <w:tr>
        <w:trPr>
          <w:trHeight w:val="282"/>
        </w:trPr>
        <w:tc>
          <w:tcPr>
            <w:tcW w:w="270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580" w:type="dxa"/>
            <w:vAlign w:val="bottom"/>
          </w:tcPr>
          <w:p>
            <w:pPr>
              <w:spacing w:after="0"/>
              <w:rPr>
                <w:sz w:val="20"/>
                <w:szCs w:val="20"/>
                <w:color w:val="auto"/>
              </w:rPr>
            </w:pPr>
            <w:r>
              <w:rPr>
                <w:rFonts w:ascii="Arial" w:cs="Arial" w:eastAsia="Arial" w:hAnsi="Arial"/>
                <w:sz w:val="18"/>
                <w:szCs w:val="18"/>
                <w:color w:val="auto"/>
              </w:rPr>
              <w:t>Name:</w:t>
            </w:r>
          </w:p>
        </w:tc>
        <w:tc>
          <w:tcPr>
            <w:tcW w:w="4240" w:type="dxa"/>
            <w:vAlign w:val="bottom"/>
          </w:tcPr>
          <w:p>
            <w:pPr>
              <w:ind w:left="120"/>
              <w:spacing w:after="0"/>
              <w:rPr>
                <w:sz w:val="20"/>
                <w:szCs w:val="20"/>
                <w:color w:val="auto"/>
              </w:rPr>
            </w:pPr>
            <w:r>
              <w:rPr>
                <w:rFonts w:ascii="Arial" w:cs="Arial" w:eastAsia="Arial" w:hAnsi="Arial"/>
                <w:sz w:val="18"/>
                <w:szCs w:val="18"/>
                <w:color w:val="auto"/>
              </w:rPr>
              <w:t>Avery W. Catlin</w:t>
            </w:r>
          </w:p>
        </w:tc>
      </w:tr>
      <w:tr>
        <w:trPr>
          <w:trHeight w:val="216"/>
        </w:trPr>
        <w:tc>
          <w:tcPr>
            <w:tcW w:w="270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580" w:type="dxa"/>
            <w:vAlign w:val="bottom"/>
          </w:tcPr>
          <w:p>
            <w:pPr>
              <w:spacing w:after="0"/>
              <w:rPr>
                <w:sz w:val="20"/>
                <w:szCs w:val="20"/>
                <w:color w:val="auto"/>
              </w:rPr>
            </w:pPr>
            <w:r>
              <w:rPr>
                <w:rFonts w:ascii="Arial" w:cs="Arial" w:eastAsia="Arial" w:hAnsi="Arial"/>
                <w:sz w:val="18"/>
                <w:szCs w:val="18"/>
                <w:color w:val="auto"/>
              </w:rPr>
              <w:t>Title:</w:t>
            </w:r>
          </w:p>
        </w:tc>
        <w:tc>
          <w:tcPr>
            <w:tcW w:w="4240" w:type="dxa"/>
            <w:vAlign w:val="bottom"/>
          </w:tcPr>
          <w:p>
            <w:pPr>
              <w:ind w:left="120"/>
              <w:spacing w:after="0"/>
              <w:rPr>
                <w:sz w:val="20"/>
                <w:szCs w:val="20"/>
                <w:color w:val="auto"/>
              </w:rPr>
            </w:pPr>
            <w:r>
              <w:rPr>
                <w:rFonts w:ascii="Arial" w:cs="Arial" w:eastAsia="Arial" w:hAnsi="Arial"/>
                <w:sz w:val="18"/>
                <w:szCs w:val="18"/>
                <w:i w:val="1"/>
                <w:iCs w:val="1"/>
                <w:color w:val="auto"/>
              </w:rPr>
              <w:t>Senior Vice President and</w:t>
            </w:r>
          </w:p>
        </w:tc>
      </w:tr>
      <w:tr>
        <w:trPr>
          <w:trHeight w:val="222"/>
        </w:trPr>
        <w:tc>
          <w:tcPr>
            <w:tcW w:w="2700" w:type="dxa"/>
            <w:vAlign w:val="bottom"/>
          </w:tcPr>
          <w:p>
            <w:pPr>
              <w:spacing w:after="0"/>
              <w:rPr>
                <w:sz w:val="19"/>
                <w:szCs w:val="19"/>
                <w:color w:val="auto"/>
              </w:rPr>
            </w:pPr>
          </w:p>
        </w:tc>
        <w:tc>
          <w:tcPr>
            <w:tcW w:w="17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4240" w:type="dxa"/>
            <w:vAlign w:val="bottom"/>
          </w:tcPr>
          <w:p>
            <w:pPr>
              <w:ind w:left="120"/>
              <w:spacing w:after="0"/>
              <w:rPr>
                <w:sz w:val="20"/>
                <w:szCs w:val="20"/>
                <w:color w:val="auto"/>
              </w:rPr>
            </w:pPr>
            <w:r>
              <w:rPr>
                <w:rFonts w:ascii="Arial" w:cs="Arial" w:eastAsia="Arial" w:hAnsi="Arial"/>
                <w:sz w:val="18"/>
                <w:szCs w:val="18"/>
                <w:i w:val="1"/>
                <w:iCs w:val="1"/>
                <w:color w:val="auto"/>
              </w:rPr>
              <w:t>Chief Financial Officer</w:t>
            </w:r>
          </w:p>
        </w:tc>
      </w:tr>
    </w:tbl>
    <w:p>
      <w:pPr>
        <w:spacing w:after="0" w:line="210" w:lineRule="exact"/>
        <w:rPr>
          <w:sz w:val="20"/>
          <w:szCs w:val="20"/>
          <w:color w:val="auto"/>
        </w:rPr>
      </w:pPr>
    </w:p>
    <w:p>
      <w:pPr>
        <w:ind w:right="160" w:firstLine="348"/>
        <w:spacing w:after="0" w:line="268" w:lineRule="auto"/>
        <w:rPr>
          <w:sz w:val="20"/>
          <w:szCs w:val="20"/>
          <w:color w:val="auto"/>
        </w:rPr>
      </w:pPr>
      <w:r>
        <w:rPr>
          <w:rFonts w:ascii="Arial" w:cs="Arial" w:eastAsia="Arial" w:hAnsi="Arial"/>
          <w:sz w:val="18"/>
          <w:szCs w:val="18"/>
          <w:color w:val="auto"/>
        </w:rPr>
        <w:t>This certification shall be not be deemed "filed" for any purpose, nor shall it be deemed to be incorporated by reference into any filing under the Securities Act of 1933 or the Exchange Act.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121285</wp:posOffset>
            </wp:positionV>
            <wp:extent cx="7250430" cy="21590"/>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361" w:right="279" w:bottom="1440" w:gutter="0" w:footer="0" w:header="0"/>
        </w:sectPr>
      </w:pPr>
    </w:p>
    <w:bookmarkStart w:id="135" w:name="page136"/>
    <w:bookmarkEnd w:id="135"/>
    <w:p>
      <w:pPr>
        <w:spacing w:after="0"/>
        <w:rPr>
          <w:sz w:val="20"/>
          <w:szCs w:val="20"/>
          <w:color w:val="auto"/>
        </w:rPr>
      </w:pPr>
      <w:r>
        <w:rPr>
          <w:rFonts w:ascii="Arial" w:cs="Arial" w:eastAsia="Arial" w:hAnsi="Arial"/>
          <w:sz w:val="22"/>
          <w:szCs w:val="22"/>
          <w:color w:val="auto"/>
        </w:rPr>
        <w:t>QuickLinks</w:t>
      </w:r>
    </w:p>
    <w:p>
      <w:pPr>
        <w:spacing w:after="0" w:line="219" w:lineRule="exact"/>
        <w:rPr>
          <w:sz w:val="20"/>
          <w:szCs w:val="20"/>
          <w:color w:val="auto"/>
        </w:rPr>
      </w:pPr>
    </w:p>
    <w:p>
      <w:pPr>
        <w:jc w:val="right"/>
        <w:ind w:right="8939"/>
        <w:spacing w:after="0"/>
        <w:rPr>
          <w:rFonts w:ascii="Arial" w:cs="Arial" w:eastAsia="Arial" w:hAnsi="Arial"/>
          <w:sz w:val="18"/>
          <w:szCs w:val="18"/>
          <w:u w:val="single" w:color="auto"/>
          <w:color w:val="0000EE"/>
        </w:rPr>
      </w:pPr>
      <w:hyperlink w:anchor="page135">
        <w:r>
          <w:rPr>
            <w:rFonts w:ascii="Arial" w:cs="Arial" w:eastAsia="Arial" w:hAnsi="Arial"/>
            <w:sz w:val="18"/>
            <w:szCs w:val="18"/>
            <w:u w:val="single" w:color="auto"/>
            <w:color w:val="0000EE"/>
          </w:rPr>
          <w:t>Exhibit 32</w:t>
        </w:r>
      </w:hyperlink>
    </w:p>
    <w:sectPr>
      <w:pgSz w:w="11900" w:h="16838" w:orient="portrait"/>
      <w:cols w:equalWidth="0" w:num="1">
        <w:col w:w="10219"/>
      </w:cols>
      <w:pgMar w:left="240" w:top="820"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4516DDE9"/>
    <w:multiLevelType w:val="hybridMultilevel"/>
    <w:lvl w:ilvl="0">
      <w:lvlJc w:val="left"/>
      <w:lvlText w:val="☒"/>
      <w:numFmt w:val="bullet"/>
      <w:start w:val="1"/>
    </w:lvl>
  </w:abstractNum>
  <w:abstractNum w:abstractNumId="1">
    <w:nsid w:val="3006C83E"/>
    <w:multiLevelType w:val="hybridMultilevel"/>
    <w:lvl w:ilvl="0">
      <w:lvlJc w:val="left"/>
      <w:lvlText w:val="o"/>
      <w:numFmt w:val="bullet"/>
      <w:start w:val="1"/>
    </w:lvl>
  </w:abstractNum>
  <w:abstractNum w:abstractNumId="2">
    <w:nsid w:val="614FD4A1"/>
    <w:multiLevelType w:val="hybridMultilevel"/>
    <w:lvl w:ilvl="0">
      <w:lvlJc w:val="left"/>
      <w:lvlText w:val="•"/>
      <w:numFmt w:val="bullet"/>
      <w:start w:val="1"/>
    </w:lvl>
  </w:abstractNum>
  <w:abstractNum w:abstractNumId="3">
    <w:nsid w:val="419AC241"/>
    <w:multiLevelType w:val="hybridMultilevel"/>
    <w:lvl w:ilvl="0">
      <w:lvlJc w:val="left"/>
      <w:lvlText w:val="•"/>
      <w:numFmt w:val="bullet"/>
      <w:start w:val="1"/>
    </w:lvl>
  </w:abstractNum>
  <w:abstractNum w:abstractNumId="4">
    <w:nsid w:val="5577F8E1"/>
    <w:multiLevelType w:val="hybridMultilevel"/>
    <w:lvl w:ilvl="0">
      <w:lvlJc w:val="left"/>
      <w:lvlText w:val="(%1)"/>
      <w:numFmt w:val="decimal"/>
      <w:start w:val="1"/>
    </w:lvl>
  </w:abstractNum>
  <w:abstractNum w:abstractNumId="5">
    <w:nsid w:val="440BADFC"/>
    <w:multiLevelType w:val="hybridMultilevel"/>
    <w:lvl w:ilvl="0">
      <w:lvlJc w:val="left"/>
      <w:lvlText w:val="•"/>
      <w:numFmt w:val="bullet"/>
      <w:start w:val="1"/>
    </w:lvl>
  </w:abstractNum>
  <w:abstractNum w:abstractNumId="6">
    <w:nsid w:val="5072367"/>
    <w:multiLevelType w:val="hybridMultilevel"/>
    <w:lvl w:ilvl="0">
      <w:lvlJc w:val="left"/>
      <w:lvlText w:val="•"/>
      <w:numFmt w:val="bullet"/>
      <w:start w:val="1"/>
    </w:lvl>
  </w:abstractNum>
  <w:abstractNum w:abstractNumId="7">
    <w:nsid w:val="3804823E"/>
    <w:multiLevelType w:val="hybridMultilevel"/>
    <w:lvl w:ilvl="0">
      <w:lvlJc w:val="left"/>
      <w:lvlText w:val="•"/>
      <w:numFmt w:val="bullet"/>
      <w:start w:val="1"/>
    </w:lvl>
  </w:abstractNum>
  <w:abstractNum w:abstractNumId="8">
    <w:nsid w:val="77465F01"/>
    <w:multiLevelType w:val="hybridMultilevel"/>
    <w:lvl w:ilvl="0">
      <w:lvlJc w:val="left"/>
      <w:lvlText w:val="•"/>
      <w:numFmt w:val="bullet"/>
      <w:start w:val="1"/>
    </w:lvl>
  </w:abstractNum>
  <w:abstractNum w:abstractNumId="9">
    <w:nsid w:val="7724C67E"/>
    <w:multiLevelType w:val="hybridMultilevel"/>
    <w:lvl w:ilvl="0">
      <w:lvlJc w:val="left"/>
      <w:lvlText w:val="•"/>
      <w:numFmt w:val="bullet"/>
      <w:start w:val="1"/>
    </w:lvl>
  </w:abstractNum>
  <w:abstractNum w:abstractNumId="10">
    <w:nsid w:val="5C482A97"/>
    <w:multiLevelType w:val="hybridMultilevel"/>
    <w:lvl w:ilvl="0">
      <w:lvlJc w:val="left"/>
      <w:lvlText w:val="•"/>
      <w:numFmt w:val="bullet"/>
      <w:start w:val="1"/>
    </w:lvl>
  </w:abstractNum>
  <w:abstractNum w:abstractNumId="11">
    <w:nsid w:val="2463B9EA"/>
    <w:multiLevelType w:val="hybridMultilevel"/>
    <w:lvl w:ilvl="0">
      <w:lvlJc w:val="left"/>
      <w:lvlText w:val="•"/>
      <w:numFmt w:val="bullet"/>
      <w:start w:val="1"/>
    </w:lvl>
  </w:abstractNum>
  <w:abstractNum w:abstractNumId="12">
    <w:nsid w:val="5E884ADC"/>
    <w:multiLevelType w:val="hybridMultilevel"/>
    <w:lvl w:ilvl="0">
      <w:lvlJc w:val="left"/>
      <w:lvlText w:val="•"/>
      <w:numFmt w:val="bullet"/>
      <w:start w:val="1"/>
    </w:lvl>
  </w:abstractNum>
  <w:abstractNum w:abstractNumId="13">
    <w:nsid w:val="51EAD36B"/>
    <w:multiLevelType w:val="hybridMultilevel"/>
    <w:lvl w:ilvl="0">
      <w:lvlJc w:val="left"/>
      <w:lvlText w:val="•"/>
      <w:numFmt w:val="bullet"/>
      <w:start w:val="1"/>
    </w:lvl>
  </w:abstractNum>
  <w:abstractNum w:abstractNumId="14">
    <w:nsid w:val="2D517796"/>
    <w:multiLevelType w:val="hybridMultilevel"/>
    <w:lvl w:ilvl="0">
      <w:lvlJc w:val="left"/>
      <w:lvlText w:val="•"/>
      <w:numFmt w:val="bullet"/>
      <w:start w:val="1"/>
    </w:lvl>
  </w:abstractNum>
  <w:abstractNum w:abstractNumId="15">
    <w:nsid w:val="580BD78F"/>
    <w:multiLevelType w:val="hybridMultilevel"/>
    <w:lvl w:ilvl="0">
      <w:lvlJc w:val="left"/>
      <w:lvlText w:val="•"/>
      <w:numFmt w:val="bullet"/>
      <w:start w:val="1"/>
    </w:lvl>
  </w:abstractNum>
  <w:abstractNum w:abstractNumId="16">
    <w:nsid w:val="153EA438"/>
    <w:multiLevelType w:val="hybridMultilevel"/>
    <w:lvl w:ilvl="0">
      <w:lvlJc w:val="left"/>
      <w:lvlText w:val="•"/>
      <w:numFmt w:val="bullet"/>
      <w:start w:val="1"/>
    </w:lvl>
  </w:abstractNum>
  <w:abstractNum w:abstractNumId="17">
    <w:nsid w:val="3855585C"/>
    <w:multiLevelType w:val="hybridMultilevel"/>
    <w:lvl w:ilvl="0">
      <w:lvlJc w:val="left"/>
      <w:lvlText w:val="(%1)"/>
      <w:numFmt w:val="lowerRoman"/>
      <w:start w:val="2"/>
    </w:lvl>
  </w:abstractNum>
  <w:abstractNum w:abstractNumId="18">
    <w:nsid w:val="70A64E2A"/>
    <w:multiLevelType w:val="hybridMultilevel"/>
    <w:lvl w:ilvl="0">
      <w:lvlJc w:val="left"/>
      <w:lvlText w:val="(%1)"/>
      <w:numFmt w:val="decimal"/>
      <w:start w:val="1"/>
    </w:lvl>
  </w:abstractNum>
  <w:abstractNum w:abstractNumId="19">
    <w:nsid w:val="6A2342EC"/>
    <w:multiLevelType w:val="hybridMultilevel"/>
    <w:lvl w:ilvl="0">
      <w:lvlJc w:val="left"/>
      <w:lvlText w:val="(%1)"/>
      <w:numFmt w:val="decimal"/>
      <w:start w:val="1"/>
    </w:lvl>
  </w:abstractNum>
  <w:abstractNum w:abstractNumId="20">
    <w:nsid w:val="2A487CB0"/>
    <w:multiLevelType w:val="hybridMultilevel"/>
    <w:lvl w:ilvl="0">
      <w:lvlJc w:val="left"/>
      <w:lvlText w:val="(%1)"/>
      <w:numFmt w:val="decimal"/>
      <w:start w:val="1"/>
    </w:lvl>
  </w:abstractNum>
  <w:abstractNum w:abstractNumId="21">
    <w:nsid w:val="1D4ED43B"/>
    <w:multiLevelType w:val="hybridMultilevel"/>
    <w:lvl w:ilvl="0">
      <w:lvlJc w:val="left"/>
      <w:lvlText w:val="•"/>
      <w:numFmt w:val="bullet"/>
      <w:start w:val="1"/>
    </w:lvl>
  </w:abstractNum>
  <w:abstractNum w:abstractNumId="22">
    <w:nsid w:val="725A06FB"/>
    <w:multiLevelType w:val="hybridMultilevel"/>
    <w:lvl w:ilvl="0">
      <w:lvlJc w:val="left"/>
      <w:lvlText w:val="(%1)"/>
      <w:numFmt w:val="decimal"/>
      <w:start w:val="1"/>
    </w:lvl>
  </w:abstractNum>
  <w:abstractNum w:abstractNumId="23">
    <w:nsid w:val="2CD89A32"/>
    <w:multiLevelType w:val="hybridMultilevel"/>
    <w:lvl w:ilvl="0">
      <w:lvlJc w:val="left"/>
      <w:lvlText w:val="(%1)"/>
      <w:numFmt w:val="decimal"/>
      <w:start w:val="3"/>
    </w:lvl>
  </w:abstractNum>
  <w:abstractNum w:abstractNumId="24">
    <w:nsid w:val="57E4CCAF"/>
    <w:multiLevelType w:val="hybridMultilevel"/>
    <w:lvl w:ilvl="0">
      <w:lvlJc w:val="left"/>
      <w:lvlText w:val="(%1)"/>
      <w:numFmt w:val="lowerRoman"/>
      <w:start w:val="2"/>
    </w:lvl>
  </w:abstractNum>
  <w:abstractNum w:abstractNumId="25">
    <w:nsid w:val="7A6D8D3C"/>
    <w:multiLevelType w:val="hybridMultilevel"/>
    <w:lvl w:ilvl="0">
      <w:lvlJc w:val="left"/>
      <w:lvlText w:val="(%1)"/>
      <w:numFmt w:val="decimal"/>
      <w:start w:val="1"/>
    </w:lvl>
  </w:abstractNum>
  <w:abstractNum w:abstractNumId="26">
    <w:nsid w:val="4B588F54"/>
    <w:multiLevelType w:val="hybridMultilevel"/>
    <w:lvl w:ilvl="0">
      <w:lvlJc w:val="left"/>
      <w:lvlText w:val="•"/>
      <w:numFmt w:val="bullet"/>
      <w:start w:val="1"/>
    </w:lvl>
  </w:abstractNum>
  <w:abstractNum w:abstractNumId="27">
    <w:nsid w:val="542289EC"/>
    <w:multiLevelType w:val="hybridMultilevel"/>
    <w:lvl w:ilvl="0">
      <w:lvlJc w:val="left"/>
      <w:lvlText w:val="(%1)"/>
      <w:numFmt w:val="decimal"/>
      <w:start w:val="15"/>
    </w:lvl>
  </w:abstractNum>
  <w:abstractNum w:abstractNumId="28">
    <w:nsid w:val="6DE91B18"/>
    <w:multiLevelType w:val="hybridMultilevel"/>
    <w:lvl w:ilvl="0">
      <w:lvlJc w:val="left"/>
      <w:lvlText w:val="(%1)"/>
      <w:numFmt w:val="decimal"/>
      <w:start w:val="15"/>
    </w:lvl>
  </w:abstractNum>
  <w:abstractNum w:abstractNumId="29">
    <w:nsid w:val="38437FDB"/>
    <w:multiLevelType w:val="hybridMultilevel"/>
    <w:lvl w:ilvl="0">
      <w:lvlJc w:val="left"/>
      <w:lvlText w:val="•"/>
      <w:numFmt w:val="bullet"/>
      <w:start w:val="1"/>
    </w:lvl>
  </w:abstractNum>
  <w:abstractNum w:abstractNumId="30">
    <w:nsid w:val="7644A45C"/>
    <w:multiLevelType w:val="hybridMultilevel"/>
    <w:lvl w:ilvl="0">
      <w:lvlJc w:val="left"/>
      <w:lvlText w:val="•"/>
      <w:numFmt w:val="bullet"/>
      <w:start w:val="1"/>
    </w:lvl>
  </w:abstractNum>
  <w:abstractNum w:abstractNumId="31">
    <w:nsid w:val="32FFF902"/>
    <w:multiLevelType w:val="hybridMultilevel"/>
    <w:lvl w:ilvl="0">
      <w:lvlJc w:val="left"/>
      <w:lvlText w:val="(%1)"/>
      <w:numFmt w:val="upperLetter"/>
      <w:start w:val="1"/>
    </w:lvl>
  </w:abstractNum>
  <w:abstractNum w:abstractNumId="32">
    <w:nsid w:val="684A481A"/>
    <w:multiLevelType w:val="hybridMultilevel"/>
    <w:lvl w:ilvl="0">
      <w:lvlJc w:val="left"/>
      <w:lvlText w:val="(%1)"/>
      <w:numFmt w:val="decimal"/>
      <w:start w:val="1"/>
    </w:lvl>
  </w:abstractNum>
  <w:abstractNum w:abstractNumId="33">
    <w:nsid w:val="579478FE"/>
    <w:multiLevelType w:val="hybridMultilevel"/>
    <w:lvl w:ilvl="0">
      <w:lvlJc w:val="left"/>
      <w:lvlText w:val="(%1)"/>
      <w:numFmt w:val="decimal"/>
      <w:start w:val="2"/>
    </w:lvl>
  </w:abstractNum>
  <w:abstractNum w:abstractNumId="34">
    <w:nsid w:val="749ABB43"/>
    <w:multiLevelType w:val="hybridMultilevel"/>
    <w:lvl w:ilvl="0">
      <w:lvlJc w:val="left"/>
      <w:lvlText w:val="*"/>
      <w:numFmt w:val="bullet"/>
      <w:start w:val="1"/>
    </w:lvl>
  </w:abstractNum>
  <w:abstractNum w:abstractNumId="35">
    <w:nsid w:val="3DC240FB"/>
    <w:multiLevelType w:val="hybridMultilevel"/>
    <w:lvl w:ilvl="0">
      <w:lvlJc w:val="left"/>
      <w:lvlText w:val="†"/>
      <w:numFmt w:val="bullet"/>
      <w:start w:val="1"/>
    </w:lvl>
  </w:abstractNum>
  <w:abstractNum w:abstractNumId="36">
    <w:nsid w:val="1BA026FA"/>
    <w:multiLevelType w:val="hybridMultilevel"/>
    <w:lvl w:ilvl="0">
      <w:lvlJc w:val="left"/>
      <w:lvlText w:val="%1."/>
      <w:numFmt w:val="decimal"/>
      <w:start w:val="1"/>
    </w:lvl>
  </w:abstractNum>
  <w:abstractNum w:abstractNumId="37">
    <w:nsid w:val="79A1DEAA"/>
    <w:multiLevelType w:val="hybridMultilevel"/>
    <w:lvl w:ilvl="0">
      <w:lvlJc w:val="left"/>
      <w:lvlText w:val="%1."/>
      <w:numFmt w:val="decimal"/>
      <w:start w:val="5"/>
    </w:lvl>
    <w:lvl w:ilvl="1">
      <w:lvlJc w:val="left"/>
      <w:lvlText w:val="%2."/>
      <w:numFmt w:val="decimal"/>
      <w:start w:val="1"/>
    </w:lvl>
  </w:abstractNum>
  <w:abstractNum w:abstractNumId="38">
    <w:nsid w:val="75C6C33A"/>
    <w:multiLevelType w:val="hybridMultilevel"/>
    <w:lvl w:ilvl="0">
      <w:lvlJc w:val="left"/>
      <w:lvlText w:val="%1."/>
      <w:numFmt w:val="decimal"/>
      <w:start w:val="2"/>
    </w:lvl>
    <w:lvl w:ilvl="1">
      <w:lvlJc w:val="left"/>
      <w:lvlText w:val="(%2)"/>
      <w:numFmt w:val="lowerLetter"/>
      <w:start w:val="1"/>
    </w:lvl>
  </w:abstractNum>
  <w:abstractNum w:abstractNumId="39">
    <w:nsid w:val="12E685FB"/>
    <w:multiLevelType w:val="hybridMultilevel"/>
    <w:lvl w:ilvl="0">
      <w:lvlJc w:val="left"/>
      <w:lvlText w:val="(%1)"/>
      <w:numFmt w:val="lowerLetter"/>
      <w:start w:val="2"/>
    </w:lvl>
  </w:abstractNum>
  <w:abstractNum w:abstractNumId="40">
    <w:nsid w:val="70C6A529"/>
    <w:multiLevelType w:val="hybridMultilevel"/>
    <w:lvl w:ilvl="0">
      <w:lvlJc w:val="left"/>
      <w:lvlText w:val="%1"/>
      <w:numFmt w:val="decimal"/>
      <w:start w:val="1"/>
    </w:lvl>
    <w:lvl w:ilvl="1">
      <w:lvlJc w:val="left"/>
      <w:lvlText w:val="(%2)"/>
      <w:numFmt w:val="lowerLetter"/>
      <w:start w:val="1"/>
    </w:lvl>
  </w:abstractNum>
  <w:abstractNum w:abstractNumId="41">
    <w:nsid w:val="520EEDD1"/>
    <w:multiLevelType w:val="hybridMultilevel"/>
    <w:lvl w:ilvl="0">
      <w:lvlJc w:val="left"/>
      <w:lvlText w:val="%1."/>
      <w:numFmt w:val="decimal"/>
      <w:start w:val="3"/>
    </w:lvl>
    <w:lvl w:ilvl="1">
      <w:lvlJc w:val="left"/>
      <w:lvlText w:val="%2"/>
      <w:numFmt w:val="lowerLetter"/>
      <w:start w:val="1"/>
    </w:lvl>
  </w:abstractNum>
  <w:abstractNum w:abstractNumId="42">
    <w:nsid w:val="374A3FE6"/>
    <w:multiLevelType w:val="hybridMultilevel"/>
    <w:lvl w:ilvl="0">
      <w:lvlJc w:val="left"/>
      <w:lvlText w:val="%1."/>
      <w:numFmt w:val="decimal"/>
      <w:start w:val="4"/>
    </w:lvl>
  </w:abstractNum>
  <w:abstractNum w:abstractNumId="43">
    <w:nsid w:val="4F4EF005"/>
    <w:multiLevelType w:val="hybridMultilevel"/>
    <w:lvl w:ilvl="0">
      <w:lvlJc w:val="left"/>
      <w:lvlText w:val="%1."/>
      <w:numFmt w:val="decimal"/>
      <w:start w:val="5"/>
    </w:lvl>
  </w:abstractNum>
  <w:abstractNum w:abstractNumId="44">
    <w:nsid w:val="23F9C13C"/>
    <w:multiLevelType w:val="hybridMultilevel"/>
    <w:lvl w:ilvl="0">
      <w:lvlJc w:val="left"/>
      <w:lvlText w:val="%1."/>
      <w:numFmt w:val="decimal"/>
      <w:start w:val="6"/>
    </w:lvl>
  </w:abstractNum>
  <w:abstractNum w:abstractNumId="45">
    <w:nsid w:val="649BB77C"/>
    <w:multiLevelType w:val="hybridMultilevel"/>
    <w:lvl w:ilvl="0">
      <w:lvlJc w:val="left"/>
      <w:lvlText w:val="%1."/>
      <w:numFmt w:val="decimal"/>
      <w:start w:val="10"/>
    </w:lvl>
  </w:abstractNum>
  <w:abstractNum w:abstractNumId="46">
    <w:nsid w:val="275AC794"/>
    <w:multiLevelType w:val="hybridMultilevel"/>
    <w:lvl w:ilvl="0">
      <w:lvlJc w:val="left"/>
      <w:lvlText w:val="%1."/>
      <w:numFmt w:val="decimal"/>
      <w:start w:val="11"/>
    </w:lvl>
  </w:abstractNum>
  <w:abstractNum w:abstractNumId="47">
    <w:nsid w:val="39386575"/>
    <w:multiLevelType w:val="hybridMultilevel"/>
    <w:lvl w:ilvl="0">
      <w:lvlJc w:val="left"/>
      <w:lvlText w:val="%1."/>
      <w:numFmt w:val="decimal"/>
      <w:start w:val="12"/>
    </w:lvl>
  </w:abstractNum>
  <w:abstractNum w:abstractNumId="48">
    <w:nsid w:val="1CF10FD8"/>
    <w:multiLevelType w:val="hybridMultilevel"/>
    <w:lvl w:ilvl="0">
      <w:lvlJc w:val="left"/>
      <w:lvlText w:val="(%1)"/>
      <w:numFmt w:val="lowerLetter"/>
      <w:start w:val="25"/>
    </w:lvl>
  </w:abstractNum>
  <w:abstractNum w:abstractNumId="49">
    <w:nsid w:val="180115BE"/>
    <w:multiLevelType w:val="hybridMultilevel"/>
    <w:lvl w:ilvl="0">
      <w:lvlJc w:val="left"/>
      <w:lvlText w:val="%1"/>
      <w:numFmt w:val="decimal"/>
      <w:start w:val="1"/>
    </w:lvl>
    <w:lvl w:ilvl="1">
      <w:lvlJc w:val="left"/>
      <w:lvlText w:val="(%2)"/>
      <w:numFmt w:val="lowerLetter"/>
      <w:start w:val="25"/>
    </w:lvl>
  </w:abstractNum>
  <w:abstractNum w:abstractNumId="50">
    <w:nsid w:val="235BA861"/>
    <w:multiLevelType w:val="hybridMultilevel"/>
    <w:lvl w:ilvl="0">
      <w:lvlJc w:val="left"/>
      <w:lvlText w:val="%1."/>
      <w:numFmt w:val="decimal"/>
      <w:start w:val="13"/>
    </w:lvl>
    <w:lvl w:ilvl="1">
      <w:lvlJc w:val="left"/>
      <w:lvlText w:val="%2"/>
      <w:numFmt w:val="lowerLetter"/>
      <w:start w:val="1"/>
    </w:lvl>
  </w:abstractNum>
  <w:abstractNum w:abstractNumId="51">
    <w:nsid w:val="47398C89"/>
    <w:multiLevelType w:val="hybridMultilevel"/>
    <w:lvl w:ilvl="0">
      <w:lvlJc w:val="left"/>
      <w:lvlText w:val="%1."/>
      <w:numFmt w:val="decimal"/>
      <w:start w:val="14"/>
    </w:lvl>
  </w:abstractNum>
  <w:abstractNum w:abstractNumId="52">
    <w:nsid w:val="354FE9F9"/>
    <w:multiLevelType w:val="hybridMultilevel"/>
    <w:lvl w:ilvl="0">
      <w:lvlJc w:val="left"/>
      <w:lvlText w:val="%1."/>
      <w:numFmt w:val="decimal"/>
      <w:start w:val="15"/>
    </w:lvl>
    <w:lvl w:ilvl="1">
      <w:lvlJc w:val="left"/>
      <w:lvlText w:val="(%2)"/>
      <w:numFmt w:val="lowerRoman"/>
      <w:start w:val="3"/>
    </w:lvl>
  </w:abstractNum>
  <w:abstractNum w:abstractNumId="53">
    <w:nsid w:val="15B5AF5C"/>
    <w:multiLevelType w:val="hybridMultilevel"/>
    <w:lvl w:ilvl="0">
      <w:lvlJc w:val="left"/>
      <w:lvlText w:val="%1."/>
      <w:numFmt w:val="decimal"/>
      <w:start w:val="16"/>
    </w:lvl>
  </w:abstractNum>
  <w:abstractNum w:abstractNumId="54">
    <w:nsid w:val="741226BB"/>
    <w:multiLevelType w:val="hybridMultilevel"/>
    <w:lvl w:ilvl="0">
      <w:lvlJc w:val="left"/>
      <w:lvlText w:val="%1."/>
      <w:numFmt w:val="decimal"/>
      <w:start w:val="18"/>
    </w:lvl>
  </w:abstractNum>
  <w:abstractNum w:abstractNumId="55">
    <w:nsid w:val="D34B6A8"/>
    <w:multiLevelType w:val="hybridMultilevel"/>
    <w:lvl w:ilvl="0">
      <w:lvlJc w:val="left"/>
      <w:lvlText w:val="(%1)"/>
      <w:numFmt w:val="lowerLetter"/>
      <w:start w:val="5"/>
    </w:lvl>
  </w:abstractNum>
  <w:abstractNum w:abstractNumId="56">
    <w:nsid w:val="10233C99"/>
    <w:multiLevelType w:val="hybridMultilevel"/>
    <w:lvl w:ilvl="0">
      <w:lvlJc w:val="left"/>
      <w:lvlText w:val="(%1)"/>
      <w:numFmt w:val="lowerLetter"/>
      <w:start w:val="7"/>
    </w:lvl>
  </w:abstractNum>
  <w:abstractNum w:abstractNumId="57">
    <w:nsid w:val="3F6AB60F"/>
    <w:multiLevelType w:val="hybridMultilevel"/>
    <w:lvl w:ilvl="0">
      <w:lvlJc w:val="left"/>
      <w:lvlText w:val="(%1)"/>
      <w:numFmt w:val="lowerLetter"/>
      <w:start w:val="5"/>
    </w:lvl>
  </w:abstractNum>
  <w:abstractNum w:abstractNumId="58">
    <w:nsid w:val="61574095"/>
    <w:multiLevelType w:val="hybridMultilevel"/>
    <w:lvl w:ilvl="0">
      <w:lvlJc w:val="left"/>
      <w:lvlText w:val="%1."/>
      <w:numFmt w:val="decimal"/>
      <w:start w:val="19"/>
    </w:lvl>
  </w:abstractNum>
  <w:abstractNum w:abstractNumId="59">
    <w:nsid w:val="7E0C57B1"/>
    <w:multiLevelType w:val="hybridMultilevel"/>
    <w:lvl w:ilvl="0">
      <w:lvlJc w:val="left"/>
      <w:lvlText w:val="%1."/>
      <w:numFmt w:val="decimal"/>
      <w:start w:val="21"/>
    </w:lvl>
  </w:abstractNum>
  <w:abstractNum w:abstractNumId="60">
    <w:nsid w:val="77AE35EB"/>
    <w:multiLevelType w:val="hybridMultilevel"/>
    <w:lvl w:ilvl="0">
      <w:lvlJc w:val="left"/>
      <w:lvlText w:val="%1."/>
      <w:numFmt w:val="decimal"/>
      <w:start w:val="6"/>
    </w:lvl>
  </w:abstractNum>
  <w:abstractNum w:abstractNumId="61">
    <w:nsid w:val="579BE4F1"/>
    <w:multiLevelType w:val="hybridMultilevel"/>
    <w:lvl w:ilvl="0">
      <w:lvlJc w:val="left"/>
      <w:lvlText w:val="%1."/>
      <w:numFmt w:val="decimal"/>
      <w:start w:val="9"/>
    </w:lvl>
    <w:lvl w:ilvl="1">
      <w:lvlJc w:val="left"/>
      <w:lvlText w:val="%2."/>
      <w:numFmt w:val="upperLetter"/>
      <w:start w:val="1"/>
    </w:lvl>
  </w:abstractNum>
  <w:abstractNum w:abstractNumId="62">
    <w:nsid w:val="310C50B3"/>
    <w:multiLevelType w:val="hybridMultilevel"/>
    <w:lvl w:ilvl="0">
      <w:lvlJc w:val="left"/>
      <w:lvlText w:val="%1."/>
      <w:numFmt w:val="decimal"/>
      <w:start w:val="13"/>
    </w:lvl>
  </w:abstractNum>
  <w:abstractNum w:abstractNumId="63">
    <w:nsid w:val="5FF87E05"/>
    <w:multiLevelType w:val="hybridMultilevel"/>
    <w:lvl w:ilvl="0">
      <w:lvlJc w:val="left"/>
      <w:lvlText w:val="%1."/>
      <w:numFmt w:val="decimal"/>
      <w:start w:val="1"/>
    </w:lvl>
    <w:lvl w:ilvl="1">
      <w:lvlJc w:val="left"/>
      <w:lvlText w:val="(%2)"/>
      <w:numFmt w:val="lowerLetter"/>
      <w:start w:val="1"/>
    </w:lvl>
  </w:abstractNum>
  <w:abstractNum w:abstractNumId="64">
    <w:nsid w:val="2F305DEF"/>
    <w:multiLevelType w:val="hybridMultilevel"/>
    <w:lvl w:ilvl="0">
      <w:lvlJc w:val="left"/>
      <w:lvlText w:val="%1."/>
      <w:numFmt w:val="decimal"/>
      <w:start w:val="1"/>
    </w:lvl>
    <w:lvl w:ilvl="1">
      <w:lvlJc w:val="left"/>
      <w:lvlText w:val="(%2)"/>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jpe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jpe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2019-12-10T06:42:57Z</dcterms:created>
  <dcterms:modified xsi:type="dcterms:W3CDTF">2019-12-10T06:42:57Z</dcterms:modified>
</cp:coreProperties>
</file>