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00" w:hanging="328"/>
        <w:spacing w:after="0" w:line="256" w:lineRule="auto"/>
        <w:tabs>
          <w:tab w:leader="none" w:pos="55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80" w:hanging="328"/>
        <w:spacing w:after="0" w:line="256" w:lineRule="auto"/>
        <w:tabs>
          <w:tab w:leader="none" w:pos="55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0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No. 13-3191702</w:t>
      </w:r>
    </w:p>
    <w:p>
      <w:pPr>
        <w:spacing w:after="0" w:line="27" w:lineRule="exact"/>
        <w:rPr>
          <w:sz w:val="24"/>
          <w:szCs w:val="24"/>
          <w:color w:val="auto"/>
        </w:rPr>
      </w:pPr>
    </w:p>
    <w:p>
      <w:pPr>
        <w:ind w:left="1160"/>
        <w:spacing w:after="0"/>
        <w:tabs>
          <w:tab w:leader="none" w:pos="730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organization)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3, 2010, 31,779,718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Three Months Ended March 31, 2010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p>
      <w:pPr>
        <w:ind w:left="1096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6857365</wp:posOffset>
            </wp:positionH>
            <wp:positionV relativeFrom="paragraph">
              <wp:posOffset>6350</wp:posOffset>
            </wp:positionV>
            <wp:extent cx="394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sectPr>
      </w:pPr>
    </w:p>
    <w:p>
      <w:pPr>
        <w:spacing w:after="0" w:line="222" w:lineRule="exact"/>
        <w:rPr>
          <w:sz w:val="24"/>
          <w:szCs w:val="24"/>
          <w:color w:val="auto"/>
        </w:rPr>
      </w:pPr>
    </w:p>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Part I—Financial Information</w:t>
        </w:r>
      </w:hyperlink>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March 31, 2010 and December 31, 2009</w:t>
              </w:r>
            </w:hyperlink>
          </w:p>
        </w:tc>
        <w:tc>
          <w:tcPr>
            <w:tcW w:w="162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2010 and 2009</w:t>
              </w:r>
            </w:hyperlink>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Three Months Ended March 31, 2010 and 2009</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290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Item 2. Management’s Discussion and Analysis of Financial Condition and Results of Operations</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0" w:type="dxa"/>
            <w:vAlign w:val="bottom"/>
            <w:tcBorders>
              <w:top w:val="single" w:sz="8" w:color="0000EE"/>
            </w:tcBorders>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 Quantitative and Qualitative Disclosures About Market Risk</w:t>
              </w:r>
            </w:hyperlink>
          </w:p>
        </w:tc>
        <w:tc>
          <w:tcPr>
            <w:tcW w:w="6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4. Controls and Procedures</w:t>
              </w:r>
            </w:hyperlink>
          </w:p>
        </w:tc>
        <w:tc>
          <w:tcPr>
            <w:tcW w:w="2580" w:type="dxa"/>
            <w:vAlign w:val="bottom"/>
            <w:tcBorders>
              <w:top w:val="single" w:sz="8" w:color="0000EE"/>
            </w:tcBorders>
            <w:gridSpan w:val="4"/>
          </w:tcPr>
          <w:p>
            <w:pPr>
              <w:spacing w:after="0"/>
              <w:rPr>
                <w:sz w:val="24"/>
                <w:szCs w:val="24"/>
                <w:color w:val="auto"/>
              </w:rPr>
            </w:pPr>
          </w:p>
        </w:tc>
        <w:tc>
          <w:tcPr>
            <w:tcW w:w="27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7880" w:type="dxa"/>
            <w:vAlign w:val="bottom"/>
            <w:gridSpan w:val="19"/>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 — Other Information</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1. Legal Proceedings</w:t>
              </w:r>
            </w:hyperlink>
          </w:p>
        </w:tc>
        <w:tc>
          <w:tcPr>
            <w:tcW w:w="160" w:type="dxa"/>
            <w:vAlign w:val="bottom"/>
            <w:tcBorders>
              <w:top w:val="single" w:sz="8" w:color="0000EE"/>
            </w:tcBorders>
          </w:tcPr>
          <w:p>
            <w:pPr>
              <w:spacing w:after="0"/>
              <w:rPr>
                <w:sz w:val="24"/>
                <w:szCs w:val="24"/>
                <w:color w:val="auto"/>
              </w:rPr>
            </w:pPr>
          </w:p>
        </w:tc>
        <w:tc>
          <w:tcPr>
            <w:tcW w:w="564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1A. Risk Factors</w:t>
              </w:r>
            </w:hyperlink>
          </w:p>
        </w:tc>
        <w:tc>
          <w:tcPr>
            <w:tcW w:w="610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6. Exhibits</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6540" w:type="dxa"/>
            <w:vAlign w:val="bottom"/>
            <w:gridSpan w:val="12"/>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 Index</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53"/>
        </w:trPr>
        <w:tc>
          <w:tcPr>
            <w:tcW w:w="200" w:type="dxa"/>
            <w:vAlign w:val="bottom"/>
            <w:gridSpan w:val="2"/>
          </w:tcPr>
          <w:p>
            <w:pPr>
              <w:spacing w:after="0"/>
              <w:rPr>
                <w:sz w:val="24"/>
                <w:szCs w:val="24"/>
                <w:color w:val="auto"/>
              </w:rPr>
            </w:pPr>
          </w:p>
        </w:tc>
        <w:tc>
          <w:tcPr>
            <w:tcW w:w="980" w:type="dxa"/>
            <w:vAlign w:val="bottom"/>
            <w:tcBorders>
              <w:top w:val="single" w:sz="8" w:color="0000EE"/>
            </w:tcBorders>
            <w:gridSpan w:val="3"/>
          </w:tcPr>
          <w:p>
            <w:pPr>
              <w:spacing w:after="0"/>
              <w:rPr>
                <w:sz w:val="24"/>
                <w:szCs w:val="24"/>
                <w:color w:val="auto"/>
              </w:rPr>
            </w:pPr>
          </w:p>
        </w:tc>
        <w:tc>
          <w:tcPr>
            <w:tcW w:w="5080" w:type="dxa"/>
            <w:vAlign w:val="bottom"/>
            <w:gridSpan w:val="11"/>
          </w:tcPr>
          <w:p>
            <w:pPr>
              <w:jc w:val="center"/>
              <w:ind w:left="3890"/>
              <w:spacing w:after="0"/>
              <w:rPr>
                <w:sz w:val="20"/>
                <w:szCs w:val="20"/>
                <w:color w:val="auto"/>
              </w:rPr>
            </w:pPr>
            <w:r>
              <w:rPr>
                <w:rFonts w:ascii="Arial" w:cs="Arial" w:eastAsia="Arial" w:hAnsi="Arial"/>
                <w:sz w:val="18"/>
                <w:szCs w:val="18"/>
                <w:color w:val="auto"/>
                <w:w w:val="99"/>
              </w:rPr>
              <w:t>2</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880" w:type="dxa"/>
            <w:vAlign w:val="bottom"/>
            <w:gridSpan w:val="1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7880" w:type="dxa"/>
            <w:vAlign w:val="bottom"/>
            <w:gridSpan w:val="19"/>
          </w:tcPr>
          <w:p>
            <w:pPr>
              <w:spacing w:after="0"/>
              <w:rPr>
                <w:sz w:val="20"/>
                <w:szCs w:val="20"/>
                <w:color w:val="auto"/>
              </w:rPr>
            </w:pPr>
            <w:r>
              <w:rPr>
                <w:rFonts w:ascii="Arial" w:cs="Arial" w:eastAsia="Arial" w:hAnsi="Arial"/>
                <w:sz w:val="18"/>
                <w:szCs w:val="18"/>
                <w:b w:val="1"/>
                <w:bCs w:val="1"/>
                <w:color w:val="auto"/>
              </w:rPr>
              <w:t>PART I—FINANCIAL INFORMATION</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880" w:type="dxa"/>
            <w:vAlign w:val="bottom"/>
            <w:gridSpan w:val="19"/>
          </w:tcPr>
          <w:p>
            <w:pPr>
              <w:spacing w:after="0" w:line="194" w:lineRule="exact"/>
              <w:rPr>
                <w:sz w:val="20"/>
                <w:szCs w:val="20"/>
                <w:color w:val="auto"/>
              </w:rPr>
            </w:pPr>
            <w:r>
              <w:rPr>
                <w:rFonts w:ascii="Arial" w:cs="Arial" w:eastAsia="Arial" w:hAnsi="Arial"/>
                <w:sz w:val="18"/>
                <w:szCs w:val="18"/>
                <w:b w:val="1"/>
                <w:bCs w:val="1"/>
                <w:color w:val="auto"/>
              </w:rPr>
              <w:t>Item 1. Unaudited Financial Statements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2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rPr>
              <w:t>CELLDEX THERAPEUTICS, INC.</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2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3"/>
              </w:rPr>
              <w:t>(Unaudited)</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6"/>
          </w:tcPr>
          <w:p>
            <w:pPr>
              <w:jc w:val="center"/>
              <w:ind w:left="4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2010</w:t>
            </w:r>
          </w:p>
        </w:tc>
        <w:tc>
          <w:tcPr>
            <w:tcW w:w="100" w:type="dxa"/>
            <w:vAlign w:val="bottom"/>
          </w:tcPr>
          <w:p>
            <w:pPr>
              <w:spacing w:after="0"/>
              <w:rPr>
                <w:sz w:val="24"/>
                <w:szCs w:val="24"/>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December 31, 2009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CCEEFF"/>
            </w:tcBorders>
            <w:gridSpan w:val="18"/>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80" w:type="dxa"/>
            <w:vAlign w:val="bottom"/>
            <w:gridSpan w:val="17"/>
          </w:tcPr>
          <w:p>
            <w:pPr>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32,700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Accounts and Other Receivables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80" w:type="dxa"/>
            <w:vAlign w:val="bottom"/>
            <w:gridSpan w:val="17"/>
          </w:tcPr>
          <w:p>
            <w:pPr>
              <w:spacing w:after="0"/>
              <w:rPr>
                <w:sz w:val="20"/>
                <w:szCs w:val="20"/>
                <w:color w:val="auto"/>
              </w:rPr>
            </w:pPr>
            <w:r>
              <w:rPr>
                <w:rFonts w:ascii="Arial" w:cs="Arial" w:eastAsia="Arial" w:hAnsi="Arial"/>
                <w:sz w:val="18"/>
                <w:szCs w:val="18"/>
                <w:color w:val="auto"/>
              </w:rPr>
              <w:t>Prepaid and Other Current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18"/>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28,459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18"/>
          </w:tcPr>
          <w:p>
            <w:pPr>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6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132,445</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18"/>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80" w:type="dxa"/>
            <w:vAlign w:val="bottom"/>
            <w:gridSpan w:val="17"/>
          </w:tcPr>
          <w:p>
            <w:pPr>
              <w:spacing w:after="0"/>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80" w:type="dxa"/>
            <w:vAlign w:val="bottom"/>
            <w:gridSpan w:val="17"/>
          </w:tcPr>
          <w:p>
            <w:pPr>
              <w:spacing w:after="0"/>
              <w:rPr>
                <w:sz w:val="20"/>
                <w:szCs w:val="20"/>
                <w:color w:val="auto"/>
              </w:rPr>
            </w:pPr>
            <w:r>
              <w:rPr>
                <w:rFonts w:ascii="Arial" w:cs="Arial" w:eastAsia="Arial" w:hAnsi="Arial"/>
                <w:sz w:val="18"/>
                <w:szCs w:val="18"/>
                <w:color w:val="auto"/>
              </w:rPr>
              <w:t>Current Portion of Deferred Revenue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6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Current Portion of Long-Term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80" w:type="dxa"/>
            <w:vAlign w:val="bottom"/>
            <w:gridSpan w:val="17"/>
          </w:tcPr>
          <w:p>
            <w:pPr>
              <w:spacing w:after="0"/>
              <w:rPr>
                <w:sz w:val="20"/>
                <w:szCs w:val="20"/>
                <w:color w:val="auto"/>
              </w:rPr>
            </w:pPr>
            <w:r>
              <w:rPr>
                <w:rFonts w:ascii="Arial" w:cs="Arial" w:eastAsia="Arial" w:hAnsi="Arial"/>
                <w:sz w:val="18"/>
                <w:szCs w:val="18"/>
                <w:color w:val="auto"/>
              </w:rPr>
              <w:t>Convertible Subordinated Debt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gridSpan w:val="18"/>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Convertible Subordinated Debt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18"/>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6,024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17"/>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gridSpan w:val="17"/>
          </w:tcPr>
          <w:p>
            <w:pPr>
              <w:spacing w:after="0" w:line="201" w:lineRule="exact"/>
              <w:rPr>
                <w:sz w:val="20"/>
                <w:szCs w:val="20"/>
                <w:color w:val="auto"/>
              </w:rPr>
            </w:pPr>
            <w:r>
              <w:rPr>
                <w:rFonts w:ascii="Arial" w:cs="Arial" w:eastAsia="Arial" w:hAnsi="Arial"/>
                <w:sz w:val="18"/>
                <w:szCs w:val="18"/>
                <w:color w:val="auto"/>
                <w:w w:val="98"/>
              </w:rPr>
              <w:t>Convertible Preferred Stock, $.01 Par Value; 3,000,000 Shares Authorized; No Shares Issued and</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80" w:type="dxa"/>
            <w:vAlign w:val="bottom"/>
            <w:gridSpan w:val="17"/>
          </w:tcPr>
          <w:p>
            <w:pPr>
              <w:ind w:left="160"/>
              <w:spacing w:after="0"/>
              <w:rPr>
                <w:sz w:val="20"/>
                <w:szCs w:val="20"/>
                <w:color w:val="auto"/>
              </w:rPr>
            </w:pPr>
            <w:r>
              <w:rPr>
                <w:rFonts w:ascii="Arial" w:cs="Arial" w:eastAsia="Arial" w:hAnsi="Arial"/>
                <w:sz w:val="18"/>
                <w:szCs w:val="18"/>
                <w:color w:val="auto"/>
              </w:rPr>
              <w:t>Outstanding at March 31, 2010 and December 31, 2009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7680" w:type="dxa"/>
            <w:vAlign w:val="bottom"/>
            <w:gridSpan w:val="17"/>
            <w:shd w:val="clear" w:color="auto" w:fill="CCEEFF"/>
          </w:tcPr>
          <w:p>
            <w:pPr>
              <w:spacing w:after="0"/>
              <w:rPr>
                <w:sz w:val="20"/>
                <w:szCs w:val="20"/>
                <w:color w:val="auto"/>
              </w:rPr>
            </w:pPr>
            <w:r>
              <w:rPr>
                <w:rFonts w:ascii="Arial" w:cs="Arial" w:eastAsia="Arial" w:hAnsi="Arial"/>
                <w:sz w:val="18"/>
                <w:szCs w:val="18"/>
                <w:color w:val="auto"/>
                <w:w w:val="93"/>
              </w:rPr>
              <w:t>Common Stock, $.001 Par Value; 297,000,000 Shares Authorized; 31,759,718 and 31,685,061 Shares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-6332220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-6332220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March 31, 2010 and December 31, 2009, respectively</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230,020</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228,863</w:t>
            </w:r>
          </w:p>
        </w:tc>
        <w:tc>
          <w:tcPr>
            <w:tcW w:w="8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2,546</w:t>
            </w:r>
          </w:p>
        </w:tc>
        <w:tc>
          <w:tcPr>
            <w:tcW w:w="8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(164,256)</w:t>
            </w: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(157,674)</w:t>
            </w:r>
          </w:p>
        </w:tc>
      </w:tr>
      <w:tr>
        <w:trPr>
          <w:trHeight w:val="210"/>
        </w:trPr>
        <w:tc>
          <w:tcPr>
            <w:tcW w:w="7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22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132,445</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 2010</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March 31, 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Product Royalties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6,438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Royalty</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2,835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1,520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3,162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7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and Diluted Net Loss Per Common Share (Note 4)</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2"/>
              </w:rPr>
              <w:t>Shares Used in Calculating Basic and Diluted Net Loss per Share (Note 4)</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31,695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940" w:type="dxa"/>
            <w:vAlign w:val="bottom"/>
            <w:gridSpan w:val="5"/>
          </w:tcPr>
          <w:p>
            <w:pPr>
              <w:jc w:val="center"/>
              <w:ind w:left="1370"/>
              <w:spacing w:after="0"/>
              <w:rPr>
                <w:sz w:val="20"/>
                <w:szCs w:val="20"/>
                <w:color w:val="auto"/>
              </w:rPr>
            </w:pPr>
            <w:r>
              <w:rPr>
                <w:rFonts w:ascii="Arial" w:cs="Arial" w:eastAsia="Arial" w:hAnsi="Arial"/>
                <w:sz w:val="18"/>
                <w:szCs w:val="18"/>
                <w:color w:val="auto"/>
                <w:w w:val="89"/>
              </w:rPr>
              <w:t>See accompanying notes to unaudited condensed consolidated financial statements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80" w:type="dxa"/>
            <w:vAlign w:val="bottom"/>
          </w:tcPr>
          <w:p>
            <w:pPr>
              <w:jc w:val="right"/>
              <w:ind w:right="245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0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7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March 31, 2010</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March 31, 2009</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(6,582)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(7,703)</w:t>
            </w:r>
          </w:p>
        </w:tc>
      </w:tr>
      <w:tr>
        <w:trPr>
          <w:trHeight w:val="216"/>
        </w:trPr>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Loss on Sales and Maturities of Marketable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Sales or Disposal of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and Other Receivables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7040" w:type="dxa"/>
            <w:vAlign w:val="bottom"/>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7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bl>
    <w:p>
      <w:pPr>
        <w:sectPr>
          <w:pgSz w:w="11900" w:h="16838" w:orient="portrait"/>
          <w:cols w:equalWidth="0" w:num="1">
            <w:col w:w="11460"/>
          </w:cols>
          <w:pgMar w:left="240" w:top="140" w:right="1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6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6,816</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Marketable Securities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or Disposal of Assets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Provided by Investing Activities</w:t>
            </w:r>
          </w:p>
        </w:tc>
        <w:tc>
          <w:tcPr>
            <w:tcW w:w="18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Payments of Other Long-Term Liabilities</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Financing Activities</w:t>
            </w:r>
          </w:p>
        </w:tc>
        <w:tc>
          <w:tcPr>
            <w:tcW w:w="1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57,002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Flow Information</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Shares Issued to Executive Officers</w:t>
            </w:r>
          </w:p>
        </w:tc>
        <w:tc>
          <w:tcPr>
            <w:tcW w:w="22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subsidiaries. All intercompany transactions have been eliminated in consolidation.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2009, which are included in the Company’s Annual Report on Form 10-K filed with the Securities and Exchange Commission (“SEC”) on March 12, 2010. In the opinion of management, the interim financial statements reflect all normal recurring adjustments necessary to fairly state the Company’s financial position and results of operations for the interim periods presented. The year-end consolidated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AVANT Merger</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On March 7, 2008, the Company (formerly known as AVANT Immunotherapeutics, Inc.) (“AVANT”) merged with Celldex Research Corporation (formerly known as Celldex Therapeutics, Inc.) (“Celldex Research”), a privately-held company, (the “AVANT Merger”). Effective October 1, 2008, the Company changed its name from AVANT Immunotherapeutics, Inc. to Celldex Therapeutics, Inc. The AVANT Merger was accounted for using the former purchase method of accounting and was treated as an acquisition by Celldex Research of AVANT, with Celldex Research being considered the accounting acquirer even though AVANT was the issuer of common stock and the surviving legal entity in the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CuraGen Corporation (“CuraGen”)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more fully discussed in Note 12, on October 1, 2009, CuraGen, a former publicly-traded company, merged with a wholly-owned subsidiary (“Merger Sub”) of the Company (the “CuraGen Merger”). Following the CuraGen Merger, the financial statements reflect the financial position, results of operation and cash flows of the combined companies. On December 31, 2009, the Company completed the merger of the Merger Sub with and into Celldex pursuant to a short-form merger effected under Delaware law. As a result, the separate corporate existence of CuraGen has ceased and the Company has succeeded to all rights, privileges, powers and franchises of CuraGen.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2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months ended March 31, 2010 are consistent with those discussed in Note 2 to the consolidated financial statements in our Annual Report on Form 10-K for the year ended December 31, 2009, except for the adoption of new accounting standards during the first three months of 2010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ectPr>
          <w:pgSz w:w="11900" w:h="16838" w:orient="portrait"/>
          <w:cols w:equalWidth="0" w:num="1">
            <w:col w:w="11420"/>
          </w:cols>
          <w:pgMar w:left="240" w:top="125" w:right="239" w:bottom="0" w:gutter="0" w:footer="0" w:header="0"/>
        </w:sectPr>
      </w:pPr>
    </w:p>
    <w:bookmarkStart w:id="4" w:name="page5"/>
    <w:bookmarkEnd w:id="4"/>
    <w:p>
      <w:pPr>
        <w:ind w:right="400" w:firstLine="648"/>
        <w:spacing w:after="0" w:line="31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January 2010, the Company adopted a new U.S. GAAP accounting standard which requires additional disclosure about the amounts of and reasons for significant transfers in and out of Level 1 and Level 2 fair value measurements. This standard also clarifies existing disclosure requirements related to the level of disaggregation of fair value measurements for each class of assets and liabilities and disclosures about inputs and valuation techniques used to measure fair value for both recurring and nonrecurring Level 2 and Level 3 measurements. As this newly issued accounting standard only requires enhanced disclosure, the adoption of this standard did not impact the Company’s financial position or results of operations. In addition, effective for interim and annual periods beginning January 1, 2011, this standard will require additional disclosure and require an entity to present disaggregated information about activity in Level 3 fair value measurements on a gross basis, rather than as one net amount.</w:t>
      </w:r>
    </w:p>
    <w:p>
      <w:pPr>
        <w:spacing w:after="0" w:line="17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January 2010, the Company adopted a new U.S. GAAP accounting standard which amends existing revenue recognition accounting guidance to provide accounting principles and application guidance on whether multiple deliverables exist, how the arrangement should be separated, and the consideration allocated. This new guidance eliminates the requirement to establish objective evidence of fair value of undelivered products and services and instead provides for separate revenue recognition based upon management’s estimate of the selling price for an undelivered item when there is no other means to determine the fair value of that undelivered item. The old guidance previously required that the fair value of the undelivered item be the price of the item either sold in a separate transaction between unrelated third parties or the price charged for each item when the item is sold separately by the vendor. This was difficult to determine when the product was not individually sold because of its unique features. Under the old guidance, if the fair value of all of the undelivered elements in the arrangement was not determinable, then revenue was deferred until all of the items were delivered or fair value was determined. The adoption of the new standard was done on a prospective basis and did not impact the Company’s financial position or results of operations. This standard may impact the Company in the event it completes future transactions or modifies existing collaborative relationships.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2010, comprehensive loss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5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5"/>
              </w:rPr>
              <w:t>Three months ended March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3"/>
          </w:tcPr>
          <w:p>
            <w:pPr>
              <w:jc w:val="right"/>
              <w:ind w:right="476"/>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96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(6,582)</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(7,703)</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unrealized gain on marketable securities</w:t>
            </w:r>
          </w:p>
        </w:tc>
        <w:tc>
          <w:tcPr>
            <w:tcW w:w="2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8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Unrealized foreign exchange translation loss</w:t>
            </w:r>
          </w:p>
        </w:tc>
        <w:tc>
          <w:tcPr>
            <w:tcW w:w="2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gain (loss)</w:t>
            </w:r>
          </w:p>
        </w:tc>
        <w:tc>
          <w:tcPr>
            <w:tcW w:w="20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2080" w:type="dxa"/>
            <w:vAlign w:val="bottom"/>
          </w:tcPr>
          <w:p>
            <w:pPr>
              <w:spacing w:after="0"/>
              <w:rPr>
                <w:sz w:val="19"/>
                <w:szCs w:val="19"/>
                <w:color w:val="auto"/>
              </w:rPr>
            </w:pPr>
          </w:p>
        </w:tc>
        <w:tc>
          <w:tcPr>
            <w:tcW w:w="880" w:type="dxa"/>
            <w:vAlign w:val="bottom"/>
          </w:tcPr>
          <w:p>
            <w:pPr>
              <w:jc w:val="right"/>
              <w:ind w:right="70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(6,465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(7,716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12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4,299,850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Convertible debt</w:t>
            </w:r>
          </w:p>
        </w:tc>
        <w:tc>
          <w:tcPr>
            <w:tcW w:w="6500" w:type="dxa"/>
            <w:vAlign w:val="bottom"/>
            <w:gridSpan w:val="3"/>
          </w:tcPr>
          <w:p>
            <w:pPr>
              <w:jc w:val="right"/>
              <w:ind w:right="280"/>
              <w:spacing w:after="0"/>
              <w:rPr>
                <w:sz w:val="20"/>
                <w:szCs w:val="20"/>
                <w:color w:val="auto"/>
              </w:rPr>
            </w:pPr>
            <w:r>
              <w:rPr>
                <w:rFonts w:ascii="Arial" w:cs="Arial" w:eastAsia="Arial" w:hAnsi="Arial"/>
                <w:sz w:val="18"/>
                <w:szCs w:val="18"/>
                <w:color w:val="auto"/>
              </w:rPr>
              <w:t>353,563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6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4,665,413</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2,773,318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60" w:type="dxa"/>
            <w:vAlign w:val="bottom"/>
            <w:vMerge w:val="restart"/>
          </w:tcPr>
          <w:p>
            <w:pPr>
              <w:jc w:val="right"/>
              <w:ind w:right="2450"/>
              <w:spacing w:after="0"/>
              <w:rPr>
                <w:sz w:val="20"/>
                <w:szCs w:val="20"/>
                <w:color w:val="auto"/>
              </w:rPr>
            </w:pPr>
            <w:r>
              <w:rPr>
                <w:rFonts w:ascii="Arial" w:cs="Arial" w:eastAsia="Arial" w:hAnsi="Arial"/>
                <w:sz w:val="18"/>
                <w:szCs w:val="18"/>
                <w:color w:val="auto"/>
              </w:rPr>
              <w:t>7</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fair value of the Company’s assets and liabilities reflects the Company’s estimate of the exchange price that would be received for an asset or paid to transfer a liability (an exit price) in an orderly transaction between market participants on the measurement date. Market participants are buyers and sellers in the principal market that are (i) independent, (ii) knowledgeable, (iii) able to transact, and (iv) willing to transact.</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left="1260" w:right="480" w:hanging="1242"/>
        <w:spacing w:after="0" w:line="342" w:lineRule="auto"/>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 for identical assets or liabilities. An active market for an asset or liability is a market in which transactions for the asset or liability occur with sufficient frequency and volume to provide pricing information on an</w:t>
      </w:r>
    </w:p>
    <w:p>
      <w:pPr>
        <w:sectPr>
          <w:pgSz w:w="11900" w:h="16838" w:orient="portrait"/>
          <w:cols w:equalWidth="0" w:num="1">
            <w:col w:w="11460"/>
          </w:cols>
          <w:pgMar w:left="240" w:top="125" w:right="199" w:bottom="0" w:gutter="0" w:footer="0" w:header="0"/>
        </w:sectPr>
      </w:pPr>
    </w:p>
    <w:bookmarkStart w:id="5" w:name="page6"/>
    <w:bookmarkEnd w:id="5"/>
    <w:p>
      <w:pPr>
        <w:ind w:left="1260"/>
        <w:spacing w:after="0"/>
        <w:rPr>
          <w:sz w:val="20"/>
          <w:szCs w:val="20"/>
          <w:color w:val="auto"/>
        </w:rPr>
      </w:pPr>
      <w:r>
        <w:rPr>
          <w:rFonts w:ascii="Arial" w:cs="Arial" w:eastAsia="Arial" w:hAnsi="Arial"/>
          <w:sz w:val="18"/>
          <w:szCs w:val="18"/>
          <w:color w:val="auto"/>
        </w:rPr>
        <w:t>ongoing basis.</w:t>
      </w:r>
    </w:p>
    <w:p>
      <w:pPr>
        <w:spacing w:after="0" w:line="23" w:lineRule="exact"/>
        <w:rPr>
          <w:sz w:val="20"/>
          <w:szCs w:val="20"/>
          <w:color w:val="auto"/>
        </w:rPr>
      </w:pPr>
    </w:p>
    <w:p>
      <w:pPr>
        <w:ind w:left="1260" w:right="380" w:hanging="1242"/>
        <w:spacing w:after="0" w:line="250"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prices, such as quoted prices in active markets for similar assets or liabilities and quoted prices for identical assets or liabilities in markets that are not active.</w:t>
      </w:r>
    </w:p>
    <w:p>
      <w:pPr>
        <w:spacing w:after="0" w:line="1" w:lineRule="exact"/>
        <w:rPr>
          <w:sz w:val="20"/>
          <w:szCs w:val="20"/>
          <w:color w:val="auto"/>
        </w:rPr>
      </w:pPr>
    </w:p>
    <w:p>
      <w:pPr>
        <w:ind w:left="1260" w:right="520" w:hanging="1242"/>
        <w:spacing w:after="0" w:line="261" w:lineRule="auto"/>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the Company’s assessment of the assumptions that market participants would use in pricing the asset or liability.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2010</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39,705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39,705</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32,700</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32,700</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72,405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4"/>
                <w:szCs w:val="24"/>
                <w:color w:val="auto"/>
              </w:rPr>
            </w:pP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2009</w:t>
            </w: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53,780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53,780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25,451</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25,451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3"/>
              </w:rPr>
              <w:t>79,231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There have been no transfers of assets or liabilities between the fair value measurement classifications. The Company’s financial instruments consist mainly of cash and cash equivalents, marketable securities, short-term accounts receivable, accounts payable and debt obligations. Marketable securities have been valued by a third party pricing service at each balance sheet date, using observable market inputs that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 Based on current market interest rates available to the Company for long-term liabilities with similar terms and maturities, the Company believes the fair value of the loan payable and note payable approximates its carrying value at March 31, 2010. At March 31, 2010, the estimated fair value of the Company’s outstanding $12.5 million in CuraGen Debt was approximately $12.2 million based on quoted market prices.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cash, cash equivalents and marketable securities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left="177"/>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March 31, 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left="177"/>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73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Cash and money market funds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42,666</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3,271</w:t>
            </w:r>
          </w:p>
        </w:tc>
        <w:tc>
          <w:tcPr>
            <w:tcW w:w="300" w:type="dxa"/>
            <w:vAlign w:val="bottom"/>
          </w:tcPr>
          <w:p>
            <w:pPr>
              <w:spacing w:after="0"/>
              <w:rPr>
                <w:sz w:val="18"/>
                <w:szCs w:val="18"/>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4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obligations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13,035</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11,880</w:t>
            </w:r>
          </w:p>
        </w:tc>
        <w:tc>
          <w:tcPr>
            <w:tcW w:w="300" w:type="dxa"/>
            <w:vAlign w:val="bottom"/>
          </w:tcPr>
          <w:p>
            <w:pPr>
              <w:spacing w:after="0"/>
              <w:rPr>
                <w:sz w:val="18"/>
                <w:szCs w:val="18"/>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19,595</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32,630</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3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75,296</w:t>
            </w:r>
          </w:p>
        </w:tc>
        <w:tc>
          <w:tcPr>
            <w:tcW w:w="30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ind w:right="855"/>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w:t>
            </w: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75,366</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left="177"/>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40" w:type="dxa"/>
            <w:vAlign w:val="bottom"/>
          </w:tcPr>
          <w:p>
            <w:pPr>
              <w:jc w:val="center"/>
              <w:ind w:left="2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left="177"/>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left="177"/>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73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Cash and money market funds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57,002</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9,698</w:t>
            </w:r>
          </w:p>
        </w:tc>
        <w:tc>
          <w:tcPr>
            <w:tcW w:w="300" w:type="dxa"/>
            <w:vAlign w:val="bottom"/>
          </w:tcPr>
          <w:p>
            <w:pPr>
              <w:spacing w:after="0"/>
              <w:rPr>
                <w:sz w:val="18"/>
                <w:szCs w:val="18"/>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obligations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16,827</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91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two years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8,672</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3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82,501</w:t>
            </w:r>
          </w:p>
        </w:tc>
        <w:tc>
          <w:tcPr>
            <w:tcW w:w="30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ind w:right="855"/>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w:t>
            </w:r>
          </w:p>
        </w:tc>
        <w:tc>
          <w:tcPr>
            <w:tcW w:w="2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82,453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jc w:val="both"/>
        <w:ind w:right="540" w:firstLine="648"/>
        <w:spacing w:after="0" w:line="342" w:lineRule="auto"/>
        <w:rPr>
          <w:sz w:val="20"/>
          <w:szCs w:val="20"/>
          <w:color w:val="auto"/>
        </w:rPr>
      </w:pPr>
      <w:r>
        <w:rPr>
          <w:rFonts w:ascii="Arial" w:cs="Arial" w:eastAsia="Arial" w:hAnsi="Arial"/>
          <w:sz w:val="16"/>
          <w:szCs w:val="16"/>
          <w:color w:val="auto"/>
        </w:rPr>
        <w:t>As of March 31, 2010, unrealized losses in the portfolio were primarily due to increases in interest rates. The marketable securities held by the Company were high investment grade and the Company did not consider any investments to be other-than-temporarily impaired as of March 31,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March 31, 2010, the Company had two stock-based compensation plans: the 2004 Employee Stock Purchase Plan (the “2004 ESPP Plan”) and the 2008 Stock Option and Incentive Plan (the “2008 Plan”).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March 31, 2010, a total of 62,500 shares of common stock are reserved for issuance under the 2004 ESPP Plan. Under the 2004 ESPP Plan, each participating employee may purchase up to 250 shares of common stock per year, through payroll deductions, at a purchase price equal to 85% of the lower of the fair market value of the common stock at either the beginning of the offering period or the applicable exercise date. During the three months ended March 31, 2010 and 2009, the Company issued 1,063 and 1,497 shares under the 2004 ESPP Plan, respectively. At March 31, 2010, 55,843 shares were available for issuance under the 2004 ESPP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outside directors.</w:t>
      </w:r>
    </w:p>
    <w:p>
      <w:pPr>
        <w:spacing w:after="0" w:line="181"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At March 31, 2010, the 2008 Plan allowed for a maximum of 3,900,000 shares of common stock to be issued prior to October 19,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connection with the CuraGen Merger, the Company assumed the obligations of CuraGen under CuraGen’s 2007 Stock Plan (the “CuraGen 2007 Plan”) and each outstanding option to purchase CuraGen common stock (a “CuraGen Stock Option”) granted under the CuraGen 2007 Plan. Each CuraGen Stock Option assumed by the Company is deemed to constitute an option to acquire, on the same terms and conditions as were applicable under the CuraGen 2007 Plan, shares of the Company’s common stock that have been adjusted consistent with the ratio at which the Company’s common stock was issued in exchange for CuraGen’s common stock in the CuraGen Merger. As of October 1, 2009, the Company assumed options to acquire 931,315 shares of its common stock with a weighted average exercise price of $3.17. As of October 1, 2009, all of the CuraGen Stock Options were fully vested except for 8,993 shares which generally vest over a two year period. No additional awards will be issued under the CuraGen 2007 Plan. The fair value of the CuraGen Stock Options that were attributed to precombination service was included in the CuraGen Merger consideration.</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summary of stock option activity under the 2008 Plan, CuraGen 2007 Plan and Celldex Research 2005 Plan for the three months ended March 31, 2010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left="247"/>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0"/>
              </w:rPr>
              <w:t>Exercise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3"/>
              </w:rPr>
              <w:t>Price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020" w:type="dxa"/>
            <w:vAlign w:val="bottom"/>
          </w:tcPr>
          <w:p>
            <w:pPr>
              <w:jc w:val="center"/>
              <w:ind w:left="267"/>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2009</w:t>
            </w:r>
          </w:p>
        </w:tc>
        <w:tc>
          <w:tcPr>
            <w:tcW w:w="1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3,576,159</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2880" w:type="dxa"/>
            <w:vAlign w:val="bottom"/>
            <w:gridSpan w:val="3"/>
          </w:tcPr>
          <w:p>
            <w:pPr>
              <w:jc w:val="right"/>
              <w:ind w:right="280"/>
              <w:spacing w:after="0"/>
              <w:rPr>
                <w:sz w:val="20"/>
                <w:szCs w:val="20"/>
                <w:color w:val="auto"/>
              </w:rPr>
            </w:pPr>
            <w:r>
              <w:rPr>
                <w:rFonts w:ascii="Arial" w:cs="Arial" w:eastAsia="Arial" w:hAnsi="Arial"/>
                <w:sz w:val="18"/>
                <w:szCs w:val="18"/>
                <w:color w:val="auto"/>
              </w:rPr>
              <w:t>804,500</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4.53</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(73,594)</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2.49</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Canceled/forfeited</w:t>
            </w:r>
          </w:p>
        </w:tc>
        <w:tc>
          <w:tcPr>
            <w:tcW w:w="288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6.22</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(6,215)</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2.57</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 Outstanding at March 31, 2010</w:t>
            </w:r>
          </w:p>
        </w:tc>
        <w:tc>
          <w:tcPr>
            <w:tcW w:w="122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4,299,850</w:t>
            </w:r>
          </w:p>
        </w:tc>
        <w:tc>
          <w:tcPr>
            <w:tcW w:w="2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6.71</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 at March 31, 2010</w:t>
            </w:r>
          </w:p>
        </w:tc>
        <w:tc>
          <w:tcPr>
            <w:tcW w:w="1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3,984,175</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6.76</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Options Exercisable at March 31, 2010</w:t>
            </w:r>
          </w:p>
        </w:tc>
        <w:tc>
          <w:tcPr>
            <w:tcW w:w="2880" w:type="dxa"/>
            <w:vAlign w:val="bottom"/>
            <w:gridSpan w:val="3"/>
          </w:tcPr>
          <w:p>
            <w:pPr>
              <w:jc w:val="right"/>
              <w:ind w:right="280"/>
              <w:spacing w:after="0"/>
              <w:rPr>
                <w:sz w:val="20"/>
                <w:szCs w:val="20"/>
                <w:color w:val="auto"/>
              </w:rPr>
            </w:pPr>
            <w:r>
              <w:rPr>
                <w:rFonts w:ascii="Arial" w:cs="Arial" w:eastAsia="Arial" w:hAnsi="Arial"/>
                <w:sz w:val="18"/>
                <w:szCs w:val="18"/>
                <w:color w:val="auto"/>
              </w:rPr>
              <w:t>2,707,011</w:t>
            </w: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6.93</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Grant under the 2008 Plan</w:t>
            </w:r>
          </w:p>
        </w:tc>
        <w:tc>
          <w:tcPr>
            <w:tcW w:w="2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1,691,147</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6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total intrinsic value of stock options exercised during the three months ended March 31, 2010 was $0.2 million. No stock options were exercised during the three months ended March 31, 2009. The weighted average grant-date fair value of stock options granted during the three months ended March 31, 2010 and 2009 was $2.81 and $5.33, respectively. The total fair value of stock options that vested during the three months ended March 31, 2010 and 2009 was $1.6 million and $1.4 million, respectively.</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aggregate intrinsic value of stock options outstanding at March 31, 2010 was $3.7 million. The aggregate intrinsic value of stock options vested and expected to vest at March 31, 2010 was $3.4 million. As of March 31, 2010, total compensation cost related to non-vested employee and non-employee director stock options not yet recognized was approximately $4.8 million, net of estimated forfeitures, which is expected to be recognized as expense over a weighted average period of 3.1 years.</w:t>
      </w:r>
    </w:p>
    <w:p>
      <w:pPr>
        <w:sectPr>
          <w:pgSz w:w="11900" w:h="16838" w:orient="portrait"/>
          <w:cols w:equalWidth="0" w:num="1">
            <w:col w:w="11460"/>
          </w:cols>
          <w:pgMar w:left="240" w:top="125" w:right="19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w:t>
      </w:r>
    </w:p>
    <w:p>
      <w:pPr>
        <w:sectPr>
          <w:pgSz w:w="11900" w:h="16838" w:orient="portrait"/>
          <w:cols w:equalWidth="0" w:num="1">
            <w:col w:w="11460"/>
          </w:cols>
          <w:pgMar w:left="240" w:top="125" w:right="199" w:bottom="0" w:gutter="0" w:footer="0" w:header="0"/>
          <w:type w:val="continuous"/>
        </w:sectPr>
      </w:pPr>
    </w:p>
    <w:bookmarkStart w:id="7" w:name="page8"/>
    <w:bookmarkEnd w:id="7"/>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under the 2008 Plan for the three months ended March 31, 2010 is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December 31, 2009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Canceled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unvested at March 31, 2010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Stock-based compensation expense related to employee and non-employee stock options, restricted stock and employee stock purchases for the three months ended March 31, 2010 and 2009 was recorded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94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gridSpan w:val="4"/>
          </w:tcPr>
          <w:p>
            <w:pPr>
              <w:jc w:val="right"/>
              <w:ind w:right="510"/>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10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712</w:t>
            </w:r>
          </w:p>
        </w:tc>
      </w:tr>
      <w:tr>
        <w:trPr>
          <w:trHeight w:val="210"/>
        </w:trPr>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values of employee and non-employee director stock options and employee stock purchases granted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2010 and 2009 were valued using the 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3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2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2"/>
                <w:szCs w:val="12"/>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 (options)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stock price volatility (2004 ESPP)</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(options)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 Years</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option term (2004 ESPP)</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0.5 Years</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0.5 Years</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(options)</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 – 3.2%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 – 2.7%</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Risk-free interest rate (2004 ESPP)</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None</w:t>
            </w: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Prior to January 1, 2010, the Company used the simplified method of estimating the expected term for share-based compensation. Starting January 1, 2010, the Company ceased using the simplified method, and now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uses the average of expected terms for industry peers. Due to the AVANT Merger and the CuraGen Merger, historical exercise patterns do not provide a reasonable basis to estimate expected term of current option grants. Industry peers consist of several public companies that are similar in size in the biopharmaceutical industry.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8"/>
              </w:rPr>
              <w:t>March 31, 2010</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2009</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0"/>
                <w:szCs w:val="10"/>
                <w:color w:val="auto"/>
              </w:rPr>
            </w:pPr>
          </w:p>
        </w:tc>
        <w:tc>
          <w:tcPr>
            <w:tcW w:w="112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Net</w:t>
            </w:r>
          </w:p>
        </w:tc>
        <w:tc>
          <w:tcPr>
            <w:tcW w:w="380" w:type="dxa"/>
            <w:vAlign w:val="bottom"/>
          </w:tcPr>
          <w:p>
            <w:pPr>
              <w:spacing w:after="0"/>
              <w:rPr>
                <w:sz w:val="10"/>
                <w:szCs w:val="10"/>
                <w:color w:val="auto"/>
              </w:rPr>
            </w:pPr>
          </w:p>
        </w:tc>
        <w:tc>
          <w:tcPr>
            <w:tcW w:w="8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IPR&amp;D</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11,800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 years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w w:val="98"/>
              </w:rPr>
              <w:t>TopoTarget Agreement</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1.75 years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Core Technology</w:t>
            </w: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4.5 - 11 years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180"/>
              <w:spacing w:after="0" w:line="201" w:lineRule="exact"/>
              <w:rPr>
                <w:sz w:val="20"/>
                <w:szCs w:val="20"/>
                <w:color w:val="auto"/>
              </w:rPr>
            </w:pPr>
            <w:r>
              <w:rPr>
                <w:rFonts w:ascii="Arial" w:cs="Arial" w:eastAsia="Arial" w:hAnsi="Arial"/>
                <w:sz w:val="18"/>
                <w:szCs w:val="18"/>
                <w:color w:val="auto"/>
              </w:rPr>
              <w:t>Strategic Partner</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360"/>
              <w:spacing w:after="0"/>
              <w:rPr>
                <w:sz w:val="20"/>
                <w:szCs w:val="20"/>
                <w:color w:val="auto"/>
              </w:rPr>
            </w:pPr>
            <w:r>
              <w:rPr>
                <w:rFonts w:ascii="Arial" w:cs="Arial" w:eastAsia="Arial" w:hAnsi="Arial"/>
                <w:sz w:val="18"/>
                <w:szCs w:val="18"/>
                <w:color w:val="auto"/>
              </w:rPr>
              <w:t>Agreement</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8 years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3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vMerge w:val="restart"/>
          </w:tcPr>
          <w:p>
            <w:pPr>
              <w:ind w:left="200"/>
              <w:spacing w:after="0"/>
              <w:rPr>
                <w:sz w:val="20"/>
                <w:szCs w:val="20"/>
                <w:color w:val="auto"/>
              </w:rPr>
            </w:pPr>
            <w:r>
              <w:rPr>
                <w:rFonts w:ascii="Arial" w:cs="Arial" w:eastAsia="Arial" w:hAnsi="Arial"/>
                <w:sz w:val="18"/>
                <w:szCs w:val="18"/>
                <w:color w:val="auto"/>
              </w:rPr>
              <w:t>Indefinite</w:t>
            </w: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4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8,965</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January 2009, the Company entered into a purchase agreement (the “LAHI Agreement”) with Lohmann Animal Health International (“LAHI”) to sell its poultry vaccines assets to LAHI. Under the LAHI Agreement, LAHI paid an upfront fee of $0.8 million and agreed to pay potential milestone payments. The Company recorded a gain of $0.6 million during the three months ended March 31, 2009 related to the LAHI Agreement based on the upfront fee less the net book value of the related asset.</w:t>
      </w:r>
    </w:p>
    <w:p>
      <w:pPr>
        <w:spacing w:after="0" w:line="18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estimated fair value attributed to the April 2008 agreement (“TopoTarget Agreement”) between the Company (as a successor to CuraGen) and TopoTarget A/S (“TopoTarget”) relates to the Company’s rights under the TopoTarget Agreement to receive up to $6 million in either potential commercial</w:t>
      </w:r>
    </w:p>
    <w:p>
      <w:pPr>
        <w:sectPr>
          <w:pgSz w:w="11900" w:h="16908" w:orient="portrait"/>
          <w:cols w:equalWidth="0" w:num="1">
            <w:col w:w="11420"/>
          </w:cols>
          <w:pgMar w:left="240" w:top="341" w:right="239" w:bottom="0" w:gutter="0" w:footer="0" w:header="0"/>
        </w:sectPr>
      </w:pPr>
    </w:p>
    <w:bookmarkStart w:id="8" w:name="page9"/>
    <w:bookmarkEnd w:id="8"/>
    <w:p>
      <w:pPr>
        <w:spacing w:after="0" w:line="9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milestone payments related to future net sales of Belinostat or 10% of any sublicense income received by TopoTarget (“TopoTarget Payments”). In February 2010, TopoTarget entered into a co-development and commercialization agreement for Belinostat with Spectrum Pharmaceuticals, Inc. which resulted in the Company’s receipt of $3 million of the TopoTarget Payments. The Company recorded this cash receipt as Other Income for the three months ended March 31, 2010 and recorded amortization expense related to the TopoTarget Agreement of $1.2 million for the three months ended March 31,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Massachusetts, New Jersey and Connecticut are the three states in which the Company primarily operates or has operated and has income tax nexus. The Company is currently under examination for sales and use taxes by the State of Connecticut for CuraGen’s operations for the period from July 1, 2006 through June 30, 2009. The Company is not currently under examination by any other jurisdictions for any tax year.</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March 31, 2010 and December 31, 2009 against the Company’s net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Revenue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significant revenue contracts and arrangements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plc (“Glaxo”) and Paul Royalty Fund II, L.P. (“PRF”)</w:t>
      </w:r>
    </w:p>
    <w:p>
      <w:pPr>
        <w:spacing w:after="0" w:line="225" w:lineRule="exact"/>
        <w:rPr>
          <w:sz w:val="20"/>
          <w:szCs w:val="20"/>
          <w:color w:val="auto"/>
        </w:rPr>
      </w:pPr>
    </w:p>
    <w:p>
      <w:pPr>
        <w:ind w:right="80" w:firstLine="648"/>
        <w:spacing w:after="0" w:line="242" w:lineRule="auto"/>
        <w:rPr>
          <w:sz w:val="20"/>
          <w:szCs w:val="20"/>
          <w:color w:val="auto"/>
        </w:rPr>
      </w:pPr>
      <w:r>
        <w:rPr>
          <w:rFonts w:ascii="Arial" w:cs="Arial" w:eastAsia="Arial" w:hAnsi="Arial"/>
          <w:sz w:val="18"/>
          <w:szCs w:val="18"/>
          <w:color w:val="auto"/>
        </w:rPr>
        <w:t>In 1997, the Company entered into an agreement with Glaxo to collaborate on the development and commercialization of the Company’s oral rotavirus strain and Glaxo assumed responsibility for all subsequent clinical trials and all other development activities. The Company’s licensed-in the rotavirus strain that was used to develop Glaxo’s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rotavirus vaccine in 1995 and owes a license fee of 30% to Cincinnati Children’s Hospital Medical Center (“CCH”) on net royalties received from Glaxo. The Company is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May 2005, the Company entered into an agreement whereby an affiliate of PRF purchased an interest in the net royalties the Company will receive on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The Company’s retained interests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royalties which were not sold to PRF are recorded as product royalty revenue and a corresponding amount that is payable to CCH is recorded as royalty expense. Product royalty revenue and royalty expense related to the Company’s retained interest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$2.1 million and $2.0 million for the three months ended March 31, 2010 and 2009, respectively.</w:t>
      </w:r>
    </w:p>
    <w:p>
      <w:pPr>
        <w:spacing w:after="0" w:line="8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Royalty rates on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escalate from 7% to 10% based on net product sales in countries that have valid patent protection. These royalty rates are discounted by 30% for “non-patent” countries (primarily international markets). In September 2006, the Company received notice from Glaxo that Glaxo would begin paying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at the lower of the two royalty rates under their 1997 license agreement. Glaxo’s decision to pay the lower royalty rate (which is 70% of the full rate) is based upon Glaxo’s assertion that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not covered by the patents Glaxo licensed from the Company in Australia and certain European countries. If Glaxo’s position stands, the royalties to which PRF is entitled will no longer be limited by a $27.5 million annual threshold, which the Company projected may have been reached in later years as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increased. Irrespective of Glaxo’s position, the Company will still retain approximately 65% of the royalties on worldwide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once PRF receives 2.45 times the aggregate cash payments of $60 million it made to the Company, though the potential amount of such residual royalties will be lower if Glaxo’s position stands. The Company has received $60 million in total milestone payments under the PRF agreement. No additional milestone payments are due from PRF under the agreement. In late</w:t>
      </w:r>
    </w:p>
    <w:p>
      <w:pPr>
        <w:spacing w:after="0" w:line="3"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March 2010, the Company learned that the FDA decided to temporarily suspend the use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as a precautionary measure following the discovery of PCV-1 DNA material in the vaccine.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 Inc (“Pfizer”)</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April 16, 2008, the Company and Pfizer entered into a License and Development Agreement (the “Pfizer Agreement”) under which Pfizer was granted an exclusive worldwide license to a therapeutic cancer vaccine candidate, CDX-110, in Phase 2 development for the treatment of glioblastoma multiforme. The Pfizer Agreement also gives Pfizer exclusive rights to the use of EGFRvIII vaccines in other potential indications. Under the Pfizer Agreement, Pfizer made an upfront payment to the Company of $40 million and made a $10 million equity investment in the Company. Pfizer will fund all development costs for these programs. The Company is also eligible to receive potential milestone payments exceeding $390 million for the successful development and commercialization of CDX-110 and additional EGFRvIII vaccine products, as well as royalties on any product sales. The Pfizer Agreement became effective after clearance under the Hart-Scott-Rodino Antitrust Improvements Act of 1976 (as amended) on May 19, 2008.</w:t>
      </w:r>
    </w:p>
    <w:p>
      <w:pPr>
        <w:spacing w:after="0" w:line="16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On May 27, 2008, the Company received $10 million from Pfizer in exchange for 781,250 shares of the Company’s common stock having a fair value of $10.9 million, or $13.91 per share, on that date. The $0.9 million over the amount received from Pfizer was recorded as a reduction to deferred revenue of the $40 million upfront payment received from Pfizer on June 18, 2008.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has determined that its performance obligations under this collaboration should be accounted for as a single unit of accounting. The Company’s deliverables under this collaboration primarily include an exclusive license to its CDX-110 product candidate and its EGFRvIII technologies, research and development services as required under the collaboration and participation in the joint clinical development committee. The Company has estimated that its performance period under the collaboration will be 9.5 years based on an assessment of the period over which the Company will have met its performance obligations under the collaboration. Revenue, including research and development reimbursements, is being recognized on a straight-line basis over this period using the Contingency Adjusted Performance Model (“CAPM”). The $40 million up-front payment, less the $0.9 million in excess fair</w:t>
      </w:r>
    </w:p>
    <w:p>
      <w:pPr>
        <w:sectPr>
          <w:pgSz w:w="11900" w:h="16934" w:orient="portrait"/>
          <w:cols w:equalWidth="0" w:num="1">
            <w:col w:w="11420"/>
          </w:cols>
          <w:pgMar w:left="240" w:top="125" w:right="239" w:bottom="0" w:gutter="0" w:footer="0" w:header="0"/>
        </w:sectPr>
      </w:pPr>
    </w:p>
    <w:bookmarkStart w:id="9" w:name="page10"/>
    <w:bookmarkEnd w:id="9"/>
    <w:p>
      <w:pPr>
        <w:ind w:right="120"/>
        <w:spacing w:after="0" w:line="277" w:lineRule="auto"/>
        <w:rPr>
          <w:sz w:val="20"/>
          <w:szCs w:val="20"/>
          <w:color w:val="auto"/>
        </w:rPr>
      </w:pPr>
      <w:r>
        <w:rPr>
          <w:rFonts w:ascii="Arial" w:cs="Arial" w:eastAsia="Arial" w:hAnsi="Arial"/>
          <w:sz w:val="18"/>
          <w:szCs w:val="18"/>
          <w:color w:val="auto"/>
        </w:rPr>
        <w:t>value for the Company’s common stock discussed above, was recorded as deferred revenue and is being amortized over the 9.5-year performance period at a rate of $1.0 million per quarter.</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Pfizer Agreement also provides for reimbursement by Pfizer of all costs incurred by the Company in connection with the collaboration since the effective date. The Company invoices Pfizer monthly for its reimbursable costs and records the invoiced amount as deferred revenue. These deferred revenue amounts are amortized to revenue over the estimated 9.5-year performance period on a straight-line basis using the CAPM model. The Company incurred and invoiced Pfizer $0.3 million and $1.6 million in reimbursable costs related to the Pfizer collaboration for the three months ended March 31, 2010 and 2009,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product development and licensing agreement revenue under the Pfizer Agreement as follows: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60" w:type="dxa"/>
            <w:vAlign w:val="bottom"/>
            <w:gridSpan w:val="4"/>
          </w:tcPr>
          <w:p>
            <w:pPr>
              <w:jc w:val="right"/>
              <w:ind w:right="510"/>
              <w:spacing w:after="0" w:line="142"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Up-front portion</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1,030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Reimbursable costs portion</w:t>
            </w: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r>
      <w:tr>
        <w:trPr>
          <w:trHeight w:val="210"/>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connection with the Pfizer Agreement, the Company paid a total of $6.9 million in sublicense fees to Duke University and Thomas Jefferson University. The Company recorded these deferred sublicense fees to other assets in the consolidated balance sheets and is amortizing them to royalty expense over the 9.5-year performance period. The Company recorded $0.2 million in royalty expense related to these deferred sublicense fees during the three months ended March 31, 2010 and 2009. At March 31, 2010 and December 31, 2009, the unamortized balance of deferred costs was $5.5 million and $5.7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 providing research and development support to Rockefeller on the development of their vaccine, DCVax-001, which the Company refers to as CDX-2401, aimed at providing protection from infection with HIV, the virus known to cause AIDS. This program is in a Bill &amp; Melinda Gates Foundation funded partnership called the Grand Challenges initiative. Preclinical studies and manufacturing development are in progress and payments to the Company are made on a time and materials basis. The Company recorded grant revenue from Rockefeller of $0.2 million and $0.1 million for the three months ended March 31, 2010 and 2009,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 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December 31, 2009</w:t>
            </w:r>
          </w:p>
        </w:tc>
      </w:tr>
      <w:tr>
        <w:trPr>
          <w:trHeight w:val="142"/>
        </w:trPr>
        <w:tc>
          <w:tcPr>
            <w:tcW w:w="7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gridSpan w:val="5"/>
          </w:tcPr>
          <w:p>
            <w:pPr>
              <w:jc w:val="right"/>
              <w:ind w:right="97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CuraGen Merger Severance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Loan Payable</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(2,156)</w:t>
            </w:r>
          </w:p>
        </w:tc>
      </w:tr>
      <w:tr>
        <w:trPr>
          <w:trHeight w:val="210"/>
        </w:trPr>
        <w:tc>
          <w:tcPr>
            <w:tcW w:w="7520" w:type="dxa"/>
            <w:vAlign w:val="bottom"/>
          </w:tcPr>
          <w:p>
            <w:pPr>
              <w:spacing w:after="0"/>
              <w:rPr>
                <w:sz w:val="20"/>
                <w:szCs w:val="20"/>
                <w:color w:val="auto"/>
              </w:rPr>
            </w:pPr>
            <w:r>
              <w:rPr>
                <w:rFonts w:ascii="Arial" w:cs="Arial" w:eastAsia="Arial" w:hAnsi="Arial"/>
                <w:sz w:val="18"/>
                <w:szCs w:val="18"/>
                <w:color w:val="auto"/>
              </w:rPr>
              <w:t>Long-Term Portion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CuraGen Acquisition</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connection with the CuraGen Merger, effective October 1, 2009, the Company (i) issued 15,722,713 shares of common stock of the Company, or 0.2739 shares, in exchange for each share of outstanding CuraGen common stock, plus cash in lieu of fractional shares (the “CuraGen Exchange Ratio”),</w:t>
      </w:r>
    </w:p>
    <w:p>
      <w:pPr>
        <w:jc w:val="both"/>
        <w:ind w:firstLine="8"/>
        <w:spacing w:after="0" w:line="255"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assumed all of the CuraGen Stock Options and (iii) assumed the CuraGen Debt. The Company acquired CuraGen to gain access to a pipeline of oncology-focused antibodies, including CDX-011 currently in Phase 2 clinical development for the treatment of breast and melanoma cancer, and cash, cash equivalents and marketable securities of $70.3 million.</w:t>
      </w:r>
    </w:p>
    <w:p>
      <w:pPr>
        <w:spacing w:after="0" w:line="19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transaction was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purchase price for CuraGen was based on the acquisition-date fair value of the consideration transferred, which was calculated based on the closing price of the Company’s common stock of $5.43 per share on October 1, 2009. The acquisition-date fair value of the consideration transferred consisted of the following (in thousands):</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3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85,374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Fair value of CuraGen Stock Options</w:t>
            </w: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r>
      <w:tr>
        <w:trPr>
          <w:trHeight w:val="21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 transferred</w:t>
            </w:r>
          </w:p>
        </w:tc>
        <w:tc>
          <w:tcPr>
            <w:tcW w:w="3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U.S. GAAP requires that the fair value of replacement awards attributable to precombination service be included in the consideration transferred. Of the CuraGen Stock Options assumed, all but 1%, were immediately vested upon closing in accordance with the terms of the stock option agreements and</w:t>
      </w:r>
    </w:p>
    <w:p>
      <w:pPr>
        <w:sectPr>
          <w:pgSz w:w="11900" w:h="16838" w:orient="portrait"/>
          <w:cols w:equalWidth="0" w:num="1">
            <w:col w:w="11420"/>
          </w:cols>
          <w:pgMar w:left="240" w:top="125" w:right="239" w:bottom="0" w:gutter="0" w:footer="0" w:header="0"/>
        </w:sectPr>
      </w:pPr>
    </w:p>
    <w:bookmarkStart w:id="10" w:name="page11"/>
    <w:bookmarkEnd w:id="10"/>
    <w:p>
      <w:pPr>
        <w:ind w:right="280"/>
        <w:spacing w:after="0" w:line="277" w:lineRule="auto"/>
        <w:rPr>
          <w:sz w:val="20"/>
          <w:szCs w:val="20"/>
          <w:color w:val="auto"/>
        </w:rPr>
      </w:pPr>
      <w:r>
        <w:rPr>
          <w:rFonts w:ascii="Arial" w:cs="Arial" w:eastAsia="Arial" w:hAnsi="Arial"/>
          <w:sz w:val="18"/>
          <w:szCs w:val="18"/>
          <w:color w:val="auto"/>
        </w:rPr>
        <w:t>employment agreements. The fair value of the CuraGen Stock Options that has been attributed to precombination service was included in the consideration transferred.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allocated the consideration transferred for CuraGen to net tangible assets, intangible assets, goodwill and a severance obligation. The difference between the aggregate consideration transferred and the fair value of assets acquired and liabilities assumed was allocated to goodwill. This goodwill relates to the potential synergies from the CuraGen Merger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80" w:type="dxa"/>
            <w:vAlign w:val="bottom"/>
          </w:tcPr>
          <w:p>
            <w:pPr>
              <w:jc w:val="right"/>
              <w:ind w:right="361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940" w:type="dxa"/>
            <w:vAlign w:val="bottom"/>
            <w:tcBorders>
              <w:bottom w:val="single" w:sz="8" w:color="010101"/>
            </w:tcBorders>
          </w:tcPr>
          <w:p>
            <w:pPr>
              <w:spacing w:after="0"/>
              <w:rPr>
                <w:sz w:val="11"/>
                <w:szCs w:val="11"/>
                <w:color w:val="auto"/>
              </w:rPr>
            </w:pPr>
          </w:p>
        </w:tc>
        <w:tc>
          <w:tcPr>
            <w:tcW w:w="5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r>
      <w:tr>
        <w:trPr>
          <w:trHeight w:val="523"/>
        </w:trPr>
        <w:tc>
          <w:tcPr>
            <w:tcW w:w="42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7"/>
        </w:trPr>
        <w:tc>
          <w:tcPr>
            <w:tcW w:w="34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29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740" w:type="dxa"/>
            <w:vAlign w:val="bottom"/>
            <w:gridSpan w:val="3"/>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51,654</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IPR&amp;D</w:t>
            </w: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TopoTarget Agreement</w:t>
            </w: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CuraGen Debt</w:t>
            </w: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(11,503)</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Deferred tax liabilities, net</w:t>
            </w:r>
          </w:p>
        </w:tc>
        <w:tc>
          <w:tcPr>
            <w:tcW w:w="5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(5,190)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5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(3,778)</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300" w:type="dxa"/>
            <w:vAlign w:val="bottom"/>
            <w:gridSpan w:val="2"/>
          </w:tcPr>
          <w:p>
            <w:pPr>
              <w:spacing w:after="0"/>
              <w:rPr>
                <w:sz w:val="18"/>
                <w:szCs w:val="18"/>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-2205355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-2205355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700" w:firstLine="648"/>
        <w:spacing w:after="0" w:line="264" w:lineRule="auto"/>
        <w:rPr>
          <w:sz w:val="20"/>
          <w:szCs w:val="20"/>
          <w:color w:val="auto"/>
        </w:rPr>
      </w:pPr>
      <w:r>
        <w:rPr>
          <w:rFonts w:ascii="Arial" w:cs="Arial" w:eastAsia="Arial" w:hAnsi="Arial"/>
          <w:sz w:val="18"/>
          <w:szCs w:val="18"/>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the operations of the Company and CuraGen were combined as of January 1, 2009, the unaudited pro forma net loss for the three months ended March 31, 2009 would have been $14.4 million. The unaudited pro forma combined results are not necessarily indicative of the actual results that would have occurred had the acquisition been consummated at that date or of the future operations of the combined entities.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April 2010, the Company filed a shelf registration statement with the Securities and Exchange Commission to register for sale any combination of the types of securities described in the filing up to a dollar amount of $150 million. The shelf registration went effective on April 22, 2010. No securities have been sold by the Company from this shelf registration.</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44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product research and further development, including animal, preclinical and clinical studies, and commercialization of CDX-110, CDX-011, CDX-1307, CDX-1401, CDX-1135, and other products and the growth of the markets for those product candidates;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sufficient additional capital on terms acceptable to us, or at all;</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CDX-110, CDX-011, CDX-1307, CDX-1401, CDX-1135, and other preclinical and clinical testing;</w:t>
      </w:r>
    </w:p>
    <w:p>
      <w:pPr>
        <w:sectPr>
          <w:pgSz w:w="11900" w:h="16838" w:orient="portrait"/>
          <w:cols w:equalWidth="0" w:num="1">
            <w:col w:w="11460"/>
          </w:cols>
          <w:pgMar w:left="240" w:top="125" w:right="199" w:bottom="139" w:gutter="0" w:footer="0" w:header="0"/>
        </w:sectPr>
      </w:pPr>
    </w:p>
    <w:bookmarkStart w:id="11" w:name="page12"/>
    <w:bookmarkEnd w:id="11"/>
    <w:p>
      <w:pPr>
        <w:ind w:left="980" w:right="5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adapt our APC Targeting Technology™ to develop new, safe and effective vaccines against oncology and infectious disease indications;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negotiate strategic partnerships or other disposition transactions for our non-core programs;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product candidates at different stages of development;</w:t>
      </w:r>
    </w:p>
    <w:p>
      <w:pPr>
        <w:spacing w:after="0" w:line="225" w:lineRule="exact"/>
        <w:rPr>
          <w:rFonts w:ascii="Arial" w:cs="Arial" w:eastAsia="Arial" w:hAnsi="Arial"/>
          <w:sz w:val="18"/>
          <w:szCs w:val="18"/>
          <w:color w:val="auto"/>
        </w:rPr>
      </w:pPr>
    </w:p>
    <w:p>
      <w:pPr>
        <w:jc w:val="both"/>
        <w:ind w:left="980" w:right="360" w:hanging="324"/>
        <w:spacing w:after="0" w:line="23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strategies and business plans of our partners, such as Pfizer’s plans for CDX-110, GlaxoSmithKline’s plans with respect to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Vaccine Technologies’ plans concerning the CholeraGarde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(Peru-15) and ETEC E. coli vaccines, which are not within our control, and our ability to maintain strong, mutually beneficial relationships with those partners;</w:t>
      </w:r>
    </w:p>
    <w:p>
      <w:pPr>
        <w:spacing w:after="0" w:line="202"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our and CuraGen’s business without causing delays in the research and development necessary to select drug development candidates and/or delays in clinical trials, and to operate the combined business efficiently;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and expand our focus to broader markets for vaccines;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and partners;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product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validity of our patents and our ability to avoid intellectual property litigation, which can be costly and divert management time and attention;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2009 and other reports that Celldex files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are an integrated biopharmaceutical company that applies our comprehensive Precision Targeted Immunotherapy Platform to generate a pipeline of candidates to treat cancer and other difficult-to-treat diseases. Our immunotherapy platform includes a complementary portfolio of monoclonal antibodies, antibody-targeted vaccines, antibody-drug conjugates and immunomodulators to create novel disease-specific drug candidates.</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strategy is to develop and demonstrate proof-of-concept for our product candidates before leveraging their value through partnerships or, in appropriate situations, continuing late stage development through commercialization ourselves. Demonstrating proof-of-concept for a product candidate generally involves bringing it through Phase 1 clinical trials and one or more Phase 2 clinical trials so that we are able to demonstrate, based on human trials, good safety data for the product candidate and some data indicating its effectiveness. We thus leverage the value of our technology portfolio through corporate, governmental and non-governmental partnerships. This approach allows us to maximize the overall value of our technology and product portfolio while best ensuring the expeditious development of each individual product.</w:t>
      </w:r>
    </w:p>
    <w:p>
      <w:pPr>
        <w:spacing w:after="0" w:line="17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Our current collaborations include the commercialization of an oral human rotavirus vaccine and the development of oncology and infectious disease vaccines. Our product candidates address large market opportunities for which we believe current therapies are inadequate or non-existent.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CuraGen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the CuraGen Merger, effective October 1, 2009, we (i) issued 15,722,713 shares of our common stock, or 0.2739 shares, in exchange for each share of outstanding CuraGen common stock, plus cash in lieu of fractional shares (the “CuraGen Exchange Ratio”), (ii) assumed all of the CuraGen Stock Options and (iii) assumed the CuraGen Debt. We acquired CuraGen to gain access to a pipeline of oncology-focused antibodies, including CDX-011 (formerly CR011) currently in Phase 2 clinical development for the treatment of breast and melanoma cancer, and cash, cash equivalents and marketable securities of $70.3 million.</w:t>
      </w:r>
    </w:p>
    <w:p>
      <w:pPr>
        <w:spacing w:after="0" w:line="18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transaction was accounted for under the acquisition method of accounting. All of the assets acquired and liabilities assumed in the transaction are recognized at their acquisition-date fair values, while transaction costs associated with the transaction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purchase price for CuraGen was based on the acquisition-date fair value of the consideration transferred, which was calculated based on the closing price of our common stock of $5.43 per share on October 1, 2009. The acquisition-date fair value of the consideration transferred consisted of the following (in thousands):</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34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4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stock issued</w:t>
            </w:r>
          </w:p>
        </w:tc>
        <w:tc>
          <w:tcPr>
            <w:tcW w:w="3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85,374</w:t>
            </w:r>
          </w:p>
        </w:tc>
      </w:tr>
      <w:tr>
        <w:trPr>
          <w:trHeight w:val="216"/>
        </w:trPr>
        <w:tc>
          <w:tcPr>
            <w:tcW w:w="34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Fair value of CuraGen Stock Options</w:t>
            </w: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r>
      <w:tr>
        <w:trPr>
          <w:trHeight w:val="210"/>
        </w:trPr>
        <w:tc>
          <w:tcPr>
            <w:tcW w:w="340" w:type="dxa"/>
            <w:vAlign w:val="bottom"/>
          </w:tcPr>
          <w:p>
            <w:pPr>
              <w:spacing w:after="0"/>
              <w:rPr>
                <w:sz w:val="18"/>
                <w:szCs w:val="18"/>
                <w:color w:val="auto"/>
              </w:rPr>
            </w:pPr>
          </w:p>
        </w:tc>
        <w:tc>
          <w:tcPr>
            <w:tcW w:w="5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 transferred</w:t>
            </w:r>
          </w:p>
        </w:tc>
        <w:tc>
          <w:tcPr>
            <w:tcW w:w="3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U.S. GAAP requires that the fair value of replacement awards attributable to precombination service be included in the consideration transferred. Of the CuraGen Stock Options assumed, all but 1%, were immediately vested upon closing in accordance with the terms of the stock option agreements and employment agreements. The fair value of the CuraGen Stock Options that has been attributed to precombination service is included in the consideration transferred.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allocated the consideration transferred for CuraGen to net tangible assets, intangible assets, goodwill and a severance obligation. The difference between the aggregate consideration transferred and the fair value of assets acquired and liabilities assumed was allocated to goodwill. This goodwill relates to the potential synergies from the CuraGen Merger and a deferred tax liability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51,654</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IPR&amp;D</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Amgen Amendment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14,500</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Arial" w:cs="Arial" w:eastAsia="Arial" w:hAnsi="Arial"/>
                <w:sz w:val="18"/>
                <w:szCs w:val="18"/>
                <w:color w:val="auto"/>
              </w:rPr>
              <w:t>TopoTarget Agreement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CuraGen Debt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(11,503)</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(5,190)</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(3,778)</w:t>
            </w:r>
          </w:p>
        </w:tc>
      </w:tr>
      <w:tr>
        <w:trPr>
          <w:trHeight w:val="210"/>
        </w:trPr>
        <w:tc>
          <w:tcPr>
            <w:tcW w:w="91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88,242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PROGRAMS AND PARTNERSHIPS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products are derived from a broad set of complementary technologies which have the ability to utilize the human immune system and enable the creation of preventative and therapeutic agents. We are using these technologies to develop vaccines and targeted immunotherapeutics that prevent or treat cancer and disease caused by infectious organisms, and treatment vaccines that modify undesirable activity by the body’s own proteins or cells. A number of our immunotherapeutic and vaccine product candidates are in various stages of clinical trials. We expect that a large percentage of our research and development expenses will be incurred in support of our current and future clinical trial programs.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the programs that we currently believe are material to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240" w:type="dxa"/>
            <w:vAlign w:val="bottom"/>
          </w:tcPr>
          <w:p>
            <w:pPr>
              <w:spacing w:after="0"/>
              <w:rPr>
                <w:sz w:val="14"/>
                <w:szCs w:val="14"/>
                <w:color w:val="auto"/>
              </w:rPr>
            </w:pPr>
          </w:p>
        </w:tc>
        <w:tc>
          <w:tcPr>
            <w:tcW w:w="4920" w:type="dxa"/>
            <w:vAlign w:val="bottom"/>
            <w:gridSpan w:val="2"/>
          </w:tcPr>
          <w:p>
            <w:pPr>
              <w:ind w:left="1860"/>
              <w:spacing w:after="0"/>
              <w:rPr>
                <w:sz w:val="20"/>
                <w:szCs w:val="20"/>
                <w:color w:val="auto"/>
              </w:rPr>
            </w:pPr>
            <w:r>
              <w:rPr>
                <w:rFonts w:ascii="Arial" w:cs="Arial" w:eastAsia="Arial" w:hAnsi="Arial"/>
                <w:sz w:val="14"/>
                <w:szCs w:val="14"/>
                <w:b w:val="1"/>
                <w:bCs w:val="1"/>
                <w:color w:val="auto"/>
              </w:rPr>
              <w:t>Indication/Field</w:t>
            </w:r>
          </w:p>
        </w:tc>
        <w:tc>
          <w:tcPr>
            <w:tcW w:w="1900" w:type="dxa"/>
            <w:vAlign w:val="bottom"/>
          </w:tcPr>
          <w:p>
            <w:pPr>
              <w:ind w:left="720"/>
              <w:spacing w:after="0"/>
              <w:rPr>
                <w:sz w:val="20"/>
                <w:szCs w:val="20"/>
                <w:color w:val="auto"/>
              </w:rPr>
            </w:pPr>
            <w:r>
              <w:rPr>
                <w:rFonts w:ascii="Arial" w:cs="Arial" w:eastAsia="Arial" w:hAnsi="Arial"/>
                <w:sz w:val="14"/>
                <w:szCs w:val="14"/>
                <w:b w:val="1"/>
                <w:bCs w:val="1"/>
                <w:color w:val="auto"/>
              </w:rPr>
              <w:t>Partner</w:t>
            </w:r>
          </w:p>
        </w:tc>
        <w:tc>
          <w:tcPr>
            <w:tcW w:w="24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24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02"/>
        </w:trPr>
        <w:tc>
          <w:tcPr>
            <w:tcW w:w="2980" w:type="dxa"/>
            <w:vAlign w:val="bottom"/>
          </w:tcPr>
          <w:p>
            <w:pPr>
              <w:ind w:left="180"/>
              <w:spacing w:after="0" w:line="201" w:lineRule="exact"/>
              <w:rPr>
                <w:sz w:val="20"/>
                <w:szCs w:val="20"/>
                <w:color w:val="auto"/>
              </w:rPr>
            </w:pPr>
            <w:r>
              <w:rPr>
                <w:rFonts w:ascii="Arial" w:cs="Arial" w:eastAsia="Arial" w:hAnsi="Arial"/>
                <w:sz w:val="18"/>
                <w:szCs w:val="18"/>
                <w:color w:val="auto"/>
              </w:rPr>
              <w:t>CDX-110</w:t>
            </w:r>
          </w:p>
        </w:tc>
        <w:tc>
          <w:tcPr>
            <w:tcW w:w="516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Glioblastoma multiforme</w:t>
            </w: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Pfizer (PF-4948568)</w:t>
            </w:r>
          </w:p>
        </w:tc>
        <w:tc>
          <w:tcPr>
            <w:tcW w:w="138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Phase 2b</w:t>
            </w:r>
          </w:p>
        </w:tc>
      </w:tr>
      <w:tr>
        <w:trPr>
          <w:trHeight w:val="230"/>
        </w:trPr>
        <w:tc>
          <w:tcPr>
            <w:tcW w:w="2980" w:type="dxa"/>
            <w:vAlign w:val="bottom"/>
          </w:tcPr>
          <w:p>
            <w:pPr>
              <w:ind w:left="360"/>
              <w:spacing w:after="0"/>
              <w:rPr>
                <w:sz w:val="20"/>
                <w:szCs w:val="20"/>
                <w:color w:val="auto"/>
              </w:rPr>
            </w:pPr>
            <w:r>
              <w:rPr>
                <w:rFonts w:ascii="Arial" w:cs="Arial" w:eastAsia="Arial" w:hAnsi="Arial"/>
                <w:sz w:val="18"/>
                <w:szCs w:val="18"/>
                <w:color w:val="auto"/>
              </w:rPr>
              <w:t>(rindopepimut)</w:t>
            </w:r>
          </w:p>
        </w:tc>
        <w:tc>
          <w:tcPr>
            <w:tcW w:w="2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2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CDX-011</w:t>
            </w:r>
          </w:p>
        </w:tc>
        <w:tc>
          <w:tcPr>
            <w:tcW w:w="516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Metastatic melanoma and breast cancer</w:t>
            </w: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Phase 2</w:t>
            </w:r>
          </w:p>
        </w:tc>
      </w:tr>
      <w:tr>
        <w:trPr>
          <w:trHeight w:val="230"/>
        </w:trPr>
        <w:tc>
          <w:tcPr>
            <w:tcW w:w="2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(glembatumumab vedotin)</w:t>
            </w:r>
          </w:p>
        </w:tc>
        <w:tc>
          <w:tcPr>
            <w:tcW w:w="24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CDX-1307</w:t>
            </w:r>
          </w:p>
        </w:tc>
        <w:tc>
          <w:tcPr>
            <w:tcW w:w="5160" w:type="dxa"/>
            <w:vAlign w:val="bottom"/>
            <w:gridSpan w:val="3"/>
          </w:tcPr>
          <w:p>
            <w:pPr>
              <w:ind w:left="240"/>
              <w:spacing w:after="0"/>
              <w:rPr>
                <w:sz w:val="20"/>
                <w:szCs w:val="20"/>
                <w:color w:val="auto"/>
              </w:rPr>
            </w:pPr>
            <w:r>
              <w:rPr>
                <w:rFonts w:ascii="Arial" w:cs="Arial" w:eastAsia="Arial" w:hAnsi="Arial"/>
                <w:sz w:val="18"/>
                <w:szCs w:val="18"/>
                <w:color w:val="auto"/>
              </w:rPr>
              <w:t>Colorectal, bladder, pancreas, ovarian and breast tumors</w:t>
            </w:r>
          </w:p>
        </w:tc>
        <w:tc>
          <w:tcPr>
            <w:tcW w:w="19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Phase 1</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5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Multiple solid tumors</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Phase 1/2</w:t>
            </w: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CDX-1135</w:t>
            </w:r>
          </w:p>
        </w:tc>
        <w:tc>
          <w:tcPr>
            <w:tcW w:w="5160" w:type="dxa"/>
            <w:vAlign w:val="bottom"/>
            <w:gridSpan w:val="3"/>
          </w:tcPr>
          <w:p>
            <w:pPr>
              <w:ind w:left="240"/>
              <w:spacing w:after="0"/>
              <w:rPr>
                <w:sz w:val="20"/>
                <w:szCs w:val="20"/>
                <w:color w:val="auto"/>
              </w:rPr>
            </w:pPr>
            <w:r>
              <w:rPr>
                <w:rFonts w:ascii="Arial" w:cs="Arial" w:eastAsia="Arial" w:hAnsi="Arial"/>
                <w:sz w:val="18"/>
                <w:szCs w:val="18"/>
                <w:color w:val="auto"/>
              </w:rPr>
              <w:t>Renal disease</w:t>
            </w:r>
          </w:p>
        </w:tc>
        <w:tc>
          <w:tcPr>
            <w:tcW w:w="19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Phase 1/2</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2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CDX-301</w:t>
            </w:r>
          </w:p>
        </w:tc>
        <w:tc>
          <w:tcPr>
            <w:tcW w:w="5160" w:type="dxa"/>
            <w:vAlign w:val="bottom"/>
            <w:gridSpan w:val="3"/>
          </w:tcPr>
          <w:p>
            <w:pPr>
              <w:ind w:left="240"/>
              <w:spacing w:after="0"/>
              <w:rPr>
                <w:sz w:val="20"/>
                <w:szCs w:val="20"/>
                <w:color w:val="auto"/>
              </w:rPr>
            </w:pPr>
            <w:r>
              <w:rPr>
                <w:rFonts w:ascii="Arial" w:cs="Arial" w:eastAsia="Arial" w:hAnsi="Arial"/>
                <w:sz w:val="18"/>
                <w:szCs w:val="18"/>
                <w:color w:val="auto"/>
              </w:rPr>
              <w:t>Cancer, autoimmune disease and transplant</w:t>
            </w:r>
          </w:p>
        </w:tc>
        <w:tc>
          <w:tcPr>
            <w:tcW w:w="19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Preclinical</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5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Immuno-modulation, multiple tumors</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Preclinical</w:t>
            </w: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CDX-014</w:t>
            </w:r>
          </w:p>
        </w:tc>
        <w:tc>
          <w:tcPr>
            <w:tcW w:w="5160" w:type="dxa"/>
            <w:vAlign w:val="bottom"/>
            <w:gridSpan w:val="3"/>
          </w:tcPr>
          <w:p>
            <w:pPr>
              <w:ind w:left="240"/>
              <w:spacing w:after="0"/>
              <w:rPr>
                <w:sz w:val="20"/>
                <w:szCs w:val="20"/>
                <w:color w:val="auto"/>
              </w:rPr>
            </w:pPr>
            <w:r>
              <w:rPr>
                <w:rFonts w:ascii="Arial" w:cs="Arial" w:eastAsia="Arial" w:hAnsi="Arial"/>
                <w:sz w:val="18"/>
                <w:szCs w:val="18"/>
                <w:color w:val="auto"/>
              </w:rPr>
              <w:t>Renal and ovarian cancer</w:t>
            </w:r>
          </w:p>
        </w:tc>
        <w:tc>
          <w:tcPr>
            <w:tcW w:w="19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Preclinical</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CDX-1189</w:t>
            </w:r>
          </w:p>
        </w:tc>
        <w:tc>
          <w:tcPr>
            <w:tcW w:w="5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Renal disease</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Preclinical</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MARKETED PRODUCTS</w:t>
            </w:r>
          </w:p>
        </w:tc>
        <w:tc>
          <w:tcPr>
            <w:tcW w:w="2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98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Rotarix</w:t>
            </w:r>
            <w:r>
              <w:rPr>
                <w:rFonts w:ascii="Arial" w:cs="Arial" w:eastAsia="Arial" w:hAnsi="Arial"/>
                <w:sz w:val="23"/>
                <w:szCs w:val="23"/>
                <w:color w:val="auto"/>
                <w:vertAlign w:val="superscript"/>
              </w:rPr>
              <w:t>®</w:t>
            </w:r>
          </w:p>
        </w:tc>
        <w:tc>
          <w:tcPr>
            <w:tcW w:w="51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Rotavirus infection</w:t>
            </w: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GlaxoSmithKline</w:t>
            </w:r>
          </w:p>
        </w:tc>
        <w:tc>
          <w:tcPr>
            <w:tcW w:w="1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Marketed*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20" w:firstLine="656"/>
        <w:spacing w:after="0" w:line="227" w:lineRule="auto"/>
        <w:tabs>
          <w:tab w:leader="none" w:pos="78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late March 2010, we learned that the FDA decided to temporarily suspend the use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as a precautionary measure following the discovery of PCV-1 DNA material in the vaccine.</w:t>
      </w:r>
    </w:p>
    <w:p>
      <w:pPr>
        <w:spacing w:after="0" w:line="20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w:t>
      </w:r>
    </w:p>
    <w:p>
      <w:pPr>
        <w:sectPr>
          <w:pgSz w:w="11900" w:h="16838" w:orient="portrait"/>
          <w:cols w:equalWidth="0" w:num="1">
            <w:col w:w="11420"/>
          </w:cols>
          <w:pgMar w:left="240" w:top="351" w:right="239" w:bottom="0" w:gutter="0" w:footer="0" w:header="0"/>
        </w:sectPr>
      </w:pPr>
    </w:p>
    <w:bookmarkStart w:id="13" w:name="page14"/>
    <w:bookmarkEnd w:id="13"/>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It is not unusual for the clinical development of these types of product candidates to each take five years or more, and for total development costs to exceed $100 million for each product candidate. Our estimates that clinical trials of the type we generally conduct are typically completed over the following timelines: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16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8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trials, we may elect to discontinue or delay clinical trials for certain product candidates in order to focus our resources on more promising product candidates.</w:t>
      </w:r>
    </w:p>
    <w:p>
      <w:pPr>
        <w:spacing w:after="0" w:line="2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or vaccine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biologics and vaccines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we are unable to estimate the duration and completion costs of our research and development projects or when, if ever, and to what extent it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past five years through December 31, 2009, we incurred an aggregate of $73.5 million in research and development expenses. The following table indicates the amount incurred for each of our significant research programs and for other identified research and development activities during the three months ended March 31, 2010 and 2009. The amounts disclosed in the following table reflect direct research and development costs, license fees associated with the underlying technology and an allocation of indirect research and development costs to each program. Prior to 2008, the privately-held Celldex Research did not maintain records that allowed for quantification of research and development expenses by project.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94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112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18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20" w:type="dxa"/>
            <w:vAlign w:val="bottom"/>
          </w:tcPr>
          <w:p>
            <w:pPr>
              <w:jc w:val="right"/>
              <w:ind w:right="677"/>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CDX-110</w:t>
            </w: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1257"/>
              <w:spacing w:after="0"/>
              <w:rPr>
                <w:sz w:val="20"/>
                <w:szCs w:val="20"/>
                <w:color w:val="auto"/>
              </w:rPr>
            </w:pPr>
            <w:r>
              <w:rPr>
                <w:rFonts w:ascii="Arial" w:cs="Arial" w:eastAsia="Arial" w:hAnsi="Arial"/>
                <w:sz w:val="18"/>
                <w:szCs w:val="18"/>
                <w:color w:val="auto"/>
              </w:rPr>
              <w:t>304</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1,311</w:t>
            </w: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CDX-011</w:t>
            </w:r>
          </w:p>
        </w:tc>
        <w:tc>
          <w:tcPr>
            <w:tcW w:w="1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1257"/>
              <w:spacing w:after="0"/>
              <w:rPr>
                <w:sz w:val="20"/>
                <w:szCs w:val="20"/>
                <w:color w:val="auto"/>
              </w:rPr>
            </w:pPr>
            <w:r>
              <w:rPr>
                <w:rFonts w:ascii="Arial" w:cs="Arial" w:eastAsia="Arial" w:hAnsi="Arial"/>
                <w:sz w:val="18"/>
                <w:szCs w:val="18"/>
                <w:color w:val="auto"/>
              </w:rPr>
              <w:t>932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CDX-1307</w:t>
            </w:r>
          </w:p>
        </w:tc>
        <w:tc>
          <w:tcPr>
            <w:tcW w:w="1120" w:type="dxa"/>
            <w:vAlign w:val="bottom"/>
          </w:tcPr>
          <w:p>
            <w:pPr>
              <w:spacing w:after="0"/>
              <w:rPr>
                <w:sz w:val="18"/>
                <w:szCs w:val="18"/>
                <w:color w:val="auto"/>
              </w:rPr>
            </w:pPr>
          </w:p>
        </w:tc>
        <w:tc>
          <w:tcPr>
            <w:tcW w:w="1820" w:type="dxa"/>
            <w:vAlign w:val="bottom"/>
          </w:tcPr>
          <w:p>
            <w:pPr>
              <w:jc w:val="right"/>
              <w:ind w:right="1257"/>
              <w:spacing w:after="0"/>
              <w:rPr>
                <w:sz w:val="20"/>
                <w:szCs w:val="20"/>
                <w:color w:val="auto"/>
              </w:rPr>
            </w:pPr>
            <w:r>
              <w:rPr>
                <w:rFonts w:ascii="Arial" w:cs="Arial" w:eastAsia="Arial" w:hAnsi="Arial"/>
                <w:sz w:val="18"/>
                <w:szCs w:val="18"/>
                <w:color w:val="auto"/>
              </w:rPr>
              <w:t>850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1,724</w:t>
            </w:r>
          </w:p>
        </w:tc>
      </w:tr>
      <w:tr>
        <w:trPr>
          <w:trHeight w:val="151"/>
        </w:trPr>
        <w:tc>
          <w:tcPr>
            <w:tcW w:w="70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bl>
    <w:p>
      <w:pPr>
        <w:sectPr>
          <w:pgSz w:w="11900" w:h="16900" w:orient="portrait"/>
          <w:cols w:equalWidth="0" w:num="1">
            <w:col w:w="11400"/>
          </w:cols>
          <w:pgMar w:left="240" w:top="125" w:right="259" w:bottom="0" w:gutter="0" w:footer="0" w:header="0"/>
        </w:sectPr>
      </w:pPr>
    </w:p>
    <w:bookmarkStart w:id="14" w:name="page15"/>
    <w:bookmarkEnd w:id="14"/>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765</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1,833</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CDX-1135</w:t>
            </w:r>
          </w:p>
        </w:tc>
        <w:tc>
          <w:tcPr>
            <w:tcW w:w="6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CDX-301</w:t>
            </w:r>
          </w:p>
        </w:tc>
        <w:tc>
          <w:tcPr>
            <w:tcW w:w="6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1,894</w:t>
            </w:r>
          </w:p>
        </w:tc>
        <w:tc>
          <w:tcPr>
            <w:tcW w:w="6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CDX-1127</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CDX-014</w:t>
            </w:r>
          </w:p>
        </w:tc>
        <w:tc>
          <w:tcPr>
            <w:tcW w:w="6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CDX-1189</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r>
      <w:tr>
        <w:trPr>
          <w:trHeight w:val="216"/>
        </w:trPr>
        <w:tc>
          <w:tcPr>
            <w:tcW w:w="70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CDX-2401</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6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719</w:t>
            </w:r>
          </w:p>
        </w:tc>
        <w:tc>
          <w:tcPr>
            <w:tcW w:w="6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742</w:t>
            </w:r>
          </w:p>
        </w:tc>
      </w:tr>
      <w:tr>
        <w:trPr>
          <w:trHeight w:val="210"/>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CDX-110</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lead clinical development program, CDX-110, is a peptide-based immunotherapy that targets the tumor specific molecule called EGFRvIII, a functional variant of the naturally expressed epidermal growth factor receptor (“EGFR”), a protein which has been well validated as a target for cancer therapy. Unlike EGFR, EGFRvIII is not present in normal tissues, and has been shown to be a transforming oncogene that can directly contribute to the cancer cell growth. EGFRvIII is commonly present in glioblastoma multiforme, or GBM, the most common and aggressive form of brain cancer, and has also been observed in various other cancers such as breast, ovarian, prostate, colorectal, and head &amp; neck cancer.</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April 2008, we and Pfizer Inc. (“Pfizer”) entered into a License and Development Agreement (the “Pfizer Agreement”) under which Pfizer was granted an exclusive worldwide license to CDX-110. The Pfizer Agreement also gives Pfizer exclusive rights to the use of EGFRvIII vaccines in other potential indications. Pfizer funds all development costs for these programs. We and Pfizer are currently pursuing the development of CDX-110 for GBM therapy and plan to expand the clinical development into other cancers through additional clinical studies. The FDA has granted orphan drug designation for CDX-110 for the treatment of EGFRvIII expressing GBM as well as fast track designation.</w:t>
      </w:r>
    </w:p>
    <w:p>
      <w:pPr>
        <w:spacing w:after="0" w:line="17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Initial clinical development of EGFRvIII immunotherapy was led by collaborating investigators at the Brain Center at Duke Comprehensive Cancer Center in Durham, North Carolina and at M.D. Anderson Cancer Center in Houston, Texas. The results from the Phase 1 (VICTORI) and Phase 2a (ACTIVATE) studies, which enrolled 16 and 21 patients, respectively, have demonstrated a significant increase in the time to disease progression (greater than 113%) in the patients who were vaccinated, and also in overall survival rates (greater than 100%), both relative to appropriately matched historical controls. An extension of the Phase 2a program (ACT II) at the same two institutions has enrolled 23 additional GBM patients treated in combination with temozolomide (the current standard of care). Preliminary results from this study (ACT II) currently estimates median overall survival to be 23.6 months, although the median has not yet been reached, while the survival of a matched historical control group was 15.0 months with a p value = 0.0237. Overall time to progression in the ACT II study was 15.2 months compared with 6.3 months for the historical control group.</w:t>
      </w:r>
    </w:p>
    <w:p>
      <w:pPr>
        <w:spacing w:after="0" w:line="17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initiated a Phase 2b/3 randomized study (ACT III) of CDX-110 combined with standard of care, temozolomide, versus standard of care alone in patients with GBM in over 30 sites throughout the United States. In December 2008, we announced an amendment to convert the ACT III study to a single-arm Phase 2 clinical trial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which all patients will receive CDX-110 in combination with temozolomide. The decision, which followed the recommendation of the Independent Data Monitoring Committee, was based on the observation that the majority of patients randomized to the control (standard of care) arm withdrew from this open-label study after being randomized to the control arm. Patients participating on the control arm of the study were offered the option to receive treatment with CDX-110. Under this amendment, the ACT III study provided for a multi-center, non-randomized dataset for CDX-110 in patients with newly diagnosed GBM. These data will provide important additional information that can be used to better design the future development of CDX-110. Enrollment in ACT III is complete with a total of over 60 patients enrolled and we expect to present updated results during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CDX-011</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CDX-011 (formerly CR011-vcMMAE) is an antibody-drug conjugate (ADC) that consists of a fully-human monoclonal antibody, CR011, linked to a potent cell-killing drug, monomethyl-auristatin E (MMAE). The CR011 antibody specifically targets glycoprotein NMB or (GPNMB) that is expressed in a variety of human cancers including breast cancer and melanoma. The ADC technology, comprised of MMAE and a stable linker system for attaching it to CR011, was licensed from Seattle Genetics, Inc. The ADC is designed to be stable in the bloodstream. Following intravenous administration, CDX-011 targets and binds to GPNMB and upon internalization into the targeted cell, CDX-011 is designed to release MMAE from CR011 to produce a cell-killing effect. We acquired the rights to CDX-011 in connection with the CuraGen Merger.</w:t>
      </w:r>
    </w:p>
    <w:p>
      <w:pPr>
        <w:spacing w:after="0" w:line="174" w:lineRule="exact"/>
        <w:rPr>
          <w:sz w:val="20"/>
          <w:szCs w:val="20"/>
          <w:color w:val="auto"/>
        </w:rPr>
      </w:pPr>
    </w:p>
    <w:p>
      <w:pPr>
        <w:jc w:val="both"/>
        <w:ind w:right="40" w:firstLine="648"/>
        <w:spacing w:after="0" w:line="314"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In June 2008, an open-label, multi-center Phase 1/2 study was initiated of CDX-011 administered intravenously once</w:t>
      </w:r>
      <w:r>
        <w:rPr>
          <w:rFonts w:ascii="Arial" w:cs="Arial" w:eastAsia="Arial" w:hAnsi="Arial"/>
          <w:sz w:val="16"/>
          <w:szCs w:val="16"/>
          <w:b w:val="1"/>
          <w:bCs w:val="1"/>
          <w:color w:val="auto"/>
        </w:rPr>
        <w:t xml:space="preserve"> </w:t>
      </w:r>
      <w:r>
        <w:rPr>
          <w:rFonts w:ascii="Arial" w:cs="Arial" w:eastAsia="Arial" w:hAnsi="Arial"/>
          <w:sz w:val="16"/>
          <w:szCs w:val="16"/>
          <w:color w:val="auto"/>
        </w:rPr>
        <w:t>every three weeks to patients with locally advanced or metastatic breast cancer who have received prior therapy (median of seven prior regimens). The study began with a bridging phase to confirm the maximum tolerated dose (“MTD”) and has expanded into a Phase 2 open-label, multi-center study.</w:t>
      </w:r>
    </w:p>
    <w:p>
      <w:pPr>
        <w:spacing w:after="0" w:line="14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study confirmed the safety of CDX-011 at the pre-defined maximum dose level (1.88 mg/kg) in 6 patients. An additional 28 patients were enrolled as an expanded Phase 2 cohort (for a total of 34 treated patients at 1.88 mg/kg, the Phase 2 dose) to evaluate the progression-free survival (“PFS”) rate at 12 weeks. As previously seen in melanoma patients, the 1.88 mg/kg dose was well tolerated in this patient population with the most common adverse events of rash, alopecia, and fatigue. The primary activity endpoint, which called for at least 5 of 25 (20%) patients in the Phase 2 study portion to be progression-free at twelve weeks, has been met. To date, 9 of 26 (35%) evaluable patients are without progression of disease at twelve weeks.</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at the Phase 2 dose level, 4 of 32 (13%) evaluable patients achieved confirmed or unconfirmed Partial Responses (“PR”) while 15 of 25 (60%) evaluable patients with measurable disease experienced some reduction in tumor size. GPNMB expression was identified in 10 of 14 (71%) of analyzed tumor samples and treatment with CDX-011 was associated with improved outcomes in all activity parameters in patients whose tumors expressed GPNMB. Notably, in patients who received the Phase 2 dose and whose tumors expressed GPNMB, 2 of 7 (29%) had confirmed PR, 5 of 7 (71%)</w:t>
      </w:r>
    </w:p>
    <w:p>
      <w:pPr>
        <w:sectPr>
          <w:pgSz w:w="11900" w:h="16931" w:orient="portrait"/>
          <w:cols w:equalWidth="0" w:num="1">
            <w:col w:w="11420"/>
          </w:cols>
          <w:pgMar w:left="240" w:top="140" w:right="239" w:bottom="0" w:gutter="0" w:footer="0" w:header="0"/>
        </w:sectPr>
      </w:pPr>
    </w:p>
    <w:bookmarkStart w:id="15" w:name="page16"/>
    <w:bookmarkEnd w:id="15"/>
    <w:p>
      <w:pPr>
        <w:ind w:right="220"/>
        <w:spacing w:after="0" w:line="259" w:lineRule="auto"/>
        <w:rPr>
          <w:sz w:val="20"/>
          <w:szCs w:val="20"/>
          <w:color w:val="auto"/>
        </w:rPr>
      </w:pPr>
      <w:r>
        <w:rPr>
          <w:rFonts w:ascii="Arial" w:cs="Arial" w:eastAsia="Arial" w:hAnsi="Arial"/>
          <w:sz w:val="18"/>
          <w:szCs w:val="18"/>
          <w:color w:val="auto"/>
        </w:rPr>
        <w:t>had decreases in tumor size, and all 7 achieved at least stable disease with duration from 17.3 to 26.9 weeks. The median PFS in all patients was 9.1 weeks, but in patients whose tumors expressed GPNMB, median PFS was 18.3 weeks, compared to median PFS of 5.9 weeks for patients whose tumors did not express GPNMB. In patients with triple negative disease, 5 of 7 (71%) analyzed samples expressed GPNMB, 7 of 9 (78%) evaluable patients had tumor shrinkage, and the median PFS for these patients was 17.9 weeks.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to initiate a randomized Phase 2b controlled study in patients with advanced breast cancer that express GPNMB in the second 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Treatment of Metastatic Melanoma Cancer: </w:t>
      </w:r>
      <w:r>
        <w:rPr>
          <w:rFonts w:ascii="Arial" w:cs="Arial" w:eastAsia="Arial" w:hAnsi="Arial"/>
          <w:sz w:val="18"/>
          <w:szCs w:val="18"/>
          <w:color w:val="auto"/>
        </w:rPr>
        <w:t>In June 2006, a Phase 1/2 open-label, multi-center, dose escalation study was initiated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tolerability and pharmacokinetics of CDX-011 for patients with un-resectable Stage III or Stage IV melanoma who have failed no more than one prior line of cytotoxic therapy. During the Phase 1 portion of the study, doses of CDX-011 between 0.03 mg/kg to 2.63 mg/kg were evaluated and generally well tolerated, with rash and neutropenia emerging at higher doses. The MTD was determined to be 1.88 mg/kg administered intravenously (IV) once every three weeks.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June 2009, results were announced for the 36 patients who were treated in the Phase 2 portion of the study. Of the patients enrolled, 94% had Stage IV disease of which two-thirds were classified as M1c, the poorest risk group. The study successfully met its primary activity endpoint, with 5 objective responses (1 unconfirmed) observed in 34 evaluable patients, and median duration of response of 5.3 months. The median overall PFS was 4.4 months. Tumor shrinkage was observed in 58% of patients, and 20 patients had best response of stable disease. Dermatologic adverse events consisting of rash, alopecia, and pruritus were the most common toxicities in this study. Other adverse events included fatigue, diarrhea, musculoskeletal pain, anorexia and nausea. Grade 3 or 4 neutropenia was observed in 5 patients. The absence of rash in the first cycle of treatment predicted a worse PFS. Additionally, in a subset of patients with tumor biopsies, high levels of tumor expression of GPNMB appeared to correlate with favorable outcome.</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Enrollment has been completed in the Phase 1 portion of the melanoma trial to evaluate more frequent dosing schedules of CDX-011, including a weekly and a two out of every three-week regimen, to explore if more frequent administration can provide additional activity in patients with metastatic melanoma. A dose of 1.0 mg/kg given once every week has been identified as the MTD in a weekly schedule, and a dose of 1.5mg/kg was being explored in the two out of three week schedule. Although median duration of follow-up was only 6 weeks, objective responses have thus far been observed in 3 of 11 evaluable patients treated with weekly CDX011 (1 confirmed) and 1 confirmed response in 8 evaluable patients treated with CDX-011 two out of every three weeks. We expect to present updated results during the first half of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CDX-1307</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lead APC Targeting Technology™ product candidate, CDX-1307, is in development for the treatment of epithelial tumors such as colorectal, pancreatic, bladder, ovarian and breast cancers. CDX-1307 targets the beta chain of human chorionic gonadotropin, known as hCG-Beta, which is an antigen often found in epithelial tumors. The presence of hCG-Beta in these cancers correlates with a poor clinical outcome, suggesting that this molecule may contribute to tumor growth. Normal adult tissues have minimal expression of hCG-Beta; therefore, targeted immune responses are not expected to generate significant side effects.</w:t>
      </w:r>
    </w:p>
    <w:p>
      <w:pPr>
        <w:spacing w:after="0" w:line="18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Enrollment is complete in our two Phase 1 studies at multiple centers designed to explore safety and dose/effect relationships via two administration routes—intradermal (ID), a traditional vaccine route that allows efficient access to local dermal dendritic cells and intravenous (IV), a novel systemic approach to vaccination that might target a much larger population of dendritic cells. The Phase 1 studies investigated the safety and immunogenicity of CDX-1307 alone and in combination with adjuvants, including GM-CSF (known to increase mannose receptor expression on dendritic cells) and Toll-Like Receptor (“TLR”) agonists (poly-ICLC or Hiltonol™ and R848 or resiquimod). Patients with an assortment of different tumor types that are known to express hCG-Beta were enrolled with retrospective analysis for hCG-Beta expression. An escalating four dose regimen was utilized with the possibility of retreatment if patients demonstrate tumor regression or stable disease.</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Phase 1 studies enrolled over 80 patients with heavily pretreated, advanced-stage breast, colon, bladder and pancreatic cancer, with an average of 4.6 prior therapies across the treatment population. All patient cohorts demonstrated a favorable safety profile with no dose limiting toxicity to date. The combination of CDX-1307 with TLR agonists significantly enhanced immune responses against hCG-Beta, providing strong humoral responses in 88% of patients and cellular immune responses in 57% of patients analyzed to date. Immune responses occurred even in the presence of high circulating levels of hCG-Beta, suggesting that the CDX-1307 can overcome antigen tolerance in advanced and heavily pretreated cancers. Nine patients in the studies experienced disease stabilization from 2.3 months to 11.4 months following the initiation of CDX-1307 vaccination. Two of these patients have received multiple courses of CDX-1307 and continue treatment with stable disease at 6.4 and 11.4 months. These data provide the basis for advancing CDX-1307 into a front-line patient population selected for hCG-Beta expressing cancers.</w:t>
      </w:r>
    </w:p>
    <w:p>
      <w:pPr>
        <w:spacing w:after="0" w:line="1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expect to initiate a randomized Phase 2b controlled study in patients with newly diagnosed invasive bladder cancer in the second quarter of 2010. Patient’s whose bladder cancer expresses hCG-Beta are predicted to have more aggressive disease and shorter survival. In this study we plan to select only patients with confirmed hCG-Beta expression using a specific diagnostic assay.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CDX-1401 is a fusion protein consisting of a fully human monoclonal antibody with specificity for the dendritic cell receptor, DEC-205, linked to the NY-ESO-1 tumor antigen. In humans, NY-ESO-1 is one of the most immunogenic tumor antigens and has been detected in 20 - 30% of cancers, thus representing a broad opportunity. This product is intended to selectively deliver the NY-ESO-1 antigen to APCs for generating robust immune responses against cancer cells expressing NY-ESO-1. Unlike CDX-1307, which targets the mannose receptor expressing dendritic cells, CDX-1401 is the first APC product targeting DEC-205 expressing dendritic cells. We are developing CDX-1401 for the treatment of malignant melanoma and a variety of solid tumors</w:t>
      </w:r>
    </w:p>
    <w:p>
      <w:pPr>
        <w:sectPr>
          <w:pgSz w:w="11900" w:h="16838" w:orient="portrait"/>
          <w:cols w:equalWidth="0" w:num="1">
            <w:col w:w="11420"/>
          </w:cols>
          <w:pgMar w:left="240" w:top="125" w:right="239" w:bottom="0" w:gutter="0" w:footer="0" w:header="0"/>
        </w:sectPr>
      </w:pPr>
    </w:p>
    <w:bookmarkStart w:id="16" w:name="page17"/>
    <w:bookmarkEnd w:id="16"/>
    <w:p>
      <w:pPr>
        <w:spacing w:after="0" w:line="11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which express the proprietary cancer antigen NY-ESO-1, which we licensed from the Ludwig Institute for Cancer Research in 2006. We believe that preclinical studies have shown that CDX-1401 is effective for activation of human T-cell responses against NY-ESO-1.</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2009, we initiated enrollment in a dose-escalating Phase 1/2 clinical trial aimed at determining the optimal dose for further development based on the safety, tolerability, and immunogenicity of the CDX-1401 vaccine. The trial will evaluate three different doses of the vaccine in combination with resiquimod, an activator of TLR 7 and 8. We expect to enroll approximately 36 patients with solid tumor cancers at multiple clinical sites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CDX-1135 is a molecule that inhibits a part of the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inhibits the activation of the complement cascade in animal models and in human clinical trials. We believe that regulating the complement system could have therapeutic and prophylactic applications in several acute and chronic conditions, including organ transplantation, multiple sclerosis, rheumatoid arthritis, age-related macular degeneration (“AMD”), atypical Hemolytic Uremic Syndrome (“aHUS”), Paroxysmal Nocturnal Hemaglobinuria (“PNH”), Dense Deposit Disease (“DDD”) in kidneys, and myasthenia gravis. We are currently defining the most appropriate clinical development path for CDX-1135 and are focusing on rare disease conditions of unregulated complement activation as the fastest route to FDA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CDX-301 is a FMS-like tyrosine kinase 3 ligand (Flt3L) that we licensed from Amgen in March 2009. CDX-301 is a growth factor for stem cells and immune cells called dendritic cells. Based on previous experience with this molecule, we believe that CDX-301 has considerable opportunity in various transplant settings as a stem cell mobilizing agent. In addition, CDX-301 is an immune modulating molecule that increases the numbers and activity of specific types of immune cells. We believe CDX-301 has significant opportunity for synergistic development in combination with proprietary molecules in our portfolio. We expect to file an IND application for CDX-301 before the end of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CDX-1127</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have entered into a License Agreement with the University of Southampton, UK, to develop human antibodies to CD27, a potentially important target for immunotherapy of various cancers. In preclinical models, antibodies to CD27 alone have been shown to mediate anti-tumor effects, and may be particularly effective in combination with other immunotherapies. CD27 is a critical molecule in the activation pathway of lymphocytes. It is downstream from CD40, and may provide a novel way to regulate the immune responses. Engaging CD27 with the appropriate monoclonal antibody has proven highly effective at promoting anti-cancer immunity in mouse models. We are evaluating new human monoclonal antibodies in preclinical models.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CDX-014 (formerly CR014-vcMMAE) is a fully-human monoclonal ADC that targets TIM-1, an immunomudulatory protein that appears to down regulate immune response to tumors. The antibody, CDX-014, is linked to a potent chemotherapeutic, monomethyl auristatin E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acquired the rights to CDX-014 in connection with the CuraGen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CDX-1189</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developing therapeutic human antibodies to a signaling molecule known as CD89 or Fcα receptor type I (FcαRI). CD89 is expressed by some white blood cells and leukemic cell lines, and has been shown to be important in controlling inflammation and tumor growth in animal models. We have proprietary, fully human antibodies to CD89 in preclinical development. Depending upon the specific antibody used, anti-CD89 antibodies can either be activating and thus stimulate immune responses, or down-regulating and act as an anti-inflammatory agent.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Rotavirus Vaccine</w:t>
      </w:r>
    </w:p>
    <w:p>
      <w:pPr>
        <w:spacing w:after="0" w:line="225"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Rotavirus is a major cause of diarrhea and vomiting in infants and children. In 1997, we licensed our oral rotavirus strain to Glaxo and Glaxo assumed responsibility for all subsequent clinical trials and all other development activities. Glaxo gained approval for its rotavirus vaccine, Rotarix</w:t>
      </w:r>
      <w:r>
        <w:rPr>
          <w:rFonts w:ascii="Arial" w:cs="Arial" w:eastAsia="Arial" w:hAnsi="Arial"/>
          <w:sz w:val="23"/>
          <w:szCs w:val="23"/>
          <w:color w:val="auto"/>
          <w:vertAlign w:val="superscript"/>
        </w:rPr>
        <w:t>®</w:t>
      </w:r>
      <w:r>
        <w:rPr>
          <w:rFonts w:ascii="Arial" w:cs="Arial" w:eastAsia="Arial" w:hAnsi="Arial"/>
          <w:sz w:val="18"/>
          <w:szCs w:val="18"/>
          <w:color w:val="auto"/>
        </w:rPr>
        <w:t>, in Mexico in July 2004, which represented the first in a series of worldwide approvals and commercial launches for the product leading up to the approval in Europe in 2006 and in the U.S. in 2008. We licensed-in our rotavirus strain in 1995 and owe a license fee of 30% to Cincinnati Children’s Hospital Medical Center (“CCH”) on net royalties received from Glaxo. We are obligated to maintain a license with CCH with respect to the Glaxo agreement. The term of the Glaxo agreement is through the expiration of the last of the relevant patents covered by the agreement, although Glaxo may terminate the agreement upon 90 days prior written notice.</w:t>
      </w:r>
    </w:p>
    <w:p>
      <w:pPr>
        <w:spacing w:after="0" w:line="203" w:lineRule="exact"/>
        <w:rPr>
          <w:sz w:val="20"/>
          <w:szCs w:val="20"/>
          <w:color w:val="auto"/>
        </w:rPr>
      </w:pPr>
    </w:p>
    <w:p>
      <w:pPr>
        <w:jc w:val="both"/>
        <w:ind w:right="180" w:firstLine="648"/>
        <w:spacing w:after="0" w:line="234" w:lineRule="auto"/>
        <w:rPr>
          <w:sz w:val="20"/>
          <w:szCs w:val="20"/>
          <w:color w:val="auto"/>
        </w:rPr>
      </w:pPr>
      <w:r>
        <w:rPr>
          <w:rFonts w:ascii="Arial" w:cs="Arial" w:eastAsia="Arial" w:hAnsi="Arial"/>
          <w:sz w:val="18"/>
          <w:szCs w:val="18"/>
          <w:color w:val="auto"/>
        </w:rPr>
        <w:t>In May 2005, we entered into an agreement whereby an affiliate of PRF purchased an interest in the milestone payments and net royalties that we will receive on the development and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We have received a total of $60 million in milestone payments under the PRF agreement. No additional milestone payments are due from PRF under the agreement.</w:t>
      </w:r>
    </w:p>
    <w:p>
      <w:pPr>
        <w:spacing w:after="0" w:line="203" w:lineRule="exact"/>
        <w:rPr>
          <w:sz w:val="20"/>
          <w:szCs w:val="20"/>
          <w:color w:val="auto"/>
        </w:rPr>
      </w:pPr>
    </w:p>
    <w:p>
      <w:pPr>
        <w:jc w:val="both"/>
        <w:ind w:right="120" w:firstLine="648"/>
        <w:spacing w:after="0" w:line="292" w:lineRule="auto"/>
        <w:rPr>
          <w:sz w:val="20"/>
          <w:szCs w:val="20"/>
          <w:color w:val="auto"/>
        </w:rPr>
      </w:pPr>
      <w:r>
        <w:rPr>
          <w:rFonts w:ascii="Arial" w:cs="Arial" w:eastAsia="Arial" w:hAnsi="Arial"/>
          <w:sz w:val="16"/>
          <w:szCs w:val="16"/>
          <w:color w:val="auto"/>
        </w:rPr>
        <w:t>Royalty rates on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escalate from 7% to 10% based on net product sales in countries that have valid patent protection. These royalty rates are discounted by 30% for “non-patent” countries (primarily international markets). In September 2006, we received notice from Glaxo that Glaxo would begin paying royalties on sales of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vaccine at the lower of the two royalty rates under their 1997 license agreement. Glaxo’s decision to pay the lower</w:t>
      </w:r>
    </w:p>
    <w:p>
      <w:pPr>
        <w:sectPr>
          <w:pgSz w:w="11900" w:h="16951" w:orient="portrait"/>
          <w:cols w:equalWidth="0" w:num="1">
            <w:col w:w="11400"/>
          </w:cols>
          <w:pgMar w:left="240" w:top="125" w:right="259" w:bottom="0" w:gutter="0" w:footer="0" w:header="0"/>
        </w:sectPr>
      </w:pPr>
    </w:p>
    <w:bookmarkStart w:id="17" w:name="page18"/>
    <w:bookmarkEnd w:id="17"/>
    <w:p>
      <w:pPr>
        <w:ind w:right="20"/>
        <w:spacing w:after="0" w:line="222" w:lineRule="auto"/>
        <w:rPr>
          <w:sz w:val="20"/>
          <w:szCs w:val="20"/>
          <w:color w:val="auto"/>
        </w:rPr>
      </w:pPr>
      <w:r>
        <w:rPr>
          <w:rFonts w:ascii="Arial" w:cs="Arial" w:eastAsia="Arial" w:hAnsi="Arial"/>
          <w:sz w:val="18"/>
          <w:szCs w:val="18"/>
          <w:color w:val="auto"/>
        </w:rPr>
        <w:t>royalty rate (which is 70% of the full rate) is based upon Glaxo’s assertion that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not covered by the patents Glaxo licensed from us in Australia and certain European countries. We are currently evaluating the basis for Glaxo’s action and our potential remedies. If Glaxo’s position stands, the royalties to which PRF is entitled will no longer be limited by a $27.5 million annual threshold, which we projected may have been reached in later years as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increased. Irrespective of Glaxo’s position, we will still retain approximately 65% of the royalties on worldwide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once PRF receives 2.45 times the aggregate cash payments of $60 million it made to us, though the potential amount of such residual royalties will be lower if Glaxo’s position stands.</w:t>
      </w:r>
    </w:p>
    <w:p>
      <w:pPr>
        <w:spacing w:after="0" w:line="204" w:lineRule="exact"/>
        <w:rPr>
          <w:sz w:val="20"/>
          <w:szCs w:val="20"/>
          <w:color w:val="auto"/>
        </w:rPr>
      </w:pPr>
    </w:p>
    <w:p>
      <w:pPr>
        <w:ind w:right="80" w:firstLine="648"/>
        <w:spacing w:after="0" w:line="230" w:lineRule="auto"/>
        <w:rPr>
          <w:sz w:val="20"/>
          <w:szCs w:val="20"/>
          <w:color w:val="auto"/>
        </w:rPr>
      </w:pPr>
      <w:r>
        <w:rPr>
          <w:rFonts w:ascii="Arial" w:cs="Arial" w:eastAsia="Arial" w:hAnsi="Arial"/>
          <w:sz w:val="18"/>
          <w:szCs w:val="18"/>
          <w:color w:val="auto"/>
        </w:rPr>
        <w:t>In late March 2010, we learned that the FDA decided to temporarily suspend the use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as a precautionary measure following the discovery of PCV-1 DNA material in the vaccine. Glaxo has reported that the FDA’s decision did not significantly impact sales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 ended March 31, 2010. We can provide no assurances that sales of Rotarix</w:t>
      </w:r>
      <w:r>
        <w:rPr>
          <w:rFonts w:ascii="Arial" w:cs="Arial" w:eastAsia="Arial" w:hAnsi="Arial"/>
          <w:sz w:val="23"/>
          <w:szCs w:val="23"/>
          <w:color w:val="auto"/>
          <w:vertAlign w:val="superscript"/>
        </w:rPr>
        <w:t>®</w:t>
      </w:r>
      <w:r>
        <w:rPr>
          <w:rFonts w:ascii="Arial" w:cs="Arial" w:eastAsia="Arial" w:hAnsi="Arial"/>
          <w:sz w:val="18"/>
          <w:szCs w:val="18"/>
          <w:color w:val="auto"/>
        </w:rPr>
        <w:t>, and therefore our royalties from sales of Rotarix</w:t>
      </w:r>
      <w:r>
        <w:rPr>
          <w:rFonts w:ascii="Arial" w:cs="Arial" w:eastAsia="Arial" w:hAnsi="Arial"/>
          <w:sz w:val="23"/>
          <w:szCs w:val="23"/>
          <w:color w:val="auto"/>
          <w:vertAlign w:val="superscript"/>
        </w:rPr>
        <w:t>®</w:t>
      </w:r>
      <w:r>
        <w:rPr>
          <w:rFonts w:ascii="Arial" w:cs="Arial" w:eastAsia="Arial" w:hAnsi="Arial"/>
          <w:sz w:val="18"/>
          <w:szCs w:val="18"/>
          <w:color w:val="auto"/>
        </w:rPr>
        <w:t>, will not be negatively impacted by the FDA’s decision to suspend use of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future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quarters. However, if our royalty revenue from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negatively impacted by the FDA’s decision, our royalty expense for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would be similarly impacted and therefore our net loss or cash position will not be impacted as a result of the FDA’s decision.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critical accounting policies are more fully described in Note 2 to our consolidated financial statements included in our Annual Report on Form 10-K for the year ended December 31, 2009 and there have been no material changes to such critical accounting policies. We believe our most critical accounting policies include accounting for business combinations, revenue recognition, property and equipment, impairment of long-lived assets, marketable securities,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Our financial statements prior to the CuraGen Merger reflect the financial position, results of operations and cash flows of Celldex. Following the CuraGen Merger, our financial statements reflect the financial position, results of operation and cash flows of Celldex and CuraGen.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2010 compared with Three Months Ended March 31,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Increase/</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9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0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1,347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(155)</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2,146</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Royalty</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(506)</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3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11,518</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3,162</w:t>
            </w:r>
          </w:p>
        </w:tc>
        <w:tc>
          <w:tcPr>
            <w:tcW w:w="3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3,039</w:t>
            </w:r>
          </w:p>
        </w:tc>
        <w:tc>
          <w:tcPr>
            <w:tcW w:w="3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$1.1 million decrease in net loss for the three months ended March 31, 2010 compared to the three months ended March 31, 2009 was primarily the result of an increase in other income, partially offset by increased amortization expense on acquired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$0.2 million decrease in product development and licensing agreement revenue for the three months ended March 31, 2010 was primarily due to $0.1 million in revenue recorded for the three months ended March 31, 2009 related to the Corixa termination agreement. The $0.1 million increase in contract and grant revenue for the three months ended March 31, 2010 was due to an increase in revenue related to our vaccine development work 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Rockefeller’s CDX-2401 program. The $0.1 million increase in product royalty revenue for the three months ended March 31, 2010 was primarily related to our retained interests in Rotarix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 royalties which were not sold to PRF and which is equal to the amount payable to CCH and recognized in royalty expense by us.</w:t>
      </w:r>
    </w:p>
    <w:p>
      <w:pPr>
        <w:sectPr>
          <w:pgSz w:w="11900" w:h="16838" w:orient="portrait"/>
          <w:cols w:equalWidth="0" w:num="1">
            <w:col w:w="11420"/>
          </w:cols>
          <w:pgMar w:left="240" w:top="125" w:right="239" w:bottom="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ectPr>
          <w:pgSz w:w="11900" w:h="16838" w:orient="portrait"/>
          <w:cols w:equalWidth="0" w:num="1">
            <w:col w:w="11420"/>
          </w:cols>
          <w:pgMar w:left="240" w:top="125" w:right="239" w:bottom="0" w:gutter="0" w:footer="0" w:header="0"/>
          <w:type w:val="continuous"/>
        </w:sectPr>
      </w:pPr>
    </w:p>
    <w:bookmarkStart w:id="18" w:name="page19"/>
    <w:bookmarkEnd w:id="18"/>
    <w:p>
      <w:pPr>
        <w:ind w:right="200" w:firstLine="648"/>
        <w:spacing w:after="0" w:line="308" w:lineRule="auto"/>
        <w:rPr>
          <w:sz w:val="20"/>
          <w:szCs w:val="20"/>
          <w:color w:val="auto"/>
        </w:rPr>
      </w:pPr>
      <w:r>
        <w:rPr>
          <w:rFonts w:ascii="Arial" w:cs="Arial" w:eastAsia="Arial" w:hAnsi="Arial"/>
          <w:sz w:val="17"/>
          <w:szCs w:val="17"/>
          <w:color w:val="auto"/>
        </w:rPr>
        <w:t>Research and development expenses consist primarily of (i) personnel expenses, (ii) laboratory supply expenses relating to the development of our technology, (iii) facility expenses, and (iv) product development expenses associated with our product candidates as follows: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92"/>
              </w:rPr>
              <w:t>Increase/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4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8"/>
              <w:spacing w:after="0"/>
              <w:rPr>
                <w:sz w:val="20"/>
                <w:szCs w:val="20"/>
                <w:color w:val="auto"/>
              </w:rPr>
            </w:pPr>
            <w:r>
              <w:rPr>
                <w:rFonts w:ascii="Arial" w:cs="Arial" w:eastAsia="Arial" w:hAnsi="Arial"/>
                <w:sz w:val="14"/>
                <w:szCs w:val="14"/>
                <w:b w:val="1"/>
                <w:bCs w:val="1"/>
                <w:color w:val="auto"/>
                <w:w w:val="89"/>
              </w:rPr>
              <w:t>(Decrease)</w:t>
            </w: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40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8"/>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3,160</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618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536</w:t>
            </w:r>
          </w:p>
        </w:tc>
        <w:tc>
          <w:tcPr>
            <w:tcW w:w="6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c>
          <w:tcPr>
            <w:tcW w:w="460" w:type="dxa"/>
            <w:vAlign w:val="bottom"/>
          </w:tcPr>
          <w:p>
            <w:pPr>
              <w:spacing w:after="0"/>
              <w:rPr>
                <w:sz w:val="18"/>
                <w:szCs w:val="18"/>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(60)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1,491</w:t>
            </w:r>
          </w:p>
        </w:tc>
        <w:tc>
          <w:tcPr>
            <w:tcW w:w="6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243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791</w:t>
            </w:r>
          </w:p>
        </w:tc>
        <w:tc>
          <w:tcPr>
            <w:tcW w:w="6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1,477</w:t>
            </w:r>
          </w:p>
        </w:tc>
        <w:tc>
          <w:tcPr>
            <w:tcW w:w="460" w:type="dxa"/>
            <w:vAlign w:val="bottom"/>
          </w:tcPr>
          <w:p>
            <w:pPr>
              <w:spacing w:after="0"/>
              <w:rPr>
                <w:sz w:val="20"/>
                <w:szCs w:val="20"/>
                <w:color w:val="auto"/>
              </w:rPr>
            </w:pPr>
          </w:p>
        </w:tc>
        <w:tc>
          <w:tcPr>
            <w:tcW w:w="1380" w:type="dxa"/>
            <w:vAlign w:val="bottom"/>
          </w:tcPr>
          <w:p>
            <w:pPr>
              <w:jc w:val="right"/>
              <w:ind w:right="198"/>
              <w:spacing w:after="0"/>
              <w:rPr>
                <w:sz w:val="20"/>
                <w:szCs w:val="20"/>
                <w:color w:val="auto"/>
              </w:rPr>
            </w:pPr>
            <w:r>
              <w:rPr>
                <w:rFonts w:ascii="Arial" w:cs="Arial" w:eastAsia="Arial" w:hAnsi="Arial"/>
                <w:sz w:val="18"/>
                <w:szCs w:val="18"/>
                <w:color w:val="auto"/>
              </w:rPr>
              <w:t>(686)</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bl>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Personnel expenses primarily include salary, benefits, stock-based compensation, payroll taxes and recruiting costs. The $0.6 million increase in personnel expenses for the three months ended March 31, 2010 was primarily due to higher headcount. We expect personnel expenses to increase over the next twelve months as we plan to continue to increase our headcount.</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Laboratory supply expense for the three months ended March 31, 2010 was relatively consistent as compared to the three months ended March 31, 2009. We expect supply expenses to increase over the next twelve months as a result of increased research and development activities, although there may be fluctuations on a quarterly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Facility expenses include depreciation, amortization, utilities, rent, maintenance, and other related expenses incurred at our facilities. The</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$0.2 million increase in facility expenses for the three months ended March 31, 2010 was primarily due to higher depreciation and amortization expenses. We expect facility expenses to increase over the next twelve months as a result of continued capital expansion, although there may be fluctuations on a quarterly basis.</w:t>
      </w:r>
    </w:p>
    <w:p>
      <w:pPr>
        <w:spacing w:after="0" w:line="19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Product development expenses include clinical investigator site fees, external trial monitoring costs, data accumulation costs, contracted research and outside clinical drug product manufacturing. The $0.7 million decrease in product development expenses for the three months ended March 31, 2010 was primarily due to a decrease in clinical expenses of $0.6 million largely due to the transfer of clinical management of our CDX-110 program to Pfizer in 2009. We expect product development expenses to increase over the next twelve months due to the increase in clinical trial expenses related to our CDX-011, CDX-1307, and CDX-1401 programs, although there may be fluctuations on a quarterly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Royalty expenses include product royalty and sublicense royalty fees on our out-licensed programs. The $0.1 million increase in royalty expenses for the three months ended March 31, 2010 was due to an increase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related royalty fees. Our retained interests in Rotarix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 royalties which were not sold to PRF are recorded as product royalty revenue and a corresponding amount that is payable to CCH is recorded as royalty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$0.5 million decrease in general and administrative expenses for the three months ended March 31, 2010 was primarily due to $0.7 million in severance expense, including related non-cash stock-based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expense, incurred during the three months ended March 31, 2009 related to the departure of our former SVP, Business Development. The effect of these decreases was partially offset by $0.2 million in higher personnel expense during the three months ended March 31, 2010, primarily related to higher headcount. We expect general and administrative expense to remain relatively consistent over the next twelve months, although there may be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$1.4 million increase in amortization expenses for the three months ended March 31, 2010 was due to intangible assets acquired in connection with the CuraGen Merger including the TopoTarget Agreement. In February 2010, TopoTarget entered into a co-development and commercialization agreement for Belinostat with Spectrum Pharmaceuticals, Inc. which resulted in our receipt of $3.0 million which we recorded as Other Income for the three months ended March 31, 2010 and we recorded amortization expense related to the TopoTarget Agreement of $1.2 million for the three months ended March 31, 2010. We expect amortization expense of acquired intangible assets to decrease over the next twelve months as the remaining value of the TopoTarget Agreement is being amortized over its estimated useful life.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$3.0 million increase in investment and other income, net for the three months ended March 31, 2010 was primarily due to $3.0 million received in connection with the TopoTarget Agreement. We anticipate investment income to decrease over the next twelve months due to lower cash and investment balances caused by the utilization of cash and investment balances in the normal course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$0.3 million increase in interest expense for the three months ended March 31, 2010 was primarily due to the CuraGen Debt we assumed in connection with the CuraGen Merger. We anticipate interest expense to remain relatively consistent over the next twelve months until the CuraGen Debt matures in February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341" w:right="239" w:bottom="0" w:gutter="0" w:footer="0" w:header="0"/>
        </w:sectPr>
      </w:pPr>
    </w:p>
    <w:bookmarkStart w:id="19" w:name="page20"/>
    <w:bookmarkEnd w:id="19"/>
    <w:p>
      <w:pPr>
        <w:ind w:right="20" w:firstLine="648"/>
        <w:spacing w:after="0" w:line="255" w:lineRule="auto"/>
        <w:rPr>
          <w:sz w:val="20"/>
          <w:szCs w:val="20"/>
          <w:color w:val="auto"/>
        </w:rPr>
      </w:pPr>
      <w:r>
        <w:rPr>
          <w:rFonts w:ascii="Arial" w:cs="Arial" w:eastAsia="Arial" w:hAnsi="Arial"/>
          <w:sz w:val="18"/>
          <w:szCs w:val="18"/>
          <w:color w:val="auto"/>
        </w:rPr>
        <w:t>At March 31, 2010, our principal sources of liquidity consisted of cash, cash equivalents and marketable securities of $75.4 million. Our working capital at March 31, 2010 was $53.5 million. At March 31, 2010, we had 4% convertible subordinated debt due in February 2011 of $12.5 million. We incurred a loss of $6.6 million for the three months ended March 31, 2010. Net cash used in operations for the three months ended March 31, 2010 was $6.9 million. We believe that the cash inflows from existing collaborations, interest income on invested funds and our current cash, cash equivalents and marketable securities at March 31, 2010 are sufficient to meet estimated working capital requirements and fund planned operations for at least the next twelve months.</w:t>
      </w:r>
    </w:p>
    <w:p>
      <w:pPr>
        <w:spacing w:after="0" w:line="19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and for the foreseeable future,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next twelve to twenty-four months, we may take further steps to raise additional capital to meet our long-term liquidity needs including, but not limited to, the licensing of technology programs with existing or new collaborative partners, possible business combinations, or the issuance of common stock or other securities via private placements or public offerings. While we may continue to seek capital through a number of means, there can be no assurance that additional financing will be available on acceptable terms, if at all, particularly in light of the recent disruptions in the financial markets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license out programs earlier than expected, raise funds at significant discount or on other unfavorable terms, or sell all or part of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used in operating activities was $6.9 million for the three months ended March 31, 2010 compared to $5.6 million for the three months ended March 31, 2009. The increase in net cash used in operating activities was primarily due to a decrease of $1.6 million in accounts payable and accrued expenses the three months ended March 31, 2010 as compared to increase of $0.1 million for the three months ended March 31, 2009. We expect that cash used in operations will continue to increase in over the next twelve months primarily related to the continued development of our therapeutic product pipeline, including bringing forward new product candidates into clinical development.</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product candidates are developed. We plan to spend significant amounts to progress our current product candidates through the clinical trial and commercialization process as well as to develop additional product candidates. As our product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Net cash used in investing activities was $7.5 million for the three months ended March 31, 2010 compared to net cash provided by investing activities of $0.7 million for the three months ended March 31, 2009. The increase in net cash used in investing activities was primarily due to net purchases of marketable securities for the three months ended March 31, 2010 of $7.2 million. We expect to incur future facility cost as a result of continued capital expansion, renovation and replacements. Our investment in capital equipment is discretionary and there may be significant fluctuations on a quarterly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provided by financing activities was $0.1 million for the three months ended March 31, 2010, primarily due to proceeds from stock option exercises of former CuraGen employees, was relatively consistent with the three months ended March 31,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Under the Pfizer Agreement, Pfizer made an upfront payment $40 million, an equity investment of $10.0 million and will fund all development costs for the licensed programs. We are also eligible to receive potential milestone payments exceeding $390.0 million for the successful development and commercialization of CDX-110 and additional EGFRvIII vaccine products, as well as royalties on any product sales.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ectPr>
          <w:pgSz w:w="11900" w:h="16838" w:orient="portrait"/>
          <w:cols w:equalWidth="0" w:num="1">
            <w:col w:w="11420"/>
          </w:cols>
          <w:pgMar w:left="240" w:top="125" w:right="239" w:bottom="36" w:gutter="0" w:footer="0" w:header="0"/>
        </w:sectPr>
      </w:pPr>
    </w:p>
    <w:bookmarkStart w:id="20" w:name="page21"/>
    <w:bookmarkEnd w:id="20"/>
    <w:p>
      <w:pPr>
        <w:spacing w:after="0" w:line="5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2009 which was filed with the SEC on March 12, 2010 have not materially changed since we filed that report.</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March 31, 2010 due to the short-term maturities of these instruments.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March 31, 2010,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2010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2009, which could materially affect our business, financial condition or future results. The risks described in our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12, 2010.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0700" w:type="dxa"/>
            <w:vAlign w:val="bottom"/>
            <w:gridSpan w:val="2"/>
          </w:tcPr>
          <w:p>
            <w:pPr>
              <w:ind w:left="4860"/>
              <w:spacing w:after="0"/>
              <w:rPr>
                <w:sz w:val="20"/>
                <w:szCs w:val="20"/>
                <w:color w:val="auto"/>
              </w:rPr>
            </w:pPr>
            <w:r>
              <w:rPr>
                <w:rFonts w:ascii="Arial" w:cs="Arial" w:eastAsia="Arial" w:hAnsi="Arial"/>
                <w:sz w:val="18"/>
                <w:szCs w:val="18"/>
                <w:color w:val="auto"/>
              </w:rPr>
              <w:t>32</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53"/>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3.1</w:t>
            </w: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9"/>
              </w:rPr>
              <w:t>Third Restated Certificate of Incorporation of the Company, incorporated by reference to Exhibit 3.1 of the Company’s Registration</w:t>
            </w:r>
          </w:p>
        </w:tc>
      </w:tr>
      <w:tr>
        <w:trPr>
          <w:trHeight w:val="216"/>
        </w:trPr>
        <w:tc>
          <w:tcPr>
            <w:tcW w:w="760" w:type="dxa"/>
            <w:vAlign w:val="bottom"/>
          </w:tcPr>
          <w:p>
            <w:pPr>
              <w:spacing w:after="0"/>
              <w:rPr>
                <w:sz w:val="18"/>
                <w:szCs w:val="18"/>
                <w:color w:val="auto"/>
              </w:rPr>
            </w:pP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3.2</w:t>
            </w: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6"/>
              </w:rPr>
              <w:t>Certificate of Amendment of Third Restated Certificate of Incorporation of the Company, incorporated by reference to Exhibit 3.1 of the</w:t>
            </w:r>
          </w:p>
        </w:tc>
      </w:tr>
      <w:tr>
        <w:trPr>
          <w:trHeight w:val="216"/>
        </w:trPr>
        <w:tc>
          <w:tcPr>
            <w:tcW w:w="760" w:type="dxa"/>
            <w:vAlign w:val="bottom"/>
          </w:tcPr>
          <w:p>
            <w:pPr>
              <w:spacing w:after="0"/>
              <w:rPr>
                <w:sz w:val="18"/>
                <w:szCs w:val="18"/>
                <w:color w:val="auto"/>
              </w:rPr>
            </w:pP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3"/>
              </w:rPr>
              <w:t>Company’s Registration Statement on Form S-4 (Reg. No. 333-59215), filed July 16, 1998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3.3</w:t>
            </w: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3"/>
              </w:rPr>
              <w:t>Second Certificate of Amendment of Third Restated Certificate of Incorporation of the Company, incorporated by reference to Exhibit 3.2 of</w:t>
            </w:r>
          </w:p>
        </w:tc>
      </w:tr>
      <w:tr>
        <w:trPr>
          <w:trHeight w:val="216"/>
        </w:trPr>
        <w:tc>
          <w:tcPr>
            <w:tcW w:w="760" w:type="dxa"/>
            <w:vAlign w:val="bottom"/>
          </w:tcPr>
          <w:p>
            <w:pPr>
              <w:spacing w:after="0"/>
              <w:rPr>
                <w:sz w:val="18"/>
                <w:szCs w:val="18"/>
                <w:color w:val="auto"/>
              </w:rPr>
            </w:pP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1"/>
              </w:rPr>
              <w:t>the Company’s Registration Statement on Form S-4 (Reg. No. 333-59215), filed July 16, 1998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4"/>
              </w:rPr>
              <w:t>Third Certificate of Amendment of Third Restated Certificate of Incorporation of the Company, incorporated by reference to Exhibit 3.1 of</w:t>
            </w:r>
          </w:p>
        </w:tc>
      </w:tr>
      <w:tr>
        <w:trPr>
          <w:trHeight w:val="216"/>
        </w:trPr>
        <w:tc>
          <w:tcPr>
            <w:tcW w:w="760" w:type="dxa"/>
            <w:vAlign w:val="bottom"/>
          </w:tcPr>
          <w:p>
            <w:pPr>
              <w:spacing w:after="0"/>
              <w:rPr>
                <w:sz w:val="18"/>
                <w:szCs w:val="18"/>
                <w:color w:val="auto"/>
              </w:rPr>
            </w:pP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 of</w:t>
            </w:r>
          </w:p>
        </w:tc>
      </w:tr>
      <w:tr>
        <w:trPr>
          <w:trHeight w:val="216"/>
        </w:trPr>
        <w:tc>
          <w:tcPr>
            <w:tcW w:w="760" w:type="dxa"/>
            <w:vAlign w:val="bottom"/>
          </w:tcPr>
          <w:p>
            <w:pPr>
              <w:spacing w:after="0"/>
              <w:rPr>
                <w:sz w:val="18"/>
                <w:szCs w:val="18"/>
                <w:color w:val="auto"/>
              </w:rPr>
            </w:pP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r>
      <w:tr>
        <w:trPr>
          <w:trHeight w:val="216"/>
        </w:trPr>
        <w:tc>
          <w:tcPr>
            <w:tcW w:w="76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w w:val="92"/>
              </w:rPr>
              <w:t>Fifth Certificate of Amendment of Third Restated Certificate of Incorporation of the Company, incorporated by reference to Exhibit 3.2 of the</w:t>
            </w:r>
          </w:p>
        </w:tc>
      </w:tr>
      <w:tr>
        <w:trPr>
          <w:trHeight w:val="230"/>
        </w:trPr>
        <w:tc>
          <w:tcPr>
            <w:tcW w:w="760" w:type="dxa"/>
            <w:vAlign w:val="bottom"/>
          </w:tcPr>
          <w:p>
            <w:pPr>
              <w:spacing w:after="0"/>
              <w:rPr>
                <w:sz w:val="20"/>
                <w:szCs w:val="20"/>
                <w:color w:val="auto"/>
              </w:rPr>
            </w:pPr>
          </w:p>
        </w:tc>
        <w:tc>
          <w:tcPr>
            <w:tcW w:w="10700" w:type="dxa"/>
            <w:vAlign w:val="bottom"/>
            <w:gridSpan w:val="2"/>
          </w:tcPr>
          <w:p>
            <w:pPr>
              <w:ind w:left="400"/>
              <w:spacing w:after="0"/>
              <w:rPr>
                <w:sz w:val="20"/>
                <w:szCs w:val="20"/>
                <w:color w:val="auto"/>
              </w:rPr>
            </w:pPr>
            <w:r>
              <w:rPr>
                <w:rFonts w:ascii="Arial" w:cs="Arial" w:eastAsia="Arial" w:hAnsi="Arial"/>
                <w:sz w:val="18"/>
                <w:szCs w:val="18"/>
                <w:color w:val="auto"/>
              </w:rPr>
              <w:t>Company’s Current Report on Form 8-K, filed on March 11, 2008 with the Securities and Exchange Commission.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-2445385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-2445385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0420" w:type="dxa"/>
            <w:vAlign w:val="bottom"/>
          </w:tcPr>
          <w:p>
            <w:pPr>
              <w:ind w:left="340"/>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r>
      <w:tr>
        <w:trPr>
          <w:trHeight w:val="216"/>
        </w:trPr>
        <w:tc>
          <w:tcPr>
            <w:tcW w:w="8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r>
      <w:tr>
        <w:trPr>
          <w:trHeight w:val="216"/>
        </w:trPr>
        <w:tc>
          <w:tcPr>
            <w:tcW w:w="82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10420" w:type="dxa"/>
            <w:vAlign w:val="bottom"/>
          </w:tcPr>
          <w:p>
            <w:pPr>
              <w:ind w:left="340"/>
              <w:spacing w:after="0"/>
              <w:rPr>
                <w:sz w:val="20"/>
                <w:szCs w:val="20"/>
                <w:color w:val="auto"/>
              </w:rPr>
            </w:pPr>
            <w:r>
              <w:rPr>
                <w:rFonts w:ascii="Arial" w:cs="Arial" w:eastAsia="Arial" w:hAnsi="Arial"/>
                <w:sz w:val="18"/>
                <w:szCs w:val="18"/>
                <w:color w:val="auto"/>
                <w:w w:val="90"/>
              </w:rPr>
              <w:t>Amendment No. 2 to Shareholder Rights Agreement dated November 5, 2004, between the Company and Computershare Trust Company,</w:t>
            </w:r>
          </w:p>
        </w:tc>
      </w:tr>
      <w:tr>
        <w:trPr>
          <w:trHeight w:val="216"/>
        </w:trPr>
        <w:tc>
          <w:tcPr>
            <w:tcW w:w="8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w w:val="91"/>
              </w:rPr>
              <w:t>N.A. (formerly EquiServe Trust Company, N.A.), as Rights Agent, incorporated by reference to Exhibit 10.1 of the Company’s Registration</w:t>
            </w:r>
          </w:p>
        </w:tc>
      </w:tr>
      <w:tr>
        <w:trPr>
          <w:trHeight w:val="216"/>
        </w:trPr>
        <w:tc>
          <w:tcPr>
            <w:tcW w:w="8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340"/>
              <w:spacing w:after="0"/>
              <w:rPr>
                <w:sz w:val="20"/>
                <w:szCs w:val="20"/>
                <w:color w:val="auto"/>
              </w:rPr>
            </w:pPr>
            <w:r>
              <w:rPr>
                <w:rFonts w:ascii="Arial" w:cs="Arial" w:eastAsia="Arial" w:hAnsi="Arial"/>
                <w:sz w:val="18"/>
                <w:szCs w:val="18"/>
                <w:color w:val="auto"/>
              </w:rPr>
              <w:t>Certification of President and Chief Executive Officer</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340"/>
              <w:spacing w:after="0"/>
              <w:rPr>
                <w:sz w:val="20"/>
                <w:szCs w:val="20"/>
                <w:color w:val="auto"/>
              </w:rPr>
            </w:pPr>
            <w:r>
              <w:rPr>
                <w:rFonts w:ascii="Arial" w:cs="Arial" w:eastAsia="Arial" w:hAnsi="Arial"/>
                <w:sz w:val="18"/>
                <w:szCs w:val="18"/>
                <w:color w:val="auto"/>
              </w:rPr>
              <w:t>Certification of Senior Vice President and Chief Financial Officer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340"/>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60" w:hanging="828"/>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160" w:hanging="828"/>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May 6, 2010</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AVERY W. CATLIN</w:t>
      </w:r>
    </w:p>
    <w:p>
      <w:pPr>
        <w:spacing w:after="0" w:line="2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May 6, 2010</w:t>
      </w:r>
      <w:r>
        <w:rPr>
          <w:sz w:val="20"/>
          <w:szCs w:val="20"/>
          <w:color w:val="auto"/>
        </w:rPr>
        <w:tab/>
      </w:r>
      <w:r>
        <w:rPr>
          <w:rFonts w:ascii="Arial" w:cs="Arial" w:eastAsia="Arial" w:hAnsi="Arial"/>
          <w:sz w:val="16"/>
          <w:szCs w:val="16"/>
          <w:color w:val="auto"/>
        </w:rPr>
        <w:t>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3542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Senior Vice President, Treasurer and 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1">
              <w:r>
                <w:rPr>
                  <w:rFonts w:ascii="Arial" w:cs="Arial" w:eastAsia="Arial" w:hAnsi="Arial"/>
                  <w:sz w:val="18"/>
                  <w:szCs w:val="18"/>
                  <w:color w:val="0000EE"/>
                  <w:w w:val="95"/>
                </w:rPr>
                <w:t>Table of Contents</w:t>
              </w:r>
            </w:hyperlink>
          </w:p>
        </w:tc>
        <w:tc>
          <w:tcPr>
            <w:tcW w:w="10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2"/>
          </w:tcPr>
          <w:p>
            <w:pPr>
              <w:ind w:left="36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008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10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Third Restated Certificate of Incorporation of the Company, incorporated by reference to Exhibit 3.1 of the Company’s Registration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Certificate of Amendment of Third Restated Certificate of Incorporation of the Company, incorporated by reference to Exhibit 3.1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Company’s Registration Statement on Form S-4 (Reg. No. 333-59215), filed July 16, 1998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Second Certificate of Amendment of Third Restated Certificate of Incorporation of the Company, incorporated by reference to Exhibit 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6"/>
              </w:rPr>
              <w:t>of the Company’s Registration Statement on Form S-4 (Reg. No. 333-59215), filed July 16, 1998 with the Securities and Exchange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Third Certificate of Amendment of Third Restated Certificate of Incorporation of the Company, incorporated by reference to Exhibit 3.1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May 10, 2002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Fourth Certificate of Amendment of Third Restated Certificate of Incorporation of the Company, incorporated by reference to Exhibit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3"/>
              </w:rPr>
              <w:t>Fifth Certificate of Amendment of Third Restated Certificate of Incorporation of the Company, incorporated by reference to Exhibit 3.2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March 11,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Sixth Certificate of Amendment of Third Restated Certificate of Incorporation of the Company, incorporated by reference to Exhibit 3.7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filed November 10,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0"/>
              </w:rPr>
              <w:t>Amendment No. 2 to Shareholder Rights Agreement dated November 5, 2004, between the Company and Computershare Trust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N.A. (formerly EquiServe Trust Company, N.A.) as Rights Agent, incorporated by reference to Exhibit 10.1 of the Company’s Registration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Statement on Form 8-A1G/A, filed on March 7, 2008 with the Securities and Exchange Commission.</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President and Chief Executive Officer</w:t>
            </w: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0" w:type="dxa"/>
            <w:vAlign w:val="bottom"/>
          </w:tcPr>
          <w:p>
            <w:pPr>
              <w:spacing w:after="0"/>
              <w:rPr>
                <w:sz w:val="1"/>
                <w:szCs w:val="1"/>
                <w:color w:val="auto"/>
              </w:rPr>
            </w:pPr>
          </w:p>
        </w:tc>
      </w:tr>
      <w:tr>
        <w:trPr>
          <w:trHeight w:val="230"/>
        </w:trPr>
        <w:tc>
          <w:tcPr>
            <w:tcW w:w="114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-3877945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-3877945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80" w:hanging="1048"/>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380" w:hanging="1048"/>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316"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80" w:hanging="592"/>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80" w:right="220" w:hanging="592"/>
        <w:spacing w:after="0" w:line="26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80" w:hanging="592"/>
        <w:spacing w:after="0" w:line="308"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592"/>
        <w:spacing w:after="0" w:line="26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40" w:right="100" w:hanging="762"/>
        <w:spacing w:after="0" w:line="264"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100" w:hanging="762"/>
        <w:spacing w:after="0" w:line="264"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200" w:hanging="762"/>
        <w:spacing w:after="0" w:line="342"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0" w:hanging="762"/>
        <w:spacing w:after="0" w:line="264"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100" w:hanging="592"/>
        <w:spacing w:after="0" w:line="308"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40" w:right="440" w:hanging="762"/>
        <w:spacing w:after="0" w:line="342"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120" w:hanging="762"/>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6, 2010</w:t>
            </w:r>
          </w:p>
        </w:tc>
        <w:tc>
          <w:tcPr>
            <w:tcW w:w="3020" w:type="dxa"/>
            <w:vAlign w:val="bottom"/>
          </w:tcPr>
          <w:p>
            <w:pPr>
              <w:ind w:left="226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3020" w:type="dxa"/>
            <w:vAlign w:val="bottom"/>
          </w:tcPr>
          <w:p>
            <w:pPr>
              <w:ind w:left="2260"/>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3020" w:type="dxa"/>
            <w:vAlign w:val="bottom"/>
          </w:tcPr>
          <w:p>
            <w:pPr>
              <w:ind w:left="226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600" w:type="dxa"/>
            <w:vAlign w:val="bottom"/>
            <w:tcBorders>
              <w:bottom w:val="single" w:sz="8" w:color="010101"/>
            </w:tcBorders>
          </w:tcPr>
          <w:p>
            <w:pPr>
              <w:spacing w:after="0"/>
              <w:rPr>
                <w:sz w:val="24"/>
                <w:szCs w:val="24"/>
                <w:color w:val="auto"/>
              </w:rPr>
            </w:pPr>
          </w:p>
        </w:tc>
        <w:tc>
          <w:tcPr>
            <w:tcW w:w="3020" w:type="dxa"/>
            <w:vAlign w:val="bottom"/>
            <w:tcBorders>
              <w:bottom w:val="single" w:sz="8" w:color="010101"/>
            </w:tcBorders>
          </w:tcPr>
          <w:p>
            <w:pPr>
              <w:spacing w:after="0"/>
              <w:rPr>
                <w:sz w:val="24"/>
                <w:szCs w:val="24"/>
                <w:color w:val="auto"/>
              </w:rPr>
            </w:pPr>
          </w:p>
        </w:tc>
        <w:tc>
          <w:tcPr>
            <w:tcW w:w="4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80" w:hanging="592"/>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80" w:right="220" w:hanging="592"/>
        <w:spacing w:after="0" w:line="26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80" w:hanging="592"/>
        <w:spacing w:after="0" w:line="308"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592"/>
        <w:spacing w:after="0" w:line="26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40" w:right="100" w:hanging="762"/>
        <w:spacing w:after="0" w:line="264"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40" w:right="100" w:hanging="762"/>
        <w:spacing w:after="0" w:line="264"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200" w:hanging="762"/>
        <w:spacing w:after="0" w:line="342"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0" w:hanging="762"/>
        <w:spacing w:after="0" w:line="264"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100" w:hanging="592"/>
        <w:spacing w:after="0" w:line="308"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40" w:right="440" w:hanging="762"/>
        <w:spacing w:after="0" w:line="342"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120" w:hanging="762"/>
        <w:spacing w:after="0" w:line="277"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May 6, 2010</w:t>
            </w:r>
          </w:p>
        </w:tc>
        <w:tc>
          <w:tcPr>
            <w:tcW w:w="3080" w:type="dxa"/>
            <w:vAlign w:val="bottom"/>
          </w:tcPr>
          <w:p>
            <w:pPr>
              <w:ind w:left="23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c>
          <w:tcPr>
            <w:tcW w:w="40" w:type="dxa"/>
            <w:vAlign w:val="bottom"/>
          </w:tcPr>
          <w:p>
            <w:pPr>
              <w:spacing w:after="0"/>
              <w:rPr>
                <w:sz w:val="20"/>
                <w:szCs w:val="20"/>
                <w:color w:val="auto"/>
              </w:rPr>
            </w:pPr>
          </w:p>
        </w:tc>
      </w:tr>
      <w:tr>
        <w:trPr>
          <w:trHeight w:val="195"/>
        </w:trPr>
        <w:tc>
          <w:tcPr>
            <w:tcW w:w="3660" w:type="dxa"/>
            <w:vAlign w:val="bottom"/>
          </w:tcPr>
          <w:p>
            <w:pPr>
              <w:spacing w:after="0"/>
              <w:rPr>
                <w:sz w:val="16"/>
                <w:szCs w:val="16"/>
                <w:color w:val="auto"/>
              </w:rPr>
            </w:pPr>
          </w:p>
        </w:tc>
        <w:tc>
          <w:tcPr>
            <w:tcW w:w="3080" w:type="dxa"/>
            <w:vAlign w:val="bottom"/>
          </w:tcPr>
          <w:p>
            <w:pPr>
              <w:ind w:left="2320"/>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c>
          <w:tcPr>
            <w:tcW w:w="4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3080" w:type="dxa"/>
            <w:vAlign w:val="bottom"/>
          </w:tcPr>
          <w:p>
            <w:pPr>
              <w:ind w:left="232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4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3660" w:type="dxa"/>
            <w:vAlign w:val="bottom"/>
            <w:tcBorders>
              <w:bottom w:val="single" w:sz="8" w:color="010101"/>
            </w:tcBorders>
          </w:tcPr>
          <w:p>
            <w:pPr>
              <w:spacing w:after="0"/>
              <w:rPr>
                <w:sz w:val="24"/>
                <w:szCs w:val="24"/>
                <w:color w:val="auto"/>
              </w:rPr>
            </w:pPr>
          </w:p>
        </w:tc>
        <w:tc>
          <w:tcPr>
            <w:tcW w:w="3080" w:type="dxa"/>
            <w:vAlign w:val="bottom"/>
            <w:tcBorders>
              <w:bottom w:val="single" w:sz="8" w:color="010101"/>
            </w:tcBorders>
          </w:tcPr>
          <w:p>
            <w:pPr>
              <w:spacing w:after="0"/>
              <w:rPr>
                <w:sz w:val="24"/>
                <w:szCs w:val="24"/>
                <w:color w:val="auto"/>
              </w:rPr>
            </w:pPr>
          </w:p>
        </w:tc>
        <w:tc>
          <w:tcPr>
            <w:tcW w:w="4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May 6, 2010</w:t>
            </w:r>
          </w:p>
        </w:tc>
        <w:tc>
          <w:tcPr>
            <w:tcW w:w="3020" w:type="dxa"/>
            <w:vAlign w:val="bottom"/>
          </w:tcPr>
          <w:p>
            <w:pPr>
              <w:ind w:left="224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00" w:type="dxa"/>
            <w:vAlign w:val="bottom"/>
          </w:tcPr>
          <w:p>
            <w:pPr>
              <w:spacing w:after="0"/>
              <w:rPr>
                <w:sz w:val="16"/>
                <w:szCs w:val="16"/>
                <w:color w:val="auto"/>
              </w:rPr>
            </w:pPr>
          </w:p>
        </w:tc>
        <w:tc>
          <w:tcPr>
            <w:tcW w:w="302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00" w:type="dxa"/>
            <w:vAlign w:val="bottom"/>
          </w:tcPr>
          <w:p>
            <w:pPr>
              <w:spacing w:after="0"/>
              <w:rPr>
                <w:sz w:val="20"/>
                <w:szCs w:val="20"/>
                <w:color w:val="auto"/>
              </w:rPr>
            </w:pPr>
          </w:p>
        </w:tc>
        <w:tc>
          <w:tcPr>
            <w:tcW w:w="3020" w:type="dxa"/>
            <w:vAlign w:val="bottom"/>
          </w:tcPr>
          <w:p>
            <w:pPr>
              <w:ind w:left="224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May 6, 2010</w:t>
            </w:r>
          </w:p>
        </w:tc>
        <w:tc>
          <w:tcPr>
            <w:tcW w:w="3020" w:type="dxa"/>
            <w:vAlign w:val="bottom"/>
          </w:tcPr>
          <w:p>
            <w:pPr>
              <w:ind w:left="224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3600" w:type="dxa"/>
            <w:vAlign w:val="bottom"/>
          </w:tcPr>
          <w:p>
            <w:pPr>
              <w:spacing w:after="0"/>
              <w:rPr>
                <w:sz w:val="16"/>
                <w:szCs w:val="16"/>
                <w:color w:val="auto"/>
              </w:rPr>
            </w:pPr>
          </w:p>
        </w:tc>
        <w:tc>
          <w:tcPr>
            <w:tcW w:w="3020" w:type="dxa"/>
            <w:vAlign w:val="bottom"/>
          </w:tcPr>
          <w:p>
            <w:pPr>
              <w:ind w:left="2240"/>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Avery W. Catlin</w:t>
            </w:r>
          </w:p>
        </w:tc>
      </w:tr>
      <w:tr>
        <w:trPr>
          <w:trHeight w:val="216"/>
        </w:trPr>
        <w:tc>
          <w:tcPr>
            <w:tcW w:w="3600" w:type="dxa"/>
            <w:vAlign w:val="bottom"/>
          </w:tcPr>
          <w:p>
            <w:pPr>
              <w:spacing w:after="0"/>
              <w:rPr>
                <w:sz w:val="18"/>
                <w:szCs w:val="18"/>
                <w:color w:val="auto"/>
              </w:rPr>
            </w:pPr>
          </w:p>
        </w:tc>
        <w:tc>
          <w:tcPr>
            <w:tcW w:w="3020" w:type="dxa"/>
            <w:vAlign w:val="bottom"/>
          </w:tcPr>
          <w:p>
            <w:pPr>
              <w:ind w:left="224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2019-12-10T04:55:15Z</dcterms:created>
  <dcterms:modified xsi:type="dcterms:W3CDTF">2019-12-10T04:55:15Z</dcterms:modified>
</cp:coreProperties>
</file>