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660" w:right="400" w:hanging="328"/>
        <w:spacing w:after="0" w:line="262"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340" w:hanging="328"/>
        <w:spacing w:after="0" w:line="262" w:lineRule="auto"/>
        <w:tabs>
          <w:tab w:leader="none" w:pos="56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000-15006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CELLDEX THERAPEUTICS,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No. 13-3191702</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6" w:lineRule="exact"/>
        <w:rPr>
          <w:sz w:val="24"/>
          <w:szCs w:val="24"/>
          <w:color w:val="auto"/>
        </w:rPr>
      </w:pPr>
    </w:p>
    <w:p>
      <w:pPr>
        <w:sectPr>
          <w:pgSz w:w="11900" w:h="16838" w:orient="portrait"/>
          <w:cols w:equalWidth="0" w:num="2">
            <w:col w:w="6600" w:space="720"/>
            <w:col w:w="4100"/>
          </w:cols>
          <w:pgMar w:left="240" w:top="229"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Perryville III Building, 53 Frontage Road, Suite 220, Hampton, New Jersey 08827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200-7500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CLDX</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76" w:lineRule="exact"/>
        <w:rPr>
          <w:sz w:val="24"/>
          <w:szCs w:val="24"/>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176"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00" w:lineRule="exact"/>
        <w:rPr>
          <w:sz w:val="24"/>
          <w:szCs w:val="24"/>
          <w:color w:val="auto"/>
        </w:rPr>
      </w:pPr>
    </w:p>
    <w:p>
      <w:pPr>
        <w:sectPr>
          <w:pgSz w:w="11900" w:h="16838" w:orient="portrait"/>
          <w:cols w:equalWidth="0" w:num="2">
            <w:col w:w="7280" w:space="720"/>
            <w:col w:w="3420"/>
          </w:cols>
          <w:pgMar w:left="240" w:top="229" w:right="239" w:bottom="1440" w:gutter="0" w:footer="0" w:header="0"/>
          <w:type w:val="continuous"/>
        </w:sectPr>
      </w:pPr>
    </w:p>
    <w:p>
      <w:pPr>
        <w:spacing w:after="0" w:line="25"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x</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200" w:lineRule="exact"/>
        <w:rPr>
          <w:sz w:val="24"/>
          <w:szCs w:val="24"/>
          <w:color w:val="auto"/>
        </w:rPr>
      </w:pPr>
    </w:p>
    <w:p>
      <w:pPr>
        <w:sectPr>
          <w:pgSz w:w="11900" w:h="16838" w:orient="portrait"/>
          <w:cols w:equalWidth="0" w:num="2">
            <w:col w:w="6900" w:space="720"/>
            <w:col w:w="3800"/>
          </w:cols>
          <w:pgMar w:left="240" w:top="229" w:right="239" w:bottom="1440" w:gutter="0" w:footer="0" w:header="0"/>
          <w:type w:val="continuous"/>
        </w:sectPr>
      </w:pPr>
    </w:p>
    <w:p>
      <w:pPr>
        <w:spacing w:after="0" w:line="18"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30, 2019, 13,768,878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gridSpan w:val="10"/>
            <w:vMerge w:val="restart"/>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 Financial Information</w:t>
              </w:r>
            </w:hyperlink>
          </w:p>
        </w:tc>
        <w:tc>
          <w:tcPr>
            <w:tcW w:w="7960" w:type="dxa"/>
            <w:vAlign w:val="bottom"/>
            <w:gridSpan w:val="9"/>
            <w:vMerge w:val="restart"/>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10"/>
            <w:vMerge w:val="continue"/>
          </w:tcPr>
          <w:p>
            <w:pPr>
              <w:spacing w:after="0"/>
              <w:rPr>
                <w:sz w:val="13"/>
                <w:szCs w:val="13"/>
                <w:color w:val="auto"/>
              </w:rPr>
            </w:pPr>
          </w:p>
        </w:tc>
        <w:tc>
          <w:tcPr>
            <w:tcW w:w="7960" w:type="dxa"/>
            <w:vAlign w:val="bottom"/>
            <w:gridSpan w:val="9"/>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022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Unaudited Financial Statements</w:t>
              </w:r>
            </w:hyperlink>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at March 31, 2019 and December 31, 2018</w:t>
              </w:r>
            </w:hyperlink>
          </w:p>
        </w:tc>
        <w:tc>
          <w:tcPr>
            <w:tcW w:w="3960" w:type="dxa"/>
            <w:vAlign w:val="bottom"/>
            <w:gridSpan w:val="4"/>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Loss for the Three Months Ended March 31, 2019 and 2018</w:t>
              </w:r>
            </w:hyperlink>
          </w:p>
        </w:tc>
        <w:tc>
          <w:tcPr>
            <w:tcW w:w="5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4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for the Three Months Ended March 31, 2019 and 2018</w:t>
              </w:r>
            </w:hyperlink>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Unaudited Condensed Consolidated Financial Statements</w:t>
              </w:r>
            </w:hyperlink>
          </w:p>
        </w:tc>
        <w:tc>
          <w:tcPr>
            <w:tcW w:w="2900" w:type="dxa"/>
            <w:vAlign w:val="bottom"/>
            <w:tcBorders>
              <w:top w:val="single" w:sz="8" w:color="0000EE"/>
            </w:tcBorders>
            <w:gridSpan w:val="3"/>
          </w:tcPr>
          <w:p>
            <w:pPr>
              <w:spacing w:after="0"/>
              <w:rPr>
                <w:sz w:val="24"/>
                <w:szCs w:val="24"/>
                <w:color w:val="auto"/>
              </w:rPr>
            </w:pPr>
          </w:p>
        </w:tc>
        <w:tc>
          <w:tcPr>
            <w:tcW w:w="2340" w:type="dxa"/>
            <w:vAlign w:val="bottom"/>
            <w:gridSpan w:val="2"/>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3"/>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w:t>
              </w:r>
            </w:hyperlink>
          </w:p>
        </w:tc>
        <w:tc>
          <w:tcPr>
            <w:tcW w:w="9680" w:type="dxa"/>
            <w:vAlign w:val="bottom"/>
            <w:gridSpan w:val="15"/>
          </w:tcPr>
          <w:p>
            <w:pPr>
              <w:ind w:left="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3.</w:t>
              </w:r>
            </w:hyperlink>
          </w:p>
        </w:tc>
        <w:tc>
          <w:tcPr>
            <w:tcW w:w="6480" w:type="dxa"/>
            <w:vAlign w:val="bottom"/>
            <w:tcBorders>
              <w:top w:val="single" w:sz="8" w:color="0000EE"/>
            </w:tcBorders>
            <w:gridSpan w:val="12"/>
          </w:tcPr>
          <w:p>
            <w:pPr>
              <w:ind w:lef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Quantitative and Qualitative Disclosures About Market Risk</w:t>
              </w:r>
            </w:hyperlink>
          </w:p>
        </w:tc>
        <w:tc>
          <w:tcPr>
            <w:tcW w:w="3200" w:type="dxa"/>
            <w:vAlign w:val="bottom"/>
            <w:gridSpan w:val="3"/>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4.</w:t>
              </w:r>
            </w:hyperlink>
          </w:p>
        </w:tc>
        <w:tc>
          <w:tcPr>
            <w:tcW w:w="1800" w:type="dxa"/>
            <w:vAlign w:val="bottom"/>
            <w:tcBorders>
              <w:top w:val="single" w:sz="8" w:color="0000EE"/>
              <w:bottom w:val="single" w:sz="8" w:color="0000EE"/>
            </w:tcBorders>
            <w:gridSpan w:val="7"/>
          </w:tcPr>
          <w:p>
            <w:pPr>
              <w:ind w:left="20"/>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Controls and Procedures</w:t>
              </w:r>
            </w:hyperlink>
          </w:p>
        </w:tc>
        <w:tc>
          <w:tcPr>
            <w:tcW w:w="2580" w:type="dxa"/>
            <w:vAlign w:val="bottom"/>
            <w:tcBorders>
              <w:top w:val="single" w:sz="8" w:color="0000EE"/>
            </w:tcBorders>
            <w:gridSpan w:val="2"/>
          </w:tcPr>
          <w:p>
            <w:pPr>
              <w:spacing w:after="0"/>
              <w:rPr>
                <w:sz w:val="24"/>
                <w:szCs w:val="24"/>
                <w:color w:val="auto"/>
              </w:rPr>
            </w:pPr>
          </w:p>
        </w:tc>
        <w:tc>
          <w:tcPr>
            <w:tcW w:w="5300" w:type="dxa"/>
            <w:vAlign w:val="bottom"/>
            <w:gridSpan w:val="6"/>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10400" w:type="dxa"/>
            <w:vAlign w:val="bottom"/>
            <w:gridSpan w:val="19"/>
          </w:tcPr>
          <w:p>
            <w:pPr>
              <w:spacing w:after="0"/>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Part II — Other Information</w:t>
              </w:r>
            </w:hyperlink>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1A. Risk Factors</w:t>
              </w:r>
            </w:hyperlink>
          </w:p>
        </w:tc>
        <w:tc>
          <w:tcPr>
            <w:tcW w:w="460" w:type="dxa"/>
            <w:vAlign w:val="bottom"/>
            <w:tcBorders>
              <w:top w:val="single" w:sz="8" w:color="0000EE"/>
            </w:tcBorders>
          </w:tcPr>
          <w:p>
            <w:pPr>
              <w:spacing w:after="0"/>
              <w:rPr>
                <w:sz w:val="24"/>
                <w:szCs w:val="24"/>
                <w:color w:val="auto"/>
              </w:rPr>
            </w:pPr>
          </w:p>
        </w:tc>
        <w:tc>
          <w:tcPr>
            <w:tcW w:w="8160" w:type="dxa"/>
            <w:vAlign w:val="bottom"/>
            <w:gridSpan w:val="10"/>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3"/>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6.</w:t>
              </w:r>
            </w:hyperlink>
          </w:p>
        </w:tc>
        <w:tc>
          <w:tcPr>
            <w:tcW w:w="9680" w:type="dxa"/>
            <w:vAlign w:val="bottom"/>
            <w:gridSpan w:val="15"/>
          </w:tcPr>
          <w:p>
            <w:pPr>
              <w:ind w:lef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60" w:type="dxa"/>
            <w:vAlign w:val="bottom"/>
            <w:gridSpan w:val="1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0" w:type="dxa"/>
            <w:vAlign w:val="bottom"/>
            <w:gridSpan w:val="19"/>
          </w:tcPr>
          <w:p>
            <w:pPr>
              <w:spacing w:after="0"/>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Exhibit Index</w:t>
              </w:r>
            </w:hyperlink>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1060" w:type="dxa"/>
            <w:vAlign w:val="bottom"/>
            <w:tcBorders>
              <w:top w:val="single" w:sz="8" w:color="0000EE"/>
            </w:tcBorders>
            <w:gridSpan w:val="6"/>
          </w:tcPr>
          <w:p>
            <w:pPr>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Signatures</w:t>
              </w:r>
            </w:hyperlink>
          </w:p>
        </w:tc>
        <w:tc>
          <w:tcPr>
            <w:tcW w:w="9340" w:type="dxa"/>
            <w:vAlign w:val="bottom"/>
            <w:gridSpan w:val="13"/>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20" w:type="dxa"/>
            <w:vAlign w:val="bottom"/>
            <w:gridSpan w:val="10"/>
          </w:tcPr>
          <w:p>
            <w:pPr>
              <w:jc w:val="right"/>
              <w:ind w:right="68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96"/>
        </w:trPr>
        <w:tc>
          <w:tcPr>
            <w:tcW w:w="7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24,310</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69,712</w:t>
            </w:r>
          </w:p>
        </w:tc>
      </w:tr>
      <w:tr>
        <w:trPr>
          <w:trHeight w:val="216"/>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3,162</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1,895</w:t>
            </w:r>
          </w:p>
        </w:tc>
      </w:tr>
      <w:tr>
        <w:trPr>
          <w:trHeight w:val="210"/>
        </w:trPr>
        <w:tc>
          <w:tcPr>
            <w:tcW w:w="768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48,690</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r>
      <w:tr>
        <w:trPr>
          <w:trHeight w:val="250"/>
        </w:trPr>
        <w:tc>
          <w:tcPr>
            <w:tcW w:w="76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147,577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155,809</w:t>
            </w:r>
          </w:p>
        </w:tc>
        <w:tc>
          <w:tcPr>
            <w:tcW w:w="100" w:type="dxa"/>
            <w:vAlign w:val="bottom"/>
            <w:tcBorders>
              <w:bottom w:val="single" w:sz="8" w:color="CCEEFF"/>
            </w:tcBorders>
          </w:tcPr>
          <w:p>
            <w:pPr>
              <w:spacing w:after="0"/>
              <w:rPr>
                <w:sz w:val="21"/>
                <w:szCs w:val="21"/>
                <w:color w:val="auto"/>
              </w:rPr>
            </w:pPr>
          </w:p>
        </w:tc>
      </w:tr>
      <w:tr>
        <w:trPr>
          <w:trHeight w:val="170"/>
        </w:trPr>
        <w:tc>
          <w:tcPr>
            <w:tcW w:w="76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7,007</w:t>
            </w:r>
          </w:p>
        </w:tc>
      </w:tr>
      <w:tr>
        <w:trPr>
          <w:trHeight w:val="216"/>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Other Long-Term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4,526</w:t>
            </w:r>
          </w:p>
        </w:tc>
      </w:tr>
      <w:tr>
        <w:trPr>
          <w:trHeight w:val="210"/>
        </w:trPr>
        <w:tc>
          <w:tcPr>
            <w:tcW w:w="768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19,147</w:t>
            </w:r>
          </w:p>
        </w:tc>
      </w:tr>
      <w:tr>
        <w:trPr>
          <w:trHeight w:val="210"/>
        </w:trPr>
        <w:tc>
          <w:tcPr>
            <w:tcW w:w="76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100" w:type="dxa"/>
            <w:vAlign w:val="bottom"/>
            <w:tcBorders>
              <w:bottom w:val="single" w:sz="8" w:color="CCEEFF"/>
            </w:tcBorders>
          </w:tcPr>
          <w:p>
            <w:pPr>
              <w:spacing w:after="0"/>
              <w:rPr>
                <w:sz w:val="18"/>
                <w:szCs w:val="18"/>
                <w:color w:val="auto"/>
              </w:rPr>
            </w:pPr>
          </w:p>
        </w:tc>
      </w:tr>
      <w:tr>
        <w:trPr>
          <w:trHeight w:val="196"/>
        </w:trPr>
        <w:tc>
          <w:tcPr>
            <w:tcW w:w="7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 Shares Issued and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Outstanding at March 31, 2019 and December 31, 2018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297,000,000 Shares Authorized; 12,844,711 and 11,957,635 Shares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and Outstanding at March 31, 2019 and December 31, 2018,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1,089,755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1,083,903</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2,583</w:t>
            </w:r>
          </w:p>
        </w:tc>
      </w:tr>
      <w:tr>
        <w:trPr>
          <w:trHeight w:val="216"/>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(979,677)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(962,438)</w:t>
            </w:r>
          </w:p>
        </w:tc>
      </w:tr>
      <w:tr>
        <w:trPr>
          <w:trHeight w:val="210"/>
        </w:trPr>
        <w:tc>
          <w:tcPr>
            <w:tcW w:w="76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124,060</w:t>
            </w:r>
          </w:p>
        </w:tc>
        <w:tc>
          <w:tcPr>
            <w:tcW w:w="100" w:type="dxa"/>
            <w:vAlign w:val="bottom"/>
            <w:tcBorders>
              <w:bottom w:val="single" w:sz="8" w:color="CCEEFF"/>
            </w:tcBorders>
          </w:tcPr>
          <w:p>
            <w:pPr>
              <w:spacing w:after="0"/>
              <w:rPr>
                <w:sz w:val="18"/>
                <w:szCs w:val="18"/>
                <w:color w:val="auto"/>
              </w:rPr>
            </w:pPr>
          </w:p>
        </w:tc>
      </w:tr>
      <w:tr>
        <w:trPr>
          <w:trHeight w:val="210"/>
        </w:trPr>
        <w:tc>
          <w:tcPr>
            <w:tcW w:w="7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Impairment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Loss/(Gain) on Fair Value Remeasurement of Contingent Consideration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1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(118,132)</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Calculating Basic and Diluted Net Loss Per Share</w:t>
            </w: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(17,239)</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(118,137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and Premium of Marketable Securities, Net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 Impairment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Loss/(Gain) on Fair Value Remeasurement of Contingent Consideration</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Income Tax Benefit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Stock from Employee Benefit Plans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Investing Activities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construction in progress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Supplemental Disclosure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to former Kolltan executive for settlement of severance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balances and transactions have been eliminated in consolidation.</w:t>
      </w:r>
    </w:p>
    <w:p>
      <w:pPr>
        <w:spacing w:after="0" w:line="17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2018, which are included in the Company’s Annual Report on Form 10-K filed with the Securities and Exchange Commission on March 7, 2019.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any future interim period or the fiscal year ending December 31, 2019.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2019, the Company had cash, cash equivalents and marketable securities of $85.1 million. The Company has had recurring losses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a loss of $17.2 million for the three months ended March 31, 2019. Net cash used in operations for the three months ended March 31, 2019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 million. The Company believes that the cash, cash equivalents and marketable securities at May 7, 2019 will be sufficient to meet estimated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requirements and fund planned operations for at least the next twelve months from the date of issuance of these financial statements.</w:t>
      </w:r>
    </w:p>
    <w:p>
      <w:pPr>
        <w:spacing w:after="0" w:line="20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approved a one for fifteen reverse stock split of the Company’s outstanding common stock, which was effected on February 8, 2019. All share and per share amounts in the financial statements have been retroactively adjusted for all periods presented to give effect to the reverse stock split, including reclassifying an amount equal to the reduction in par value to additional paid-in capital.</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right="400" w:firstLine="630"/>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on Form 10-Q for the three months ended March 31, 2019 are consistent with those discussed in Note 2 to the financial statements in our Annual Report on Form 10-K for the year ended December 31, 2018, except as it relates to the adoption of new accounting standards during the first three months of 2019 as discussed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Newly Adopted Accounting Pronouncements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January 1, 2019, the Company adopted a new U.S. GAAP accounting standard which requires that all lessees recognize the assets and liabilities that arise from leases on the balance sheet and disclose qualitative and quantitative information about its leasing arrangements. The new standard was adopted using the modified retrospective transition method, which requires the Company to apply the standard as of the effective date and does not require restatement of prior periods. The Company elected to apply the package of practical expedients, which allowed the Company to not reassess: (i) whether expired or existing contracts contain leases; (ii) lease classification for any expired or existing leases; and (iii) initial direct costs for any existing leases. Adoption of this standard did not have a material impact on the Company’s Consolidated Statement of Operations and Comprehensive Loss or Statement of Cash Flow, however, upon adoption, the Company recorded right-of-use assets of $3.8 million and lease liabilities of $4.7 million on its Consolidated Balance Sheet related to the Company’s operating leases. The difference between the right-of-use assets and lease liabilities recorded upon adoption is due to certain adjustments required to the right-of-use assets for prepaid rent and accrued termination expenses. Refer to Note 5 “Leases” for the Company’s updated lease accounting policy and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2020. We are currently evaluating the potential impact that this standard may have on the Company’s consolidated financial statements and related disclosures.</w:t>
      </w:r>
    </w:p>
    <w:p>
      <w:pPr>
        <w:spacing w:after="0" w:line="18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August 2018, the FASB issued amendments that modify certain disclosure requirements for fair value measurements. The amendments become effective, including interim periods, beginning January 1, 2020. Early adoption, of all the amendments or only the provisions that eliminate or modify the requirements, is permitted. The adoption of this new guidance is not expected to have a material impact on the Company’s consolidated financial statements and related disclosures.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November 2018, the FASB issued guidance to clarify the interaction between the accounting guidance for collaborative arrangements and revenue from contracts with customers. The amendments become effective, including interim periods, beginning January 1, 2020. Early adoption, including adoption in an interim period, is permitted. This guidance is required to be applied retrospectively as of the date of our adoption of the new revenue standard on January 1, 2018. We are currently evaluating the timing of our adoption and the expected impact this guidance could have on our consolidated financial statements and related disclosures.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and liabilities subject to fair value measurements: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ind w:left="10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21,432</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21,432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53,535</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53,535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74,967</w:t>
            </w: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Kolltan acquisition contingent consideration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15,298</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15,298</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ind w:left="10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15,755</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15,755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69,712</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69,712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85,467</w:t>
            </w: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Kolltan acquisition contingent consideration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13,779</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13,779</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assets consist mainly of money market funds and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activity for the Company’s contingent consideration liabilities measured at fair value using Level 3 inputs for the three months ended March 31, 2019 (in thousands):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Liabilities:</w:t>
            </w:r>
          </w:p>
        </w:tc>
      </w:tr>
      <w:tr>
        <w:trPr>
          <w:trHeight w:val="149"/>
        </w:trPr>
        <w:tc>
          <w:tcPr>
            <w:tcW w:w="6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Contingent</w:t>
            </w:r>
          </w:p>
        </w:tc>
      </w:tr>
      <w:tr>
        <w:trPr>
          <w:trHeight w:val="173"/>
        </w:trPr>
        <w:tc>
          <w:tcPr>
            <w:tcW w:w="64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10"/>
        </w:trPr>
        <w:tc>
          <w:tcPr>
            <w:tcW w:w="6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13,779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 included in operating expenses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1,519</w:t>
            </w:r>
          </w:p>
        </w:tc>
      </w:tr>
      <w:tr>
        <w:trPr>
          <w:trHeight w:val="21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valuation technique used to measure fair value of the Company’s Level 3 liabilities, which consist of contingent consideration related to the acquisition of Kolltan in 2016, was primarily an income approach. The Company may be required to pay future consideration of up to $127.5 million that is contingent upon the achievement of specified development, regulatory approvals or sales-based milestone events.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recorded a $1.5 million loss on fair value remeasurement of contingent consideration, primarily due to changes in discount rates and the passage of time. During the three months ended March 31, 2018, the Company recorded a $13.6 million gain on fair value remeasurement of contingent consideration, primarily due to updated assumptions for Glemba-related milestones due to the METRIC failure and discontinuation of the Glemba program.</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of assets or liabilities between the fair value measurement classifications during the three months ended March 31, 2019.</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marketable securities, classified as available-for-sale: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00" w:type="dxa"/>
            <w:vAlign w:val="bottom"/>
          </w:tcPr>
          <w:p>
            <w:pPr>
              <w:spacing w:after="0"/>
              <w:rPr>
                <w:sz w:val="10"/>
                <w:szCs w:val="10"/>
                <w:color w:val="auto"/>
              </w:rPr>
            </w:pPr>
          </w:p>
        </w:tc>
        <w:tc>
          <w:tcPr>
            <w:tcW w:w="12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0"/>
                <w:szCs w:val="10"/>
                <w:color w:val="auto"/>
              </w:rPr>
            </w:pPr>
          </w:p>
        </w:tc>
        <w:tc>
          <w:tcPr>
            <w:tcW w:w="10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U.S. government and municipal obligations (maturing in one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 or less)</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17,641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 (maturing in one year or less)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35,888</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2"/>
              </w:rPr>
              <w:t>53,529</w:t>
            </w:r>
          </w:p>
        </w:tc>
        <w:tc>
          <w:tcPr>
            <w:tcW w:w="300" w:type="dxa"/>
            <w:vAlign w:val="bottom"/>
            <w:vMerge w:val="continue"/>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53,535</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government and municipal obligations (maturing in one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year or less)</w:t>
            </w:r>
          </w:p>
        </w:tc>
        <w:tc>
          <w:tcPr>
            <w:tcW w:w="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27,355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 (maturing in one year or less)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42,370</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2"/>
              </w:rPr>
              <w:t>69,725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holds investment-grade marketable securities, and none were in a continuous unrealized loss position for more than twelve months as of March 31, 2019 and December 31, 2018. The unrealized losses are attributable to changes in interest rates and the Company does not believe any unrealized losses represent other-than-temporary impairments. Marketable securities include $0.1 million in accrued interest at March 31, 2019 and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of office and laboratory space, which have remaining lease terms of one to six years and may include one or more options to renew or terminate early.</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2019, the Company amended its Hampton, New Jersey lease to eliminate 16,200 square feet of space and extend the remaining 33,400 square feet of space for an additional five-year term with an early termination option after three years. The Company recorded an additional right-of-use asset and lease liability of $1.4 million for the initial 3 years related to the amendment.</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Operating lease expense and variable lease expense was $0.7 million and $0.4 million for the three months ended March 31, 2019, respectively. Operating cash flows used for operating leases during the three months ended March 31, 2019 was $0.9 million. As of March 31, 2019, the weighted-average remaining lease term was 2 years and the weighted-average discount rate was 11.3%.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7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March 31, 2019 were as follows: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460" w:type="dxa"/>
            <w:vAlign w:val="bottom"/>
            <w:gridSpan w:val="2"/>
            <w:shd w:val="clear" w:color="auto" w:fill="CCEEFF"/>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prior lease accounting guidance, operating lease obligations, including estimated variable lease obligations, as of December 31, 2018 were as follows: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4,648</w:t>
            </w:r>
          </w:p>
        </w:tc>
        <w:tc>
          <w:tcPr>
            <w:tcW w:w="8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3,140</w:t>
            </w:r>
          </w:p>
        </w:tc>
        <w:tc>
          <w:tcPr>
            <w:tcW w:w="8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and Goodwill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discontinuation of the Glemba program, the Company concluded that the finite-lived intangible asset related to its Amgen Fremont license rights to develop and commercialize Glemba was fully impaired and a non-cash impairment charge of $6.9 million was recorded in the first quarter of 2018. Amortization expense related to this finite-lived intangible asset was $0.0 million and $0.2 million for the three months ended March 31, 2019 and 2018, respectively.</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2019 and 2018, the Company recorded indefinite-lived intangible assets of $48.7 million. Indefinite-lived intangible assets consist of acquired in-process research and development (“IPR&amp;D”) related to the development of CDX-3379, the anti-KIT program and the TAM program. CDX-3379 is in Phase 2 development. The anti-KIT and TAM programs are in preclinical development. As of March 31, 2019, none of the Company’s IPR&amp;D assets had reached technological feasibility nor did any have alternative future uses.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an impairment test on IPR&amp;D assets at least annually, or more frequently if events or changes in circumstances indicate that IPR&amp;D assets may be impaired. As a result of the discontinuation of the Glemba program, the Company concluded that the Glemba IPR&amp;D asset was fully impaired and a non-cash impairment charge of $11.8 million was recorded in the first quarter of 2018.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evaluated goodwill for potential impairment due to the discontinuation of the Glemba program. The carrying amount of the Company was compared to the Company’s fair value. The Company’s fair value assessment reflected a number of significant management assumptions and estimates including the Company’s probability forecasts for pipeline assets, income taxes, capital expenditures, market premium and changes in working capital requirements. Changes in these assumptions and/or discount rates could materially impact the Company’s conclusions. Through this assessment, it was determined that the carrying amount of the Company exceeded its fair value by over $91.0 million. As such, the full goodwill asset was considered impaired and a charge of $91.0 million was recorded during the first quarter of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Assets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2016, the Company entered into a research and collaboration agreement with an undisclosed private company to access novel technologies and paid $3.5 million to support research activities and make an investment in the private company. The Company recorded $1.8 million to other assets related to this investment and $1.7 million was recorded to research and development expense over the term of the research activities. The stock of the private company does not have a readily determinable fair value, and therefore it is measured at cost less impairment, if any. Based on information received in April 2019, it was determined that there was a deterioration of the private company’s financial condition due to a working capital deficiency and an inability to secure additional</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funding as of March 31, 2019. Therefore, the Company concluded that the investment is impaired, and a non-cash impairment charge of $1.8 million was recorded for the three months ended March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Long-Term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0" w:type="dxa"/>
            <w:vAlign w:val="bottom"/>
          </w:tcPr>
          <w:p>
            <w:pPr>
              <w:spacing w:after="0"/>
              <w:rPr>
                <w:sz w:val="15"/>
                <w:szCs w:val="15"/>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42"/>
        </w:trPr>
        <w:tc>
          <w:tcPr>
            <w:tcW w:w="7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gridSpan w:val="4"/>
          </w:tcPr>
          <w:p>
            <w:pPr>
              <w:jc w:val="right"/>
              <w:ind w:right="11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 Related to IPR&amp;D (Note 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3,007</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4,014</w:t>
            </w: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4,218</w:t>
            </w:r>
          </w:p>
        </w:tc>
        <w:tc>
          <w:tcPr>
            <w:tcW w:w="8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Contingent Milestones (Note 3)</w:t>
            </w: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15,298</w:t>
            </w: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13,779</w:t>
            </w:r>
          </w:p>
        </w:tc>
        <w:tc>
          <w:tcPr>
            <w:tcW w:w="8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(Note 12)</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shd w:val="clear" w:color="auto" w:fill="CCEEFF"/>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(2,777)</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(4,526)</w:t>
            </w: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November 2015 and December 2014, the Company received approval from the New Jersey Economic Development Authority and agreed to sell New Jersey tax benefits of $9.8 million and $1.9 million to an independent third party for $9.2 million and $1.8 million, respectively. Under the agreement, the Company must maintain a base of operations in New Jersey for five years or the tax benefits must be paid back on a pro-rata basis based on the number of years completed. The Company recognized $0.2 million and $0.4 million in other income related to the sale of these tax benefits during the three months ended March 31, 2019 and 2018,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In November 2017, the Company filed a prospectus supplement registering the offer and sale of shares of common stock of up to an additional $75.0 million under the agreement with Cantor. During the three months ended March 31, 2019, the Company issued 883,569 shares of common stock under this controlled equity offering sales agreement with Cantor resulting in net proceeds of $4.2 million after deducting commission and offering expenses. At March 31, 2019, the Company had $33.3 million remaining in aggregate gross offering price available under the Cantor agreement. In April 2019, the Company issued 924,167 shares of its common stock resulting in net proceeds to the Company of $4.1 million.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Stockholders’ Equity during the three months ended March 31, 2019 and 2018 are summarized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Balance at December 31,</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9,234,693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1,046,313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(812,517)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236,369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9,453</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Connection with Cantor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312,802</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11,689</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Connection with</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Kolltan Severance</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2,488</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of ASC 606</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(118,132)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Balance at March 31,</w:t>
            </w: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0" w:type="dxa"/>
            <w:vAlign w:val="bottom"/>
            <w:vMerge w:val="continue"/>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9,557,919</w:t>
            </w:r>
          </w:p>
        </w:tc>
        <w:tc>
          <w:tcPr>
            <w:tcW w:w="220" w:type="dxa"/>
            <w:vAlign w:val="bottom"/>
            <w:vMerge w:val="restart"/>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vMerge w:val="restart"/>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1,060,902</w:t>
            </w:r>
          </w:p>
        </w:tc>
        <w:tc>
          <w:tcPr>
            <w:tcW w:w="220" w:type="dxa"/>
            <w:vAlign w:val="bottom"/>
            <w:vMerge w:val="restart"/>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20" w:type="dxa"/>
            <w:vAlign w:val="bottom"/>
            <w:vMerge w:val="restart"/>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(929,388)</w:t>
            </w: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Balance at December 31,</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11,957,635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1,083,903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2,583</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(962,438)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124,060</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Connection with Cantor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883,569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(17,239)</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(17,239)</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Balance at March 31,</w:t>
            </w: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0" w:type="dxa"/>
            <w:vAlign w:val="bottom"/>
            <w:vMerge w:val="continue"/>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12,844,711</w:t>
            </w:r>
          </w:p>
        </w:tc>
        <w:tc>
          <w:tcPr>
            <w:tcW w:w="220" w:type="dxa"/>
            <w:vAlign w:val="bottom"/>
            <w:vMerge w:val="restart"/>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1,089,755</w:t>
            </w:r>
          </w:p>
        </w:tc>
        <w:tc>
          <w:tcPr>
            <w:tcW w:w="220" w:type="dxa"/>
            <w:vAlign w:val="bottom"/>
            <w:vMerge w:val="restart"/>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20" w:type="dxa"/>
            <w:vAlign w:val="bottom"/>
            <w:vMerge w:val="restart"/>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(979,677)</w:t>
            </w: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112,693</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2019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Term (In Years)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4.88</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125.69</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2019</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92.42</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March 31, 2019</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95.77</w:t>
            </w:r>
          </w:p>
        </w:tc>
        <w:tc>
          <w:tcPr>
            <w:tcW w:w="1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800,868</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March 31, 2019</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416,737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163.47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the 2008 Plan</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387,138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three month period ended March 31, 2019 was $3.67. Stock-based compensation expense for the three months ended March 31, 2019 and 2018 was recorded as follows: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gridSpan w:val="4"/>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756</w:t>
            </w:r>
          </w:p>
        </w:tc>
        <w:tc>
          <w:tcPr>
            <w:tcW w:w="10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18"/>
                <w:szCs w:val="18"/>
                <w:color w:val="auto"/>
              </w:rPr>
            </w:pPr>
          </w:p>
        </w:tc>
      </w:tr>
      <w:tr>
        <w:trPr>
          <w:trHeight w:val="210"/>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employee and director stock options granted during the three months ended March 31, 2019 and 2018 were valued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 with the following assumptions: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1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52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374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6.0 Years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6.0 Years</w:t>
            </w: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74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None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52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4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which is reported as a component of stockholders’ equity,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are summarized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140" w:type="dxa"/>
            <w:vAlign w:val="bottom"/>
          </w:tcPr>
          <w:p>
            <w:pPr>
              <w:spacing w:after="0"/>
              <w:rPr>
                <w:sz w:val="12"/>
                <w:szCs w:val="12"/>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 amounts were reclassified out of accumulated other comprehensive income during the three months ended March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and Licensing Revenue</w:t>
      </w:r>
    </w:p>
    <w:p>
      <w:pPr>
        <w:spacing w:after="0" w:line="227" w:lineRule="exact"/>
        <w:rPr>
          <w:sz w:val="20"/>
          <w:szCs w:val="20"/>
          <w:color w:val="auto"/>
        </w:rPr>
      </w:pPr>
    </w:p>
    <w:p>
      <w:pPr>
        <w:jc w:val="both"/>
        <w:ind w:right="20" w:firstLine="648"/>
        <w:spacing w:after="0" w:line="212" w:lineRule="auto"/>
        <w:rPr>
          <w:sz w:val="20"/>
          <w:szCs w:val="20"/>
          <w:color w:val="auto"/>
        </w:rPr>
      </w:pPr>
      <w:r>
        <w:rPr>
          <w:rFonts w:ascii="Times New Roman" w:cs="Times New Roman" w:eastAsia="Times New Roman" w:hAnsi="Times New Roman"/>
          <w:sz w:val="18"/>
          <w:szCs w:val="18"/>
          <w:color w:val="auto"/>
        </w:rPr>
        <w:t>The Company’s primary product development and licensing revenue is associated with a clinical collaboration agreement with BMS entered into in 2014 to evaluate the safety, tolerability and preliminary efficacy of varlilumab and Opdivo</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18"/>
          <w:szCs w:val="18"/>
          <w:color w:val="auto"/>
        </w:rPr>
        <w:t>, BMS’s PD-1 immune checkpoint inhibitor, in a Phase 1/2 study. Under this agreement, BMS made an upfront payment to Celldex of $5.0 million and provides funding for 50% of the external costs incurred by the Company in connection with the clinical trial. The Company recorded $0.1 million and $0.9 million in revenue related to this agreement during the three months ended March 31, 2019 and 2018,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and Grants Revenue</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agreements with Rockefeller University and Duke University pursuant to which the Company performs manufacturing and research and development services on a time-and-materials basis. The Company recognized $1.2 million and $0.8 million in revenue for labor hours and direct costs incurred under these agreements during the three months ended March 31, 2019 and 2018, respectively.</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fixed-fee manufacturing and research and development arrangements with the International AIDS Vaccine Initiative and Frontier Biotechnologies, Inc. The Company recognized $0.1 million and $2.3 million in revenue under these agreements during the three months ended March 31, 2019 and 2018,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At December 31, 2018 and March 31, 2019, the Company’s right to consideration under all contracts was considered unconditional, and as such, there were no recorded contract assets. At December 31, 2018 and March 31, 2019, the Company had $1.6 million and $0.8 million in contract liabilities recorded, respectively. Revenue recognized from contract liabilities as of December 31, 2018 during the three months ended March 31, 2019 was $0.8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March 31, 2019 and December 31, 2018.</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net deferred tax liability of $3.0 million at March 31, 2019 and December 31, 2018 relates to the temporary differences associated with the IPR&amp;D intangible assets acquired in previous business combinations and is not deductible for tax purposes. As a result of the discontinuation of the Glemba program, the Company recorded a $0.8 million non-cash income tax benefit during the first quarter of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Massachusetts, New Jersey, Connecticut and Australia are the jurisdictions in which the Company primarily operates or has operated and has income tax nexus. The Company is not currently under examination by these or any other jurisdictions for any tax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5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836,104</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630,445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6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3,552</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4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report on Form 10-Q contains forward-looking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product candidates, which are still in an early development stage;</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animal, preclinical and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0"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timing for preclinical development, regulatory submissions, commencement and completion of clinical trials and product approvals;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strategic partnerships, where appropriate, for our drug candidates;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preclinical and clinical testing;</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attributes of our product and development candidates, including pharmaceutical properties, efficacy, safety and dosing regimens;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uncertainty of obtaining regulatory approvals for our drug candidates;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commercial-grade materials produced by our own manufacturing facility or supplied by contract manufacturers, suppliers and partners;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225" w:lineRule="exact"/>
        <w:rPr>
          <w:rFonts w:ascii="Times New Roman" w:cs="Times New Roman" w:eastAsia="Times New Roman" w:hAnsi="Times New Roman"/>
          <w:sz w:val="18"/>
          <w:szCs w:val="18"/>
          <w:color w:val="auto"/>
        </w:rPr>
      </w:pPr>
    </w:p>
    <w:p>
      <w:pPr>
        <w:ind w:left="980" w:right="260" w:hanging="324"/>
        <w:spacing w:after="0" w:line="313" w:lineRule="auto"/>
        <w:tabs>
          <w:tab w:leader="none" w:pos="9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38" w:lineRule="exact"/>
        <w:rPr>
          <w:rFonts w:ascii="Times New Roman" w:cs="Times New Roman" w:eastAsia="Times New Roman" w:hAnsi="Times New Roman"/>
          <w:sz w:val="17"/>
          <w:szCs w:val="17"/>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from the acquisition of Kolltan;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80" w:right="400" w:hanging="324"/>
        <w:spacing w:after="0" w:line="266"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w:t>
      </w:r>
    </w:p>
    <w:p>
      <w:pPr>
        <w:spacing w:after="0" w:line="176"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without infringing the intellectual property rights of third parties; and</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2018 and other reports that we file with the Securities and Exchange Commission</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immunotherapies and other targeted biologics. Our drug candidates are derived from a broad set of complementary technologies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focusing our efforts and resources on the continued research and development of:</w:t>
      </w:r>
    </w:p>
    <w:p>
      <w:pPr>
        <w:spacing w:after="0" w:line="225" w:lineRule="exact"/>
        <w:rPr>
          <w:sz w:val="20"/>
          <w:szCs w:val="20"/>
          <w:color w:val="auto"/>
        </w:rPr>
      </w:pPr>
    </w:p>
    <w:p>
      <w:pPr>
        <w:ind w:left="980" w:right="200" w:hanging="324"/>
        <w:spacing w:after="0" w:line="282"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CDX-1140, an agonist human monoclonal antibody targeted to CD40, a key activator of immune response, currently being studied as a single-agent and in combination with CDX-301 in a Phase 1 dose-escalation study in multiple types of solid tumors and B cell lymphomas;</w:t>
      </w:r>
    </w:p>
    <w:p>
      <w:pPr>
        <w:spacing w:after="0" w:line="161" w:lineRule="exact"/>
        <w:rPr>
          <w:rFonts w:ascii="Times New Roman" w:cs="Times New Roman" w:eastAsia="Times New Roman" w:hAnsi="Times New Roman"/>
          <w:sz w:val="18"/>
          <w:szCs w:val="18"/>
          <w:color w:val="auto"/>
        </w:rPr>
      </w:pPr>
    </w:p>
    <w:p>
      <w:pPr>
        <w:ind w:left="980" w:right="20" w:hanging="324"/>
        <w:spacing w:after="0" w:line="295"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CDX-3379, a human monoclonal antibody designed to block the activity of ErbB3 (HER3), currently in an early Phase 2 study in advanced head and neck squamous cell cancer in combination with Erbitux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CDX-301, a dendritic cell growth factor, currently being evaluated in a combination study with CDX-1140; and</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Varlilumab, an immune modulating antibody targeting CD27 designed to enhance a patient’s immune response, currently being evaluated for potential combination with CDX-1140, especially in lymphomas which co-express CD40 and CD27 receptors.</w:t>
      </w:r>
    </w:p>
    <w:p>
      <w:pPr>
        <w:spacing w:after="0" w:line="16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We routinely work with external parties to collaboratively advance our drug candidates. In addition to Celldex-led studies, we also have an Investigator Initiated Research (IIR) program with eight studies ongoing with our prioritized drug candidates.</w:t>
      </w:r>
    </w:p>
    <w:p>
      <w:pPr>
        <w:spacing w:after="0" w:line="16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years or more, and the length of time generally varies substantially according to the type, complexity, novelty and intended use of a drug candidate.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unusual for the clinical development of these types of drug candidates to each take five years or more, and for total development costs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for each drug candidate. We estimate that clinical trials of the type we generally conduct are typically completed over the following timelines: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173"/>
        </w:trPr>
        <w:tc>
          <w:tcPr>
            <w:tcW w:w="8900" w:type="dxa"/>
            <w:vAlign w:val="bottom"/>
            <w:gridSpan w:val="2"/>
            <w:vMerge w:val="continue"/>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3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1 - 5 Years</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1 - 5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62"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drug candidate.</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past five years through December 31, 2018, we incurred an aggregate of $469.9 million in research and development expenses. The following table indicates the amount incurred for each of our significant research programs and for other identified research and development activities during the three months ended March 31, 2019 and 2018. The amounts disclosed in the following table reflect direct research and development costs, license fees associated with the underlying technology and an allocation of indirect research and development costs to each program.</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2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142"/>
        </w:trPr>
        <w:tc>
          <w:tcPr>
            <w:tcW w:w="42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5"/>
          </w:tcPr>
          <w:p>
            <w:pPr>
              <w:jc w:val="right"/>
              <w:ind w:right="119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CDX-1140</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CDX-3379</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CDX-301</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Varlilumab</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2,510</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Anti-KIT Program</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1,686</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TAM Program</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CDX-527</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Programs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13,852</w:t>
            </w:r>
          </w:p>
        </w:tc>
      </w:tr>
      <w:tr>
        <w:trPr>
          <w:trHeight w:val="21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CDX-1140</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rapidly identify the dose for characterizing single-agent and combination activity.</w:t>
      </w:r>
    </w:p>
    <w:p>
      <w:pPr>
        <w:spacing w:after="0" w:line="18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initiated a Phase 1 study of CDX-1140 in November 2017. This study is expected to enroll up to approximately 180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is being utilized to increase the number of dendritic cells in blood and tissue available for CDX-1140 activation. CDX-1140 should, in turn, activate and mature the dendritic cells, an important step for enhancing anti-tumor immune responses.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Interim data from the Phase 1 study were presented in April 2019 at the American Association for Cancer Research (AACR) Annual Meeting. 30 patients were enrolled in the study at the time of data analysis (n=22 monotherapy; n=8 combination). Six monotherapy dosing cohorts in both solid tumors and non-Hodgkin lymphoma (NHL) (0.01, 0.03, 0.09, 0.18, 0.36 and 0.72 mg/kg) and two combination cohorts in solid tumors (0.09 and 0.18 mg/kg) with CDX-301 were completed. Enrollment to the seventh monotherapy cohort at 1.5 mg/kg and to the third CDX-301 combination cohort at 0.36 mg/kg were ongoing. In general, patients had advanced disease and were heavily pretreated (median number of prior therapies: 4 monotherapy arm; 3.5 combination arm). CDX-1140 was generally well tolerated. A maximum tolerated dose (MTD) had not been reached. Across both arms of the study, there were no high grade (Grade 3 or above) drug-related changes observed in liver function tests or platelets, including at CDX-1140 dose levels which exceed the MTDs reported with other CD40 agonists. The addition of CDX-301 did not affect the tolerability of CDX-1140 at the dose levels tested. Dose dependent biological effects consistent with CD40-mediated immune activation were reported. Higher dose levels achieved circulating antibody concentrations in the range of 20 to 30 micrograms CDX-1140 per milliliter. Transient dose-dependent pharmacodynamic effects were observed including activation of dendritic cells and B cells, along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with increases in pro-inflammatory cytokines and chemokines in the blood, all of which are consistent with CD40-mediated immune activation and the hypothesis that CDX-1140 is achieving dose levels optimal for systemic exposure. The addition of CDX-301 further enhanced cytokine responses. While not anticipated at low CDX-1140 dose levels, stable disease was observed in this heavily pretreated population.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Continued enrollment is ongoing to define the MTD and select a dose for disease-specific expansion cohorts that will be monitored for clinical activity. Future combination opportunities are also being considered, including with PD-1 or PD-L1 inhibitors, chemotherapy, radiation therapy and Celldex’s potent CD27 agonist monoclonal antibody varlilumab. Several B cell lymphomas, including diffuse large B-cell lymphoma and follicular lymphoma, also express both CD40 and CD27. Celldex’s varlilumab is a potent CD27 agonist and has been shown to synergize with CDX-1140 in NHL models. We plan to present updated data from the Phase 1 study at a future medical meeting in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CDX-3379</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 in combination with Erbitux in Erbitux-resistant, advanced head and neck squamous cell carcinoma.</w:t>
      </w:r>
    </w:p>
    <w:p>
      <w:pPr>
        <w:spacing w:after="0" w:line="189"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A Phase 1a/1b study of CDX-3379 was conducted in solid tumors. The study included a single-agent, dose-escalation portion and combination expansion cohorts. The single-agent, dose-escalation portion of the study did not identify an MTD, and there were no dose limiting toxicities. Four combination arms across multiple tumor types were added to evaluate CDX-3379 with several drugs that target EGFR, HER2 or BRAF. They include combinations with Erbitux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(n=16), Tarceva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(n=8), Zelboraf</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(n=9) and Herceptin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was considered refractory, as well as an unconfirmed partial response in a patient with thyroid cancer. Initial data were presented at the 2016 American Society of Clinical Oncology (ASCO) Annual Meeting.</w:t>
      </w:r>
    </w:p>
    <w:p>
      <w:pPr>
        <w:spacing w:after="0" w:line="19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April 2018, results from a window-of-opportunity study evaluating the effect of CDX-3379 on potential biomarkers in patients with head and neck squamous cell carcinoma (HNSCC) were presented at the American Association for Cancer Research (AACR) Annual Meeting. The study enrolled 12 patients with newly diagnosed HNSCC who received two doses of CDX-3379, at a two-week interval prior to tumor resection. CDX-3379 reduced phosphorylated ErbB3 (pErbB3) levels in 83% (10/12) of patient samples, with greater than or equal to 50% decreases in 58% of patients (7/12), which met the primary study objective. Stable disease was observed in 92% (11/12) of patients prior to surgery, and a patient with HPV-negative disease experienced significant tumor shrinkage (92% in primary tumor; 26% in metastatic lesion). CDX-3379 was well-tolerated, and no treatment-related adverse events were observed.</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Preclinical data from the combination of CDX-3379 and Erbitux in xenograft models of head and neck squamous cell carcinoma were also presented at the AACR Annual Meeting in April 2018. Combining CDX-3379 and Erbitux inhibited tumor growth more potently than Erbitux alone. Mechanistic studies demonstrated a reduction of PD-L1 expression from the combination.</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initiated an open-label Phase 2 study in combination with Erbitux in approximately 30 patients with human papillomavirus (HPV) negative, Erbitux-resistant, advanced head and neck squamous cell carcinoma who have previously been treated with an anti-PD1 checkpoint inhibitor, a population with limited options and a particularly poor prognosis. We opened the study to enrollment in November 2017. The study employs a Simon two-stage design with an interim futility analysis following enrollment of the first 13 patients. According to the study’s two-stage design, if at least one patient achieves an objective response in the first stage, enrollment may progress to the second stage. Enrollment to the first stage of the Phase 2 study (n=13) is complete. While a confirmed complete response has been documented, Celldex will conduct a comprehensive review, including the full data set, before making decisions on future development, as patients are still undergoing treatment and are eligible for evaluation. The primary objective of the study is objective response rate. Secondary objectives include assessments of clinical benefit response (CBR), duration of response (DOR), progression-free survival (PFS) and overall survival (OS), and safety and pharmacokinetics associated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with the combination. We plan to present updated data from the study at the 2019 ASCO Annual Meeting in June. CDX-3379 is also being studied in an investigator-sponsored study.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Varlilumab</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Varlilumab is a fully human agonist monoclonal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Varlilumab was initially studied as a single-agent to establish a safety profile and assess immunologic and clinical activity in patients with cancer, but we believe the greatest opportunity for varlilumab is as an immune activator in combination with other agents.</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Single-Agent Phase 1 Study: </w:t>
      </w:r>
      <w:r>
        <w:rPr>
          <w:rFonts w:ascii="Times New Roman" w:cs="Times New Roman" w:eastAsia="Times New Roman" w:hAnsi="Times New Roman"/>
          <w:sz w:val="18"/>
          <w:szCs w:val="18"/>
          <w:color w:val="auto"/>
        </w:rPr>
        <w:t>In an open-label Phase 1 study of varlilumab in patients with selected malignant solid tumors or hematologic cancers,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varlilumab demonstrated an acceptable safety profile and induced immunologic activity in patients that is consistent with both its proposed mechanism of action and data in preclinical models. A total of 90 patients received varlilumab in the study at multiple clinical sites in the U.S. In both the solid tumor and hematologic dose escalations, the pre-specified maximum dose level (10 mg/kg) was reached without identification of an MTD. The majority of adverse events, or AEs, related to treatment were mild to moderate (Grade 1/2) in severity, and no significant immune-mediated adverse events typically associated with checkpoint blockade were observed. Durable, multi-year clinical benefit was demonstrated in select patients without additional anti-cancer therapy. Final results from the study in patients with solid tumors were published in the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in April 2017.</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Phase 1/2 Varlilumab/Opdivo Combination Study: </w:t>
      </w:r>
      <w:r>
        <w:rPr>
          <w:rFonts w:ascii="Times New Roman" w:cs="Times New Roman" w:eastAsia="Times New Roman" w:hAnsi="Times New Roman"/>
          <w:sz w:val="18"/>
          <w:szCs w:val="18"/>
          <w:color w:val="auto"/>
        </w:rPr>
        <w:t>In 2014, we entered into a clinical trial collaboration with Bristol-Myers Squibb, or BMS,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 the safety, tolerability and preliminary efficacy of varlilumab and Opdivo, BMS’s PD-1 immune checkpoint inhibitor, in a Phase 1/2 study. The Phase 1 portion of the study was initiated in January 2015 and conducted in adult patients with multiple solid tumors to assess the safety and tolerability of varlilumab at varying doses when administered with Opdivo. It was followed by a Phase 2 expansion to evaluate the activity of the combination in disease specific cohorts. Enrollment to the Phase 2 portion of the study was completed in January 2018 with cohorts in colorectal cancer (n=21), ovarian cancer (n=58), head and neck squamous cell carcinoma SCCHN) (n=24), renal cell carcinoma (RCC) (n=14) and glioblastoma (GBM) (n=22). The primary objective of the Phase 2 cohorts was objective response rate, or ORR, except glioblastoma, where the primary objective was the rate of 12-month OS.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combination of varlilumab and nivolumab was generally well tolerated across indications at all varlilumab dose levels/schedules tested. Clinical data from patients with “cold” tumors with low expectation of response to checkpoint inhibition monotherapy suggested potential benefit from the combination. Uniquely in the ovarian cancer cohort, increased PD-L1 and CD8 TIL were observed in ~ 60% of patients with paired biopsy samples. Patients with increase in PD-L1 and CD8 TIL had good clinical outcome and higher doses of varlilumab trended towards better activity then lower/less frequent dosing. In recurrent GBM, results in the subgroup (n=16) with unmethylated MGMT appeared promising with 2 (14%) partial responses noted and a median overall survival of 12.5 months. Among colorectal cancer patients, durable clinical responses were observed in a patient with MSI-high tumor and one with a high mutational burden. In SCCHN, in the subgroup (n=9) with PD-L1 negative disease, one partial response was observed (13%) and a median OS of 11 months was reported. Given the changing treatment paradigm in RCC, only fourteen patients were treated in the study; 39% of these patients experienced stable disease.</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Future development of varlilumab is focused on inclusion in internal combination studies, including potentially in the ongoing Phase 1 trial of CDX-1140, and several external investigator-initiated studies.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CDX-301</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CDX-301, a recombinant FMS-like tyrosine kinase 3 ligand, or Flt3L, is a hematopoietic cytokine that uniquely expands dendritic cells and hematopoietic stem cells, and in combination with other agents may potentiate anti-tumor responses. Depending on the setting, cells expanded by CDX-301 promote either enhanced or permissive immunity. We believe CDX-301 may hold significant opportunity for synergistic development in combination with other proprietary molecules in our portfolio, as well as with approved or investigational therapies for the treatment of cancer.</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dendritic cell and hematopoietic stem cell populations in healthy volunteers. The study was published in the journal Bone Marrow Transplantation in 2015.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CDX-301 is being used as a priming agent to potentially increase the number of cells available to respond to CDX-1140 in the ongoing Phase 1 trial of CDX-1140. CDX-301 is also in clinical development for multiple cancers in ongoing investigator-sponsored and collaborative studies, including in combination with treatments that release tumor antigens, such as radiation 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2018 for a discussion of our critical accounting policies. There have been no material changes to such critical accounting policies except for the adoption of the updated lease accounting standard on January 1, 2019. We believe our most critical accounting policies include accounting for business combinations, revenue recognition, intangible and long-lived assets, research and development expenses and stock-based compensation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Compared with Three Months Ended March 31,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4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(863)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1,296</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3,076</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360" w:type="dxa"/>
            <w:vAlign w:val="bottom"/>
            <w:tcBorders>
              <w:bottom w:val="single" w:sz="8" w:color="CCEEFF"/>
            </w:tcBorders>
            <w:gridSpan w:val="2"/>
          </w:tcPr>
          <w:p>
            <w:pPr>
              <w:spacing w:after="0"/>
              <w:rPr>
                <w:sz w:val="21"/>
                <w:szCs w:val="21"/>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r>
      <w:tr>
        <w:trPr>
          <w:trHeight w:val="170"/>
        </w:trPr>
        <w:tc>
          <w:tcPr>
            <w:tcW w:w="48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21,875</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(10,724)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4,896</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5,593</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(697)</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90,976</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(90,976)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18,677</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(18,677)</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 Impairment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48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Loss/(Gain) on Fair Value Remeasurement of Contingent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4"/>
        </w:trPr>
        <w:tc>
          <w:tcPr>
            <w:tcW w:w="4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Consideration</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1,519</w:t>
            </w:r>
          </w:p>
        </w:tc>
        <w:tc>
          <w:tcPr>
            <w:tcW w:w="5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(13,600)</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(104,379)</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(101,736)</w:t>
            </w:r>
          </w:p>
        </w:tc>
        <w:tc>
          <w:tcPr>
            <w:tcW w:w="360" w:type="dxa"/>
            <w:vAlign w:val="bottom"/>
            <w:gridSpan w:val="2"/>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(101,658)</w:t>
            </w:r>
          </w:p>
        </w:tc>
        <w:tc>
          <w:tcPr>
            <w:tcW w:w="360" w:type="dxa"/>
            <w:vAlign w:val="bottom"/>
            <w:gridSpan w:val="2"/>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765</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(118,132</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(100,893</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$100.9 million decrease in net loss for the three months ended March 31, 2019, as compared to the three months ended March 31, 2018, was primarily the result of a decrease in non-cash goodwill and intangible asset impairment expense and a decrease in research and development expenses, partially offset by the increase in loss on fair value remeasurement of contingent consideration.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$0.9 million decrease in product development and licensing agreements revenue for the three months ended March 31, 2019, as compared to the three months ended March 31, 2018, was primarily due to a decrease in revenue related to our BMS agreement. The $1.8 million decrease in contracts and grants revenue for the three months ended March 31, 2019, as compared to the three months ended March 31, 2018, was primarily related to a decrease in services performed under our contract manufacturing and research and development agreement with the International AIDS Vaccine Initiative.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73"/>
        </w:trPr>
        <w:tc>
          <w:tcPr>
            <w:tcW w:w="2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121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5,753</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(3,304)</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796</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(461)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1,897</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(166)</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1,695</w:t>
            </w:r>
          </w:p>
        </w:tc>
        <w:tc>
          <w:tcPr>
            <w:tcW w:w="6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(5,654)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r>
    </w:tbl>
    <w:p>
      <w:pPr>
        <w:spacing w:after="0" w:line="17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$3.3 million decrease in personnel expenses for the three months ended March 31, 2019, as compared to the three months ended March 31, 2018, was primarily due to a decrease in headcount and stock-based compensation expense. We expect personnel expenses to remain relatively consistent over the next twelve months, although there may be fluctuations on a quarterly basis.</w:t>
      </w:r>
    </w:p>
    <w:p>
      <w:pPr>
        <w:spacing w:after="0" w:line="180"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Laboratory supplies expenses include laboratory materials and supplies, services, and other related expenses incurred in the development of our technology. The $0.5 million decrease in laboratory supply expenses for the three months ended March 31, 2019, as compared to the three months ended March 31, 2018, was primarily due to lower laboratory materials and supplies purchases. We expect laboratory supplies expenses to remain relatively consistent over the next twelve months, although there may be fluctuations on a quarterly basis.</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The $0.2 million decrease in facility expenses for the three months ended March 31, 2019, as compared to the three months ended March 31, 2018, was primarily due to lower depreciation expense. We expect facility expenses to decrease over the next twelve months as a result of the reduction in leased space in our Hampton, New Jersey facility.</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$5.7 million decrease in product development expenses for the three months ended March 31, 2019, as compared to the three months ended March 31, 2018, was primarily due to a decrease in clinical trial expenses of $3.3 million and a decrease in contract manufacturing expenses of $2.1 million. We expect product development expenses to remain relatively consistent over the next twelve months, although there may be fluctuations on a quarterly basis.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$0.7 million decrease in general and administrative expenses for the three months ended March 31, 2019, as compared to the three months ended March 31, 2018, was primarily due to a decrease in headcount and lower commercial planning costs. We expect general and administrative expenses to remain relatively consistent over the next twelve months, although there may be fluctuations on a quarterly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 Impairment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concluded that the Company’s investment in an undisclosed private company was impaired as a result of a deterioration in the private company’s financial condition and recorded a non-cash impairment charge of $1.8 million during the three months ended March 31,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Fair Value Remeasurement of Contingent Consideration</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$1.5 million loss on fair value remeasurement of contingent consideration for the three months ended March 31, 2019 was primarily due to changes in discount rates and the passage of time. The $13.6 million gain on fair value remeasurement of contingent consideration for the three months ended March 31, 2018 was primarily due to updated assumptions for Glemba-related milestones as a result of the METRIC failure and discontinuation of the Glemba program.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$0.1 million decrease in investment and other income, net for the three months ended March 31, 2019, as compared to the three months ended March 31, 2018, was primarily due to lower other income related to our sale of New Jersey tax benefits. We anticipate investment income to decrease over the next twelve months due to lower levels of cash and investment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8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At March 31, 2019, our principal sources of liquidity consisted of cash, cash equivalents and marketable securities of $85.1 million. We have had recurring losses and incurred a loss of $17.2 million for the three months ended March 31, 2019. Net cash used in operations for the three months ended March 31, 2019 was $13.2 million. We believe that the cash, cash equivalents and marketable securities at March 31, 2019, combined with the anticipated proceeds from future sales of our common stock under the Cantor agreement, are sufficient to meet estimated working capital requirements and fund planned operations through 2020, although there is no assurance that future sales under the Cantor agreement will occur. This could be impacted if we elected to pay Kolltan contingent milestones, if any, in cash.</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$13.2 million for the three months ended March 31, 2019 as compared to $28.0 million for the three months ended March 31, 2018. The decrease in net cash used in operating activities was primarily due to decreases in both general and administrative and research and development expenses. We expect that cash used in operating activities will remain relatively consistent over the next twelve months, although there may be fluctuations on a quarterly basis.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$16.3 million for the three months ended March 31, 2019 as compared to $15.5 million for the three months ended March 31, 2018. The increase in net cash provided by investing activities was primarily due to net sales and maturities of marketable securities for the three months ended March 31, 2019 of $16.5 million as compared to $15.8 million for the three months ended March 31,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$4.2 million for the three months ended March 31, 2019 as compared to $12.1 million for the three months ended March 31, 2018. Net proceeds from stock issuances pursuant to employee benefit plans were $0.0 million during the three months ended March 31, 2019 as compared to $0.4 million for the three months ended March 31, 2018.</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May 2016, we entered into an agreement with Cantor Fitzgerald &amp; Co. (“Cantor”) to allow us to issue and sell shares of our common stock having an aggregate offering price of up to $60.0 million from time to time through Cantor, acting as agent. In November 2017, we filed a prospectus supplement registering the offer and sale of shares of common stock of up to an additional $75.0 million under the agreement with Cantor. During the three months ended March 31, 2019, we issued 883,569 shares of common stock under this controlled equity offering sales agreement with Cantor resulting in net proceeds of $4.2 million after deducting commission and offering expenses. At March 31, 2019, we had $33.3 million remaining in aggregate gross offering price available under the Cantor agreement. In April 2019, we issued 924,167 shares of its common stock resulting in net proceeds to us of $4.1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Contractual Obligations</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the disclosures relating to our contractual obligations reported in our Annual Report on Form 10-K for the year ended December 31, 2018 which was filed with the SEC on March 7, 2019 have not materially changed since we filed that report.</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March 2019, the Company amended its Hampton, New Jersey lease to eliminate 16,200 square feet of space and extend the remaining 33,400 square feet of space for an additional five-year term with an early termination option after three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SEC rules.</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do not utilize derivative financial instruments. The carrying amounts reflected in the consolidated balance sheet of cash and cash equivalents, accounts receivables and accounts payable approximate fair value at March 31, 2019 due to the short-term maturities of these instruments.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2019,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2019.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2019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2018,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4" w:lineRule="exact"/>
        <w:rPr>
          <w:sz w:val="20"/>
          <w:szCs w:val="20"/>
          <w:color w:val="auto"/>
        </w:rPr>
      </w:pPr>
    </w:p>
    <w:p>
      <w:pPr>
        <w:ind w:right="100" w:firstLine="69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our Annual Report on Form 10-K filed with the Securities and Exchange Commission on March 7,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listed in the exhibit index included herewith and are incorporated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9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4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5"/>
          </w:tcPr>
          <w:p>
            <w:pPr>
              <w:spacing w:after="0" w:line="170"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Second Amendment to Lease Agreement between the Company and Crown Perryville, LLC dated as of March 8, 2019.</w:t>
              </w:r>
            </w:hyperlink>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86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Certification of President and Chief Executive Officer</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Certification of Senior Vice President and Chief Financial Officer</w:t>
              </w:r>
            </w:hyperlink>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47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Section 1350 Certifications</w:t>
              </w:r>
            </w:hyperlink>
          </w:p>
        </w:tc>
        <w:tc>
          <w:tcPr>
            <w:tcW w:w="5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9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8"/>
              </w:rPr>
              <w:t>XBRL Instance Document.</w:t>
            </w:r>
          </w:p>
        </w:tc>
        <w:tc>
          <w:tcPr>
            <w:tcW w:w="79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ANTHONY S. MARUCCI</w:t>
      </w:r>
    </w:p>
    <w:p>
      <w:pPr>
        <w:spacing w:after="0" w:line="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May 7, 2019</w:t>
      </w:r>
      <w:r>
        <w:rPr>
          <w:sz w:val="20"/>
          <w:szCs w:val="20"/>
          <w:color w:val="auto"/>
        </w:rPr>
        <w:tab/>
      </w:r>
      <w:r>
        <w:rPr>
          <w:rFonts w:ascii="Times New Roman" w:cs="Times New Roman" w:eastAsia="Times New Roman" w:hAnsi="Times New Roman"/>
          <w:sz w:val="17"/>
          <w:szCs w:val="17"/>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SAM MARTIN</w:t>
      </w:r>
    </w:p>
    <w:p>
      <w:pPr>
        <w:spacing w:after="0" w:line="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May 7, 2019</w:t>
      </w:r>
      <w:r>
        <w:rPr>
          <w:sz w:val="20"/>
          <w:szCs w:val="20"/>
          <w:color w:val="auto"/>
        </w:rPr>
        <w:tab/>
      </w:r>
      <w:r>
        <w:rPr>
          <w:rFonts w:ascii="Times New Roman" w:cs="Times New Roman" w:eastAsia="Times New Roman" w:hAnsi="Times New Roman"/>
          <w:sz w:val="18"/>
          <w:szCs w:val="18"/>
          <w:color w:val="auto"/>
        </w:rPr>
        <w:t>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121" w:right="7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AMENDMENT OF LEASE</w:t>
      </w:r>
    </w:p>
    <w:p>
      <w:pPr>
        <w:spacing w:after="0" w:line="225"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color w:val="auto"/>
        </w:rPr>
        <w:t>THIS SECOND AMENDMENT OF LEASE</w:t>
      </w:r>
      <w:r>
        <w:rPr>
          <w:rFonts w:ascii="Times New Roman" w:cs="Times New Roman" w:eastAsia="Times New Roman" w:hAnsi="Times New Roman"/>
          <w:sz w:val="18"/>
          <w:szCs w:val="18"/>
          <w:color w:val="auto"/>
        </w:rPr>
        <w:t>, dated as of March 8, 2019, between</w:t>
      </w:r>
      <w:r>
        <w:rPr>
          <w:rFonts w:ascii="Times New Roman" w:cs="Times New Roman" w:eastAsia="Times New Roman" w:hAnsi="Times New Roman"/>
          <w:sz w:val="18"/>
          <w:szCs w:val="18"/>
          <w:b w:val="1"/>
          <w:bCs w:val="1"/>
          <w:color w:val="auto"/>
        </w:rPr>
        <w:t xml:space="preserve"> PERRYVILLE SPE LLC </w:t>
      </w:r>
      <w:r>
        <w:rPr>
          <w:rFonts w:ascii="Times New Roman" w:cs="Times New Roman" w:eastAsia="Times New Roman" w:hAnsi="Times New Roman"/>
          <w:sz w:val="18"/>
          <w:szCs w:val="18"/>
          <w:color w:val="auto"/>
        </w:rPr>
        <w:t>(“Landlord”), and</w:t>
      </w:r>
      <w:r>
        <w:rPr>
          <w:rFonts w:ascii="Times New Roman" w:cs="Times New Roman" w:eastAsia="Times New Roman" w:hAnsi="Times New Roman"/>
          <w:sz w:val="18"/>
          <w:szCs w:val="18"/>
          <w:b w:val="1"/>
          <w:bCs w:val="1"/>
          <w:color w:val="auto"/>
        </w:rPr>
        <w:t xml:space="preserve"> CELLDEX THERAPEUTICS, INC. </w:t>
      </w:r>
      <w:r>
        <w:rPr>
          <w:rFonts w:ascii="Times New Roman" w:cs="Times New Roman" w:eastAsia="Times New Roman" w:hAnsi="Times New Roman"/>
          <w:sz w:val="18"/>
          <w:szCs w:val="18"/>
          <w:color w:val="auto"/>
        </w:rPr>
        <w:t>(“Tenant”).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Landlord’s predecessor-in-interest, Crown Perryville, LLC., and Tenant entered into that certain Lease dated as of May 1, 2013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Lease”), covering approximately 3,539 rentable square feet located on a portion of the first (1st) floor and approximately 29,824 rentable square feet located on a portion of the second (2nd) floor (the “Original Premises”) in the building known as Perryville Ill at Perryville Corporate Park located at 53 Frontage Road, Hampton, New Jersey 08827 (the “Building) , as amended by a First Amendment of Lease, dated as of June 17, 2015 (the “First Amendment”) pursuant to which among other matters, Tenant leased additional premises located on a portion of the first (1st) floor of the Building containing approximately 16,262 rentable square feet (the “Second Premises”) (the Original Lease, as amended by the First Amendment is hereinafter collectively referred to as the “Lease”); and</w:t>
      </w:r>
    </w:p>
    <w:p>
      <w:pPr>
        <w:spacing w:after="0" w:line="183"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Tenant desires to extend the term of the Lease, and to surrender the “Second Premises” in accordance with the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so that the Premises under the Lease shall consist only of the Original Premises on the terms and conditions set forth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premises and agreements herein contained, the parties hereby agree as follows:</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Incorporation of Recitals.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recitals set forth above are incorporated herein by reference.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terms used herein not otherwise defined shall have the meanings ascribed to them in the Lease.</w:t>
      </w:r>
    </w:p>
    <w:p>
      <w:pPr>
        <w:spacing w:after="0" w:line="225" w:lineRule="exact"/>
        <w:rPr>
          <w:rFonts w:ascii="Times New Roman" w:cs="Times New Roman" w:eastAsia="Times New Roman" w:hAnsi="Times New Roman"/>
          <w:sz w:val="18"/>
          <w:szCs w:val="18"/>
          <w:color w:val="auto"/>
        </w:rPr>
      </w:pPr>
    </w:p>
    <w:p>
      <w:pPr>
        <w:ind w:left="340" w:right="100" w:hanging="332"/>
        <w:spacing w:after="0" w:line="28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Second Amendment of Lease (“Amendment”) shall be binding upon Landlord and Tenant upon the mutual execution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w:t>
      </w:r>
    </w:p>
    <w:p>
      <w:pPr>
        <w:spacing w:after="0" w:line="154" w:lineRule="exact"/>
        <w:rPr>
          <w:rFonts w:ascii="Times New Roman" w:cs="Times New Roman" w:eastAsia="Times New Roman" w:hAnsi="Times New Roman"/>
          <w:sz w:val="18"/>
          <w:szCs w:val="18"/>
          <w:color w:val="auto"/>
        </w:rPr>
      </w:pPr>
    </w:p>
    <w:p>
      <w:pPr>
        <w:ind w:left="340" w:right="820" w:hanging="332"/>
        <w:spacing w:after="0" w:line="28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New Extension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 is hereby extended (the “New Extension Term”) commencing on August 1, 2020 (the “New Extension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Date”) and ending on July 31, 2025 (which shall be the new “Expiration Date” of the Lease).</w:t>
      </w:r>
    </w:p>
    <w:p>
      <w:pPr>
        <w:spacing w:after="0" w:line="154" w:lineRule="exact"/>
        <w:rPr>
          <w:rFonts w:ascii="Times New Roman" w:cs="Times New Roman" w:eastAsia="Times New Roman" w:hAnsi="Times New Roman"/>
          <w:sz w:val="18"/>
          <w:szCs w:val="18"/>
          <w:color w:val="auto"/>
        </w:rPr>
      </w:pPr>
    </w:p>
    <w:p>
      <w:pPr>
        <w:ind w:left="340" w:right="80" w:hanging="332"/>
        <w:spacing w:after="0" w:line="28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Surrender of the Second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and Tenant hereby irrevocably agree that, effective at midnight on March 31, 2019 (the “Second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Date”), the Second Premises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ind w:left="332"/>
        <w:spacing w:after="0" w:line="259" w:lineRule="auto"/>
        <w:rPr>
          <w:sz w:val="20"/>
          <w:szCs w:val="20"/>
          <w:color w:val="auto"/>
        </w:rPr>
      </w:pPr>
      <w:r>
        <w:rPr>
          <w:rFonts w:ascii="Times New Roman" w:cs="Times New Roman" w:eastAsia="Times New Roman" w:hAnsi="Times New Roman"/>
          <w:sz w:val="18"/>
          <w:szCs w:val="18"/>
          <w:color w:val="auto"/>
        </w:rPr>
        <w:t xml:space="preserve">surrendered to Landlord vacant and in broom-clean condition, free of all personal property and trade fixtures (except for the “Assets” being transferred by Tenant to Landlord pursuant to Section 7 below), with the intent and purpose of Tenant’s surrendering all of its right, title and interest therein of any kind or nature whatsoever under the Lease. The Second Premises shall be surrendered by Tenant free of liens or encumbrances created by Tenant, and free of subtenants, occupants, or other rights or interests of third-parties created by Tenant of any kind or nature in, upon, or against the Second Premises. Tenant shall comply with all applicable lease provisions as to the payment of all Base Rent and additional rent to Landlord through the Second Premises Surrender Date. </w:t>
      </w:r>
      <w:r>
        <w:rPr>
          <w:rFonts w:ascii="Times New Roman" w:cs="Times New Roman" w:eastAsia="Times New Roman" w:hAnsi="Times New Roman"/>
          <w:sz w:val="17"/>
          <w:szCs w:val="17"/>
          <w:color w:val="auto"/>
        </w:rPr>
        <w:t>In the event that for any reason whatsoever Tenant continues to occupy any portion of the Second Premises after the Second Premises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Surrender Date, which occupancy may include, by way of example but not limitation, any personal property at all continuing to be found anywhere in the Second Premises, then in addition to any and all remedies Landlord may have under the Lease in connection therewith, the terms of the Lease shall continue to apply to the Second Premises, and Tenant shall be responsible for the payment of holdover rent for the Second Premises in accordance with the terms of Section 2.6 of the Original Lease, until such time as Tenant vacates and surrenders the Second Premises to Landlord in accordance with the terms of the Lease and this Amendment, upon which the Premises shall then consist of the Original Premises only for all purposes and intents under the Lease.</w:t>
      </w:r>
    </w:p>
    <w:p>
      <w:pPr>
        <w:spacing w:after="0" w:line="182" w:lineRule="exact"/>
        <w:rPr>
          <w:sz w:val="20"/>
          <w:szCs w:val="20"/>
          <w:color w:val="auto"/>
        </w:rPr>
      </w:pPr>
    </w:p>
    <w:p>
      <w:pPr>
        <w:jc w:val="both"/>
        <w:ind w:left="332" w:right="380" w:hanging="332"/>
        <w:spacing w:after="0" w:line="268"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Second Premises Surrender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for Landlord’s acceptance of Tenant’s surrender of the Second Premises on the Second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Date, Tenant shall within thirty (30) days of mutual execution and delivery hereof deliver an irrevocable payment to Landlord by bank or certified check in the amount of $188,557.89, TIME BEING OF THE ESSENCE IN CONNECTION THEREWITH.</w:t>
      </w:r>
    </w:p>
    <w:p>
      <w:pPr>
        <w:spacing w:after="0" w:line="170" w:lineRule="exact"/>
        <w:rPr>
          <w:rFonts w:ascii="Times New Roman" w:cs="Times New Roman" w:eastAsia="Times New Roman" w:hAnsi="Times New Roman"/>
          <w:sz w:val="18"/>
          <w:szCs w:val="18"/>
          <w:color w:val="auto"/>
        </w:rPr>
      </w:pPr>
    </w:p>
    <w:p>
      <w:pPr>
        <w:ind w:left="332" w:right="140" w:hanging="332"/>
        <w:spacing w:after="0" w:line="257"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Rental Payments During the Sixteen 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 is hereby amended to provide that in place and stead of Tenant’s separate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Rent, electricity charges, operating expenses and taxes otherwise due and payable pursuant to Section 3.1 and Section 3.2 of the Original Lease, commencing on Second Premises Surrender Date and continuing for a sixteen (16) month period through July 31, 2020 (the “Sixteen Month Period”), Tenant shall instead make a monthly aggregate payment to Landlord in the amount of $46,282.48 (i.e., with no further Annual Rental Adjustment or additional Electrical Inclusion Amount), which shall be due on the first day of each calendar month during the Sixteen Month Period, subject, however, to late charges pursuant to the terms of Section 3.5 of the Original Lease.</w:t>
      </w:r>
    </w:p>
    <w:p>
      <w:pPr>
        <w:spacing w:after="0" w:line="182" w:lineRule="exact"/>
        <w:rPr>
          <w:rFonts w:ascii="Times New Roman" w:cs="Times New Roman" w:eastAsia="Times New Roman" w:hAnsi="Times New Roman"/>
          <w:sz w:val="18"/>
          <w:szCs w:val="18"/>
          <w:color w:val="auto"/>
        </w:rPr>
      </w:pPr>
    </w:p>
    <w:p>
      <w:pPr>
        <w:ind w:left="332" w:right="140" w:hanging="332"/>
        <w:spacing w:after="0" w:line="286"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Second Premises Surrender Date, Section 19.22 of the Original Lease, as amended, shall be replaced in its entirety by the paragraph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below, and Exhibit G shall be deleted:</w:t>
      </w:r>
    </w:p>
    <w:p>
      <w:pPr>
        <w:spacing w:after="0" w:line="15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37" w:right="279" w:bottom="1440" w:gutter="0" w:footer="0" w:header="0"/>
        </w:sectPr>
      </w:pPr>
    </w:p>
    <w:bookmarkStart w:id="29" w:name="page30"/>
    <w:bookmarkEnd w:id="29"/>
    <w:p>
      <w:pPr>
        <w:ind w:left="1292" w:right="160"/>
        <w:spacing w:after="0" w:line="261" w:lineRule="auto"/>
        <w:rPr>
          <w:sz w:val="20"/>
          <w:szCs w:val="20"/>
          <w:color w:val="auto"/>
        </w:rPr>
      </w:pPr>
      <w:r>
        <w:rPr>
          <w:rFonts w:ascii="Times New Roman" w:cs="Times New Roman" w:eastAsia="Times New Roman" w:hAnsi="Times New Roman"/>
          <w:sz w:val="18"/>
          <w:szCs w:val="18"/>
          <w:color w:val="auto"/>
        </w:rPr>
        <w:t>“Landlord shall provide to Tenant, at Tenant’s sole cost and expense, with the following: (a) four (4) unreserved parking spaces for every 1,000 square feet leased in the Building’s parking facility, (b) ten (10) reserved parking spaces near the side entrance to the Building,</w:t>
      </w:r>
    </w:p>
    <w:p>
      <w:pPr>
        <w:ind w:left="1292" w:right="300" w:firstLine="5"/>
        <w:spacing w:after="0" w:line="261" w:lineRule="auto"/>
        <w:tabs>
          <w:tab w:leader="none" w:pos="153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to four (4) parking spaces outside of the first floor mechanical room, and (d) four (4) reserved parking spaces located in the front of the Building, as more particularly shown on Exhibit G hereto, subject to approval from the local township.”</w:t>
      </w:r>
    </w:p>
    <w:p>
      <w:pPr>
        <w:spacing w:after="0" w:line="175" w:lineRule="exact"/>
        <w:rPr>
          <w:rFonts w:ascii="Times New Roman" w:cs="Times New Roman" w:eastAsia="Times New Roman" w:hAnsi="Times New Roman"/>
          <w:sz w:val="18"/>
          <w:szCs w:val="18"/>
          <w:color w:val="auto"/>
        </w:rPr>
      </w:pPr>
    </w:p>
    <w:p>
      <w:pPr>
        <w:ind w:left="332" w:right="120" w:hanging="332"/>
        <w:spacing w:after="0" w:line="317" w:lineRule="auto"/>
        <w:tabs>
          <w:tab w:leader="none" w:pos="3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Bill of Sale.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 as “Seller” shall grant, sell, assign and convey to Landlord as “Buyer” those certain “Assets” set forth on the Bill of Sale attached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xml:space="preserve"> and being executed and delivered simultaneously herewith, which sale shall be effective as of the Second Premises Surrender Date.</w:t>
      </w:r>
    </w:p>
    <w:p>
      <w:pPr>
        <w:spacing w:after="0" w:line="131" w:lineRule="exact"/>
        <w:rPr>
          <w:rFonts w:ascii="Times New Roman" w:cs="Times New Roman" w:eastAsia="Times New Roman" w:hAnsi="Times New Roman"/>
          <w:sz w:val="17"/>
          <w:szCs w:val="17"/>
          <w:color w:val="auto"/>
        </w:rPr>
      </w:pPr>
    </w:p>
    <w:p>
      <w:pPr>
        <w:ind w:left="312" w:hanging="312"/>
        <w:spacing w:after="0"/>
        <w:tabs>
          <w:tab w:leader="none" w:pos="3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Lease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New Extension Term Commencement Date, the Lease is hereby amended as follows:</w:t>
      </w:r>
    </w:p>
    <w:p>
      <w:pPr>
        <w:spacing w:after="0" w:line="225" w:lineRule="exact"/>
        <w:rPr>
          <w:sz w:val="20"/>
          <w:szCs w:val="20"/>
          <w:color w:val="auto"/>
        </w:rPr>
      </w:pPr>
    </w:p>
    <w:p>
      <w:pPr>
        <w:ind w:left="1612" w:right="200" w:hanging="315"/>
        <w:spacing w:after="0" w:line="262" w:lineRule="auto"/>
        <w:tabs>
          <w:tab w:leader="none" w:pos="16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Rent. </w:t>
      </w:r>
      <w:r>
        <w:rPr>
          <w:rFonts w:ascii="Times New Roman" w:cs="Times New Roman" w:eastAsia="Times New Roman" w:hAnsi="Times New Roman"/>
          <w:sz w:val="18"/>
          <w:szCs w:val="18"/>
          <w:color w:val="auto"/>
        </w:rPr>
        <w:t>Exhibit E to the Original Lease is hereby deleted in its entirety and replaced with the new Exhibit E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on the New Extension Term Commencement Date and continuing through and including the Expiration Date, the Base Rent for the Premises shall be payable by Tenant to Landlord on the first day of each month in accordance with the terms and conditions of Section 3.1 of the Original Lease.</w:t>
      </w:r>
    </w:p>
    <w:p>
      <w:pPr>
        <w:spacing w:after="0" w:line="162" w:lineRule="exact"/>
        <w:rPr>
          <w:sz w:val="20"/>
          <w:szCs w:val="20"/>
          <w:color w:val="auto"/>
        </w:rPr>
      </w:pPr>
    </w:p>
    <w:tbl>
      <w:tblPr>
        <w:tblLayout w:type="fixed"/>
        <w:tblInd w:w="1612" w:type="dxa"/>
        <w:tblCellMar>
          <w:top w:w="0" w:type="dxa"/>
          <w:left w:w="0" w:type="dxa"/>
          <w:bottom w:w="0" w:type="dxa"/>
          <w:right w:w="0" w:type="dxa"/>
        </w:tblCellMar>
      </w:tblPr>
      <w:tr>
        <w:trPr>
          <w:trHeight w:val="161"/>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Base Rent Per</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0" w:type="dxa"/>
            <w:vAlign w:val="bottom"/>
          </w:tcPr>
          <w:p>
            <w:pPr>
              <w:spacing w:after="0"/>
              <w:rPr>
                <w:sz w:val="1"/>
                <w:szCs w:val="1"/>
                <w:color w:val="auto"/>
              </w:rPr>
            </w:pPr>
          </w:p>
        </w:tc>
      </w:tr>
      <w:tr>
        <w:trPr>
          <w:trHeight w:val="173"/>
        </w:trPr>
        <w:tc>
          <w:tcPr>
            <w:tcW w:w="4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Square Foot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Rent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Base Rent</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August 1, 2020-July 31, 2021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6"/>
              </w:rPr>
              <w:t>500,445.00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41,703.75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August 1, 2021-July 31,2022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517,126.50</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43,093.88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August 1, 2022-July 31, 2023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533,808.00</w:t>
            </w:r>
          </w:p>
        </w:tc>
        <w:tc>
          <w:tcPr>
            <w:tcW w:w="3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44,484.00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August 1, 2023-July 31, 2024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550,489.50</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45,874.13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August 1, 2024-July 31, 2025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567,171.00</w:t>
            </w:r>
          </w:p>
        </w:tc>
        <w:tc>
          <w:tcPr>
            <w:tcW w:w="3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47,264.25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612" w:right="120" w:hanging="315"/>
        <w:spacing w:after="0" w:line="262" w:lineRule="auto"/>
        <w:tabs>
          <w:tab w:leader="none" w:pos="16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Rental Adjustment. </w:t>
      </w:r>
      <w:r>
        <w:rPr>
          <w:rFonts w:ascii="Times New Roman" w:cs="Times New Roman" w:eastAsia="Times New Roman" w:hAnsi="Times New Roman"/>
          <w:sz w:val="18"/>
          <w:szCs w:val="18"/>
          <w:color w:val="auto"/>
        </w:rPr>
        <w:t>As of the New Extension Term Commencement Date and continuing through and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Date, and for purposes of calculating the Annual Rental Adjustment for the Premises in accordance with Section 3.2 of the Original Lease, the Building Expense Percentage shall have the meaning as defined in Section l.2(C) of the Original Lease, i.e., 11.92%.</w:t>
      </w:r>
    </w:p>
    <w:p>
      <w:pPr>
        <w:spacing w:after="0" w:line="176" w:lineRule="exact"/>
        <w:rPr>
          <w:rFonts w:ascii="Times New Roman" w:cs="Times New Roman" w:eastAsia="Times New Roman" w:hAnsi="Times New Roman"/>
          <w:sz w:val="18"/>
          <w:szCs w:val="18"/>
          <w:color w:val="auto"/>
        </w:rPr>
      </w:pPr>
    </w:p>
    <w:p>
      <w:pPr>
        <w:ind w:left="1612" w:hanging="315"/>
        <w:spacing w:after="0" w:line="286" w:lineRule="auto"/>
        <w:tabs>
          <w:tab w:leader="none" w:pos="16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Year. </w:t>
      </w:r>
      <w:r>
        <w:rPr>
          <w:rFonts w:ascii="Times New Roman" w:cs="Times New Roman" w:eastAsia="Times New Roman" w:hAnsi="Times New Roman"/>
          <w:sz w:val="18"/>
          <w:szCs w:val="18"/>
          <w:color w:val="auto"/>
        </w:rPr>
        <w:t>As of the New Extension Term Commencement Date and continuing through and including the Expiration Date, Article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Original Lease shall be</w:t>
      </w:r>
    </w:p>
    <w:p>
      <w:pPr>
        <w:spacing w:after="0" w:line="15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37" w:right="279" w:bottom="1440" w:gutter="0" w:footer="0" w:header="0"/>
        </w:sectPr>
      </w:pPr>
    </w:p>
    <w:bookmarkStart w:id="30" w:name="page31"/>
    <w:bookmarkEnd w:id="30"/>
    <w:p>
      <w:pPr>
        <w:ind w:left="1612"/>
        <w:spacing w:after="0"/>
        <w:rPr>
          <w:sz w:val="20"/>
          <w:szCs w:val="20"/>
          <w:color w:val="auto"/>
        </w:rPr>
      </w:pPr>
      <w:r>
        <w:rPr>
          <w:rFonts w:ascii="Times New Roman" w:cs="Times New Roman" w:eastAsia="Times New Roman" w:hAnsi="Times New Roman"/>
          <w:sz w:val="17"/>
          <w:szCs w:val="17"/>
          <w:color w:val="auto"/>
        </w:rPr>
        <w:t>amended to provide that the “Base Year” set forth in Article 3.2A(4) shall mean the calendar year 2020 and not the calendar year 2014.</w:t>
      </w:r>
    </w:p>
    <w:p>
      <w:pPr>
        <w:spacing w:after="0" w:line="233" w:lineRule="exact"/>
        <w:rPr>
          <w:sz w:val="20"/>
          <w:szCs w:val="20"/>
          <w:color w:val="auto"/>
        </w:rPr>
      </w:pPr>
    </w:p>
    <w:p>
      <w:pPr>
        <w:ind w:left="1612" w:hanging="315"/>
        <w:spacing w:after="0" w:line="257" w:lineRule="auto"/>
        <w:tabs>
          <w:tab w:leader="none" w:pos="162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Electrical Inclusion Amount. </w:t>
      </w:r>
      <w:r>
        <w:rPr>
          <w:rFonts w:ascii="Times New Roman" w:cs="Times New Roman" w:eastAsia="Times New Roman" w:hAnsi="Times New Roman"/>
          <w:sz w:val="18"/>
          <w:szCs w:val="18"/>
          <w:color w:val="auto"/>
        </w:rPr>
        <w:t>Commencing on the New Extension Term Commencement Date and continuing through and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Expiration Date, Section 3.3 of the Original Lease is hereby amended to provide that Tenant shall be obligated to pay to Landlord, as Additional Rent, the Electrical Inclusion Amount for the Premises in the amount of $33,509.04 per annum (i.e., 19,148 rsf X $1.75), payable in equal monthly installments of $2,792.42, pursuant to Section 3.3 of the Original Lease, and subject to survey and increases based upon Tenant’s consumption and/or increases in utility costs. Notwithstanding the foregoing, Electricity charges pursuant to Section 3.4 of the Original Lease shall remain unmodified.</w:t>
      </w:r>
    </w:p>
    <w:p>
      <w:pPr>
        <w:spacing w:after="0" w:line="182"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Early Termination Option.</w:t>
      </w:r>
    </w:p>
    <w:p>
      <w:pPr>
        <w:spacing w:after="0" w:line="229" w:lineRule="exact"/>
        <w:rPr>
          <w:sz w:val="20"/>
          <w:szCs w:val="20"/>
          <w:color w:val="auto"/>
        </w:rPr>
      </w:pPr>
    </w:p>
    <w:p>
      <w:pPr>
        <w:ind w:left="-8" w:right="240" w:firstLine="8"/>
        <w:spacing w:after="0" w:line="282" w:lineRule="auto"/>
        <w:tabs>
          <w:tab w:leader="none" w:pos="6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each and every one of the terms and conditions set forth below are fully satisfied, Tenant shall have the one-time option (the “Early Termination Option”) to terminate the Lease, effective as of July 31, 2023 (the “Early Termination Date”):</w:t>
      </w:r>
    </w:p>
    <w:p>
      <w:pPr>
        <w:spacing w:after="0" w:line="161"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made timely rent payments hereunder from the date hereof through the Early Termination Date;</w:t>
      </w:r>
    </w:p>
    <w:p>
      <w:pPr>
        <w:spacing w:after="0" w:line="225" w:lineRule="exact"/>
        <w:rPr>
          <w:rFonts w:ascii="Times New Roman" w:cs="Times New Roman" w:eastAsia="Times New Roman" w:hAnsi="Times New Roman"/>
          <w:sz w:val="18"/>
          <w:szCs w:val="18"/>
          <w:color w:val="auto"/>
        </w:rPr>
      </w:pPr>
    </w:p>
    <w:p>
      <w:pPr>
        <w:ind w:left="652" w:right="440" w:hanging="4"/>
        <w:spacing w:after="0" w:line="282" w:lineRule="auto"/>
        <w:tabs>
          <w:tab w:leader="none" w:pos="13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then give Landlord a written notice of Tenant’s irrevocable election to exercise the Early Termination Option (the “Early Termination Notice”), which Early Termination Notice shall be given not later than November 1, 2022;</w:t>
      </w:r>
    </w:p>
    <w:p>
      <w:pPr>
        <w:spacing w:after="0" w:line="161" w:lineRule="exact"/>
        <w:rPr>
          <w:rFonts w:ascii="Times New Roman" w:cs="Times New Roman" w:eastAsia="Times New Roman" w:hAnsi="Times New Roman"/>
          <w:sz w:val="18"/>
          <w:szCs w:val="18"/>
          <w:color w:val="auto"/>
        </w:rPr>
      </w:pPr>
    </w:p>
    <w:p>
      <w:pPr>
        <w:ind w:left="652" w:right="140" w:hanging="4"/>
        <w:spacing w:after="0" w:line="266" w:lineRule="auto"/>
        <w:tabs>
          <w:tab w:leader="none" w:pos="134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be in default under any of the terms, covenants and conditions of the Lease to be observed and performed after the expiration of applicable notice and grace periods either on the date that Tenant exercises the Early Termination Option or on the Early Termination Date; and</w:t>
      </w:r>
    </w:p>
    <w:p>
      <w:pPr>
        <w:spacing w:after="0" w:line="176" w:lineRule="exact"/>
        <w:rPr>
          <w:rFonts w:ascii="Times New Roman" w:cs="Times New Roman" w:eastAsia="Times New Roman" w:hAnsi="Times New Roman"/>
          <w:sz w:val="18"/>
          <w:szCs w:val="18"/>
          <w:color w:val="auto"/>
        </w:rPr>
      </w:pPr>
    </w:p>
    <w:p>
      <w:pPr>
        <w:jc w:val="both"/>
        <w:ind w:left="652" w:hanging="4"/>
        <w:spacing w:after="0" w:line="261" w:lineRule="auto"/>
        <w:tabs>
          <w:tab w:leader="none" w:pos="131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pays to Landlord concurrently with delivery of the Early Termination Notice, a lease termination fee (the “Fee”) in an amount equal to five (5) months of: (a) all Base Rent; and (b) all other payments due pursuant to Sections 3.2 and 3.3 of the Original Lease, calculated based upon the aggregate monthly payment to be made by Tenant for the month of July 2023, as confirmed by Landlord, multiplied by five (5), payable by check or wire.</w:t>
      </w:r>
    </w:p>
    <w:p>
      <w:pPr>
        <w:spacing w:after="0" w:line="180"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37" w:right="299" w:bottom="1440" w:gutter="0" w:footer="0" w:header="0"/>
        </w:sectPr>
      </w:pPr>
    </w:p>
    <w:bookmarkStart w:id="31" w:name="page32"/>
    <w:bookmarkEnd w:id="31"/>
    <w:p>
      <w:pPr>
        <w:ind w:right="20" w:firstLine="8"/>
        <w:spacing w:after="0" w:line="255" w:lineRule="auto"/>
        <w:tabs>
          <w:tab w:leader="none" w:pos="6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timely and properly exercises the Early Termination Option, (i) all rent payable under the Lease shall be paid through and apportioned as of the Early Termination Date; (ii) neither party shall have any rights, estates, liabilities, or obligations under the Lease for the period accruing after the Early Termination Date, except those which, by the provisions of the Lease, expressly survive the expiration or termination of the term of the Lease; (iii) Tenant shall surrender and vacate the entire Premises and deliver possession thereof to Landlord on or before the Early Termination Date in the condition required under the Lease for its surrender; and (iv) Landlord and Tenant shall enter into a written agreement reflecting the termination of the Lease upon the terms provided for herein, which agreement shall be executed within thirty (30) days after Tenant’s delivery of the Early Termination Notice. Tenant’s failure to comply with any of the above terms, shall render the Early Termination Option and any Early Termination Notice void and of no force and effect.</w:t>
      </w:r>
    </w:p>
    <w:p>
      <w:pPr>
        <w:spacing w:after="0" w:line="189" w:lineRule="exact"/>
        <w:rPr>
          <w:rFonts w:ascii="Times New Roman" w:cs="Times New Roman" w:eastAsia="Times New Roman" w:hAnsi="Times New Roman"/>
          <w:sz w:val="18"/>
          <w:szCs w:val="18"/>
          <w:color w:val="auto"/>
        </w:rPr>
      </w:pPr>
    </w:p>
    <w:p>
      <w:pPr>
        <w:ind w:right="80" w:firstLine="8"/>
        <w:spacing w:after="0" w:line="266" w:lineRule="auto"/>
        <w:tabs>
          <w:tab w:leader="none" w:pos="6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Early Termination Option shall automatically terminate and become null and void upon the earlier to occur of: (i) the termination of Tenant’s right to possession of the Premises; (ii) the assignment by Tenant of the Lease, in whole or in part; (iii) the failure of Tenant to timely or properly exercise the Early Termination Option, or any failure by Tenant to comply with the terms of this Section.</w:t>
      </w:r>
    </w:p>
    <w:p>
      <w:pPr>
        <w:spacing w:after="0" w:line="172" w:lineRule="exact"/>
        <w:rPr>
          <w:sz w:val="20"/>
          <w:szCs w:val="20"/>
          <w:color w:val="auto"/>
        </w:rPr>
      </w:pPr>
    </w:p>
    <w:p>
      <w:pPr>
        <w:ind w:left="340" w:hanging="332"/>
        <w:spacing w:after="0" w:line="28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is accepting and shall accept the Premises in “as-is, where-is” condition on the New Extension Term Commencement Date, and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perform no work or alterations whatsoever arising out of or in connection herewith.</w:t>
      </w:r>
    </w:p>
    <w:p>
      <w:pPr>
        <w:spacing w:after="0" w:line="154" w:lineRule="exact"/>
        <w:rPr>
          <w:rFonts w:ascii="Times New Roman" w:cs="Times New Roman" w:eastAsia="Times New Roman" w:hAnsi="Times New Roman"/>
          <w:sz w:val="18"/>
          <w:szCs w:val="18"/>
          <w:color w:val="auto"/>
        </w:rPr>
      </w:pPr>
    </w:p>
    <w:p>
      <w:pPr>
        <w:ind w:left="340" w:right="20" w:hanging="332"/>
        <w:spacing w:after="0" w:line="255"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represents and warrants to Landlord that Tenant has not dealt with any broker or finder in connection with this Amendment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Garibaldi Group, LLC and Beker Realty Group, Inc. relating to the New Extension Term (the “Brokers”). Landlord will be paying the Brokers only for the first three (3) years of the New Extension Term only, and will only pay the Brokers for the last two (2) years of the New Extension Term, in the event that Tenant does not exercise the Early Termination Option set forth in Section 6 above. Tenant agrees to indemnify and hold Landlord harmless from and against any claims, costs, expenses (including court costs and reasonable legal fees) and other liabilities incurred by Landlord by reason of any claim or action for a commission or other compensation by any other broker or finder with respect to the Lease and this Amendment other than the Brokers named herein and being paid by Landlord in accordance with the terms of this Section. Landlord shall have no liability for any brokerage commissions arising out of a sublease or assignment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ind w:left="332"/>
        <w:spacing w:after="0"/>
        <w:rPr>
          <w:sz w:val="20"/>
          <w:szCs w:val="20"/>
          <w:color w:val="auto"/>
        </w:rPr>
      </w:pPr>
      <w:r>
        <w:rPr>
          <w:rFonts w:ascii="Times New Roman" w:cs="Times New Roman" w:eastAsia="Times New Roman" w:hAnsi="Times New Roman"/>
          <w:sz w:val="18"/>
          <w:szCs w:val="18"/>
          <w:color w:val="auto"/>
        </w:rPr>
        <w:t>by Tenant. The provisions of this Section shall survive the expiration or sooner termination of the Lease.</w:t>
      </w:r>
    </w:p>
    <w:p>
      <w:pPr>
        <w:spacing w:after="0" w:line="221" w:lineRule="exact"/>
        <w:rPr>
          <w:sz w:val="20"/>
          <w:szCs w:val="20"/>
          <w:color w:val="auto"/>
        </w:rPr>
      </w:pPr>
    </w:p>
    <w:p>
      <w:pPr>
        <w:ind w:left="312" w:hanging="312"/>
        <w:spacing w:after="0"/>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color w:val="auto"/>
        </w:rPr>
      </w:pPr>
    </w:p>
    <w:p>
      <w:pPr>
        <w:ind w:left="652" w:right="240" w:hanging="328"/>
        <w:spacing w:after="0" w:line="282" w:lineRule="auto"/>
        <w:tabs>
          <w:tab w:leader="none" w:pos="6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all of the terms, covenants, conditions and provisions of the Lease shall remain and continue unmodified, in full force and effect.</w:t>
      </w:r>
    </w:p>
    <w:p>
      <w:pPr>
        <w:spacing w:after="0" w:line="161" w:lineRule="exact"/>
        <w:rPr>
          <w:rFonts w:ascii="Times New Roman" w:cs="Times New Roman" w:eastAsia="Times New Roman" w:hAnsi="Times New Roman"/>
          <w:sz w:val="18"/>
          <w:szCs w:val="18"/>
          <w:color w:val="auto"/>
        </w:rPr>
      </w:pPr>
    </w:p>
    <w:p>
      <w:pPr>
        <w:ind w:left="652" w:right="520" w:hanging="328"/>
        <w:spacing w:after="0" w:line="282" w:lineRule="auto"/>
        <w:tabs>
          <w:tab w:leader="none" w:pos="6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sets forth the entire agreement between the parties regarding the subject matter hereof, superseding all prior agreements and understandings, written and oral, and may not be altered or modified except by a writing signed by both parties.</w:t>
      </w:r>
    </w:p>
    <w:p>
      <w:pPr>
        <w:spacing w:after="0" w:line="161" w:lineRule="exact"/>
        <w:rPr>
          <w:rFonts w:ascii="Times New Roman" w:cs="Times New Roman" w:eastAsia="Times New Roman" w:hAnsi="Times New Roman"/>
          <w:sz w:val="18"/>
          <w:szCs w:val="18"/>
          <w:color w:val="auto"/>
        </w:rPr>
      </w:pPr>
    </w:p>
    <w:p>
      <w:pPr>
        <w:ind w:left="652" w:hanging="328"/>
        <w:spacing w:after="0" w:line="282" w:lineRule="auto"/>
        <w:tabs>
          <w:tab w:leader="none" w:pos="6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each represent and warrant to the other that it has not relied upon any representation or warranty, express or implied, in entering into this Amendment, except those which are set forth herein.</w:t>
      </w:r>
    </w:p>
    <w:p>
      <w:pPr>
        <w:spacing w:after="0" w:line="161" w:lineRule="exact"/>
        <w:rPr>
          <w:rFonts w:ascii="Times New Roman" w:cs="Times New Roman" w:eastAsia="Times New Roman" w:hAnsi="Times New Roman"/>
          <w:sz w:val="18"/>
          <w:szCs w:val="18"/>
          <w:color w:val="auto"/>
        </w:rPr>
      </w:pPr>
    </w:p>
    <w:p>
      <w:pPr>
        <w:ind w:left="652" w:right="40" w:hanging="328"/>
        <w:spacing w:after="0" w:line="261" w:lineRule="auto"/>
        <w:tabs>
          <w:tab w:leader="none" w:pos="6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and agreements herein contained shall bind and inure to the benefit of Landlord, its successors and assigns, and Tenant, its successors and assigns. If any of the provisions of this Amendment, or its application to any situation, shall be invalid or unenforceable to any extent, the remainder of this Amendment, or the application thereof to situations other than that as to which it is invalid or unenforceable, shall not be affected thereby, and every provision of this Amendment shall be valid and enforceable to the fullest extent permitted by law.</w:t>
      </w:r>
    </w:p>
    <w:p>
      <w:pPr>
        <w:spacing w:after="0" w:line="180" w:lineRule="exact"/>
        <w:rPr>
          <w:rFonts w:ascii="Times New Roman" w:cs="Times New Roman" w:eastAsia="Times New Roman" w:hAnsi="Times New Roman"/>
          <w:sz w:val="18"/>
          <w:szCs w:val="18"/>
          <w:color w:val="auto"/>
        </w:rPr>
      </w:pPr>
    </w:p>
    <w:p>
      <w:pPr>
        <w:ind w:left="652" w:right="840" w:hanging="328"/>
        <w:spacing w:after="0" w:line="282" w:lineRule="auto"/>
        <w:tabs>
          <w:tab w:leader="none" w:pos="6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of this Amendment are for convenience and reference only and in no way define, limit or describe the scope or intent of this Amendment.</w:t>
      </w:r>
    </w:p>
    <w:p>
      <w:pPr>
        <w:spacing w:after="0" w:line="161" w:lineRule="exact"/>
        <w:rPr>
          <w:rFonts w:ascii="Times New Roman" w:cs="Times New Roman" w:eastAsia="Times New Roman" w:hAnsi="Times New Roman"/>
          <w:sz w:val="18"/>
          <w:szCs w:val="18"/>
          <w:color w:val="auto"/>
        </w:rPr>
      </w:pPr>
    </w:p>
    <w:p>
      <w:pPr>
        <w:ind w:left="652" w:right="100" w:hanging="328"/>
        <w:spacing w:after="0" w:line="266" w:lineRule="auto"/>
        <w:tabs>
          <w:tab w:leader="none" w:pos="6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by Landlord of the within Amendment for execution by Tenant shall confer no rights nor impose any obligation on Landlord unless and until both Landlord and Tenant shall have executed this Amendment and duplicate originals thereof shall have been delivered by Landlord and Tenant to each other.</w:t>
      </w:r>
    </w:p>
    <w:p>
      <w:pPr>
        <w:spacing w:after="0" w:line="176" w:lineRule="exact"/>
        <w:rPr>
          <w:rFonts w:ascii="Times New Roman" w:cs="Times New Roman" w:eastAsia="Times New Roman" w:hAnsi="Times New Roman"/>
          <w:sz w:val="18"/>
          <w:szCs w:val="18"/>
          <w:color w:val="auto"/>
        </w:rPr>
      </w:pPr>
    </w:p>
    <w:p>
      <w:pPr>
        <w:ind w:left="652" w:right="20" w:hanging="328"/>
        <w:spacing w:after="0" w:line="266" w:lineRule="auto"/>
        <w:tabs>
          <w:tab w:leader="none" w:pos="6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signed in two identical counterparts, and both of such counterparts, when taken together, will be deemed to constitute the original of this Amendment. This Amendment may be executed and delivered via electronic facsimile transmission or as a “.pdf” attachment to an e-mail with the same force and effect as if it were executed and delivered by the parties simultaneously in the presence of one another.</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Second Amendment of Lease as of the date hereinabove set forth.</w:t>
      </w:r>
    </w:p>
    <w:p>
      <w:pPr>
        <w:spacing w:after="0" w:line="2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PERRYVILLE SPE LLC</w:t>
      </w:r>
    </w:p>
    <w:p>
      <w:pPr>
        <w:spacing w:after="0" w:line="229" w:lineRule="exact"/>
        <w:rPr>
          <w:sz w:val="20"/>
          <w:szCs w:val="20"/>
          <w:color w:val="auto"/>
        </w:rPr>
      </w:pPr>
    </w:p>
    <w:p>
      <w:pPr>
        <w:jc w:val="center"/>
        <w:ind w:left="3780"/>
        <w:spacing w:after="0"/>
        <w:tabs>
          <w:tab w:leader="none" w:pos="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BERNARD S. BERTRAM</w:t>
      </w:r>
    </w:p>
    <w:p>
      <w:pPr>
        <w:spacing w:after="0" w:line="27"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-130810</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p>
      <w:pPr>
        <w:ind w:left="526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S. MARUCCI</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-130810</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59"/>
          </w:cols>
          <w:pgMar w:left="700" w:top="333" w:right="1440" w:bottom="1440" w:gutter="0" w:footer="0" w:header="0"/>
        </w:sectPr>
      </w:pPr>
    </w:p>
    <w:bookmarkStart w:id="34" w:name="page35"/>
    <w:bookmarkEnd w:id="34"/>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jc w:val="both"/>
        <w:ind w:left="720" w:right="260" w:hanging="388"/>
        <w:spacing w:after="0" w:line="266" w:lineRule="auto"/>
        <w:tabs>
          <w:tab w:leader="none" w:pos="7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20" w:right="260" w:hanging="388"/>
        <w:spacing w:after="0" w:line="266" w:lineRule="auto"/>
        <w:tabs>
          <w:tab w:leader="none" w:pos="7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60" w:right="200" w:hanging="639"/>
        <w:spacing w:after="0" w:line="266" w:lineRule="auto"/>
        <w:tabs>
          <w:tab w:leader="none" w:pos="136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60" w:right="360" w:hanging="639"/>
        <w:spacing w:after="0" w:line="282" w:lineRule="auto"/>
        <w:tabs>
          <w:tab w:leader="none" w:pos="13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6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600" w:hanging="639"/>
        <w:spacing w:after="0" w:line="282" w:lineRule="auto"/>
        <w:tabs>
          <w:tab w:leader="none" w:pos="13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80" w:hanging="639"/>
        <w:spacing w:after="0" w:line="282" w:lineRule="auto"/>
        <w:tabs>
          <w:tab w:leader="none" w:pos="136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c>
          <w:tcPr>
            <w:tcW w:w="40" w:type="dxa"/>
            <w:vAlign w:val="bottom"/>
          </w:tcPr>
          <w:p>
            <w:pPr>
              <w:spacing w:after="0"/>
              <w:rPr>
                <w:sz w:val="20"/>
                <w:szCs w:val="20"/>
                <w:color w:val="auto"/>
              </w:rPr>
            </w:pPr>
          </w:p>
        </w:tc>
      </w:tr>
      <w:tr>
        <w:trPr>
          <w:trHeight w:val="191"/>
        </w:trPr>
        <w:tc>
          <w:tcPr>
            <w:tcW w:w="3540" w:type="dxa"/>
            <w:vAlign w:val="bottom"/>
          </w:tcPr>
          <w:p>
            <w:pPr>
              <w:spacing w:after="0"/>
              <w:rPr>
                <w:sz w:val="16"/>
                <w:szCs w:val="16"/>
                <w:color w:val="auto"/>
              </w:rPr>
            </w:pPr>
          </w:p>
        </w:tc>
        <w:tc>
          <w:tcPr>
            <w:tcW w:w="294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S. Marucci</w:t>
            </w:r>
          </w:p>
        </w:tc>
        <w:tc>
          <w:tcPr>
            <w:tcW w:w="4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5" w:name="page36"/>
    <w:bookmarkEnd w:id="3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jc w:val="both"/>
        <w:ind w:left="720" w:right="260" w:hanging="388"/>
        <w:spacing w:after="0" w:line="266" w:lineRule="auto"/>
        <w:tabs>
          <w:tab w:leader="none" w:pos="7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20" w:right="260" w:hanging="388"/>
        <w:spacing w:after="0" w:line="266" w:lineRule="auto"/>
        <w:tabs>
          <w:tab w:leader="none" w:pos="7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60" w:right="200" w:hanging="639"/>
        <w:spacing w:after="0" w:line="266" w:lineRule="auto"/>
        <w:tabs>
          <w:tab w:leader="none" w:pos="13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60" w:right="360" w:hanging="639"/>
        <w:spacing w:after="0" w:line="282" w:lineRule="auto"/>
        <w:tabs>
          <w:tab w:leader="none" w:pos="13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600" w:hanging="639"/>
        <w:spacing w:after="0" w:line="282" w:lineRule="auto"/>
        <w:tabs>
          <w:tab w:leader="none" w:pos="13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80" w:hanging="639"/>
        <w:spacing w:after="0" w:line="282" w:lineRule="auto"/>
        <w:tabs>
          <w:tab w:leader="none" w:pos="13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MARTIN</w:t>
            </w:r>
          </w:p>
        </w:tc>
        <w:tc>
          <w:tcPr>
            <w:tcW w:w="40" w:type="dxa"/>
            <w:vAlign w:val="bottom"/>
          </w:tcPr>
          <w:p>
            <w:pPr>
              <w:spacing w:after="0"/>
              <w:rPr>
                <w:sz w:val="20"/>
                <w:szCs w:val="20"/>
                <w:color w:val="auto"/>
              </w:rPr>
            </w:pPr>
          </w:p>
        </w:tc>
      </w:tr>
      <w:tr>
        <w:trPr>
          <w:trHeight w:val="191"/>
        </w:trPr>
        <w:tc>
          <w:tcPr>
            <w:tcW w:w="3540" w:type="dxa"/>
            <w:vAlign w:val="bottom"/>
          </w:tcPr>
          <w:p>
            <w:pPr>
              <w:spacing w:after="0"/>
              <w:rPr>
                <w:sz w:val="16"/>
                <w:szCs w:val="16"/>
                <w:color w:val="auto"/>
              </w:rPr>
            </w:pPr>
          </w:p>
        </w:tc>
        <w:tc>
          <w:tcPr>
            <w:tcW w:w="294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 Martin</w:t>
            </w:r>
          </w:p>
        </w:tc>
        <w:tc>
          <w:tcPr>
            <w:tcW w:w="4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1350 CERTIFICATIONS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r>
      <w:tr>
        <w:trPr>
          <w:trHeight w:val="191"/>
        </w:trPr>
        <w:tc>
          <w:tcPr>
            <w:tcW w:w="3540" w:type="dxa"/>
            <w:vAlign w:val="bottom"/>
          </w:tcPr>
          <w:p>
            <w:pPr>
              <w:spacing w:after="0"/>
              <w:rPr>
                <w:sz w:val="16"/>
                <w:szCs w:val="16"/>
                <w:color w:val="auto"/>
              </w:rPr>
            </w:pPr>
          </w:p>
        </w:tc>
        <w:tc>
          <w:tcPr>
            <w:tcW w:w="294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S. Marucci</w:t>
            </w:r>
          </w:p>
        </w:tc>
      </w:tr>
      <w:tr>
        <w:trPr>
          <w:trHeight w:val="234"/>
        </w:trPr>
        <w:tc>
          <w:tcPr>
            <w:tcW w:w="3540" w:type="dxa"/>
            <w:vAlign w:val="bottom"/>
          </w:tcPr>
          <w:p>
            <w:pPr>
              <w:spacing w:after="0"/>
              <w:rPr>
                <w:sz w:val="20"/>
                <w:szCs w:val="20"/>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MARTIN</w:t>
            </w:r>
          </w:p>
        </w:tc>
      </w:tr>
      <w:tr>
        <w:trPr>
          <w:trHeight w:val="191"/>
        </w:trPr>
        <w:tc>
          <w:tcPr>
            <w:tcW w:w="3540" w:type="dxa"/>
            <w:vAlign w:val="bottom"/>
          </w:tcPr>
          <w:p>
            <w:pPr>
              <w:spacing w:after="0"/>
              <w:rPr>
                <w:sz w:val="16"/>
                <w:szCs w:val="16"/>
                <w:color w:val="auto"/>
              </w:rPr>
            </w:pPr>
          </w:p>
        </w:tc>
        <w:tc>
          <w:tcPr>
            <w:tcW w:w="294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 Martin</w:t>
            </w:r>
          </w:p>
        </w:tc>
      </w:tr>
      <w:tr>
        <w:trPr>
          <w:trHeight w:val="234"/>
        </w:trPr>
        <w:tc>
          <w:tcPr>
            <w:tcW w:w="3540" w:type="dxa"/>
            <w:vAlign w:val="bottom"/>
          </w:tcPr>
          <w:p>
            <w:pPr>
              <w:spacing w:after="0"/>
              <w:rPr>
                <w:sz w:val="20"/>
                <w:szCs w:val="20"/>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6"/>
    </w:lvl>
  </w:abstractNum>
  <w:abstractNum w:abstractNumId="10">
    <w:nsid w:val="4E6AFB66"/>
    <w:multiLevelType w:val="hybridMultilevel"/>
    <w:lvl w:ilvl="0">
      <w:lvlJc w:val="left"/>
      <w:lvlText w:val="%1"/>
      <w:numFmt w:val="decimal"/>
      <w:start w:val="1"/>
    </w:lvl>
    <w:lvl w:ilvl="1">
      <w:lvlJc w:val="left"/>
      <w:lvlText w:val="(%2)"/>
      <w:numFmt w:val="lowerLetter"/>
      <w:start w:val="3"/>
    </w:lvl>
  </w:abstractNum>
  <w:abstractNum w:abstractNumId="11">
    <w:nsid w:val="25E45D32"/>
    <w:multiLevelType w:val="hybridMultilevel"/>
    <w:lvl w:ilvl="0">
      <w:lvlJc w:val="left"/>
      <w:lvlText w:val="%1."/>
      <w:numFmt w:val="decimal"/>
      <w:start w:val="9"/>
    </w:lvl>
    <w:lvl w:ilvl="1">
      <w:lvlJc w:val="left"/>
      <w:lvlText w:val="%2"/>
      <w:numFmt w:val="lowerLetter"/>
      <w:start w:val="1"/>
    </w:lvl>
  </w:abstractNum>
  <w:abstractNum w:abstractNumId="12">
    <w:nsid w:val="519B500D"/>
    <w:multiLevelType w:val="hybridMultilevel"/>
    <w:lvl w:ilvl="0">
      <w:lvlJc w:val="left"/>
      <w:lvlText w:val="%1."/>
      <w:numFmt w:val="upperLetter"/>
      <w:start w:val="1"/>
    </w:lvl>
  </w:abstractNum>
  <w:abstractNum w:abstractNumId="13">
    <w:nsid w:val="431BD7B7"/>
    <w:multiLevelType w:val="hybridMultilevel"/>
    <w:lvl w:ilvl="0">
      <w:lvlJc w:val="left"/>
      <w:lvlText w:val="%1."/>
      <w:numFmt w:val="upperLetter"/>
      <w:start w:val="2"/>
    </w:lvl>
  </w:abstractNum>
  <w:abstractNum w:abstractNumId="14">
    <w:nsid w:val="3F2DBA31"/>
    <w:multiLevelType w:val="hybridMultilevel"/>
    <w:lvl w:ilvl="0">
      <w:lvlJc w:val="left"/>
      <w:lvlText w:val="%1"/>
      <w:numFmt w:val="decimal"/>
      <w:start w:val="1"/>
    </w:lvl>
    <w:lvl w:ilvl="1">
      <w:lvlJc w:val="left"/>
      <w:lvlText w:val="%2."/>
      <w:numFmt w:val="upperLetter"/>
      <w:start w:val="4"/>
    </w:lvl>
  </w:abstractNum>
  <w:abstractNum w:abstractNumId="15">
    <w:nsid w:val="7C83E458"/>
    <w:multiLevelType w:val="hybridMultilevel"/>
    <w:lvl w:ilvl="0">
      <w:lvlJc w:val="left"/>
      <w:lvlText w:val="%1."/>
      <w:numFmt w:val="decimal"/>
      <w:start w:val="11"/>
    </w:lvl>
    <w:lvl w:ilvl="1">
      <w:lvlJc w:val="left"/>
      <w:lvlText w:val="%2"/>
      <w:numFmt w:val="upperLetter"/>
      <w:start w:val="1"/>
    </w:lvl>
  </w:abstractNum>
  <w:abstractNum w:abstractNumId="16">
    <w:nsid w:val="257130A3"/>
    <w:multiLevelType w:val="hybridMultilevel"/>
    <w:lvl w:ilvl="0">
      <w:lvlJc w:val="left"/>
      <w:lvlText w:val="%1."/>
      <w:numFmt w:val="upperLetter"/>
      <w:start w:val="1"/>
    </w:lvl>
    <w:lvl w:ilvl="1">
      <w:lvlJc w:val="left"/>
      <w:lvlText w:val="(%2)"/>
      <w:numFmt w:val="lowerRoman"/>
      <w:start w:val="1"/>
    </w:lvl>
  </w:abstractNum>
  <w:abstractNum w:abstractNumId="17">
    <w:nsid w:val="62BBD95A"/>
    <w:multiLevelType w:val="hybridMultilevel"/>
    <w:lvl w:ilvl="0">
      <w:lvlJc w:val="left"/>
      <w:lvlText w:val="%1."/>
      <w:numFmt w:val="upperLetter"/>
      <w:start w:val="2"/>
    </w:lvl>
  </w:abstractNum>
  <w:abstractNum w:abstractNumId="18">
    <w:nsid w:val="436C6125"/>
    <w:multiLevelType w:val="hybridMultilevel"/>
    <w:lvl w:ilvl="0">
      <w:lvlJc w:val="left"/>
      <w:lvlText w:val="%1."/>
      <w:numFmt w:val="decimal"/>
      <w:start w:val="12"/>
    </w:lvl>
  </w:abstractNum>
  <w:abstractNum w:abstractNumId="19">
    <w:nsid w:val="628C895D"/>
    <w:multiLevelType w:val="hybridMultilevel"/>
    <w:lvl w:ilvl="0">
      <w:lvlJc w:val="left"/>
      <w:lvlText w:val="%1."/>
      <w:numFmt w:val="decimal"/>
      <w:start w:val="14"/>
    </w:lvl>
    <w:lvl w:ilvl="1">
      <w:lvlJc w:val="left"/>
      <w:lvlText w:val="%2."/>
      <w:numFmt w:val="upp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2019-12-28T12:47:17Z</dcterms:created>
  <dcterms:modified xsi:type="dcterms:W3CDTF">2019-12-28T12:47:17Z</dcterms:modified>
</cp:coreProperties>
</file>