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5" w:lineRule="exact"/>
        <w:rPr>
          <w:sz w:val="24"/>
          <w:szCs w:val="24"/>
          <w:color w:val="auto"/>
        </w:rPr>
      </w:pPr>
    </w:p>
    <w:p>
      <w:pPr>
        <w:ind w:left="3200" w:right="1060" w:hanging="2868"/>
        <w:spacing w:after="0" w:line="415" w:lineRule="auto"/>
        <w:tabs>
          <w:tab w:leader="none" w:pos="63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247" w:lineRule="exact"/>
        <w:rPr>
          <w:sz w:val="24"/>
          <w:szCs w:val="24"/>
          <w:color w:val="auto"/>
        </w:rPr>
      </w:pPr>
    </w:p>
    <w:p>
      <w:pPr>
        <w:ind w:left="3660" w:right="1080" w:hanging="3328"/>
        <w:spacing w:after="0" w:line="372" w:lineRule="auto"/>
        <w:tabs>
          <w:tab w:leader="none" w:pos="6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000-15006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CELLDEX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9920"/>
          </w:cols>
          <w:pgMar w:left="980" w:top="665" w:right="999" w:bottom="1440" w:gutter="0" w:footer="0" w:header="0"/>
        </w:sectPr>
      </w:pPr>
    </w:p>
    <w:p>
      <w:pPr>
        <w:spacing w:after="0" w:line="95"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7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No. 13-3191702</w:t>
      </w:r>
    </w:p>
    <w:p>
      <w:pPr>
        <w:spacing w:after="0" w:line="26" w:lineRule="exact"/>
        <w:rPr>
          <w:sz w:val="24"/>
          <w:szCs w:val="24"/>
          <w:color w:val="auto"/>
        </w:rPr>
      </w:pPr>
    </w:p>
    <w:p>
      <w:pPr>
        <w:jc w:val="center"/>
        <w:ind w:right="1240"/>
        <w:spacing w:after="0"/>
        <w:rPr>
          <w:sz w:val="20"/>
          <w:szCs w:val="20"/>
          <w:color w:val="auto"/>
        </w:rPr>
      </w:pPr>
      <w:r>
        <w:rPr>
          <w:rFonts w:ascii="Arial" w:cs="Arial" w:eastAsia="Arial" w:hAnsi="Arial"/>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5600" w:space="720"/>
            <w:col w:w="3600"/>
          </w:cols>
          <w:pgMar w:left="980" w:top="665" w:right="99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Perryville III Building, 53 Frontage Road, Suite 220, Hampton, New Jersey 08827</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(908) 200-7500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w:t>
            </w:r>
          </w:p>
        </w:tc>
        <w:tc>
          <w:tcPr>
            <w:tcW w:w="180" w:type="dxa"/>
            <w:vAlign w:val="bottom"/>
          </w:tcPr>
          <w:p>
            <w:pPr>
              <w:spacing w:after="0"/>
              <w:rPr>
                <w:sz w:val="17"/>
                <w:szCs w:val="17"/>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CLDX</w:t>
            </w:r>
          </w:p>
        </w:tc>
        <w:tc>
          <w:tcPr>
            <w:tcW w:w="16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8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w:t>
      </w:r>
    </w:p>
    <w:p>
      <w:pPr>
        <w:spacing w:after="0" w:line="45" w:lineRule="exact"/>
        <w:rPr>
          <w:sz w:val="24"/>
          <w:szCs w:val="24"/>
          <w:color w:val="auto"/>
        </w:rPr>
      </w:pPr>
    </w:p>
    <w:p>
      <w:pPr>
        <w:ind w:right="240"/>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w:t>
      </w:r>
    </w:p>
    <w:p>
      <w:pPr>
        <w:spacing w:after="0" w:line="34" w:lineRule="exact"/>
        <w:rPr>
          <w:sz w:val="24"/>
          <w:szCs w:val="24"/>
          <w:color w:val="auto"/>
        </w:rPr>
      </w:pPr>
    </w:p>
    <w:p>
      <w:pPr>
        <w:ind w:right="200"/>
        <w:spacing w:after="0" w:line="211" w:lineRule="exact"/>
        <w:rPr>
          <w:sz w:val="20"/>
          <w:szCs w:val="20"/>
          <w:color w:val="auto"/>
        </w:rPr>
      </w:pPr>
      <w:r>
        <w:rPr>
          <w:rFonts w:ascii="Arial" w:cs="Arial" w:eastAsia="Arial" w:hAnsi="Arial"/>
          <w:sz w:val="16"/>
          <w:szCs w:val="16"/>
          <w:color w:val="auto"/>
        </w:rPr>
        <w:t xml:space="preserve">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6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5" w:right="999" w:bottom="1440" w:gutter="0" w:footer="0" w:header="0"/>
          <w:type w:val="continuous"/>
        </w:sectPr>
      </w:pPr>
    </w:p>
    <w:p>
      <w:pPr>
        <w:spacing w:after="0" w:line="33" w:lineRule="exact"/>
        <w:rPr>
          <w:sz w:val="24"/>
          <w:szCs w:val="24"/>
          <w:color w:val="auto"/>
        </w:rPr>
      </w:pPr>
    </w:p>
    <w:p>
      <w:pPr>
        <w:ind w:left="16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6" w:lineRule="exact"/>
        <w:rPr>
          <w:sz w:val="24"/>
          <w:szCs w:val="24"/>
          <w:color w:val="auto"/>
        </w:rPr>
      </w:pPr>
    </w:p>
    <w:p>
      <w:pPr>
        <w:ind w:left="166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14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14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jc w:val="center"/>
        <w:ind w:right="14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2">
            <w:col w:w="5800" w:space="720"/>
            <w:col w:w="3400"/>
          </w:cols>
          <w:pgMar w:left="980" w:top="665" w:right="999" w:bottom="1440" w:gutter="0" w:footer="0" w:header="0"/>
          <w:type w:val="continuous"/>
        </w:sectPr>
      </w:pPr>
    </w:p>
    <w:p>
      <w:pPr>
        <w:ind w:right="20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134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31, 2021, 46,663,872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8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7"/>
          </w:tcPr>
          <w:p>
            <w:pPr>
              <w:jc w:val="center"/>
              <w:ind w:right="2480"/>
              <w:spacing w:after="0"/>
              <w:rPr>
                <w:sz w:val="20"/>
                <w:szCs w:val="20"/>
                <w:color w:val="auto"/>
              </w:rPr>
            </w:pPr>
            <w:r>
              <w:rPr>
                <w:rFonts w:ascii="Arial" w:cs="Arial" w:eastAsia="Arial" w:hAnsi="Arial"/>
                <w:sz w:val="18"/>
                <w:szCs w:val="18"/>
                <w:b w:val="1"/>
                <w:bCs w:val="1"/>
                <w:color w:val="auto"/>
              </w:rPr>
              <w:t>CELLDEX THERAPEUTICS, INC.</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7"/>
          </w:tcPr>
          <w:p>
            <w:pPr>
              <w:jc w:val="center"/>
              <w:ind w:right="2460"/>
              <w:spacing w:after="0"/>
              <w:rPr>
                <w:sz w:val="20"/>
                <w:szCs w:val="20"/>
                <w:color w:val="auto"/>
              </w:rPr>
            </w:pPr>
            <w:r>
              <w:rPr>
                <w:rFonts w:ascii="Arial" w:cs="Arial" w:eastAsia="Arial" w:hAnsi="Arial"/>
                <w:sz w:val="18"/>
                <w:szCs w:val="18"/>
                <w:b w:val="1"/>
                <w:bCs w:val="1"/>
                <w:color w:val="auto"/>
                <w:w w:val="99"/>
              </w:rPr>
              <w:t>FORM 10-Q</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6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1"/>
              </w:rPr>
              <w:t>For the Quarterly Period Ended September 30, 2021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7"/>
          </w:tcPr>
          <w:p>
            <w:pPr>
              <w:jc w:val="center"/>
              <w:ind w:right="2480"/>
              <w:spacing w:after="0"/>
              <w:rPr>
                <w:sz w:val="20"/>
                <w:szCs w:val="20"/>
                <w:color w:val="auto"/>
              </w:rPr>
            </w:pPr>
            <w:r>
              <w:rPr>
                <w:rFonts w:ascii="Arial" w:cs="Arial" w:eastAsia="Arial" w:hAnsi="Arial"/>
                <w:sz w:val="18"/>
                <w:szCs w:val="18"/>
                <w:b w:val="1"/>
                <w:bCs w:val="1"/>
                <w:color w:val="auto"/>
                <w:w w:val="89"/>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Borders>
              <w:top w:val="single" w:sz="8" w:color="CCEEFF"/>
              <w:bottom w:val="single" w:sz="8" w:color="0000EE"/>
            </w:tcBorders>
            <w:gridSpan w:val="12"/>
            <w:shd w:val="clear" w:color="auto" w:fill="CCEEFF"/>
          </w:tcPr>
          <w:p>
            <w:pPr>
              <w:spacing w:after="0" w:line="156"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6940" w:type="dxa"/>
            <w:vAlign w:val="bottom"/>
            <w:tcBorders>
              <w:top w:val="single" w:sz="8" w:color="CCEEFF"/>
              <w:bottom w:val="single" w:sz="8" w:color="CCEEFF"/>
            </w:tcBorders>
            <w:gridSpan w:val="10"/>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2"/>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Unaudited Financial Statements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1"/>
            <w:shd w:val="clear" w:color="auto" w:fill="CCEEFF"/>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2021 and December 31, 2020</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1"/>
          </w:tcPr>
          <w:p>
            <w:pPr>
              <w:ind w:left="160"/>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and Comprehensive Loss for the Three and Nine Months Ended</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00" w:type="dxa"/>
            <w:vAlign w:val="bottom"/>
            <w:tcBorders>
              <w:top w:val="single" w:sz="8" w:color="0000EE"/>
            </w:tcBorders>
            <w:gridSpan w:val="19"/>
          </w:tcPr>
          <w:p>
            <w:pPr>
              <w:ind w:left="1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2021 and 2020</w:t>
              </w:r>
            </w:hyperlink>
          </w:p>
        </w:tc>
        <w:tc>
          <w:tcPr>
            <w:tcW w:w="74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1"/>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September 30, 2021 and 2020</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1"/>
          </w:tcPr>
          <w:p>
            <w:pPr>
              <w:ind w:left="1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2"/>
            <w:shd w:val="clear" w:color="auto" w:fill="CCEEFF"/>
          </w:tcPr>
          <w:p>
            <w:pPr>
              <w:ind w:left="16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2"/>
          </w:tcPr>
          <w:p>
            <w:pPr>
              <w:ind w:left="16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2"/>
            <w:shd w:val="clear" w:color="auto" w:fill="CCEEFF"/>
          </w:tcPr>
          <w:p>
            <w:pPr>
              <w:ind w:left="16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60" w:type="dxa"/>
            <w:vAlign w:val="bottom"/>
            <w:gridSpan w:val="22"/>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1"/>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2"/>
          </w:tcPr>
          <w:p>
            <w:pPr>
              <w:ind w:left="1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2"/>
            <w:shd w:val="clear" w:color="auto" w:fill="CCEEFF"/>
          </w:tcPr>
          <w:p>
            <w:pPr>
              <w:ind w:left="1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2"/>
          </w:tcPr>
          <w:p>
            <w:pPr>
              <w:ind w:left="1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22"/>
            <w:shd w:val="clear" w:color="auto" w:fill="CCEEFF"/>
          </w:tcPr>
          <w:p>
            <w:pPr>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 Index</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40" w:type="dxa"/>
            <w:vAlign w:val="bottom"/>
            <w:tcBorders>
              <w:top w:val="single" w:sz="8" w:color="0000EE"/>
            </w:tcBorders>
            <w:gridSpan w:val="5"/>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8320" w:type="dxa"/>
            <w:vAlign w:val="bottom"/>
            <w:tcBorders>
              <w:top w:val="single" w:sz="8" w:color="CCEEFF"/>
            </w:tcBorders>
            <w:gridSpan w:val="17"/>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116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43,836</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350,905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150,586</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16"/>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r>
      <w:tr>
        <w:trPr>
          <w:trHeight w:val="20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426,555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197,843</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30,690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460,201</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235,838</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8,459</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16"/>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other long-term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w:t>
            </w:r>
          </w:p>
        </w:tc>
      </w:tr>
      <w:tr>
        <w:trPr>
          <w:trHeight w:val="20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14,206</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r>
      <w:tr>
        <w:trPr>
          <w:trHeight w:val="209"/>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26,481</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2"/>
        </w:trPr>
        <w:tc>
          <w:tcPr>
            <w:tcW w:w="7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Convertible preferred stock, $.01 par value; 3,000,000 shares authorized; no shares issued</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September 30, 2021 and December 31, 2020</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100" w:type="dxa"/>
            <w:vAlign w:val="bottom"/>
          </w:tcPr>
          <w:p>
            <w:pPr>
              <w:ind w:left="220"/>
              <w:spacing w:after="0" w:line="201" w:lineRule="exact"/>
              <w:rPr>
                <w:sz w:val="20"/>
                <w:szCs w:val="20"/>
                <w:color w:val="auto"/>
              </w:rPr>
            </w:pPr>
            <w:r>
              <w:rPr>
                <w:rFonts w:ascii="Arial" w:cs="Arial" w:eastAsia="Arial" w:hAnsi="Arial"/>
                <w:sz w:val="18"/>
                <w:szCs w:val="18"/>
                <w:color w:val="auto"/>
                <w:w w:val="92"/>
              </w:rPr>
              <w:t>Common stock, $.001 par value; 297,000,000 shares authorized; 46,663,340 and 39,603,771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w w:val="91"/>
              </w:rPr>
              <w:t>shares issued and outstanding at September 30, 2021 and December 31, 2020, respectively</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1,279,824</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(1,123,459)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(1,073,096)</w:t>
            </w: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436,712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209,357</w:t>
            </w:r>
          </w:p>
        </w:tc>
      </w:tr>
      <w:tr>
        <w:trPr>
          <w:trHeight w:val="209"/>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235,838</w:t>
            </w: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Nine Months</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2021</w:t>
            </w:r>
          </w:p>
        </w:tc>
        <w:tc>
          <w:tcPr>
            <w:tcW w:w="1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(Gain) loss on fair value remeasurement of contingent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(14,342)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(50,903)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and other income, net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(20,452)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(14,224)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(50,363)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Unrealized (loss) gain on marketable securities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300"/>
        <w:spacing w:after="0" w:line="275" w:lineRule="auto"/>
        <w:rPr>
          <w:sz w:val="20"/>
          <w:szCs w:val="20"/>
          <w:color w:val="auto"/>
        </w:rPr>
      </w:pPr>
      <w:r>
        <w:rPr>
          <w:rFonts w:ascii="Arial" w:cs="Arial" w:eastAsia="Arial" w:hAnsi="Arial"/>
          <w:sz w:val="18"/>
          <w:szCs w:val="18"/>
          <w:b w:val="1"/>
          <w:bCs w:val="1"/>
          <w:color w:val="auto"/>
        </w:rPr>
        <w:t>CELLDEX THERAPEUTICS, INC. CONDENSED CONSOLIDATED STATEMENTS OF CASH FLOW (Unaudited)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(50,363)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and premium of marketable securities, net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Gain on sale or disposal of assets</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 Impairment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Gain on fair value remeasurement of contingent consideration</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Income Tax Benefit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Accounts and other receivables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disposal of assets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Net proceeds from stock issuances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269,893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stock from employee benefit plans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Issuance of Term Loan</w:t>
            </w: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Term Loan</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49"/>
        </w:trPr>
        <w:tc>
          <w:tcPr>
            <w:tcW w:w="6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construction in progress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400"/>
        <w:spacing w:after="0" w:line="266" w:lineRule="auto"/>
        <w:rPr>
          <w:sz w:val="20"/>
          <w:szCs w:val="20"/>
          <w:color w:val="auto"/>
        </w:rPr>
      </w:pPr>
      <w:r>
        <w:rPr>
          <w:rFonts w:ascii="Arial" w:cs="Arial" w:eastAsia="Arial" w:hAnsi="Arial"/>
          <w:sz w:val="18"/>
          <w:szCs w:val="18"/>
          <w:b w:val="1"/>
          <w:bCs w:val="1"/>
          <w:color w:val="auto"/>
        </w:rPr>
        <w:t>CELLDEX THERAPEUTICS, INC. Notes to Unaudited Condensed Consolidated Financial Statements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These interim financial statements do not include all the information and footnotes required by U.S. GAAP for annual financial statements and should be read in conjunction with the audited financial statements for the year ended December 31, 2020, which are included in the Company’s Annual Report on Form 10-K filed with the Securities and Exchange Commission on March 29, 2021.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2021.</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At September 30, 2021, the Company had cash, cash equivalents and marketable securities of $423.1 million. The Company has had recurring losses and incurred a loss of $50.4 million for the nine months ended September 30, 2021. Net cash used in operations for the nine months ended September 30, 2021 was $46.4 million. The Company believes that the cash, cash equivalents and marketable securities at the filing date of this Form 10-Q will be sufficient to meet estimated working capital requirements and fund planned operations for at least the next twelve months from the date of issuance of these financial statements.</w:t>
      </w:r>
    </w:p>
    <w:p>
      <w:pPr>
        <w:spacing w:after="0" w:line="16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contingent milestones from the acquisition of Kolltan Pharmaceuticals, Inc. (“Kolltan”),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including supply chain and work force issues which could adversely impact our operations. To date, the Company has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 Any prolonged negative impacts to our business could materially impact our operating results and could lead to impairments of our Intangible in-process research and development (“IPR&amp;D”) assets with a carrying value of $27.2 million at September 30,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on Form 10-Q for the three and nine months ended September 30, 2021 are consistent with those discussed in Note 2 to the financial statements in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4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We are currently evaluating the potential impact that this standard may have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w:t>
            </w: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September 30, 2021</w:t>
            </w:r>
          </w:p>
        </w:tc>
        <w:tc>
          <w:tcPr>
            <w:tcW w:w="160" w:type="dxa"/>
            <w:vAlign w:val="bottom"/>
            <w:gridSpan w:val="2"/>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3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14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66,929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1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350,905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350,905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417,834</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417,834</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14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w:t>
            </w: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December 31, 2020</w:t>
            </w:r>
          </w:p>
        </w:tc>
        <w:tc>
          <w:tcPr>
            <w:tcW w:w="14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32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14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35,066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35,066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150,586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gridSpan w:val="2"/>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185,652</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185,652</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14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activity for the Company’s contingent consideration liabilities measured at fair value using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for the nine months ended September 30, 2021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Other Liabilities:</w:t>
            </w:r>
          </w:p>
        </w:tc>
      </w:tr>
      <w:tr>
        <w:trPr>
          <w:trHeight w:val="148"/>
        </w:trPr>
        <w:tc>
          <w:tcPr>
            <w:tcW w:w="8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Contingent</w:t>
            </w:r>
          </w:p>
        </w:tc>
      </w:tr>
      <w:tr>
        <w:trPr>
          <w:trHeight w:val="171"/>
        </w:trPr>
        <w:tc>
          <w:tcPr>
            <w:tcW w:w="8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Consideration</w:t>
            </w: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r>
      <w:tr>
        <w:trPr>
          <w:trHeight w:val="216"/>
        </w:trPr>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r>
      <w:tr>
        <w:trPr>
          <w:trHeight w:val="209"/>
        </w:trPr>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7,107</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valuation technique used to measure fair value of the Company’s Level 3 liabilities, which consist of contingent consideration related to the acquisition of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 As of September 30, 2021, the weighted average probability of success used in calculating the fair value of contingent consideration was 48.0% (with a range of 5.1% to 68.6%), the weighted average discount rate was 5.6% ( with a range of 5.1% to 6.7%) and the weighted average amount of time until the conditions of the milestone payments are met was 4 years. Weighted averages are calculated based on the relative fair value of our contingent consideration obligations.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three and nine months ended September 30, 2021, the Company recorded a $1.9 million and $1.2 million gain on fair value remeasurement of contingent consideration, respectively, primarily due to updated assumptions for the TAM program, changes in discount rates and the passage of time. During the three months ended September 30, 2020, the Company recorded a $0.7 million loss on fair value remeasurement of contingent consideration primarily due to changes in discount rates and the passage of time. During the nine months ended September 30, 2020, the Company recorded a $4.2 million gain on fair value remeasurement of contingent consideration primarily due to updated assumptions for CDX-3379 related milestones due to the discontinuation of the CDX-3379 program, changes in discount rates and the passage of time.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have any transfers in or out of Level 3 assets or liabilities during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Gains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24,291</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24,296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75,299</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99,595</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183,504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183,494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67,816</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251,348</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251,310</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350,953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350,905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Gains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40,328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40,328</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110,265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110,257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110,257</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holds investment-grade marketable securities, and none were in a continuous unrealized loss position for more than twelve months as of September 30, 2021 and December 31, 2020. The unrealized losses are attributable to changes in interest rates and the Company does not believe any unrealized losses represent other-than-temporary impairments. Marketable securities include $0.8 million and $0.2 million in accrued interest at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September 30, 2021 and December 31, 2020, the carrying value of the Company’s indefinite-lived intangible assets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$27.2 million and $30.7 million, respectively. Indefinite-lived intangible assets consist of acquired IPR&amp;D related to the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anti-KIT program (including CDX-0159) and the TAM program, a broad antibody discovery effort to generate antibodies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modulate the TAM family of RTKs, comprised of Tyro3, AxL and MerTK. CDX-0159 is in Phase 1 development and the TAM program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in preclinical development. As of September 30, 2021, none of the Company’s IPR&amp;D assets had reached technological feasibility nor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did any have alternative future uses.</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 performs an impairment test on IPR&amp;D assets at least annually, or more frequently if events or changes in circumstances indicate that IPR&amp;D assets may be impaired. During the fourth quarter of 2020, the Company decided that although it had developed promising data for the AxL target within the TAM program, it would focus its efforts on out-licensing opportunities for its TAM program. As a result, the Company evaluated the TAM program IPR&amp;D asset for potential impairment due to the change in projected development and regulatory timelines related to the program and recorded a non-cash partial impairment charge of $14.5 million for the fourth quarter of 2020. During the third quarter of 2021, the Company evaluated its out-licensing progress since December 31, 2020 and the status and expectation for the TAM program. Despite the Company’s efforts to out-license, there was a lack of interest in the program from third parties. Therefore, the Company evaluated the TAM program IPR&amp;D asset for potential impairment using a discounted cash flow fair value model and concluded that the TAM IPR&amp;D asset was fully impaired. A non-cash impairment charge of $3.5 million was recorded for the three months ended September 30, 2021. As a result of the discontinuation of the CDX-3379 program in the second quarter of 2020, the Company concluded that the CDX-3379 IPR&amp;D asset was fully impaired and a non-cash impairment charge of $3.5 million was recorded in the second quarter of 2020.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128"/>
        </w:trPr>
        <w:tc>
          <w:tcPr>
            <w:tcW w:w="7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gridSpan w:val="4"/>
          </w:tcPr>
          <w:p>
            <w:pPr>
              <w:jc w:val="right"/>
              <w:ind w:right="8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Contingent milestones (Note 3)</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8,267</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(Note 10)</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0" w:type="dxa"/>
            <w:vAlign w:val="bottom"/>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13,493</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Long-term portion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May 2016, the Company entered into a controlled equity offering sales agreement (the “Cantor Agreement”) with Cantor Fitzgerald &amp; Co. (“Cantor”) to allow the Company to issue and sell shares of its common stock from time to time through Cantor, acting as agent. At September 30, 2021, the Company had $50.0 million remaining in aggregate gross offering price available under the Company’s November 2020 prospectus.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July 2021, the Company issued 6,845,238 shares of its common stock in an underwritten public offering resulting in net proceeds to the Company of $269.9 million, after deducting underwriting fees and offering expenses.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Stockholders’ Equity during the three and nine months ended September 30, 2021 and 2020 are summarized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Stock Par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gridSpan w:val="12"/>
          </w:tcPr>
          <w:p>
            <w:pPr>
              <w:jc w:val="right"/>
              <w:ind w:right="588"/>
              <w:spacing w:after="0" w:line="129" w:lineRule="exact"/>
              <w:rPr>
                <w:sz w:val="20"/>
                <w:szCs w:val="20"/>
                <w:color w:val="auto"/>
              </w:rPr>
            </w:pPr>
            <w:r>
              <w:rPr>
                <w:rFonts w:ascii="Arial" w:cs="Arial" w:eastAsia="Arial" w:hAnsi="Arial"/>
                <w:sz w:val="14"/>
                <w:szCs w:val="14"/>
                <w:b w:val="1"/>
                <w:bCs w:val="1"/>
                <w:color w:val="auto"/>
                <w:w w:val="92"/>
              </w:rPr>
              <w:t>(In thousands, except share amounts)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at December 31, 2020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39,603,771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$ 1,279,824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(1,073,096)</w:t>
            </w:r>
          </w:p>
        </w:tc>
        <w:tc>
          <w:tcPr>
            <w:tcW w:w="6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209,357</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10,867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(16,538)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(16,538)</w:t>
            </w:r>
          </w:p>
        </w:tc>
        <w:tc>
          <w:tcPr>
            <w:tcW w:w="0" w:type="dxa"/>
            <w:vAlign w:val="bottom"/>
          </w:tcPr>
          <w:p>
            <w:pPr>
              <w:spacing w:after="0"/>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Arial" w:cs="Arial" w:eastAsia="Arial" w:hAnsi="Arial"/>
                <w:sz w:val="14"/>
                <w:szCs w:val="14"/>
                <w:b w:val="1"/>
                <w:bCs w:val="1"/>
                <w:color w:val="auto"/>
              </w:rPr>
              <w:t>Consolidated balance at March 31, 2021</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39,614,638</w:t>
            </w:r>
          </w:p>
        </w:tc>
        <w:tc>
          <w:tcPr>
            <w:tcW w:w="1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$ 1,281,173</w:t>
            </w: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2,587</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(1,089,634)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194,166</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marketable securities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(13,373)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June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39,616,696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$ 1,282,657</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(1,103,007)</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182,282</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201,406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underwritten offering, net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6,845,238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269,886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269,893</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(20,452)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(20,452)</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September 30, 2021</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46,663,340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$ 1,557,576</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(1,123,459)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436,712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22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Stock Par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9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gridSpan w:val="13"/>
          </w:tcPr>
          <w:p>
            <w:pPr>
              <w:jc w:val="right"/>
              <w:ind w:right="680"/>
              <w:spacing w:after="0" w:line="129" w:lineRule="exact"/>
              <w:rPr>
                <w:sz w:val="20"/>
                <w:szCs w:val="20"/>
                <w:color w:val="auto"/>
              </w:rPr>
            </w:pPr>
            <w:r>
              <w:rPr>
                <w:rFonts w:ascii="Arial" w:cs="Arial" w:eastAsia="Arial" w:hAnsi="Arial"/>
                <w:sz w:val="14"/>
                <w:szCs w:val="14"/>
                <w:b w:val="1"/>
                <w:bCs w:val="1"/>
                <w:color w:val="auto"/>
                <w:w w:val="92"/>
              </w:rPr>
              <w:t>(In thousands, except share amounts)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at December 31, 2019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16,972,077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$ 1,104,706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(1,013,316)</w:t>
            </w:r>
          </w:p>
        </w:tc>
        <w:tc>
          <w:tcPr>
            <w:tcW w:w="2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94,026</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12,573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connection with at the market agreement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746,152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(12,625)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March 31, 2020</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17,730,802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$ 1,107,029</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(1,025,941)</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83,703</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Shares issued in connection with at the market agreement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5,978,452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23,686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23,692</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underwritten offering, net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15,384,614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141,346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141,361</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(11,031)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(11,031)</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June 30, 2020</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39,093,868</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$ 1,272,783</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(1,036,972)</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238,444</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68,204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connection with at the market agreement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400,400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4,296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4,297</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1,250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marketable securities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(14,224)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(14,224)</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September 30, 2020</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39,562,472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$ 1,278,523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2,608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(1,051,196)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229,975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3,042,229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1,350,210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28.16</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Canceled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(70,349)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2021</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3,982,965</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29.81</w:t>
            </w:r>
          </w:p>
        </w:tc>
        <w:tc>
          <w:tcPr>
            <w:tcW w:w="20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1,387,147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Shares available for grant under the 2021 Plan</w:t>
            </w:r>
          </w:p>
        </w:tc>
        <w:tc>
          <w:tcPr>
            <w:tcW w:w="920" w:type="dxa"/>
            <w:vAlign w:val="bottom"/>
          </w:tcPr>
          <w:p>
            <w:pPr>
              <w:jc w:val="right"/>
              <w:spacing w:after="0"/>
              <w:rPr>
                <w:sz w:val="20"/>
                <w:szCs w:val="20"/>
                <w:color w:val="auto"/>
              </w:rPr>
            </w:pPr>
            <w:r>
              <w:rPr>
                <w:rFonts w:ascii="Arial" w:cs="Arial" w:eastAsia="Arial" w:hAnsi="Arial"/>
                <w:sz w:val="18"/>
                <w:szCs w:val="18"/>
                <w:color w:val="auto"/>
              </w:rPr>
              <w:t>3,319,116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and nine months ended September 30, 2021 was $41.34 and $21.86, respectively.</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aggregate intrinsic value of stock options vested and expected to vest at September 30, 2021 was $140.6 million. The aggregate intrinsic value of stock options exercisable at September 30, 2021 was $47.3 million. As of September 30, 2021, total compensation cost related to non-vested employee, consultant and non-employee director stock options not yet recognized was approximately $33.7 million, net of estimated forfeitures, which is expected to be recognized as expense over a weighted average period of 2.9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expense for the three and nine months ended September 30, 2021 and 2020 was recorded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Three months ended September 30,</w:t>
            </w:r>
          </w:p>
        </w:tc>
        <w:tc>
          <w:tcPr>
            <w:tcW w:w="16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42"/>
        </w:trPr>
        <w:tc>
          <w:tcPr>
            <w:tcW w:w="4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r>
      <w:tr>
        <w:trPr>
          <w:trHeight w:val="129"/>
        </w:trPr>
        <w:tc>
          <w:tcPr>
            <w:tcW w:w="4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4"/>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5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r>
      <w:tr>
        <w:trPr>
          <w:trHeight w:val="210"/>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r>
      <w:tr>
        <w:trPr>
          <w:trHeight w:val="20"/>
        </w:trPr>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fair values of employee, consultant and non-employee director stock options granted during the three and nine months ended September 30, 2021 and 2020 were valued using the Black-Scholes option pricing model with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354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 – 98%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 – 98%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Expected option term</w:t>
            </w:r>
          </w:p>
        </w:tc>
        <w:tc>
          <w:tcPr>
            <w:tcW w:w="18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6.0 Years</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6.0 Years</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6.0 Years</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6.0 Years</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1.1 – 1.2%</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0.8 – 1.3%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 – 0.6%</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None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None</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863"/>
        </w:trPr>
        <w:tc>
          <w:tcPr>
            <w:tcW w:w="3540" w:type="dxa"/>
            <w:vAlign w:val="bottom"/>
          </w:tcPr>
          <w:p>
            <w:pPr>
              <w:spacing w:after="0"/>
              <w:rPr>
                <w:sz w:val="24"/>
                <w:szCs w:val="24"/>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3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nine months ended September 30, 2021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Loss 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Currency Items</w:t>
            </w: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9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amounts were reclassified out of accumulated other comprehensive income during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first quarter of 2020. The Company is eligible to receive additional payments from Rockefeller University if this portfolio progresses through clinical and commercial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has entered into the Rockefeller Agreement and an agreement with Gilead Sciences pursuant to which the Company performs manufacturing and research and development services on a time-and-materials basis or at a negotiated fixed-price. The Company recognized $0.1 million and $4.0 million in revenue under these agreements during the three and nine months ended September 30, 2021, respectively, and $0.3 million and $0.9 million during the three and nine months ended September 30, 2020, respectively.</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third quarter of 2020, the Company was awarded a Small Business Innovation Research (“SBIR”) grant from the National Institutes of Health (NIH) to support the Company’s CDX-1140 and CDX-301 programs. The Company recognized $0.0 million and $0.3 million in grant revenue under the award during the three and nine months ended September 30, 2021, respectively, and $0.3 million during the three and nine months ended September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September 30, 2021 and December 31, 2020, the Company’s right to consideration under all contracts was considered unconditional, and as such, there were no recorded contract assets. At September 30, 2021, the Company had $0.6 million in contract liabilities recorded, which is expected to be recognized during the next 12 months as manufacturing and research and development services are performed. At December 31, 2020, the Company had $3.4 million in contract liabilities recorded. Revenue recognized from contract liabilities as of December 31, 2020 during the three and nine months ended September 30, 2021 was $0.0 million and $3.4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September 30, 2021 and December 31, 2020.</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net deferred tax liability of $1.6 million and $1.8 million at September 30, 2021 and December 31, 2020, respectively, relates to the temporary differences associated with the IPR&amp;D intangible assets acquired in previous business combinations and is not deductible for tax purposes. A $0.2 million non-cash income tax benefit was recorded during the third quarter of 2021 and a $0.9 million non-cash income tax benefit was recorded during the fourth quarter of 2020 related to impairments of the TAM program IPR&amp;D asset. A $0.2 million non-cash income tax benefit was recorded during the second quarter of 2020 related to the impairment of the CDX-3379 IPR&amp;D asset.</w:t>
      </w:r>
    </w:p>
    <w:p>
      <w:pPr>
        <w:spacing w:after="0" w:line="19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2"/>
        </w:trPr>
        <w:tc>
          <w:tcPr>
            <w:tcW w:w="7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4,129,626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3,074,832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Restricted Stock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4,129,626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3,074,832</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Kolltan Acquisition</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The payment of Kolltan Milestones , if any, may be made, at Celldex’s sole election, in cash, in shares of Celldex’s common stock or a combination of both, subject to provisions of the Agreement and Plan of Merger, dated November 1, 2016 (the “Merger Agreement”). Certain Kolltan Milestones related to the METRIC clinical study, TAM partnership closing within two years of the acquisition, CDX-3379 and CDX-0158 have been abandoned and, because of this, as of September 30, 2021, the Company believes that the adjusted amount we may be required to pay for future consideration is up to $107.5 million contingent upon the achievement of the Kolltan Milestones.</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October 2019, the Company received a letter from Shareholder Representative Services LLC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 The Company disagrees with their objection and believes their objection to be without merit.</w:t>
      </w:r>
    </w:p>
    <w:p>
      <w:pPr>
        <w:spacing w:after="0" w:line="18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Specifically, Celldex sought the entry of an order declaring that:</w:t>
      </w:r>
    </w:p>
    <w:p>
      <w:pPr>
        <w:spacing w:after="0" w:line="157" w:lineRule="exact"/>
        <w:rPr>
          <w:sz w:val="20"/>
          <w:szCs w:val="20"/>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6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the Merger Agreement, the CDX-0159 program is not a program that results in milestone payments under the Merger Agreement.</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parties entered into non-binding mediation in May 2021 following SRS’s approach to Celldex about its interest in settlement or mediation discussions, but those discussions did not result in a resolution of the dispute. The case remains ongoing and we are currently unable to predict or estimate the outcome of this matter. The case is currently scheduled for trial in June 2022.</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Following the Company’s discontinuation of the CDX-3379 program, the Company sent a milestone abandonment notice to SRS with respect to Kolltan Milestones related to the CDX-3379 program. In October 2020, the Company received notice that SRS has objected to that notice, seeking further information from the Company, which was provided pursuant to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Safe Harbor Statement under the Private Securities Litigation Reform Act of 1995: </w:t>
      </w:r>
      <w:r>
        <w:rPr>
          <w:rFonts w:ascii="Arial" w:cs="Arial" w:eastAsia="Arial" w:hAnsi="Arial"/>
          <w:sz w:val="17"/>
          <w:szCs w:val="17"/>
          <w:color w:val="auto"/>
        </w:rPr>
        <w:t>This report on Form 10-Q contains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1000" w:right="100" w:hanging="317"/>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preclinical and clinical studies, and, if we obtain regulatory approval, commercialization of our drug candidates and the growth of the markets for those drug candidates;</w:t>
      </w:r>
    </w:p>
    <w:p>
      <w:pPr>
        <w:spacing w:after="0" w:line="183" w:lineRule="exact"/>
        <w:rPr>
          <w:rFonts w:ascii="Arial" w:cs="Arial" w:eastAsia="Arial" w:hAnsi="Arial"/>
          <w:sz w:val="18"/>
          <w:szCs w:val="18"/>
          <w:color w:val="auto"/>
        </w:rPr>
      </w:pPr>
    </w:p>
    <w:p>
      <w:pPr>
        <w:ind w:left="1000" w:right="38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or on the economy generally;</w:t>
      </w:r>
    </w:p>
    <w:p>
      <w:pPr>
        <w:spacing w:after="0" w:line="225" w:lineRule="exact"/>
        <w:rPr>
          <w:rFonts w:ascii="Arial" w:cs="Arial" w:eastAsia="Arial" w:hAnsi="Arial"/>
          <w:sz w:val="18"/>
          <w:szCs w:val="18"/>
          <w:color w:val="auto"/>
        </w:rPr>
      </w:pPr>
    </w:p>
    <w:p>
      <w:pPr>
        <w:ind w:left="1000" w:right="68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COVID-19 pandemic will affect the timing of the completion of our planned and/or currently ongoing preclinical/clinical trials;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170"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before competitors that are superior to the alternatives developed by such competitors;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40" w:hanging="317"/>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83" w:lineRule="exact"/>
        <w:rPr>
          <w:rFonts w:ascii="Arial" w:cs="Arial" w:eastAsia="Arial" w:hAnsi="Arial"/>
          <w:sz w:val="18"/>
          <w:szCs w:val="18"/>
          <w:color w:val="auto"/>
        </w:rPr>
      </w:pPr>
    </w:p>
    <w:p>
      <w:pPr>
        <w:ind w:left="1000" w:right="140" w:hanging="317"/>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and the cost, timing, and outcome of our declaratory judgment action against the Kolltan stockholder representative with respect to certain of those milestones;</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rFonts w:ascii="Arial" w:cs="Arial" w:eastAsia="Arial" w:hAnsi="Arial"/>
          <w:sz w:val="18"/>
          <w:szCs w:val="18"/>
          <w:color w:val="auto"/>
        </w:rPr>
      </w:pPr>
    </w:p>
    <w:p>
      <w:pPr>
        <w:ind w:left="1000" w:right="100" w:hanging="317"/>
        <w:spacing w:after="0" w:line="25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7" w:lineRule="exact"/>
        <w:rPr>
          <w:rFonts w:ascii="Arial" w:cs="Arial" w:eastAsia="Arial" w:hAnsi="Arial"/>
          <w:sz w:val="18"/>
          <w:szCs w:val="18"/>
          <w:color w:val="auto"/>
        </w:rPr>
      </w:pPr>
    </w:p>
    <w:p>
      <w:pPr>
        <w:ind w:left="1000" w:right="240" w:hanging="317"/>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without infringing the intellectual property rights of third parties; and</w:t>
      </w:r>
    </w:p>
    <w:p>
      <w:pPr>
        <w:spacing w:after="0" w:line="236" w:lineRule="exact"/>
        <w:rPr>
          <w:rFonts w:ascii="Arial" w:cs="Arial" w:eastAsia="Arial" w:hAnsi="Arial"/>
          <w:sz w:val="17"/>
          <w:szCs w:val="17"/>
          <w:color w:val="auto"/>
        </w:rPr>
      </w:pPr>
    </w:p>
    <w:p>
      <w:pPr>
        <w:ind w:left="1000" w:right="20" w:hanging="317"/>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2020 and other reports that we file with the Securities and Exchange Commission</w:t>
      </w:r>
      <w:r>
        <w:rPr>
          <w:rFonts w:ascii="Arial" w:cs="Arial" w:eastAsia="Arial" w:hAnsi="Arial"/>
          <w:sz w:val="18"/>
          <w:szCs w:val="18"/>
          <w:i w:val="1"/>
          <w:iCs w:val="1"/>
          <w:color w:val="auto"/>
        </w:rPr>
        <w: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1000" w:hanging="317"/>
        <w:spacing w:after="0" w:line="273"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CDX-0159, a monoclonal antibody that specifically binds the KIT receptor and potently inhibits its activity, currently being studied in mast cell driven diseases.In October and December 2020 respectively, we announced that enrollment had opened and the first patients had been dosed in Phase 1b studies in chronic spontaneous urticaria (CSU) and chronic inducible urticaria (CIndU). Positive interim data from the Phase 1b study in CIndU were reported in July and September 2021 in patients with cold urticaria and symptomatic dermographism. The study has also been expanded to include patients with cholinergic urticaria and enrollment has opened in a Phase 1b study in prurigo nodularis.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40" w:hanging="317"/>
        <w:spacing w:after="0" w:line="25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in a Phase 1 study. Dose escalation was completed in solid tumors and lymphoma and the recommended dose for further study was determined to be 1.5 mg/kg for both CDX-1140 monotherapy and in combination. We have initiated multiple expansion cohorts within the study, including a combination cohort with KEYTRUDA® (pembrolizumab) in patients refractory to PD1/PDL1 treatment.</w:t>
      </w:r>
    </w:p>
    <w:p>
      <w:pPr>
        <w:spacing w:after="0" w:line="187" w:lineRule="exact"/>
        <w:rPr>
          <w:rFonts w:ascii="Arial" w:cs="Arial" w:eastAsia="Arial" w:hAnsi="Arial"/>
          <w:sz w:val="18"/>
          <w:szCs w:val="18"/>
          <w:color w:val="auto"/>
        </w:rPr>
      </w:pPr>
    </w:p>
    <w:p>
      <w:pPr>
        <w:jc w:val="both"/>
        <w:ind w:left="1000" w:right="140" w:hanging="317"/>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CDX-527, a bispecific antibody that uses our proprietary highly active anti-PD-L1 and CD27 human antibodies to couple CD27 co-stimulation with blockade of the PD-L1/PD-1 pathway, for which we initiated a Phase 1 study in advanced solid tumors in August 2020.</w:t>
      </w:r>
    </w:p>
    <w:p>
      <w:pPr>
        <w:spacing w:after="0" w:line="18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4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7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2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Completion</w:t>
            </w:r>
          </w:p>
        </w:tc>
        <w:tc>
          <w:tcPr>
            <w:tcW w:w="0" w:type="dxa"/>
            <w:vAlign w:val="bottom"/>
          </w:tcPr>
          <w:p>
            <w:pPr>
              <w:spacing w:after="0"/>
              <w:rPr>
                <w:sz w:val="1"/>
                <w:szCs w:val="1"/>
                <w:color w:val="auto"/>
              </w:rPr>
            </w:pPr>
          </w:p>
        </w:tc>
      </w:tr>
      <w:tr>
        <w:trPr>
          <w:trHeight w:val="171"/>
        </w:trPr>
        <w:tc>
          <w:tcPr>
            <w:tcW w:w="8660" w:type="dxa"/>
            <w:vAlign w:val="bottom"/>
            <w:gridSpan w:val="2"/>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8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0"/>
              </w:rPr>
              <w:t>1 - 2 Years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260" w:type="dxa"/>
            <w:vAlign w:val="bottom"/>
          </w:tcPr>
          <w:p>
            <w:pPr>
              <w:ind w:left="440"/>
              <w:spacing w:after="0"/>
              <w:rPr>
                <w:sz w:val="20"/>
                <w:szCs w:val="20"/>
                <w:color w:val="auto"/>
              </w:rPr>
            </w:pPr>
            <w:r>
              <w:rPr>
                <w:rFonts w:ascii="Arial" w:cs="Arial" w:eastAsia="Arial" w:hAnsi="Arial"/>
                <w:sz w:val="18"/>
                <w:szCs w:val="18"/>
                <w:color w:val="auto"/>
                <w:w w:val="90"/>
              </w:rPr>
              <w:t>1 - 5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6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6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past five years through December 31, 2020, we incurred an aggregate of $350.6 million in research and development expenses. The following table indicates the amount incurred for each of our significant research programs and for other identified research and development activities during the nine months ended September 30, 2021 and 2020. The amounts disclosed in the following table reflect direct research and development costs, license fees associated with the underlying technology and an allocation of indirect research and development costs to each program.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Nine Months</w:t>
            </w:r>
          </w:p>
        </w:tc>
      </w:tr>
      <w:tr>
        <w:trPr>
          <w:trHeight w:val="148"/>
        </w:trPr>
        <w:tc>
          <w:tcPr>
            <w:tcW w:w="6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417"/>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698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2020</w:t>
            </w:r>
          </w:p>
        </w:tc>
      </w:tr>
      <w:tr>
        <w:trPr>
          <w:trHeight w:val="128"/>
        </w:trPr>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60" w:type="dxa"/>
            <w:vAlign w:val="bottom"/>
            <w:gridSpan w:val="4"/>
          </w:tcPr>
          <w:p>
            <w:pPr>
              <w:jc w:val="right"/>
              <w:ind w:right="937"/>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98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0159/Anti-KIT Program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r>
      <w:tr>
        <w:trPr>
          <w:trHeight w:val="216"/>
        </w:trPr>
        <w:tc>
          <w:tcPr>
            <w:tcW w:w="6980" w:type="dxa"/>
            <w:vAlign w:val="bottom"/>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1140 and CDX-301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9,093</w:t>
            </w:r>
          </w:p>
        </w:tc>
      </w:tr>
      <w:tr>
        <w:trPr>
          <w:trHeight w:val="216"/>
        </w:trPr>
        <w:tc>
          <w:tcPr>
            <w:tcW w:w="698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r>
      <w:tr>
        <w:trPr>
          <w:trHeight w:val="216"/>
        </w:trPr>
        <w:tc>
          <w:tcPr>
            <w:tcW w:w="6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Programs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10,064</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32,109</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including supply chain and work force issues which could adversely impact our operations. To date, the Company has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 (CIndU), mast cell degranulation plays a central role in the onset and progression of the disease.</w:t>
      </w:r>
    </w:p>
    <w:p>
      <w:pPr>
        <w:spacing w:after="0" w:line="18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18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June 2020, we completed a randomized, double-blind, placebo-controlled, single ascending dose escalation Phase 1a study of CDX-0159 in healthy subjects (n=32; 8 subjects per cohort, 6 CDX-0159; 2 placebo).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spacing w:after="0" w:line="1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These data supported expansion of the CDX-0159 program into mast cell driven diseases, including initially in chronic spontaneous urticaria (CSU) and chronic inducible urticaria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dermographism (scratch-induced) and cholinergic (exercise-induced) urticarias.</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October 2020, we announced that enrollment had opened and the first patient had been dosed in a Phase 1b multi-center study of CDX-0159 in CSU. This study is a randomized, double-blind, placebo-controlled clinical trial designed to assess the safety of multiple ascending doses of CDX-0159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CDX-0159 is administered intravenously (0.5, 1.5, 3 and 4.5 mg/kg at varying dosing schedules) as add on treatment to H1-antihistamines, either alone or in combination with H2-antihistamines and/or leukotriene receptor agonists.</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2020, we announced that enrollment had opened and the first patient had been dosed in a second Phase 1b study in CIndU being conducted in Germany in patients who are refractory to antihistamines. This study is an open label clinical trial designed to evaluate the safety of a single dose (3 mg/kg) of CDX-0159 in patients with cold urticaria (n=10) or symptomatic dermographism (n=10). In March and June 2021, respectively, we added a third cohort (single dose, 3 mg/kg) in patients with cholinergic urticaria (n=10) and a fourth cohort at a lower dose (single dose, 1.5 mg/kg) in cold urticaria.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CDX-0159 is administered intravenously on Day 1 as add on treatment to H1-antihistamines.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of 2021, we reported positive interim data from the cold urticaria and symptomatic dermographism cohorts. As of the data cut-off on June 11, 2021, 20 patients had received a single intravenous infusion of CDX-0159 at 3 mg/kg, including 11 patients with cold urticaria and 9 patients with symptomatic dermographism. Patients had high disease activity as assessed by provocation threshold testing. In patients with cold urticaria and symptomatic dermographism baseline critical temperature thresholds were 18.9°C/66°F (range: 5-27°C/41-80.6°F) and FricTest® thresholds were 3.8 (range: 3-4) of 4 pins. Safety results were reported for all 20 patients; activity results were reported for the 19 patients who received a full dose of CDX-0159. 14 of 19 patients completed the 12-week study observation period and five were ongoing (range of 2-8 weeks) as of June 11, 2021.</w:t>
      </w:r>
    </w:p>
    <w:p>
      <w:pPr>
        <w:spacing w:after="0" w:line="177" w:lineRule="exact"/>
        <w:rPr>
          <w:sz w:val="20"/>
          <w:szCs w:val="20"/>
          <w:color w:val="auto"/>
        </w:rPr>
      </w:pPr>
    </w:p>
    <w:p>
      <w:pPr>
        <w:ind w:left="1000" w:right="180" w:hanging="317"/>
        <w:spacing w:after="0" w:line="296"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19/19 (100%) patients experienced a clinical response as assessed by provocation threshold testing; 18/19 (95%) experienced a complete response and 1/19 (5%) experienced a partial response.10/10 (100%) patients with cold urticaria experienced a complete response. 8/9 (89%) patients with symptomatic dermographism experienced a complete response and 1/9 (11%) experienced a partial response. Compete responses were observed in all 3 patients (1 cold urticaria; 2 symptomatic dermographism) with prior Xolair® (omalizumab) experience, including two who were Xolair refractory.</w:t>
      </w:r>
    </w:p>
    <w:p>
      <w:pPr>
        <w:spacing w:after="0" w:line="161" w:lineRule="exact"/>
        <w:rPr>
          <w:rFonts w:ascii="Arial" w:cs="Arial" w:eastAsia="Arial" w:hAnsi="Arial"/>
          <w:sz w:val="16"/>
          <w:szCs w:val="16"/>
          <w:color w:val="auto"/>
        </w:rPr>
      </w:pPr>
    </w:p>
    <w:p>
      <w:pPr>
        <w:jc w:val="both"/>
        <w:ind w:left="1000" w:right="620" w:hanging="317"/>
        <w:spacing w:after="0" w:line="31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Rapid onset of responses after dosing and sustained durability were observed. Most patients with cold urticaria and symptomatic dermographism experienced a complete response by week 1 and by week 4, respectively. The median duration of response for patients was 77+ days for cold urticaria and 57+ days for symptomatic dermographism.</w:t>
      </w:r>
    </w:p>
    <w:p>
      <w:pPr>
        <w:spacing w:after="0" w:line="148" w:lineRule="exact"/>
        <w:rPr>
          <w:rFonts w:ascii="Arial" w:cs="Arial" w:eastAsia="Arial" w:hAnsi="Arial"/>
          <w:sz w:val="16"/>
          <w:szCs w:val="16"/>
          <w:color w:val="auto"/>
        </w:rPr>
      </w:pPr>
    </w:p>
    <w:p>
      <w:pPr>
        <w:ind w:left="1000" w:right="56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in disease activity as reported by physician’s and patient’s global assessment of disease severity were consistent with the complete responses as measured by provocation testing.</w:t>
      </w:r>
    </w:p>
    <w:p>
      <w:pPr>
        <w:spacing w:after="0" w:line="170" w:lineRule="exact"/>
        <w:rPr>
          <w:rFonts w:ascii="Arial" w:cs="Arial" w:eastAsia="Arial" w:hAnsi="Arial"/>
          <w:sz w:val="18"/>
          <w:szCs w:val="18"/>
          <w:color w:val="auto"/>
        </w:rPr>
      </w:pPr>
    </w:p>
    <w:p>
      <w:pPr>
        <w:ind w:left="1000" w:right="120" w:hanging="317"/>
        <w:spacing w:after="0" w:line="25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single 3 mg/kg dose of CDX-0159 resulted in rapid, marked and durable suppression of serum tryptase and depletion of skin mast cells (87% depletion) as measured through biopsy. The kinetics of serum tryptase and skin mast cell depletion mirrored clinical activity. This confirmed that serum tryptase level is a robust pharmacodynamic biomarker for assessing mast cell burden and clinical activity in inducible urticaria and potentially in other diseases with mast cell driven involvement.</w:t>
      </w:r>
    </w:p>
    <w:p>
      <w:pPr>
        <w:spacing w:after="0" w:line="187" w:lineRule="exact"/>
        <w:rPr>
          <w:rFonts w:ascii="Arial" w:cs="Arial" w:eastAsia="Arial" w:hAnsi="Arial"/>
          <w:sz w:val="18"/>
          <w:szCs w:val="18"/>
          <w:color w:val="auto"/>
        </w:rPr>
      </w:pPr>
    </w:p>
    <w:p>
      <w:pPr>
        <w:ind w:left="1000" w:right="100" w:hanging="317"/>
        <w:spacing w:after="0" w:line="29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CDX-0159 was generally well tolerated. The most common adverse events were hair color changes, mild infusion reactions, and transient changes in taste perception. Hair color changes (generally small areas of hair color lightening) and taste disorders (generally partial changes of ability to taste salt) are consistent with inhibiting KIT signaling in other cell types and are expected to be fully reversible. As previously reported in March 2021, a single severe infusion reaction of brief loss of consciousness was observed in a patient with a history of fainting. The patient rapidly recovered. Importantly, no evidence of mast cell activation as measured by serum tryptase monitoring was observed. There was no evidence of clinically significant decreases in hematology parameters—an important finding for a KIT inhibitor.</w:t>
      </w:r>
    </w:p>
    <w:p>
      <w:pPr>
        <w:spacing w:after="0" w:line="166" w:lineRule="exact"/>
        <w:rPr>
          <w:rFonts w:ascii="Arial" w:cs="Arial" w:eastAsia="Arial" w:hAnsi="Arial"/>
          <w:sz w:val="16"/>
          <w:szCs w:val="16"/>
          <w:color w:val="auto"/>
        </w:rPr>
      </w:pPr>
    </w:p>
    <w:p>
      <w:pPr>
        <w:ind w:left="1000" w:hanging="317"/>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patient with symptomatic dermographism enrolled in the study also had a diagnosis of prurigo nodularis. After a single dose of CDX-0159, this patient experienced both a complete response of symptomatic dermographism and notable improvement of the prurigo nodularis.</w:t>
      </w:r>
    </w:p>
    <w:p>
      <w:pPr>
        <w:spacing w:after="0" w:line="18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In September of 2021, we reported additional positive data from the study on measurements of symptom control and quality of life. A single dose of CDX-0159 (3 mg/kg) resulted in a rapid and sustained improvement in urticaria control and greatly reduced disease impact on quality of life, as measured by the Urticaria Control Test (UCT) and Dermatology Life Quality Index (DLQI).</w:t>
      </w:r>
    </w:p>
    <w:p>
      <w:pPr>
        <w:spacing w:after="0" w:line="14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continue to assess potential opportunities for CDX-0159 in other diseases where mast cells play an important role, such as dermatologic, respiratory, allergic, gastrointestinal and ophthalmic conditions. We have expanded clinical development of CDX-0159 into prurigo nodularis (PN),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are currently no FDA approved therapies for PN, representing an area of significant unmet need. In September, enrollment opened in a Phase 1b multi-center, randomized, double-blind, placebo-controlled study designed to assess the safety and treatment effects across multiple dosing cohorts of CDX-0159 in up to 40 patients with PN.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Manufacturing activities to support the introduction of the CDX-0159 subcutaneous formulation into the clinical program have been completed and, in September of 2021, Celldex initiated and has since completed dosing in a randomized, double-blind, placebo-controlled, Phase 1 study designed to evaluate the safety of single ascending doses of the subcutaneous formulation of CDX-0159 in healthy volunteers.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concentrations to levels that may not be optimal for engaging CD40 expressing cells in the tumor microenvironment.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November 2017, we initiated a Phase 1 study of CDX-1140 in up to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 A combination cohort with CDX-301, a hematopoietic cytokine that uniquely expands dendritic cells and hematopoietic stem cells and a safety run-in combination cohort with gemcitabine/nab-paclitaxel in patients with previously untreated metastatic pancreatic adenocarcinoma have been completed. A combination of CDX-1140 with pembrolizumab has completed the safety run-in phase. Expansion cohorts in patients with checkpoint-refractory/resistant squamous cell head and neck cancer and non-small cell lung cancer are enrolling patients.</w:t>
      </w:r>
    </w:p>
    <w:p>
      <w:pPr>
        <w:spacing w:after="0" w:line="18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In November 2020, we reported interim Phase 1 data from patients treated at the maximum tolerated dose (MTD) and recommended dose of 1.5 mg/kg—one of the highest systemic dose levels in the CD40 agonist class. Interim data from the study were presented at the Society for Immunotherapy of Cancer’s (SITC) 35th Annual Meeting 2020 (n=41; 25 mono, 16 with CDX-301 and 29 with post-treatment scans). Preliminary safety data from the combination cohort with pembrolizumab (n=9; 4 at 0.72 mg/kg and 5 at 1.5 mg/kg CDX-1140) were also presented. CDX-1140 monotherapy and in combination with pembrolizumab was generally well tolerated with mostly grade 1 or 2 drug related adverse events. Activity at 1.5mg/kg dose of CDX-1140 included an ongoing complete response (CR; 18 months as of Oct 2021) in a patient with follicular lymphoma treated with CDX-1140 monotherapy. There was notable tumor shrinkage and/or necrosis in 6 patients with squamous cell head and neck cancer (SCCHN) treated with CDX-1140 alone or in combination with CDX-301 and stable disease (n=10) for 11 to 32 weeks. CDX-1140 provided good systemic exposure and resulted in marked changes in the tumor microenvironment.</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November 2021, we provided an update on the ongoing Phase 1 study. Emerging data from the safety run-in cohort of CDX-1140 with gemcitabine/nab-paclitaxel in patients with previously untreated metastatic pancreatic adenocarcinoma and external CD40 agonist data recently reported using the same regimen, suggest that simultaneous treatment with chemotherapy and CD40 activation may not be optimal. Alternative strategies for investigating CDX-1140 in pancreatic cancer in other regimens are being explored, including through investigator sponsored studies. The combination of CDX-1140 with pembrolizumab has completed the safety run-in phase. Expansion cohorts in patients with checkpoint-refractory/resistant squamous cell head and neck cancer and non-small cell lung cancer are enrolling patients. Of the six patients with squamous cell head and neck cancer treated with CDX-1140 at 1.5 mg/kg in combination with pembrolizumab, encouraging preliminary results have been observed including a confirmed partial response and durable stable disease. Of the six evaluable patients with non-small cell lung cancer, four have had stable disease as their best response. Adverse events, such as arthralgia, myalgia and fatigue, have occurred more frequently in combination with pembrolizumab relative to CDX-1140 monotherapy and the protocol has been amended to allow CDX-1140 dose reduction, if necessary, to help manage these toxicities. Enrollment to the study is ongoing.</w:t>
      </w:r>
    </w:p>
    <w:p>
      <w:pPr>
        <w:sectPr>
          <w:pgSz w:w="11900" w:h="16838" w:orient="portrait"/>
          <w:cols w:equalWidth="0" w:num="1">
            <w:col w:w="9900"/>
          </w:cols>
          <w:pgMar w:left="980" w:top="665" w:right="1019" w:bottom="144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57"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4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August 2020, we announced the initiation of a Phase 1 dose-escalation study. The study includes up to approximately 40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evaluate the tolerability, and biologic and anti-tumor effects of selected dose level(s) of CDX-527 in specific tumor types. Enrollment to the dose escalation portion of the study has been completed and an expansion cohort in ovarian cancer is enrolling patients.</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Interim data were presented at the American Society of Clinical Oncology (ASCO) 2021 Annual Meeting in June that demonstrated a good safety profile along with promising pharmacodynamic and pharmacokinetic activity, which are important key hurdles for the development of bispecific antibodies. As of the data cut-off (April 16, 2021), 11 patients were enrolled in the first 5 dose escalation cohorts, 0.03 mg/kg through 3 mg/kg.CDX-527 was well tolerated, with no dose-limiting toxicities or treatment related serious adverse events observed. Pharmacokinetics and receptor occupancy demonstrate good exposure starting at the 1 mg/kg dose and no evidence of significant anti-drug antibodies impact. Pharmacodynamic parameters demonstrate biological activity consistent with immune activation including: transient increase in pro inflammatory cytokines/chemokines, upregulation of activation marker on T cells and particularly NK cells and a decrease in regulatory T cells.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10-Q for information regarding newly adopted and recent accounting pronouncements. See also Note 2 to our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our Annual Report on Form 10-K for the year ended December 31, 2020 for a discussion of our critical accounting policies.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such critical accounting policies. We believe our most critical accounting policies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contingent consideration, revenue recognition, intangible and long-lived assets, research and development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Three Months Ended September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5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5"/>
          </w:tcPr>
          <w:p>
            <w:pPr>
              <w:jc w:val="right"/>
              <w:ind w:right="533"/>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5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7"/>
              </w:rPr>
              <w:t>(Gain) loss on fair value remeasurement of contingent consideration</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r>
      <w:tr>
        <w:trPr>
          <w:trHeight w:val="21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40 %</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23 %</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09"/>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44 %</w:t>
            </w:r>
          </w:p>
        </w:tc>
      </w:tr>
      <w:tr>
        <w:trPr>
          <w:trHeight w:val="20"/>
        </w:trPr>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$6.2 million increase in net loss for the three months ended September 30, 2021, as compared to the three months ended September 30, 2020, was primarily the result of the non-cash intangible asset impairment expense related to the TAM program IPR&amp;D asset and increases in research and development and general and administrative expenses, partially offset by an increase in the gain on fair value remeasurement of contingent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Revenue from product development and licensing agreements for the three months ended September 30, 2021 was consistent with the three months ended September 30, 2020. The $0.5 million decrease in contracts and grants revenue for the three months ended September 30, 2021, as compared to the three months ended September 30, 2020, was primarily due to a decrease in revenue from the Company’s SBIR grant and a decrease in services performed under our manufacturing and research and development agreement with Rockefeller University. We expect revenue to remain relatively consistent over the next twelve months, although there may be fluctuations on a quarterly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940" w:type="dxa"/>
            <w:vAlign w:val="bottom"/>
            <w:gridSpan w:val="3"/>
          </w:tcPr>
          <w:p>
            <w:pPr>
              <w:jc w:val="center"/>
              <w:ind w:left="58"/>
              <w:spacing w:after="0"/>
              <w:rPr>
                <w:sz w:val="20"/>
                <w:szCs w:val="20"/>
                <w:color w:val="auto"/>
              </w:rPr>
            </w:pPr>
            <w:r>
              <w:rPr>
                <w:rFonts w:ascii="Arial" w:cs="Arial" w:eastAsia="Arial" w:hAnsi="Arial"/>
                <w:sz w:val="14"/>
                <w:szCs w:val="14"/>
                <w:b w:val="1"/>
                <w:bCs w:val="1"/>
                <w:color w:val="auto"/>
                <w:w w:val="92"/>
              </w:rPr>
              <w:t>Increase/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4"/>
                <w:szCs w:val="14"/>
                <w:color w:val="auto"/>
              </w:rPr>
            </w:pPr>
          </w:p>
        </w:tc>
        <w:tc>
          <w:tcPr>
            <w:tcW w:w="940" w:type="dxa"/>
            <w:vAlign w:val="bottom"/>
            <w:gridSpan w:val="3"/>
          </w:tcPr>
          <w:p>
            <w:pPr>
              <w:jc w:val="center"/>
              <w:ind w:left="58"/>
              <w:spacing w:after="0"/>
              <w:rPr>
                <w:sz w:val="20"/>
                <w:szCs w:val="20"/>
                <w:color w:val="auto"/>
              </w:rPr>
            </w:pPr>
            <w:r>
              <w:rPr>
                <w:rFonts w:ascii="Arial" w:cs="Arial" w:eastAsia="Arial" w:hAnsi="Arial"/>
                <w:sz w:val="14"/>
                <w:szCs w:val="14"/>
                <w:b w:val="1"/>
                <w:bCs w:val="1"/>
                <w:color w:val="auto"/>
                <w:w w:val="89"/>
              </w:rPr>
              <w:t>(Decrease)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29"/>
        </w:trPr>
        <w:tc>
          <w:tcPr>
            <w:tcW w:w="5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Laboratory supplies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64 %</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1,249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67 %</w:t>
            </w: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$1.5 million increase in personnel expenses for the three months ended September 30, 2021, as compared to the three months ended September 30, 2020, was primarily due to higher stock-based compensation expense and an increase in employee headcount. We expect personnel expenses increase over the next twelve months as a result of expanded development of CDX-0159, although there may be fluctuations on a quarterly basis.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$0.5 million increase in laboratory supply expenses for the three months ended September 30, 2021, as compared to the three months ended September 30, 2020, was primarily due to higher laboratory materials and supplies purchases. We expect laboratory supplies expenses to remain relatively consistent over the next twelve months, although there may be fluctuations on a quarterly basis.</w:t>
      </w:r>
    </w:p>
    <w:p>
      <w:pPr>
        <w:spacing w:after="0" w:line="18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The $0.5 million decrease in facility expenses for the three months ended September 30, 2021, as compared to the three months ended September 30, 2020, was primarily due to lower rent as a result of the consolidation of our Massachusetts lab and manufacturing facilities in the second quarter of 2020 and lower repairs expenses. We expect facility expenses to remain relatively consistent over the next twelve months, although there may be fluctuations on a quarterly basis.</w:t>
      </w:r>
    </w:p>
    <w:p>
      <w:pPr>
        <w:spacing w:after="0" w:line="17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$1.2 million increase in product development expenses for the three months ended September 30, 2021, as compared to the three months ended September 30, 2020, was primarily due to an increase in contract research and clinical trial expenses. We expect product development expenses to increase over the next twelve months as a result of expanded development of CDX-0159, although there may be fluctuations on a quarterly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The $2.2 million increase in general and administrative expenses for the three months ended September 30, 2021, as compared to the three months ended September 30, 2020, was primarily due to higher personnel and legal expenses. We expect general and administrative expenses to increase over the next twelve months, although there may be fluctuations on a quarterly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evaluated the TAM program IPR&amp;D asset for potential impairment as a result of a lack of interest in the program from third parties. We concluded that the TAM program IPR&amp;D asset was fully impaired, and a non-cash impairment charge of $3.5 million was recorded in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Fair Value Remeasurement of Contingent Consideration</w:t>
      </w:r>
    </w:p>
    <w:p>
      <w:pPr>
        <w:spacing w:after="0" w:line="225"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$1.9 million gain on fair value remeasurement of contingent consideration for the three months ended September 30, 2021 was primarily due to updated assumptions for the TAM program. The $0.7 million loss on fair value remeasurement of contingent consideration for the three months ended September 30, 2020 was primarily due to changes in discount rates and the passage of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Investment and other income, net for the three months ended September 30, 2021 was consistent with the three months ended September 30, 2020. We expect investment and other income to increase over the next twelve months due to higher levels of cash as a result of our July 2021 underwritten public offering, although there may be fluctuations on a quarterly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$0.2 million non-cash income tax benefit was recorded related to the impairment of the TAM program IPR&amp;D asset in the third quarter of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with Nine Months Ended September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28"/>
        </w:trPr>
        <w:tc>
          <w:tcPr>
            <w:tcW w:w="5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4"/>
          </w:tcPr>
          <w:p>
            <w:pPr>
              <w:jc w:val="right"/>
              <w:ind w:right="373"/>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(2,268)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221 %</w:t>
            </w:r>
          </w:p>
        </w:tc>
      </w:tr>
      <w:tr>
        <w:trPr>
          <w:trHeight w:val="249"/>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19 %</w:t>
            </w: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6,524</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32 %</w:t>
            </w: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Intangible asset impairment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fair value remeasurement of contingent consideration</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09"/>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13,014</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31 %</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(38,573)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32 %</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(50,590)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(38,108)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(50,363)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(37,880)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$12.5 million increase in net loss for the nine months ended September 30, 2021, as compared to the nine months ended September 30, 2020, was primarily the result of an increase in research and development and general and administrative expenses and a decrease in the gain on fair value remeasurement of contingent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The $2.3 million decrease in product development and licensing agreements revenue for the nine months ended September 30, 2021, as compared to the nine months ended September 30, 2020, was primarily due to the $1.8 million received from the Rockefeller Transaction in the first quarter of 2020. The $3.0 million increase in contracts and grants revenue for the nine months ended September 30, 2021, as compared to the nine months ended September 30, 2020, was primarily related to an increase in services performed under our manufacturing and research and development agreements with Rockefeller University and Gilead Sciences.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1060" w:type="dxa"/>
            <w:vAlign w:val="bottom"/>
            <w:gridSpan w:val="3"/>
          </w:tcPr>
          <w:p>
            <w:pPr>
              <w:jc w:val="center"/>
              <w:ind w:left="218"/>
              <w:spacing w:after="0"/>
              <w:rPr>
                <w:sz w:val="20"/>
                <w:szCs w:val="20"/>
                <w:color w:val="auto"/>
              </w:rPr>
            </w:pPr>
            <w:r>
              <w:rPr>
                <w:rFonts w:ascii="Arial" w:cs="Arial" w:eastAsia="Arial" w:hAnsi="Arial"/>
                <w:sz w:val="14"/>
                <w:szCs w:val="14"/>
                <w:b w:val="1"/>
                <w:bCs w:val="1"/>
                <w:color w:val="auto"/>
                <w:w w:val="92"/>
              </w:rPr>
              <w:t>Increase/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60" w:type="dxa"/>
            <w:vAlign w:val="bottom"/>
            <w:gridSpan w:val="3"/>
          </w:tcPr>
          <w:p>
            <w:pPr>
              <w:jc w:val="center"/>
              <w:ind w:left="218"/>
              <w:spacing w:after="0"/>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29"/>
        </w:trPr>
        <w:tc>
          <w:tcPr>
            <w:tcW w:w="32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4"/>
          </w:tcPr>
          <w:p>
            <w:pPr>
              <w:jc w:val="right"/>
              <w:ind w:right="378"/>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19,037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16,513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15 %</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Laboratory supplies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4,370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46 %</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Product development</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8,835</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89 %</w:t>
            </w:r>
          </w:p>
        </w:tc>
      </w:tr>
      <w:tr>
        <w:trPr>
          <w:trHeight w:val="850"/>
        </w:trPr>
        <w:tc>
          <w:tcPr>
            <w:tcW w:w="3200" w:type="dxa"/>
            <w:vAlign w:val="bottom"/>
          </w:tcPr>
          <w:p>
            <w:pPr>
              <w:spacing w:after="0"/>
              <w:rPr>
                <w:sz w:val="24"/>
                <w:szCs w:val="24"/>
                <w:color w:val="auto"/>
              </w:rPr>
            </w:pPr>
          </w:p>
        </w:tc>
        <w:tc>
          <w:tcPr>
            <w:tcW w:w="2780" w:type="dxa"/>
            <w:vAlign w:val="bottom"/>
          </w:tcPr>
          <w:p>
            <w:pPr>
              <w:jc w:val="right"/>
              <w:ind w:right="830"/>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Personnel expenses primarily include salary, benefits, stock-based compensation and payroll taxes. The $2.5 million increase in personnel expenses for the nine months ended September 30, 2021, as compared to the nine months ended September 30, 2020, was primarily due to higher stock-based compensation expense and an increase in employee headcount.</w:t>
      </w:r>
    </w:p>
    <w:p>
      <w:pPr>
        <w:spacing w:after="0" w:line="16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Laboratory supplies expenses include laboratory materials and supplies, services, and other related expenses incurred in the development of our technology. The $1.4 million increase in laboratory supply expenses for the nine months ended September 30, 2021, as compared to the nine months ended September 30, 2020, was primarily due to higher laboratory materials and supplies purchases.</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$1.5 million decrease in facility expenses for the nine months ended September 30, 2021, as compared to the nine months ended September 30, 2020, was primarily due to lower rent as a result of the consolidation of our Massachusetts lab and manufacturing facilities in the second quarter of 2020 and lower depreciation expenses.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$4.2 million increase in product development expenses for the nine months ended September 30, 2021, as compared to the nine months ended September 30, 2020, was primarily due to an increase in clinical trial and contract research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$3.4 million increase in general and administrative expenses for the nine months ended September 30, 2021, as compared to the nine months ended September 30, 2020, was primarily due to higher personnel and legal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evaluated the TAM program IPR&amp;D asset for potential impairment as a result of a lack of interest in the program from third parties. We concluded that the TAM program IPR&amp;D asset was fully impaired, and a non-cash impairment charge of $3.5 million was recorded in the third quarter of 2021.We evaluated the CDX-3379 IPR&amp;D asset for potential impairment as a result of the discontinuation of the CDX-3379 program in the second quarter of 2020. We concluded that the CDX-3379 IPR&amp;D asset was fully impaired, and a non-cash impairment charge of $3.5 million was recorded in the second quarter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$1.2 million gain on fair value remeasurement of contingent consideration for the nine months ended September 30, 2021 was primarily due to updated assumptions for the TAM program, changes in discount rates and the passage of time. The $4.2 million gain on fair value remeasurement of contingent consideration for the nine months ended September 30, 2020 was primarily due to updated assumptions for CDX-3379 related milestones due to the discontinuation of the CDX-3379 program, changes in discount rates and the passage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$0.2 million decrease in investment and other income, net for the nine months ended September 30, 2021, as compared to the nine months ended September 30, 2020, was primarily due to lower interest rates on fixed income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A $0.2 million non-cash income tax benefit was recorded related to the impairment of the TAM program IPR&amp;D asset in the third quarter of 2021 and a $0.2 million non-cash income tax benefit was recorded related to the impairment of the CDX-3379 IPR&amp;D asset in the second quarter of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September 30, 2021, our principal sources of liquidity consisted of cash, cash equivalents and marketable securities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$423.1 million. We have had recurring losses and incurred a loss of $50.4 million for the nine months ended September 30, 2021.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operations for the nine months ended September 30, 2021 was $46.4 million. We believe that the cash, cash equivalents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at September 30, 2021 are sufficient to meet estimated working capital requirements and fund planned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2025. This could be impacted if we elect to pay Kolltan contingent milestones, if any, in cash.</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Net cash used in operating activities was $46.4 million for the nine months ended September 30, 2021 as compared to $35.2 million for the nine months ended September 30, 2020. The increase in net cash used in operating activities was primarily due to an increase in research and development and general and administrative expenses. We expect that cash used in operating activities will increase over the next twelve months as a result of expanded development of CDX-0159, although there may be fluctuations on a quarterly basis.</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cash used in investing activities was $197.2 million for the nine months ended September 30, 2021 as compared to $129.1 million for the nine months ended September 30, 2020. The increase in net cash used in investing activities was primarily due to net purchases of marketable securities of $196.3 million for the nine months ended September 30, 2021 as compared to $127.8 million for the nine months ended September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Net cash provided by financing activities was $271.9 million for the nine months ended September 30, 2021 as compared to $171.2 million for the nine months ended September 30, 2020. The increase in net cash provided by financing activities was primarily due to an increase in net proceeds from stock issuances.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nine months ended September 30, 2020, we issued 7.1 million shares of common stock under our Cantor Agreement resulting in net proceeds of $29.6 million after deducting commission and offering expenses. No shares of common stock were sold under the Cantor Agreement during the nine months ended September 30, 2021.</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second quarter of 2020, we issued 15,384,614 shares of common stock in an underwritten public offering resulting in net proceeds of $141.4 million, after deducting underwriting fees and offering expenses.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the third quarter of 2021, we issued 6,845,238 shares of common stock in an underwritten public offering resulting in net proceeds of $269.9 million, after deducting underwriting fees and offering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The disclosures relating to our contractual obligations reported in our Annual Report on Form 10-K for the year ended December 31, 2020 which was filed with the SEC on March 29, 2021 have not materially changed since we filed that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utilize derivative financial instruments. The carrying amounts reflected in the consolidated balance sheet of cash and cash equivalents, accounts receivables and accounts payable approximate fair value at September 30, 2021 due to the short-term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of September 30, 2021,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2021.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665" w:right="11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Shareholder Representative Services LLC (SRS) is the hired representative of the former stockholders of Kolltan Pharmaceuticals, Inc. (Kolltan) in connection with the Agreement and Plan of Merger, dated November 1, 2016, by and among Kolltan, Connemara Merger Sub 1, Inc., Connemara Merger Sub 2 LLC, and SRS (Merger Agreement). 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Specifically, Celldex sought the entry of an order declaring that:</w:t>
      </w:r>
    </w:p>
    <w:p>
      <w:pPr>
        <w:spacing w:after="0" w:line="195"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70"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Merger Agreement, the CDX-0159 program is not a program that results in milestone payments under the Merger Agreement.</w:t>
      </w:r>
    </w:p>
    <w:p>
      <w:pPr>
        <w:spacing w:after="0" w:line="17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parties entered into non-binding mediation in May 2021 following SRS’s approach to Celldex about its interest in settlement or mediation discussions, but those discussions did not result in a resolution of the dispute.</w:t>
      </w:r>
      <w:r>
        <w:rPr>
          <w:sz w:val="1"/>
          <w:szCs w:val="1"/>
          <w:color w:val="auto"/>
        </w:rPr>
        <w:drawing>
          <wp:inline distT="0" distB="0" distL="0" distR="0">
            <wp:extent cx="25400" cy="12001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Arial" w:cs="Arial" w:eastAsia="Arial" w:hAnsi="Arial"/>
          <w:sz w:val="18"/>
          <w:szCs w:val="18"/>
          <w:color w:val="auto"/>
          <w:highlight w:val="white"/>
        </w:rPr>
        <w:t>The case remains ongoing and we are currently unable to predict or estimate the outcome of this matter. The case is currently scheduled for trial in June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2020,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7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29,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November 3, 2021, we determined that a non-cash impairment charge of $3.5 million should be recorded for the three months ended September 30, 2021 related to our TAM program. The TAM program was acquired as part of our acquisition of Kolltan Pharmaceuticals, Inc. in the fourth quarter of 2016. During the fourth quarter of 2020, the Company decided that although it had developed promising data for the AxL target within the TAM program, it will focus its efforts on out-licensing opportunities for its TAM program. During the third quarter of 2021, the Company evaluated its out-licensing progress since December 31, 2020 and the status and expectation for the TAM program. We determined that the lack of interest in the program from third parties constituted a triggering event that required us to evaluate the intangible asset for impairment. See Note 5 to the unaudited condensed consolidated financial statements included in this quarterly report on Form 10-Q for further discussion of this impairment charge.</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listed in the exhibit index included herewith and are incorporated by reference herein.</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700" w:type="dxa"/>
            <w:vAlign w:val="bottom"/>
            <w:gridSpan w:val="3"/>
          </w:tcPr>
          <w:p>
            <w:pPr>
              <w:ind w:left="110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1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60" w:type="dxa"/>
            <w:vAlign w:val="bottom"/>
            <w:gridSpan w:val="2"/>
          </w:tcPr>
          <w:p>
            <w:pPr>
              <w:ind w:left="320"/>
              <w:spacing w:after="0"/>
              <w:rPr>
                <w:sz w:val="20"/>
                <w:szCs w:val="20"/>
                <w:color w:val="auto"/>
              </w:rPr>
            </w:pPr>
            <w:r>
              <w:rPr>
                <w:rFonts w:ascii="Arial" w:cs="Arial" w:eastAsia="Arial" w:hAnsi="Arial"/>
                <w:sz w:val="16"/>
                <w:szCs w:val="16"/>
                <w:b w:val="1"/>
                <w:bCs w:val="1"/>
                <w:color w:val="auto"/>
              </w:rPr>
              <w:t>Description</w:t>
            </w:r>
          </w:p>
        </w:tc>
      </w:tr>
      <w:tr>
        <w:trPr>
          <w:trHeight w:val="159"/>
        </w:trPr>
        <w:tc>
          <w:tcPr>
            <w:tcW w:w="20" w:type="dxa"/>
            <w:vAlign w:val="bottom"/>
          </w:tcPr>
          <w:p>
            <w:pPr>
              <w:spacing w:after="0"/>
              <w:rPr>
                <w:sz w:val="13"/>
                <w:szCs w:val="13"/>
                <w:color w:val="auto"/>
              </w:rPr>
            </w:pPr>
          </w:p>
        </w:tc>
        <w:tc>
          <w:tcPr>
            <w:tcW w:w="1140" w:type="dxa"/>
            <w:vAlign w:val="bottom"/>
            <w:tcBorders>
              <w:top w:val="single" w:sz="8" w:color="auto"/>
            </w:tcBorders>
          </w:tcPr>
          <w:p>
            <w:pPr>
              <w:spacing w:after="0" w:line="158"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500" w:type="dxa"/>
            <w:vAlign w:val="bottom"/>
            <w:tcBorders>
              <w:top w:val="single" w:sz="8" w:color="auto"/>
              <w:bottom w:val="single" w:sz="8" w:color="0000EE"/>
            </w:tcBorders>
            <w:gridSpan w:val="2"/>
          </w:tcPr>
          <w:p>
            <w:pPr>
              <w:spacing w:after="0" w:line="158" w:lineRule="exact"/>
              <w:rPr>
                <w:rFonts w:ascii="Arial" w:cs="Arial" w:eastAsia="Arial" w:hAnsi="Arial"/>
                <w:sz w:val="16"/>
                <w:szCs w:val="16"/>
                <w:color w:val="0000EE"/>
                <w:w w:val="93"/>
              </w:rPr>
            </w:pPr>
            <w:hyperlink w:anchor="page34">
              <w:r>
                <w:rPr>
                  <w:rFonts w:ascii="Arial" w:cs="Arial" w:eastAsia="Arial" w:hAnsi="Arial"/>
                  <w:sz w:val="16"/>
                  <w:szCs w:val="16"/>
                  <w:color w:val="0000EE"/>
                  <w:w w:val="93"/>
                </w:rPr>
                <w:t>Certification of President and Chief Executive Officer</w:t>
              </w:r>
            </w:hyperlink>
          </w:p>
        </w:tc>
        <w:tc>
          <w:tcPr>
            <w:tcW w:w="4960" w:type="dxa"/>
            <w:vAlign w:val="bottom"/>
            <w:tcBorders>
              <w:top w:val="single" w:sz="8" w:color="auto"/>
            </w:tcBorders>
            <w:gridSpan w:val="2"/>
          </w:tcPr>
          <w:p>
            <w:pPr>
              <w:spacing w:after="0"/>
              <w:rPr>
                <w:sz w:val="13"/>
                <w:szCs w:val="13"/>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5"/>
                <w:szCs w:val="15"/>
                <w:color w:val="auto"/>
              </w:rPr>
            </w:pPr>
          </w:p>
        </w:tc>
        <w:tc>
          <w:tcPr>
            <w:tcW w:w="8480" w:type="dxa"/>
            <w:vAlign w:val="bottom"/>
            <w:gridSpan w:val="5"/>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Certification of Senior Vice President and Chief Financial Officer</w:t>
              </w:r>
            </w:hyperlink>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**32.1</w:t>
            </w:r>
          </w:p>
        </w:tc>
        <w:tc>
          <w:tcPr>
            <w:tcW w:w="16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2"/>
              </w:rPr>
            </w:pPr>
            <w:hyperlink w:anchor="page36">
              <w:r>
                <w:rPr>
                  <w:rFonts w:ascii="Arial" w:cs="Arial" w:eastAsia="Arial" w:hAnsi="Arial"/>
                  <w:sz w:val="16"/>
                  <w:szCs w:val="16"/>
                  <w:color w:val="0000EE"/>
                  <w:w w:val="92"/>
                </w:rPr>
                <w:t>Section 1350 Certifications</w:t>
              </w:r>
            </w:hyperlink>
          </w:p>
        </w:tc>
        <w:tc>
          <w:tcPr>
            <w:tcW w:w="2480" w:type="dxa"/>
            <w:vAlign w:val="bottom"/>
            <w:tcBorders>
              <w:top w:val="single" w:sz="8" w:color="0000EE"/>
            </w:tcBorders>
            <w:gridSpan w:val="2"/>
          </w:tcPr>
          <w:p>
            <w:pPr>
              <w:spacing w:after="0"/>
              <w:rPr>
                <w:sz w:val="15"/>
                <w:szCs w:val="15"/>
                <w:color w:val="auto"/>
              </w:rPr>
            </w:pPr>
          </w:p>
        </w:tc>
        <w:tc>
          <w:tcPr>
            <w:tcW w:w="4220" w:type="dxa"/>
            <w:vAlign w:val="bottom"/>
          </w:tcPr>
          <w:p>
            <w:pPr>
              <w:spacing w:after="0"/>
              <w:rPr>
                <w:sz w:val="15"/>
                <w:szCs w:val="15"/>
                <w:color w:val="auto"/>
              </w:rPr>
            </w:pPr>
          </w:p>
        </w:tc>
      </w:tr>
      <w:tr>
        <w:trPr>
          <w:trHeight w:val="227"/>
        </w:trPr>
        <w:tc>
          <w:tcPr>
            <w:tcW w:w="11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19"/>
                <w:szCs w:val="19"/>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its XBRL tags are</w:t>
            </w: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06"/>
        </w:trPr>
        <w:tc>
          <w:tcPr>
            <w:tcW w:w="11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17"/>
                <w:szCs w:val="17"/>
                <w:color w:val="auto"/>
              </w:rPr>
            </w:pPr>
          </w:p>
        </w:tc>
        <w:tc>
          <w:tcPr>
            <w:tcW w:w="848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ind w:left="1380" w:hanging="1317"/>
        <w:spacing w:after="0"/>
        <w:tabs>
          <w:tab w:leader="none" w:pos="1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Exhibits 101).</w:t>
      </w:r>
    </w:p>
    <w:p>
      <w:pPr>
        <w:spacing w:after="0" w:line="22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6"/>
          <w:szCs w:val="16"/>
          <w:color w:val="auto"/>
        </w:rPr>
      </w:pPr>
    </w:p>
    <w:p>
      <w:pPr>
        <w:ind w:left="780" w:hanging="448"/>
        <w:spacing w:after="0"/>
        <w:tabs>
          <w:tab w:leader="none" w:pos="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15684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780" w:hanging="448"/>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6"/>
          <w:szCs w:val="16"/>
          <w:color w:val="auto"/>
        </w:rPr>
        <w:t>Anthony S. Marucci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6"/>
          <w:szCs w:val="16"/>
          <w:color w:val="auto"/>
        </w:rPr>
        <w:t>Sam Martin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820" w:hanging="434"/>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720" w:right="160" w:hanging="388"/>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40" w:hanging="388"/>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20" w:right="560" w:hanging="388"/>
        <w:spacing w:after="0" w:line="286"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360" w:right="120" w:hanging="636"/>
        <w:spacing w:after="0" w:line="259" w:lineRule="auto"/>
        <w:tabs>
          <w:tab w:leader="none" w:pos="13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60" w:right="40" w:hanging="636"/>
        <w:spacing w:after="0" w:line="311" w:lineRule="auto"/>
        <w:tabs>
          <w:tab w:leader="none" w:pos="1360" w:val="left"/>
        </w:tabs>
        <w:numPr>
          <w:ilvl w:val="2"/>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60" w:right="220" w:hanging="636"/>
        <w:spacing w:after="0" w:line="263" w:lineRule="auto"/>
        <w:tabs>
          <w:tab w:leader="none" w:pos="13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60" w:right="20" w:hanging="636"/>
        <w:spacing w:after="0" w:line="259" w:lineRule="auto"/>
        <w:tabs>
          <w:tab w:leader="none" w:pos="13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20" w:right="500" w:hanging="388"/>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60" w:right="380" w:hanging="636"/>
        <w:spacing w:after="0" w:line="263" w:lineRule="auto"/>
        <w:tabs>
          <w:tab w:leader="none" w:pos="13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60" w:right="200" w:hanging="636"/>
        <w:spacing w:after="0" w:line="277" w:lineRule="auto"/>
        <w:tabs>
          <w:tab w:leader="none" w:pos="13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Name:Anthony S. Marucci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720" w:right="160" w:hanging="388"/>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40" w:hanging="388"/>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20" w:right="560" w:hanging="388"/>
        <w:spacing w:after="0" w:line="286"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360" w:right="120" w:hanging="636"/>
        <w:spacing w:after="0" w:line="259"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60" w:right="40" w:hanging="636"/>
        <w:spacing w:after="0" w:line="311"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60" w:right="220" w:hanging="636"/>
        <w:spacing w:after="0" w:line="263"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60" w:right="20" w:hanging="636"/>
        <w:spacing w:after="0" w:line="259"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20" w:right="500" w:hanging="388"/>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60" w:right="380" w:hanging="636"/>
        <w:spacing w:after="0" w:line="263"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60" w:right="200" w:hanging="636"/>
        <w:spacing w:after="0" w:line="277"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Name:Sam Martin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Name:Anthony S. Marucci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Name:Sam Martin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lowerRoman"/>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decimal"/>
      <w:start w:val="104"/>
    </w:lvl>
    <w:lvl w:ilvl="1">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
    <w:nsid w:val="4E6AFB66"/>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2021-11-09T15:18:22Z</dcterms:created>
  <dcterms:modified xsi:type="dcterms:W3CDTF">2021-11-09T15:18:22Z</dcterms:modified>
</cp:coreProperties>
</file>