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TABLE OF CONTENTS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4"/>
          <w:szCs w:val="24"/>
          <w:color w:val="auto"/>
        </w:rPr>
      </w:pPr>
    </w:p>
    <w:p>
      <w:pPr>
        <w:ind w:right="20"/>
        <w:spacing w:after="0" w:line="245" w:lineRule="auto"/>
        <w:rPr>
          <w:sz w:val="20"/>
          <w:szCs w:val="20"/>
          <w:color w:val="auto"/>
        </w:rPr>
      </w:pPr>
      <w:r>
        <w:rPr>
          <w:rFonts w:ascii="Arial" w:cs="Arial" w:eastAsia="Arial" w:hAnsi="Arial"/>
          <w:sz w:val="17"/>
          <w:szCs w:val="17"/>
          <w:color w:val="FF1100"/>
        </w:rPr>
        <w:t>The information in this preliminary prospectus supplement and the accompanying prospectus is not complete and may be changed. A registration statement relating to these securities has been declared effective by the Securities and Exchange Commission. This prospectus supplement and accompanying prospectus are not an offer to sell these securities and are not soliciting an offer to buy these securities in any jurisdiction where the offer or sale is not permitted.</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FF1100"/>
        </w:rPr>
        <w:t>SUBJECT TO COMPLETION, DATED FEBRUARY 23, 2012</w:t>
      </w:r>
    </w:p>
    <w:p>
      <w:pPr>
        <w:spacing w:after="0" w:line="191" w:lineRule="exact"/>
        <w:rPr>
          <w:sz w:val="24"/>
          <w:szCs w:val="24"/>
          <w:color w:val="auto"/>
        </w:rPr>
      </w:pPr>
    </w:p>
    <w:p>
      <w:pPr>
        <w:jc w:val="right"/>
        <w:ind w:right="20"/>
        <w:spacing w:after="0"/>
        <w:rPr>
          <w:sz w:val="20"/>
          <w:szCs w:val="20"/>
          <w:color w:val="auto"/>
        </w:rPr>
      </w:pPr>
      <w:r>
        <w:rPr>
          <w:rFonts w:ascii="Arial" w:cs="Arial" w:eastAsia="Arial" w:hAnsi="Arial"/>
          <w:sz w:val="17"/>
          <w:szCs w:val="17"/>
          <w:b w:val="1"/>
          <w:bCs w:val="1"/>
          <w:color w:val="auto"/>
        </w:rPr>
        <w:t>Filed Pursuant to Rule 424(b)(5)</w:t>
      </w:r>
    </w:p>
    <w:p>
      <w:pPr>
        <w:spacing w:after="0" w:line="21" w:lineRule="exact"/>
        <w:rPr>
          <w:sz w:val="24"/>
          <w:szCs w:val="24"/>
          <w:color w:val="auto"/>
        </w:rPr>
      </w:pPr>
    </w:p>
    <w:p>
      <w:pPr>
        <w:jc w:val="right"/>
        <w:ind w:right="20"/>
        <w:spacing w:after="0"/>
        <w:rPr>
          <w:sz w:val="20"/>
          <w:szCs w:val="20"/>
          <w:color w:val="auto"/>
        </w:rPr>
      </w:pPr>
      <w:r>
        <w:rPr>
          <w:rFonts w:ascii="Arial" w:cs="Arial" w:eastAsia="Arial" w:hAnsi="Arial"/>
          <w:sz w:val="17"/>
          <w:szCs w:val="17"/>
          <w:b w:val="1"/>
          <w:bCs w:val="1"/>
          <w:color w:val="auto"/>
        </w:rPr>
        <w:t>Registration No. 333-165899</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(To prospectus dated April 22, 2010)</w:t>
      </w:r>
    </w:p>
    <w:p>
      <w:pPr>
        <w:spacing w:after="0" w:line="174" w:lineRule="exact"/>
        <w:rPr>
          <w:sz w:val="24"/>
          <w:szCs w:val="24"/>
          <w:color w:val="auto"/>
        </w:rPr>
      </w:pPr>
    </w:p>
    <w:p>
      <w:pPr>
        <w:ind w:left="604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2541905</wp:posOffset>
            </wp:positionH>
            <wp:positionV relativeFrom="paragraph">
              <wp:posOffset>154305</wp:posOffset>
            </wp:positionV>
            <wp:extent cx="2172970" cy="524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2970" cy="524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46" w:lineRule="exact"/>
        <w:rPr>
          <w:sz w:val="24"/>
          <w:szCs w:val="24"/>
          <w:color w:val="auto"/>
        </w:rPr>
      </w:pPr>
    </w:p>
    <w:p>
      <w:pPr>
        <w:spacing w:after="0"/>
        <w:tabs>
          <w:tab w:leader="none" w:pos="2520" w:val="left"/>
        </w:tabs>
        <w:rPr>
          <w:sz w:val="20"/>
          <w:szCs w:val="20"/>
          <w:color w:val="auto"/>
        </w:rPr>
      </w:pPr>
      <w:r>
        <w:rPr>
          <w:rFonts w:ascii="Arial" w:cs="Arial" w:eastAsia="Arial" w:hAnsi="Arial"/>
          <w:sz w:val="17"/>
          <w:szCs w:val="17"/>
          <w:color w:val="auto"/>
        </w:rPr>
        <w:t>We are offering</w:t>
      </w:r>
      <w:r>
        <w:rPr>
          <w:sz w:val="20"/>
          <w:szCs w:val="20"/>
          <w:color w:val="auto"/>
        </w:rPr>
        <w:tab/>
      </w:r>
      <w:r>
        <w:rPr>
          <w:rFonts w:ascii="Arial" w:cs="Arial" w:eastAsia="Arial" w:hAnsi="Arial"/>
          <w:sz w:val="17"/>
          <w:szCs w:val="17"/>
          <w:color w:val="auto"/>
        </w:rPr>
        <w:t>shares of our common stock. Our common stock is listed on the Nasdaq Global Market under the symbol "CLDX." On</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February 22, 2012, the last reported sale price of our common stock on the Nasdaq Global Market was $4.30 per share.</w:t>
      </w:r>
    </w:p>
    <w:p>
      <w:pPr>
        <w:spacing w:after="0" w:line="191" w:lineRule="exact"/>
        <w:rPr>
          <w:sz w:val="24"/>
          <w:szCs w:val="24"/>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Investing in our common stock involves a high degree of risk. Please read the "Risk Factors" beginning on page S-8 of this prospectus supplement, on page 9 of the accompanying prospectus and in the documents incorporated by reference into this prospectus supplement.</w:t>
      </w:r>
    </w:p>
    <w:p>
      <w:pPr>
        <w:spacing w:after="0" w:line="153" w:lineRule="exact"/>
        <w:rPr>
          <w:sz w:val="24"/>
          <w:szCs w:val="24"/>
          <w:color w:val="auto"/>
        </w:rPr>
      </w:pPr>
    </w:p>
    <w:p>
      <w:pPr>
        <w:jc w:val="both"/>
        <w:ind w:right="220"/>
        <w:spacing w:after="0" w:line="25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66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7560" w:type="dxa"/>
            <w:vAlign w:val="bottom"/>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4"/>
                <w:szCs w:val="14"/>
                <w:color w:val="auto"/>
              </w:rPr>
            </w:pPr>
          </w:p>
        </w:tc>
      </w:tr>
      <w:tr>
        <w:trPr>
          <w:trHeight w:val="193"/>
        </w:trPr>
        <w:tc>
          <w:tcPr>
            <w:tcW w:w="7560" w:type="dxa"/>
            <w:vAlign w:val="bottom"/>
          </w:tcPr>
          <w:p>
            <w:pPr>
              <w:ind w:left="1380"/>
              <w:spacing w:after="0" w:line="193" w:lineRule="exact"/>
              <w:rPr>
                <w:sz w:val="20"/>
                <w:szCs w:val="20"/>
                <w:color w:val="auto"/>
              </w:rPr>
            </w:pPr>
            <w:r>
              <w:rPr>
                <w:rFonts w:ascii="Arial" w:cs="Arial" w:eastAsia="Arial" w:hAnsi="Arial"/>
                <w:sz w:val="17"/>
                <w:szCs w:val="17"/>
                <w:color w:val="auto"/>
              </w:rPr>
              <w:t>Public Offering Price</w:t>
            </w:r>
          </w:p>
        </w:tc>
        <w:tc>
          <w:tcPr>
            <w:tcW w:w="880" w:type="dxa"/>
            <w:vAlign w:val="bottom"/>
          </w:tcPr>
          <w:p>
            <w:pPr>
              <w:ind w:left="20"/>
              <w:spacing w:after="0" w:line="193"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010"/>
              <w:spacing w:after="0" w:line="193" w:lineRule="exact"/>
              <w:rPr>
                <w:sz w:val="20"/>
                <w:szCs w:val="20"/>
                <w:color w:val="auto"/>
              </w:rPr>
            </w:pPr>
            <w:r>
              <w:rPr>
                <w:rFonts w:ascii="Arial" w:cs="Arial" w:eastAsia="Arial" w:hAnsi="Arial"/>
                <w:sz w:val="17"/>
                <w:szCs w:val="17"/>
                <w:color w:val="auto"/>
              </w:rPr>
              <w:t>$</w:t>
            </w:r>
          </w:p>
        </w:tc>
        <w:tc>
          <w:tcPr>
            <w:tcW w:w="1660" w:type="dxa"/>
            <w:vAlign w:val="bottom"/>
          </w:tcPr>
          <w:p>
            <w:pPr>
              <w:spacing w:after="0"/>
              <w:rPr>
                <w:sz w:val="16"/>
                <w:szCs w:val="16"/>
                <w:color w:val="auto"/>
              </w:rPr>
            </w:pPr>
          </w:p>
        </w:tc>
      </w:tr>
      <w:tr>
        <w:trPr>
          <w:trHeight w:val="197"/>
        </w:trPr>
        <w:tc>
          <w:tcPr>
            <w:tcW w:w="7560" w:type="dxa"/>
            <w:vAlign w:val="bottom"/>
          </w:tcPr>
          <w:p>
            <w:pPr>
              <w:ind w:left="1380"/>
              <w:spacing w:after="0"/>
              <w:rPr>
                <w:sz w:val="20"/>
                <w:szCs w:val="20"/>
                <w:color w:val="auto"/>
              </w:rPr>
            </w:pPr>
            <w:r>
              <w:rPr>
                <w:rFonts w:ascii="Arial" w:cs="Arial" w:eastAsia="Arial" w:hAnsi="Arial"/>
                <w:sz w:val="17"/>
                <w:szCs w:val="17"/>
                <w:color w:val="auto"/>
              </w:rPr>
              <w:t>Underwriting Discounts and Commissions</w:t>
            </w:r>
          </w:p>
        </w:tc>
        <w:tc>
          <w:tcPr>
            <w:tcW w:w="8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010"/>
              <w:spacing w:after="0"/>
              <w:rPr>
                <w:sz w:val="20"/>
                <w:szCs w:val="20"/>
                <w:color w:val="auto"/>
              </w:rPr>
            </w:pPr>
            <w:r>
              <w:rPr>
                <w:rFonts w:ascii="Arial" w:cs="Arial" w:eastAsia="Arial" w:hAnsi="Arial"/>
                <w:sz w:val="17"/>
                <w:szCs w:val="17"/>
                <w:color w:val="auto"/>
              </w:rPr>
              <w:t>$</w:t>
            </w:r>
          </w:p>
        </w:tc>
        <w:tc>
          <w:tcPr>
            <w:tcW w:w="1660" w:type="dxa"/>
            <w:vAlign w:val="bottom"/>
          </w:tcPr>
          <w:p>
            <w:pPr>
              <w:spacing w:after="0"/>
              <w:rPr>
                <w:sz w:val="17"/>
                <w:szCs w:val="17"/>
                <w:color w:val="auto"/>
              </w:rPr>
            </w:pPr>
          </w:p>
        </w:tc>
      </w:tr>
      <w:tr>
        <w:trPr>
          <w:trHeight w:val="204"/>
        </w:trPr>
        <w:tc>
          <w:tcPr>
            <w:tcW w:w="7560" w:type="dxa"/>
            <w:vAlign w:val="bottom"/>
          </w:tcPr>
          <w:p>
            <w:pPr>
              <w:ind w:left="1380"/>
              <w:spacing w:after="0"/>
              <w:rPr>
                <w:sz w:val="20"/>
                <w:szCs w:val="20"/>
                <w:color w:val="auto"/>
              </w:rPr>
            </w:pPr>
            <w:r>
              <w:rPr>
                <w:rFonts w:ascii="Arial" w:cs="Arial" w:eastAsia="Arial" w:hAnsi="Arial"/>
                <w:sz w:val="17"/>
                <w:szCs w:val="17"/>
                <w:color w:val="auto"/>
              </w:rPr>
              <w:t>Proceeds to Celldex (Before Expenses)</w:t>
            </w:r>
          </w:p>
        </w:tc>
        <w:tc>
          <w:tcPr>
            <w:tcW w:w="8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010"/>
              <w:spacing w:after="0"/>
              <w:rPr>
                <w:sz w:val="20"/>
                <w:szCs w:val="20"/>
                <w:color w:val="auto"/>
              </w:rPr>
            </w:pPr>
            <w:r>
              <w:rPr>
                <w:rFonts w:ascii="Arial" w:cs="Arial" w:eastAsia="Arial" w:hAnsi="Arial"/>
                <w:sz w:val="17"/>
                <w:szCs w:val="17"/>
                <w:color w:val="auto"/>
              </w:rPr>
              <w:t>$</w:t>
            </w:r>
          </w:p>
        </w:tc>
        <w:tc>
          <w:tcPr>
            <w:tcW w:w="1660" w:type="dxa"/>
            <w:vAlign w:val="bottom"/>
          </w:tcPr>
          <w:p>
            <w:pPr>
              <w:spacing w:after="0"/>
              <w:rPr>
                <w:sz w:val="17"/>
                <w:szCs w:val="17"/>
                <w:color w:val="auto"/>
              </w:rPr>
            </w:pPr>
          </w:p>
        </w:tc>
      </w:tr>
      <w:tr>
        <w:trPr>
          <w:trHeight w:val="94"/>
        </w:trPr>
        <w:tc>
          <w:tcPr>
            <w:tcW w:w="7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213" w:lineRule="exact"/>
        <w:rPr>
          <w:sz w:val="24"/>
          <w:szCs w:val="24"/>
          <w:color w:val="auto"/>
        </w:rPr>
      </w:pPr>
    </w:p>
    <w:p>
      <w:pPr>
        <w:spacing w:after="0"/>
        <w:tabs>
          <w:tab w:leader="none" w:pos="78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6"/>
          <w:szCs w:val="16"/>
          <w:color w:val="auto"/>
        </w:rPr>
        <w:t>, 2012. We have granted the underwriters an</w:t>
      </w:r>
    </w:p>
    <w:p>
      <w:pPr>
        <w:spacing w:after="0" w:line="1" w:lineRule="exact"/>
        <w:rPr>
          <w:sz w:val="24"/>
          <w:szCs w:val="24"/>
          <w:color w:val="auto"/>
        </w:rPr>
      </w:pPr>
    </w:p>
    <w:p>
      <w:pPr>
        <w:spacing w:after="0"/>
        <w:tabs>
          <w:tab w:leader="none" w:pos="6320" w:val="left"/>
        </w:tabs>
        <w:rPr>
          <w:sz w:val="20"/>
          <w:szCs w:val="20"/>
          <w:color w:val="auto"/>
        </w:rPr>
      </w:pPr>
      <w:r>
        <w:rPr>
          <w:rFonts w:ascii="Arial" w:cs="Arial" w:eastAsia="Arial" w:hAnsi="Arial"/>
          <w:sz w:val="17"/>
          <w:szCs w:val="17"/>
          <w:color w:val="auto"/>
        </w:rPr>
        <w:t>option for a period of 30 days to purchase an additional</w:t>
      </w:r>
      <w:r>
        <w:rPr>
          <w:sz w:val="20"/>
          <w:szCs w:val="20"/>
          <w:color w:val="auto"/>
        </w:rPr>
        <w:tab/>
      </w:r>
      <w:r>
        <w:rPr>
          <w:rFonts w:ascii="Arial" w:cs="Arial" w:eastAsia="Arial" w:hAnsi="Arial"/>
          <w:sz w:val="17"/>
          <w:szCs w:val="17"/>
          <w:color w:val="auto"/>
        </w:rPr>
        <w:t>shares of our common stock solely to cover over-allotments. If the</w:t>
      </w:r>
    </w:p>
    <w:p>
      <w:pPr>
        <w:spacing w:after="0" w:line="1" w:lineRule="exact"/>
        <w:rPr>
          <w:sz w:val="24"/>
          <w:szCs w:val="24"/>
          <w:color w:val="auto"/>
        </w:rPr>
      </w:pPr>
    </w:p>
    <w:p>
      <w:pPr>
        <w:spacing w:after="0"/>
        <w:tabs>
          <w:tab w:leader="none" w:pos="9120" w:val="left"/>
        </w:tabs>
        <w:rPr>
          <w:sz w:val="20"/>
          <w:szCs w:val="20"/>
          <w:color w:val="auto"/>
        </w:rPr>
      </w:pPr>
      <w:r>
        <w:rPr>
          <w:rFonts w:ascii="Arial" w:cs="Arial" w:eastAsia="Arial" w:hAnsi="Arial"/>
          <w:sz w:val="17"/>
          <w:szCs w:val="17"/>
          <w:color w:val="auto"/>
        </w:rPr>
        <w:t>underwriters exercise the option in full, the total underwriting discounts and commissions payable by us will be $</w:t>
      </w:r>
      <w:r>
        <w:rPr>
          <w:sz w:val="20"/>
          <w:szCs w:val="20"/>
          <w:color w:val="auto"/>
        </w:rPr>
        <w:tab/>
      </w:r>
      <w:r>
        <w:rPr>
          <w:rFonts w:ascii="Arial" w:cs="Arial" w:eastAsia="Arial" w:hAnsi="Arial"/>
          <w:sz w:val="17"/>
          <w:szCs w:val="17"/>
          <w:color w:val="auto"/>
        </w:rPr>
        <w:t>and the total proceeds to us,</w:t>
      </w:r>
    </w:p>
    <w:p>
      <w:pPr>
        <w:spacing w:after="0" w:line="1" w:lineRule="exact"/>
        <w:rPr>
          <w:sz w:val="24"/>
          <w:szCs w:val="24"/>
          <w:color w:val="auto"/>
        </w:rPr>
      </w:pPr>
    </w:p>
    <w:p>
      <w:pPr>
        <w:spacing w:after="0"/>
        <w:tabs>
          <w:tab w:leader="none" w:pos="2660" w:val="left"/>
        </w:tabs>
        <w:rPr>
          <w:sz w:val="20"/>
          <w:szCs w:val="20"/>
          <w:color w:val="auto"/>
        </w:rPr>
      </w:pPr>
      <w:r>
        <w:rPr>
          <w:rFonts w:ascii="Arial" w:cs="Arial" w:eastAsia="Arial" w:hAnsi="Arial"/>
          <w:sz w:val="17"/>
          <w:szCs w:val="17"/>
          <w:color w:val="auto"/>
        </w:rPr>
        <w:t>before expenses, will be $</w:t>
      </w:r>
      <w:r>
        <w:rPr>
          <w:sz w:val="20"/>
          <w:szCs w:val="20"/>
          <w:color w:val="auto"/>
        </w:rPr>
        <w:tab/>
      </w:r>
      <w:r>
        <w:rPr>
          <w:rFonts w:ascii="Arial" w:cs="Arial" w:eastAsia="Arial" w:hAnsi="Arial"/>
          <w:sz w:val="17"/>
          <w:szCs w:val="17"/>
          <w:color w:val="auto"/>
        </w:rPr>
        <w:t>.</w:t>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7"/>
          <w:szCs w:val="17"/>
          <w:i w:val="1"/>
          <w:iCs w:val="1"/>
          <w:color w:val="auto"/>
        </w:rPr>
        <w:t>Sole Book-Running Manager</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Jefferies</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7"/>
          <w:szCs w:val="17"/>
          <w:i w:val="1"/>
          <w:iCs w:val="1"/>
          <w:color w:val="auto"/>
        </w:rPr>
        <w:t>Co-Managers</w:t>
      </w:r>
    </w:p>
    <w:p>
      <w:pPr>
        <w:spacing w:after="0" w:line="194" w:lineRule="exact"/>
        <w:rPr>
          <w:sz w:val="24"/>
          <w:szCs w:val="24"/>
          <w:color w:val="auto"/>
        </w:rPr>
      </w:pPr>
    </w:p>
    <w:p>
      <w:pPr>
        <w:ind w:left="660"/>
        <w:spacing w:after="0"/>
        <w:tabs>
          <w:tab w:leader="none" w:pos="7240" w:val="left"/>
        </w:tabs>
        <w:rPr>
          <w:sz w:val="20"/>
          <w:szCs w:val="20"/>
          <w:color w:val="auto"/>
        </w:rPr>
      </w:pPr>
      <w:r>
        <w:rPr>
          <w:rFonts w:ascii="Arial" w:cs="Arial" w:eastAsia="Arial" w:hAnsi="Arial"/>
          <w:sz w:val="21"/>
          <w:szCs w:val="21"/>
          <w:b w:val="1"/>
          <w:bCs w:val="1"/>
          <w:color w:val="auto"/>
        </w:rPr>
        <w:t>Wedbush PacGrow Life Sciences</w:t>
      </w:r>
      <w:r>
        <w:rPr>
          <w:sz w:val="20"/>
          <w:szCs w:val="20"/>
          <w:color w:val="auto"/>
        </w:rPr>
        <w:tab/>
      </w:r>
      <w:r>
        <w:rPr>
          <w:rFonts w:ascii="Arial" w:cs="Arial" w:eastAsia="Arial" w:hAnsi="Arial"/>
          <w:sz w:val="20"/>
          <w:szCs w:val="20"/>
          <w:b w:val="1"/>
          <w:bCs w:val="1"/>
          <w:color w:val="auto"/>
        </w:rPr>
        <w:t>Oppenheimer &amp; Co.</w:t>
      </w:r>
    </w:p>
    <w:p>
      <w:pPr>
        <w:spacing w:after="0" w:line="230" w:lineRule="exact"/>
        <w:rPr>
          <w:sz w:val="24"/>
          <w:szCs w:val="24"/>
          <w:color w:val="auto"/>
        </w:rPr>
      </w:pPr>
    </w:p>
    <w:p>
      <w:pPr>
        <w:ind w:left="960"/>
        <w:spacing w:after="0"/>
        <w:tabs>
          <w:tab w:leader="none" w:pos="7600" w:val="left"/>
        </w:tabs>
        <w:rPr>
          <w:sz w:val="20"/>
          <w:szCs w:val="20"/>
          <w:color w:val="auto"/>
        </w:rPr>
      </w:pPr>
      <w:r>
        <w:rPr>
          <w:rFonts w:ascii="Arial" w:cs="Arial" w:eastAsia="Arial" w:hAnsi="Arial"/>
          <w:sz w:val="21"/>
          <w:szCs w:val="21"/>
          <w:b w:val="1"/>
          <w:bCs w:val="1"/>
          <w:color w:val="auto"/>
        </w:rPr>
        <w:t>Brean Murray, Carret &amp; Co.</w:t>
      </w:r>
      <w:r>
        <w:rPr>
          <w:sz w:val="20"/>
          <w:szCs w:val="20"/>
          <w:color w:val="auto"/>
        </w:rPr>
        <w:tab/>
      </w:r>
      <w:r>
        <w:rPr>
          <w:rFonts w:ascii="Arial" w:cs="Arial" w:eastAsia="Arial" w:hAnsi="Arial"/>
          <w:sz w:val="20"/>
          <w:szCs w:val="20"/>
          <w:b w:val="1"/>
          <w:bCs w:val="1"/>
          <w:color w:val="auto"/>
        </w:rPr>
        <w:t>Roth Capital Partners</w:t>
      </w:r>
    </w:p>
    <w:p>
      <w:pPr>
        <w:sectPr>
          <w:pgSz w:w="11900" w:h="16838" w:orient="portrait"/>
          <w:cols w:equalWidth="0" w:num="1">
            <w:col w:w="11440"/>
          </w:cols>
          <w:pgMar w:left="240" w:top="669" w:right="219" w:bottom="1440" w:gutter="0" w:footer="0" w:header="0"/>
        </w:sectPr>
      </w:pPr>
    </w:p>
    <w:p>
      <w:pPr>
        <w:spacing w:after="0" w:line="200" w:lineRule="exact"/>
        <w:rPr>
          <w:sz w:val="24"/>
          <w:szCs w:val="24"/>
          <w:color w:val="auto"/>
        </w:rPr>
      </w:pPr>
    </w:p>
    <w:p>
      <w:pPr>
        <w:spacing w:after="0" w:line="315" w:lineRule="exact"/>
        <w:rPr>
          <w:sz w:val="24"/>
          <w:szCs w:val="24"/>
          <w:color w:val="auto"/>
        </w:rPr>
      </w:pPr>
    </w:p>
    <w:p>
      <w:pPr>
        <w:ind w:left="3280"/>
        <w:spacing w:after="0"/>
        <w:tabs>
          <w:tab w:leader="none" w:pos="7660" w:val="left"/>
        </w:tabs>
        <w:rPr>
          <w:sz w:val="20"/>
          <w:szCs w:val="20"/>
          <w:color w:val="auto"/>
        </w:rPr>
      </w:pPr>
      <w:r>
        <w:rPr>
          <w:rFonts w:ascii="Arial" w:cs="Arial" w:eastAsia="Arial" w:hAnsi="Arial"/>
          <w:sz w:val="17"/>
          <w:szCs w:val="17"/>
          <w:color w:val="auto"/>
        </w:rPr>
        <w:t>Prospectus Supplement dated</w:t>
      </w:r>
      <w:r>
        <w:rPr>
          <w:sz w:val="20"/>
          <w:szCs w:val="20"/>
          <w:color w:val="auto"/>
        </w:rPr>
        <w:tab/>
      </w:r>
      <w:r>
        <w:rPr>
          <w:rFonts w:ascii="Arial" w:cs="Arial" w:eastAsia="Arial" w:hAnsi="Arial"/>
          <w:sz w:val="17"/>
          <w:szCs w:val="17"/>
          <w:color w:val="auto"/>
        </w:rPr>
        <w:t>,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669" w:right="21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8440" w:type="dxa"/>
            <w:vAlign w:val="bottom"/>
            <w:gridSpan w:val="23"/>
            <w:vMerge w:val="restart"/>
          </w:tcPr>
          <w:p>
            <w:pPr>
              <w:spacing w:after="0"/>
              <w:rPr>
                <w:sz w:val="20"/>
                <w:szCs w:val="20"/>
                <w:color w:val="auto"/>
              </w:rPr>
            </w:pPr>
            <w:r>
              <w:rPr>
                <w:rFonts w:ascii="Arial" w:cs="Arial" w:eastAsia="Arial" w:hAnsi="Arial"/>
                <w:sz w:val="17"/>
                <w:szCs w:val="17"/>
                <w:b w:val="1"/>
                <w:bCs w:val="1"/>
                <w:color w:val="auto"/>
              </w:rPr>
              <w:t>Prospectus Supplement</w:t>
            </w:r>
          </w:p>
        </w:tc>
        <w:tc>
          <w:tcPr>
            <w:tcW w:w="1840" w:type="dxa"/>
            <w:vAlign w:val="bottom"/>
            <w:gridSpan w:val="6"/>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8440" w:type="dxa"/>
            <w:vAlign w:val="bottom"/>
            <w:gridSpan w:val="23"/>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1160" w:type="dxa"/>
            <w:vAlign w:val="bottom"/>
          </w:tcPr>
          <w:p>
            <w:pPr>
              <w:spacing w:after="0"/>
              <w:rPr>
                <w:sz w:val="24"/>
                <w:szCs w:val="24"/>
                <w:color w:val="auto"/>
              </w:rPr>
            </w:pPr>
          </w:p>
        </w:tc>
        <w:tc>
          <w:tcPr>
            <w:tcW w:w="8440" w:type="dxa"/>
            <w:vAlign w:val="bottom"/>
            <w:gridSpan w:val="2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About this Prospectus Supplement</w:t>
              </w:r>
            </w:hyperlink>
          </w:p>
        </w:tc>
        <w:tc>
          <w:tcPr>
            <w:tcW w:w="160" w:type="dxa"/>
            <w:vAlign w:val="bottom"/>
          </w:tcPr>
          <w:p>
            <w:pPr>
              <w:spacing w:after="0"/>
              <w:rPr>
                <w:sz w:val="24"/>
                <w:szCs w:val="24"/>
                <w:color w:val="auto"/>
              </w:rPr>
            </w:pPr>
          </w:p>
        </w:tc>
        <w:tc>
          <w:tcPr>
            <w:tcW w:w="1680" w:type="dxa"/>
            <w:vAlign w:val="bottom"/>
            <w:gridSpan w:val="5"/>
          </w:tcPr>
          <w:p>
            <w:pPr>
              <w:jc w:val="right"/>
              <w:ind w:right="1320"/>
              <w:spacing w:after="0"/>
              <w:rPr>
                <w:rFonts w:ascii="Arial" w:cs="Arial" w:eastAsia="Arial" w:hAnsi="Arial"/>
                <w:sz w:val="17"/>
                <w:szCs w:val="17"/>
                <w:color w:val="0000EE"/>
              </w:rPr>
            </w:pPr>
            <w:hyperlink w:anchor="page3">
              <w:r>
                <w:rPr>
                  <w:rFonts w:ascii="Arial" w:cs="Arial" w:eastAsia="Arial" w:hAnsi="Arial"/>
                  <w:sz w:val="17"/>
                  <w:szCs w:val="17"/>
                  <w:color w:val="0000EE"/>
                </w:rPr>
                <w:t>S-1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w w:val="97"/>
              </w:rPr>
            </w:pPr>
            <w:hyperlink w:anchor="page4">
              <w:r>
                <w:rPr>
                  <w:rFonts w:ascii="Arial" w:cs="Arial" w:eastAsia="Arial" w:hAnsi="Arial"/>
                  <w:sz w:val="17"/>
                  <w:szCs w:val="17"/>
                  <w:color w:val="0000EE"/>
                  <w:w w:val="97"/>
                </w:rPr>
                <w:t>Our Business</w:t>
              </w:r>
            </w:hyperlink>
          </w:p>
        </w:tc>
        <w:tc>
          <w:tcPr>
            <w:tcW w:w="1580" w:type="dxa"/>
            <w:vAlign w:val="bottom"/>
            <w:gridSpan w:val="8"/>
          </w:tcPr>
          <w:p>
            <w:pPr>
              <w:spacing w:after="0"/>
              <w:rPr>
                <w:sz w:val="15"/>
                <w:szCs w:val="15"/>
                <w:color w:val="auto"/>
              </w:rPr>
            </w:pPr>
          </w:p>
        </w:tc>
        <w:tc>
          <w:tcPr>
            <w:tcW w:w="5840" w:type="dxa"/>
            <w:vAlign w:val="bottom"/>
            <w:gridSpan w:val="11"/>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right"/>
              <w:ind w:right="1320"/>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S-2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7"/>
                <w:szCs w:val="17"/>
                <w:color w:val="0000EE"/>
                <w:w w:val="97"/>
              </w:rPr>
            </w:pPr>
            <w:hyperlink w:anchor="page9">
              <w:r>
                <w:rPr>
                  <w:rFonts w:ascii="Arial" w:cs="Arial" w:eastAsia="Arial" w:hAnsi="Arial"/>
                  <w:sz w:val="17"/>
                  <w:szCs w:val="17"/>
                  <w:color w:val="0000EE"/>
                  <w:w w:val="97"/>
                </w:rPr>
                <w:t>The Offering</w:t>
              </w:r>
            </w:hyperlink>
          </w:p>
        </w:tc>
        <w:tc>
          <w:tcPr>
            <w:tcW w:w="80" w:type="dxa"/>
            <w:vAlign w:val="bottom"/>
          </w:tcPr>
          <w:p>
            <w:pPr>
              <w:spacing w:after="0"/>
              <w:rPr>
                <w:sz w:val="15"/>
                <w:szCs w:val="15"/>
                <w:color w:val="auto"/>
              </w:rPr>
            </w:pPr>
          </w:p>
        </w:tc>
        <w:tc>
          <w:tcPr>
            <w:tcW w:w="7420" w:type="dxa"/>
            <w:vAlign w:val="bottom"/>
            <w:gridSpan w:val="19"/>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right"/>
              <w:ind w:right="1320"/>
              <w:spacing w:after="0" w:line="176" w:lineRule="exact"/>
              <w:rPr>
                <w:rFonts w:ascii="Arial" w:cs="Arial" w:eastAsia="Arial" w:hAnsi="Arial"/>
                <w:sz w:val="17"/>
                <w:szCs w:val="17"/>
                <w:color w:val="0000EE"/>
              </w:rPr>
            </w:pPr>
            <w:hyperlink w:anchor="page9">
              <w:r>
                <w:rPr>
                  <w:rFonts w:ascii="Arial" w:cs="Arial" w:eastAsia="Arial" w:hAnsi="Arial"/>
                  <w:sz w:val="17"/>
                  <w:szCs w:val="17"/>
                  <w:color w:val="0000EE"/>
                </w:rPr>
                <w:t>S-7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7"/>
                <w:szCs w:val="17"/>
                <w:color w:val="0000EE"/>
                <w:w w:val="97"/>
              </w:rPr>
            </w:pPr>
            <w:hyperlink w:anchor="page10">
              <w:r>
                <w:rPr>
                  <w:rFonts w:ascii="Arial" w:cs="Arial" w:eastAsia="Arial" w:hAnsi="Arial"/>
                  <w:sz w:val="17"/>
                  <w:szCs w:val="17"/>
                  <w:color w:val="0000EE"/>
                  <w:w w:val="97"/>
                </w:rPr>
                <w:t>Risk Factors</w:t>
              </w:r>
            </w:hyperlink>
          </w:p>
        </w:tc>
        <w:tc>
          <w:tcPr>
            <w:tcW w:w="750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right"/>
              <w:ind w:right="1320"/>
              <w:spacing w:after="0" w:line="176" w:lineRule="exact"/>
              <w:rPr>
                <w:rFonts w:ascii="Arial" w:cs="Arial" w:eastAsia="Arial" w:hAnsi="Arial"/>
                <w:sz w:val="17"/>
                <w:szCs w:val="17"/>
                <w:color w:val="0000EE"/>
              </w:rPr>
            </w:pPr>
            <w:hyperlink w:anchor="page10">
              <w:r>
                <w:rPr>
                  <w:rFonts w:ascii="Arial" w:cs="Arial" w:eastAsia="Arial" w:hAnsi="Arial"/>
                  <w:sz w:val="17"/>
                  <w:szCs w:val="17"/>
                  <w:color w:val="0000EE"/>
                </w:rPr>
                <w:t>S-8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Special Note Regarding Forward-Looking Statements</w:t>
              </w:r>
            </w:hyperlink>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S-24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260" w:type="dxa"/>
            <w:vAlign w:val="bottom"/>
            <w:gridSpan w:val="5"/>
          </w:tcPr>
          <w:p>
            <w:pPr>
              <w:spacing w:after="0" w:line="176" w:lineRule="exact"/>
              <w:rPr>
                <w:rFonts w:ascii="Arial" w:cs="Arial" w:eastAsia="Arial" w:hAnsi="Arial"/>
                <w:sz w:val="17"/>
                <w:szCs w:val="17"/>
                <w:color w:val="0000EE"/>
                <w:w w:val="97"/>
              </w:rPr>
            </w:pPr>
            <w:hyperlink w:anchor="page28">
              <w:r>
                <w:rPr>
                  <w:rFonts w:ascii="Arial" w:cs="Arial" w:eastAsia="Arial" w:hAnsi="Arial"/>
                  <w:sz w:val="17"/>
                  <w:szCs w:val="17"/>
                  <w:color w:val="0000EE"/>
                  <w:w w:val="97"/>
                </w:rPr>
                <w:t>Use of Proceeds</w:t>
              </w:r>
            </w:hyperlink>
          </w:p>
        </w:tc>
        <w:tc>
          <w:tcPr>
            <w:tcW w:w="2760" w:type="dxa"/>
            <w:vAlign w:val="bottom"/>
            <w:gridSpan w:val="15"/>
          </w:tcPr>
          <w:p>
            <w:pPr>
              <w:spacing w:after="0"/>
              <w:rPr>
                <w:sz w:val="15"/>
                <w:szCs w:val="15"/>
                <w:color w:val="auto"/>
              </w:rPr>
            </w:pPr>
          </w:p>
        </w:tc>
        <w:tc>
          <w:tcPr>
            <w:tcW w:w="4420" w:type="dxa"/>
            <w:vAlign w:val="bottom"/>
            <w:gridSpan w:val="3"/>
          </w:tcPr>
          <w:p>
            <w:pPr>
              <w:spacing w:after="0"/>
              <w:rPr>
                <w:sz w:val="15"/>
                <w:szCs w:val="15"/>
                <w:color w:val="auto"/>
              </w:rPr>
            </w:pPr>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28">
              <w:r>
                <w:rPr>
                  <w:rFonts w:ascii="Arial" w:cs="Arial" w:eastAsia="Arial" w:hAnsi="Arial"/>
                  <w:sz w:val="17"/>
                  <w:szCs w:val="17"/>
                  <w:color w:val="0000EE"/>
                </w:rPr>
                <w:t>S-26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60" w:type="dxa"/>
            <w:vAlign w:val="bottom"/>
          </w:tcPr>
          <w:p>
            <w:pPr>
              <w:spacing w:after="0" w:line="176" w:lineRule="exact"/>
              <w:rPr>
                <w:rFonts w:ascii="Arial" w:cs="Arial" w:eastAsia="Arial" w:hAnsi="Arial"/>
                <w:sz w:val="17"/>
                <w:szCs w:val="17"/>
                <w:color w:val="0000EE"/>
                <w:w w:val="95"/>
              </w:rPr>
            </w:pPr>
            <w:hyperlink w:anchor="page29">
              <w:r>
                <w:rPr>
                  <w:rFonts w:ascii="Arial" w:cs="Arial" w:eastAsia="Arial" w:hAnsi="Arial"/>
                  <w:sz w:val="17"/>
                  <w:szCs w:val="17"/>
                  <w:color w:val="0000EE"/>
                  <w:w w:val="95"/>
                </w:rPr>
                <w:t>Dilution</w:t>
              </w:r>
            </w:hyperlink>
          </w:p>
        </w:tc>
        <w:tc>
          <w:tcPr>
            <w:tcW w:w="700" w:type="dxa"/>
            <w:vAlign w:val="bottom"/>
            <w:gridSpan w:val="4"/>
          </w:tcPr>
          <w:p>
            <w:pPr>
              <w:spacing w:after="0"/>
              <w:rPr>
                <w:sz w:val="15"/>
                <w:szCs w:val="15"/>
                <w:color w:val="auto"/>
              </w:rPr>
            </w:pPr>
          </w:p>
        </w:tc>
        <w:tc>
          <w:tcPr>
            <w:tcW w:w="7180" w:type="dxa"/>
            <w:vAlign w:val="bottom"/>
            <w:gridSpan w:val="18"/>
          </w:tcPr>
          <w:p>
            <w:pPr>
              <w:spacing w:after="0"/>
              <w:rPr>
                <w:sz w:val="15"/>
                <w:szCs w:val="15"/>
                <w:color w:val="auto"/>
              </w:rPr>
            </w:pPr>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29">
              <w:r>
                <w:rPr>
                  <w:rFonts w:ascii="Arial" w:cs="Arial" w:eastAsia="Arial" w:hAnsi="Arial"/>
                  <w:sz w:val="17"/>
                  <w:szCs w:val="17"/>
                  <w:color w:val="0000EE"/>
                </w:rPr>
                <w:t>S-27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Underwriting</w:t>
              </w:r>
            </w:hyperlink>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S-28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420" w:type="dxa"/>
            <w:vAlign w:val="bottom"/>
            <w:gridSpan w:val="6"/>
          </w:tcPr>
          <w:p>
            <w:pPr>
              <w:spacing w:after="0" w:line="176" w:lineRule="exact"/>
              <w:rPr>
                <w:rFonts w:ascii="Arial" w:cs="Arial" w:eastAsia="Arial" w:hAnsi="Arial"/>
                <w:sz w:val="17"/>
                <w:szCs w:val="17"/>
                <w:color w:val="0000EE"/>
                <w:w w:val="97"/>
              </w:rPr>
            </w:pPr>
            <w:hyperlink w:anchor="page34">
              <w:r>
                <w:rPr>
                  <w:rFonts w:ascii="Arial" w:cs="Arial" w:eastAsia="Arial" w:hAnsi="Arial"/>
                  <w:sz w:val="17"/>
                  <w:szCs w:val="17"/>
                  <w:color w:val="0000EE"/>
                  <w:w w:val="97"/>
                </w:rPr>
                <w:t>Notice to Investors</w:t>
              </w:r>
            </w:hyperlink>
          </w:p>
        </w:tc>
        <w:tc>
          <w:tcPr>
            <w:tcW w:w="7020" w:type="dxa"/>
            <w:vAlign w:val="bottom"/>
            <w:gridSpan w:val="17"/>
          </w:tcPr>
          <w:p>
            <w:pPr>
              <w:spacing w:after="0"/>
              <w:rPr>
                <w:sz w:val="15"/>
                <w:szCs w:val="15"/>
                <w:color w:val="auto"/>
              </w:rPr>
            </w:pPr>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S-32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420" w:type="dxa"/>
            <w:vAlign w:val="bottom"/>
            <w:gridSpan w:val="6"/>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Legal Matters</w:t>
              </w:r>
            </w:hyperlink>
          </w:p>
        </w:tc>
        <w:tc>
          <w:tcPr>
            <w:tcW w:w="7020" w:type="dxa"/>
            <w:vAlign w:val="bottom"/>
            <w:gridSpan w:val="17"/>
          </w:tcPr>
          <w:p>
            <w:pPr>
              <w:spacing w:after="0"/>
              <w:rPr>
                <w:sz w:val="15"/>
                <w:szCs w:val="15"/>
                <w:color w:val="auto"/>
              </w:rPr>
            </w:pPr>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S-35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Experts</w:t>
              </w:r>
            </w:hyperlink>
          </w:p>
        </w:tc>
        <w:tc>
          <w:tcPr>
            <w:tcW w:w="7420" w:type="dxa"/>
            <w:vAlign w:val="bottom"/>
            <w:gridSpan w:val="19"/>
          </w:tcPr>
          <w:p>
            <w:pPr>
              <w:spacing w:after="0"/>
              <w:rPr>
                <w:sz w:val="15"/>
                <w:szCs w:val="15"/>
                <w:color w:val="auto"/>
              </w:rPr>
            </w:pPr>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S-35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Where You Can Find More Information</w:t>
              </w:r>
            </w:hyperlink>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S-35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38">
              <w:r>
                <w:rPr>
                  <w:rFonts w:ascii="Arial" w:cs="Arial" w:eastAsia="Arial" w:hAnsi="Arial"/>
                  <w:sz w:val="17"/>
                  <w:szCs w:val="17"/>
                  <w:color w:val="0000EE"/>
                </w:rPr>
                <w:t>Incorporation of Documents by Reference</w:t>
              </w:r>
            </w:hyperlink>
          </w:p>
        </w:tc>
        <w:tc>
          <w:tcPr>
            <w:tcW w:w="1840" w:type="dxa"/>
            <w:vAlign w:val="bottom"/>
            <w:gridSpan w:val="6"/>
          </w:tcPr>
          <w:p>
            <w:pPr>
              <w:jc w:val="right"/>
              <w:ind w:right="1320"/>
              <w:spacing w:after="0" w:line="176" w:lineRule="exact"/>
              <w:rPr>
                <w:rFonts w:ascii="Arial" w:cs="Arial" w:eastAsia="Arial" w:hAnsi="Arial"/>
                <w:sz w:val="17"/>
                <w:szCs w:val="17"/>
                <w:color w:val="0000EE"/>
              </w:rPr>
            </w:pPr>
            <w:hyperlink w:anchor="page38">
              <w:r>
                <w:rPr>
                  <w:rFonts w:ascii="Arial" w:cs="Arial" w:eastAsia="Arial" w:hAnsi="Arial"/>
                  <w:sz w:val="17"/>
                  <w:szCs w:val="17"/>
                  <w:color w:val="0000EE"/>
                </w:rPr>
                <w:t>S-36</w:t>
              </w:r>
            </w:hyperlink>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3140" w:type="dxa"/>
            <w:vAlign w:val="bottom"/>
            <w:tcBorders>
              <w:top w:val="single" w:sz="8" w:color="0000EE"/>
            </w:tcBorders>
            <w:gridSpan w:val="15"/>
          </w:tcPr>
          <w:p>
            <w:pPr>
              <w:spacing w:after="0"/>
              <w:rPr>
                <w:sz w:val="20"/>
                <w:szCs w:val="20"/>
                <w:color w:val="auto"/>
              </w:rPr>
            </w:pPr>
            <w:r>
              <w:rPr>
                <w:rFonts w:ascii="Arial" w:cs="Arial" w:eastAsia="Arial" w:hAnsi="Arial"/>
                <w:sz w:val="17"/>
                <w:szCs w:val="17"/>
                <w:b w:val="1"/>
                <w:bCs w:val="1"/>
                <w:color w:val="auto"/>
              </w:rPr>
              <w:t>Prospectus</w:t>
            </w:r>
          </w:p>
        </w:tc>
        <w:tc>
          <w:tcPr>
            <w:tcW w:w="530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60" w:type="dxa"/>
            <w:vAlign w:val="bottom"/>
          </w:tcPr>
          <w:p>
            <w:pPr>
              <w:spacing w:after="0"/>
              <w:rPr>
                <w:sz w:val="24"/>
                <w:szCs w:val="24"/>
                <w:color w:val="auto"/>
              </w:rPr>
            </w:pPr>
          </w:p>
        </w:tc>
        <w:tc>
          <w:tcPr>
            <w:tcW w:w="8440" w:type="dxa"/>
            <w:vAlign w:val="bottom"/>
            <w:gridSpan w:val="23"/>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PROSPECTUS SUMMARY</w:t>
              </w:r>
            </w:hyperlink>
          </w:p>
        </w:tc>
        <w:tc>
          <w:tcPr>
            <w:tcW w:w="1820" w:type="dxa"/>
            <w:vAlign w:val="bottom"/>
            <w:gridSpan w:val="5"/>
          </w:tcPr>
          <w:p>
            <w:pPr>
              <w:jc w:val="right"/>
              <w:ind w:right="1300"/>
              <w:spacing w:after="0"/>
              <w:rPr>
                <w:rFonts w:ascii="Arial" w:cs="Arial" w:eastAsia="Arial" w:hAnsi="Arial"/>
                <w:sz w:val="17"/>
                <w:szCs w:val="17"/>
                <w:color w:val="0000EE"/>
              </w:rPr>
            </w:pPr>
            <w:hyperlink w:anchor="page41">
              <w:r>
                <w:rPr>
                  <w:rFonts w:ascii="Arial" w:cs="Arial" w:eastAsia="Arial" w:hAnsi="Arial"/>
                  <w:sz w:val="17"/>
                  <w:szCs w:val="17"/>
                  <w:color w:val="0000EE"/>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240" w:type="dxa"/>
            <w:vAlign w:val="bottom"/>
            <w:tcBorders>
              <w:bottom w:val="single" w:sz="8" w:color="0000EE"/>
            </w:tcBorders>
            <w:gridSpan w:val="22"/>
          </w:tcPr>
          <w:p>
            <w:pPr>
              <w:spacing w:after="0" w:line="176" w:lineRule="exact"/>
              <w:rPr>
                <w:rFonts w:ascii="Arial" w:cs="Arial" w:eastAsia="Arial" w:hAnsi="Arial"/>
                <w:sz w:val="17"/>
                <w:szCs w:val="17"/>
                <w:color w:val="0000EE"/>
                <w:w w:val="99"/>
              </w:rPr>
            </w:pPr>
            <w:hyperlink w:anchor="page45">
              <w:r>
                <w:rPr>
                  <w:rFonts w:ascii="Arial" w:cs="Arial" w:eastAsia="Arial" w:hAnsi="Arial"/>
                  <w:sz w:val="17"/>
                  <w:szCs w:val="17"/>
                  <w:color w:val="0000EE"/>
                  <w:w w:val="99"/>
                </w:rPr>
                <w:t>SPECIAL NOTE REGARDING FORWARD-LOOKING STATEMENTS</w:t>
              </w:r>
            </w:hyperlink>
          </w:p>
        </w:tc>
        <w:tc>
          <w:tcPr>
            <w:tcW w:w="3200" w:type="dxa"/>
            <w:vAlign w:val="bottom"/>
          </w:tcPr>
          <w:p>
            <w:pPr>
              <w:spacing w:after="0"/>
              <w:rPr>
                <w:sz w:val="15"/>
                <w:szCs w:val="15"/>
                <w:color w:val="auto"/>
              </w:rPr>
            </w:pPr>
          </w:p>
        </w:tc>
        <w:tc>
          <w:tcPr>
            <w:tcW w:w="420" w:type="dxa"/>
            <w:vAlign w:val="bottom"/>
            <w:gridSpan w:val="3"/>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7</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260" w:type="dxa"/>
            <w:vAlign w:val="bottom"/>
            <w:tcBorders>
              <w:bottom w:val="single" w:sz="8" w:color="0000EE"/>
            </w:tcBorders>
            <w:gridSpan w:val="5"/>
          </w:tcPr>
          <w:p>
            <w:pPr>
              <w:spacing w:after="0" w:line="176" w:lineRule="exact"/>
              <w:rPr>
                <w:rFonts w:ascii="Arial" w:cs="Arial" w:eastAsia="Arial" w:hAnsi="Arial"/>
                <w:sz w:val="17"/>
                <w:szCs w:val="17"/>
                <w:color w:val="0000EE"/>
                <w:w w:val="97"/>
              </w:rPr>
            </w:pPr>
            <w:hyperlink w:anchor="page47">
              <w:r>
                <w:rPr>
                  <w:rFonts w:ascii="Arial" w:cs="Arial" w:eastAsia="Arial" w:hAnsi="Arial"/>
                  <w:sz w:val="17"/>
                  <w:szCs w:val="17"/>
                  <w:color w:val="0000EE"/>
                  <w:w w:val="97"/>
                </w:rPr>
                <w:t>RISK FACTORS</w:t>
              </w:r>
            </w:hyperlink>
          </w:p>
        </w:tc>
        <w:tc>
          <w:tcPr>
            <w:tcW w:w="7180" w:type="dxa"/>
            <w:vAlign w:val="bottom"/>
            <w:gridSpan w:val="18"/>
          </w:tcPr>
          <w:p>
            <w:pPr>
              <w:spacing w:after="0"/>
              <w:rPr>
                <w:sz w:val="15"/>
                <w:szCs w:val="15"/>
                <w:color w:val="auto"/>
              </w:rPr>
            </w:pPr>
          </w:p>
        </w:tc>
        <w:tc>
          <w:tcPr>
            <w:tcW w:w="420" w:type="dxa"/>
            <w:vAlign w:val="bottom"/>
            <w:gridSpan w:val="3"/>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9</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RATIO OF EARNINGS TO FIXED CHARGES</w:t>
              </w:r>
            </w:hyperlink>
          </w:p>
        </w:tc>
        <w:tc>
          <w:tcPr>
            <w:tcW w:w="1820" w:type="dxa"/>
            <w:vAlign w:val="bottom"/>
            <w:gridSpan w:val="5"/>
          </w:tcPr>
          <w:p>
            <w:pPr>
              <w:jc w:val="right"/>
              <w:ind w:right="1300"/>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w w:val="99"/>
              </w:rPr>
            </w:pPr>
            <w:hyperlink w:anchor="page60">
              <w:r>
                <w:rPr>
                  <w:rFonts w:ascii="Arial" w:cs="Arial" w:eastAsia="Arial" w:hAnsi="Arial"/>
                  <w:sz w:val="17"/>
                  <w:szCs w:val="17"/>
                  <w:color w:val="0000EE"/>
                  <w:w w:val="99"/>
                </w:rPr>
                <w:t>USE OF PROCEEDS</w:t>
              </w:r>
            </w:hyperlink>
          </w:p>
        </w:tc>
        <w:tc>
          <w:tcPr>
            <w:tcW w:w="1800" w:type="dxa"/>
            <w:vAlign w:val="bottom"/>
            <w:tcBorders>
              <w:top w:val="single" w:sz="8" w:color="0000EE"/>
            </w:tcBorders>
            <w:gridSpan w:val="11"/>
          </w:tcPr>
          <w:p>
            <w:pPr>
              <w:spacing w:after="0"/>
              <w:rPr>
                <w:sz w:val="15"/>
                <w:szCs w:val="15"/>
                <w:color w:val="auto"/>
              </w:rPr>
            </w:pPr>
          </w:p>
        </w:tc>
        <w:tc>
          <w:tcPr>
            <w:tcW w:w="5000" w:type="dxa"/>
            <w:vAlign w:val="bottom"/>
            <w:gridSpan w:val="5"/>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22</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020" w:type="dxa"/>
            <w:vAlign w:val="bottom"/>
            <w:tcBorders>
              <w:bottom w:val="single" w:sz="8" w:color="0000EE"/>
            </w:tcBorders>
            <w:gridSpan w:val="20"/>
          </w:tcPr>
          <w:p>
            <w:pPr>
              <w:spacing w:after="0" w:line="176" w:lineRule="exact"/>
              <w:rPr>
                <w:rFonts w:ascii="Arial" w:cs="Arial" w:eastAsia="Arial" w:hAnsi="Arial"/>
                <w:sz w:val="17"/>
                <w:szCs w:val="17"/>
                <w:color w:val="0000EE"/>
                <w:w w:val="99"/>
              </w:rPr>
            </w:pPr>
            <w:hyperlink w:anchor="page60">
              <w:r>
                <w:rPr>
                  <w:rFonts w:ascii="Arial" w:cs="Arial" w:eastAsia="Arial" w:hAnsi="Arial"/>
                  <w:sz w:val="17"/>
                  <w:szCs w:val="17"/>
                  <w:color w:val="0000EE"/>
                  <w:w w:val="99"/>
                </w:rPr>
                <w:t>DESCRIPTIONS OF SECURITIES WE MAY OFFER</w:t>
              </w:r>
            </w:hyperlink>
          </w:p>
        </w:tc>
        <w:tc>
          <w:tcPr>
            <w:tcW w:w="4420" w:type="dxa"/>
            <w:vAlign w:val="bottom"/>
            <w:gridSpan w:val="3"/>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22</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920" w:type="dxa"/>
            <w:vAlign w:val="bottom"/>
            <w:tcBorders>
              <w:bottom w:val="single" w:sz="8" w:color="0000EE"/>
            </w:tcBorders>
            <w:gridSpan w:val="14"/>
          </w:tcPr>
          <w:p>
            <w:pPr>
              <w:spacing w:after="0" w:line="176"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DESCRIPTION OF COMMON STOCK</w:t>
              </w:r>
            </w:hyperlink>
          </w:p>
        </w:tc>
        <w:tc>
          <w:tcPr>
            <w:tcW w:w="5520" w:type="dxa"/>
            <w:vAlign w:val="bottom"/>
            <w:gridSpan w:val="9"/>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23</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80" w:type="dxa"/>
            <w:vAlign w:val="bottom"/>
            <w:tcBorders>
              <w:bottom w:val="single" w:sz="8" w:color="0000EE"/>
            </w:tcBorders>
            <w:gridSpan w:val="16"/>
          </w:tcPr>
          <w:p>
            <w:pPr>
              <w:spacing w:after="0" w:line="176" w:lineRule="exact"/>
              <w:rPr>
                <w:rFonts w:ascii="Arial" w:cs="Arial" w:eastAsia="Arial" w:hAnsi="Arial"/>
                <w:sz w:val="17"/>
                <w:szCs w:val="17"/>
                <w:color w:val="0000EE"/>
                <w:w w:val="99"/>
              </w:rPr>
            </w:pPr>
            <w:hyperlink w:anchor="page62">
              <w:r>
                <w:rPr>
                  <w:rFonts w:ascii="Arial" w:cs="Arial" w:eastAsia="Arial" w:hAnsi="Arial"/>
                  <w:sz w:val="17"/>
                  <w:szCs w:val="17"/>
                  <w:color w:val="0000EE"/>
                  <w:w w:val="99"/>
                </w:rPr>
                <w:t>DESCRIPTION OF PREFERRED STOCK</w:t>
              </w:r>
            </w:hyperlink>
          </w:p>
        </w:tc>
        <w:tc>
          <w:tcPr>
            <w:tcW w:w="5260" w:type="dxa"/>
            <w:vAlign w:val="bottom"/>
            <w:gridSpan w:val="7"/>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24</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460" w:type="dxa"/>
            <w:vAlign w:val="bottom"/>
            <w:tcBorders>
              <w:bottom w:val="single" w:sz="8" w:color="0000EE"/>
            </w:tcBorders>
            <w:gridSpan w:val="11"/>
          </w:tcPr>
          <w:p>
            <w:pPr>
              <w:spacing w:after="0" w:line="176" w:lineRule="exact"/>
              <w:rPr>
                <w:rFonts w:ascii="Arial" w:cs="Arial" w:eastAsia="Arial" w:hAnsi="Arial"/>
                <w:sz w:val="17"/>
                <w:szCs w:val="17"/>
                <w:color w:val="0000EE"/>
                <w:w w:val="98"/>
              </w:rPr>
            </w:pPr>
            <w:hyperlink w:anchor="page64">
              <w:r>
                <w:rPr>
                  <w:rFonts w:ascii="Arial" w:cs="Arial" w:eastAsia="Arial" w:hAnsi="Arial"/>
                  <w:sz w:val="17"/>
                  <w:szCs w:val="17"/>
                  <w:color w:val="0000EE"/>
                  <w:w w:val="98"/>
                </w:rPr>
                <w:t>DESCRIPTION OF WARRANTS</w:t>
              </w:r>
            </w:hyperlink>
          </w:p>
        </w:tc>
        <w:tc>
          <w:tcPr>
            <w:tcW w:w="5980" w:type="dxa"/>
            <w:vAlign w:val="bottom"/>
            <w:gridSpan w:val="12"/>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26</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tcBorders>
              <w:bottom w:val="single" w:sz="8" w:color="0000EE"/>
            </w:tcBorders>
            <w:gridSpan w:val="17"/>
          </w:tcPr>
          <w:p>
            <w:pPr>
              <w:spacing w:after="0" w:line="176" w:lineRule="exact"/>
              <w:rPr>
                <w:rFonts w:ascii="Arial" w:cs="Arial" w:eastAsia="Arial" w:hAnsi="Arial"/>
                <w:sz w:val="17"/>
                <w:szCs w:val="17"/>
                <w:color w:val="0000EE"/>
                <w:w w:val="98"/>
              </w:rPr>
            </w:pPr>
            <w:hyperlink w:anchor="page66">
              <w:r>
                <w:rPr>
                  <w:rFonts w:ascii="Arial" w:cs="Arial" w:eastAsia="Arial" w:hAnsi="Arial"/>
                  <w:sz w:val="17"/>
                  <w:szCs w:val="17"/>
                  <w:color w:val="0000EE"/>
                  <w:w w:val="98"/>
                </w:rPr>
                <w:t>DESCRIPTION OF DEPOSITARY SHARES</w:t>
              </w:r>
            </w:hyperlink>
          </w:p>
        </w:tc>
        <w:tc>
          <w:tcPr>
            <w:tcW w:w="5120" w:type="dxa"/>
            <w:vAlign w:val="bottom"/>
            <w:gridSpan w:val="6"/>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6">
              <w:r>
                <w:rPr>
                  <w:rFonts w:ascii="Arial" w:cs="Arial" w:eastAsia="Arial" w:hAnsi="Arial"/>
                  <w:sz w:val="17"/>
                  <w:szCs w:val="17"/>
                  <w:color w:val="0000EE"/>
                  <w:w w:val="94"/>
                </w:rPr>
                <w:t>28</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000" w:type="dxa"/>
            <w:vAlign w:val="bottom"/>
            <w:tcBorders>
              <w:bottom w:val="single" w:sz="8" w:color="0000EE"/>
            </w:tcBorders>
            <w:gridSpan w:val="9"/>
          </w:tcPr>
          <w:p>
            <w:pPr>
              <w:spacing w:after="0" w:line="176" w:lineRule="exact"/>
              <w:rPr>
                <w:rFonts w:ascii="Arial" w:cs="Arial" w:eastAsia="Arial" w:hAnsi="Arial"/>
                <w:sz w:val="17"/>
                <w:szCs w:val="17"/>
                <w:color w:val="0000EE"/>
                <w:w w:val="98"/>
              </w:rPr>
            </w:pPr>
            <w:hyperlink w:anchor="page67">
              <w:r>
                <w:rPr>
                  <w:rFonts w:ascii="Arial" w:cs="Arial" w:eastAsia="Arial" w:hAnsi="Arial"/>
                  <w:sz w:val="17"/>
                  <w:szCs w:val="17"/>
                  <w:color w:val="0000EE"/>
                  <w:w w:val="98"/>
                </w:rPr>
                <w:t>DESCRIPTION OF UNITS</w:t>
              </w:r>
            </w:hyperlink>
          </w:p>
        </w:tc>
        <w:tc>
          <w:tcPr>
            <w:tcW w:w="6440" w:type="dxa"/>
            <w:vAlign w:val="bottom"/>
            <w:gridSpan w:val="14"/>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7">
              <w:r>
                <w:rPr>
                  <w:rFonts w:ascii="Arial" w:cs="Arial" w:eastAsia="Arial" w:hAnsi="Arial"/>
                  <w:sz w:val="17"/>
                  <w:szCs w:val="17"/>
                  <w:color w:val="0000EE"/>
                  <w:w w:val="94"/>
                </w:rPr>
                <w:t>29</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980" w:type="dxa"/>
            <w:vAlign w:val="bottom"/>
            <w:tcBorders>
              <w:bottom w:val="single" w:sz="8" w:color="0000EE"/>
            </w:tcBorders>
            <w:gridSpan w:val="8"/>
          </w:tcPr>
          <w:p>
            <w:pPr>
              <w:spacing w:after="0" w:line="176" w:lineRule="exact"/>
              <w:rPr>
                <w:rFonts w:ascii="Arial" w:cs="Arial" w:eastAsia="Arial" w:hAnsi="Arial"/>
                <w:sz w:val="17"/>
                <w:szCs w:val="17"/>
                <w:color w:val="0000EE"/>
                <w:w w:val="99"/>
              </w:rPr>
            </w:pPr>
            <w:hyperlink w:anchor="page67">
              <w:r>
                <w:rPr>
                  <w:rFonts w:ascii="Arial" w:cs="Arial" w:eastAsia="Arial" w:hAnsi="Arial"/>
                  <w:sz w:val="17"/>
                  <w:szCs w:val="17"/>
                  <w:color w:val="0000EE"/>
                  <w:w w:val="99"/>
                </w:rPr>
                <w:t>PLAN OF DISTRIBUTION</w:t>
              </w:r>
            </w:hyperlink>
          </w:p>
        </w:tc>
        <w:tc>
          <w:tcPr>
            <w:tcW w:w="6460" w:type="dxa"/>
            <w:vAlign w:val="bottom"/>
            <w:gridSpan w:val="15"/>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7">
              <w:r>
                <w:rPr>
                  <w:rFonts w:ascii="Arial" w:cs="Arial" w:eastAsia="Arial" w:hAnsi="Arial"/>
                  <w:sz w:val="17"/>
                  <w:szCs w:val="17"/>
                  <w:color w:val="0000EE"/>
                  <w:w w:val="94"/>
                </w:rPr>
                <w:t>29</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INCORPORATION OF CERTAIN DOCUMENTS BY REFERENCE</w:t>
              </w:r>
            </w:hyperlink>
          </w:p>
        </w:tc>
        <w:tc>
          <w:tcPr>
            <w:tcW w:w="1820" w:type="dxa"/>
            <w:vAlign w:val="bottom"/>
            <w:gridSpan w:val="5"/>
          </w:tcPr>
          <w:p>
            <w:pPr>
              <w:jc w:val="right"/>
              <w:ind w:right="1300"/>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70">
              <w:r>
                <w:rPr>
                  <w:rFonts w:ascii="Arial" w:cs="Arial" w:eastAsia="Arial" w:hAnsi="Arial"/>
                  <w:sz w:val="17"/>
                  <w:szCs w:val="17"/>
                  <w:color w:val="0000EE"/>
                  <w:w w:val="98"/>
                </w:rPr>
                <w:t>LEGAL MATTERS</w:t>
              </w:r>
            </w:hyperlink>
          </w:p>
        </w:tc>
        <w:tc>
          <w:tcPr>
            <w:tcW w:w="3580" w:type="dxa"/>
            <w:vAlign w:val="bottom"/>
            <w:tcBorders>
              <w:top w:val="single" w:sz="8" w:color="0000EE"/>
            </w:tcBorders>
            <w:gridSpan w:val="15"/>
          </w:tcPr>
          <w:p>
            <w:pPr>
              <w:spacing w:after="0"/>
              <w:rPr>
                <w:sz w:val="15"/>
                <w:szCs w:val="15"/>
                <w:color w:val="auto"/>
              </w:rPr>
            </w:pPr>
          </w:p>
        </w:tc>
        <w:tc>
          <w:tcPr>
            <w:tcW w:w="344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70">
              <w:r>
                <w:rPr>
                  <w:rFonts w:ascii="Arial" w:cs="Arial" w:eastAsia="Arial" w:hAnsi="Arial"/>
                  <w:sz w:val="17"/>
                  <w:szCs w:val="17"/>
                  <w:color w:val="0000EE"/>
                  <w:w w:val="94"/>
                </w:rPr>
                <w:t>32</w:t>
              </w:r>
            </w:hyperlink>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70">
              <w:r>
                <w:rPr>
                  <w:rFonts w:ascii="Arial" w:cs="Arial" w:eastAsia="Arial" w:hAnsi="Arial"/>
                  <w:sz w:val="17"/>
                  <w:szCs w:val="17"/>
                  <w:color w:val="0000EE"/>
                </w:rPr>
                <w:t>EXPERTS</w:t>
              </w:r>
            </w:hyperlink>
          </w:p>
        </w:tc>
        <w:tc>
          <w:tcPr>
            <w:tcW w:w="1820" w:type="dxa"/>
            <w:vAlign w:val="bottom"/>
            <w:gridSpan w:val="5"/>
          </w:tcPr>
          <w:p>
            <w:pPr>
              <w:jc w:val="right"/>
              <w:ind w:right="1300"/>
              <w:spacing w:after="0" w:line="176" w:lineRule="exact"/>
              <w:rPr>
                <w:rFonts w:ascii="Arial" w:cs="Arial" w:eastAsia="Arial" w:hAnsi="Arial"/>
                <w:sz w:val="17"/>
                <w:szCs w:val="17"/>
                <w:color w:val="0000EE"/>
              </w:rPr>
            </w:pPr>
            <w:hyperlink w:anchor="page70">
              <w:r>
                <w:rPr>
                  <w:rFonts w:ascii="Arial" w:cs="Arial" w:eastAsia="Arial" w:hAnsi="Arial"/>
                  <w:sz w:val="17"/>
                  <w:szCs w:val="17"/>
                  <w:color w:val="0000EE"/>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900" w:type="dxa"/>
            <w:vAlign w:val="bottom"/>
            <w:gridSpan w:val="1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440" w:type="dxa"/>
            <w:vAlign w:val="bottom"/>
            <w:gridSpan w:val="23"/>
          </w:tcPr>
          <w:p>
            <w:pPr>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WHERE YOU CAN FIND MORE INFORMATION</w:t>
              </w:r>
            </w:hyperlink>
          </w:p>
        </w:tc>
        <w:tc>
          <w:tcPr>
            <w:tcW w:w="1820" w:type="dxa"/>
            <w:vAlign w:val="bottom"/>
            <w:gridSpan w:val="5"/>
          </w:tcPr>
          <w:p>
            <w:pPr>
              <w:jc w:val="right"/>
              <w:ind w:right="1300"/>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16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16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3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3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30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this Prospectus Supplement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In this prospectus supplement, "Celldex," "we," "us," "our" or "ours" refer to Celldex Therapeutics, Inc. and its consolidated subsidiary.</w:t>
      </w:r>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This prospectus supplement and the accompanying prospectus relate to the offering of shares of our common stock. Before buying any of shares of common stock offered hereby, we urge you to carefully read this prospectus supplement and the accompanying prospectus, together with the information incorporated herein by reference as described under the headings "Where You Can Find More Information" and "Incorporation of Documents by Reference." These documents contain important information that you should consider when making your investment decision. This prospectus supplement contains information about the common stock offered hereby and may add, update or change information in the accompanying prospectus.</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supplement and the accompanying prospectus. We have not authorized any other person to provide you with different information. If anyone provides you with different or inconsistent information, you should not rely on it.</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 You should assume that the information in this prospectus supplement and the accompanying prospectus or any related free writing prospectus is accurate only as of the date on the front of the document and that any information that we have incorporated by reference is accurate only as of the date of the document incorporated by reference, regardless of the time of delivery of this prospectus supplement, the accompanying prospectus or any related free writing prospectus, or any sale of a security.</w:t>
      </w:r>
    </w:p>
    <w:p>
      <w:pPr>
        <w:spacing w:after="0" w:line="2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This document is in two parts. The first part is this prospectus supplement, which adds to and updates information contained in the accompanying prospectus. The second part, the prospectus, provides more general information, some of which may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you should rely on the information in this prospectus supplement.</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is a part or as exhibits to documents incorporated by reference herein, and you may obtain copies of those documents as described below under the headings "Where You Can Find More Information" and "Incorporation of Documents by Reference."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5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525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Business</w:t>
      </w:r>
    </w:p>
    <w:p>
      <w:pPr>
        <w:spacing w:after="0" w:line="222" w:lineRule="exact"/>
        <w:rPr>
          <w:sz w:val="20"/>
          <w:szCs w:val="20"/>
          <w:color w:val="auto"/>
        </w:rPr>
      </w:pPr>
    </w:p>
    <w:p>
      <w:pPr>
        <w:ind w:left="240" w:right="20"/>
        <w:spacing w:after="0" w:line="248" w:lineRule="auto"/>
        <w:rPr>
          <w:sz w:val="20"/>
          <w:szCs w:val="20"/>
          <w:color w:val="auto"/>
        </w:rPr>
      </w:pPr>
      <w:r>
        <w:rPr>
          <w:rFonts w:ascii="Arial" w:cs="Arial" w:eastAsia="Arial" w:hAnsi="Arial"/>
          <w:sz w:val="17"/>
          <w:szCs w:val="17"/>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 this prospectus supplement and the accompanying prospectus, including the documents incorporated by reference, which are described under "Incorporation of Documents by Reference" and "Where You Can Find More Information" in this prospectus supplement. You should also carefully consider the matters discussed in the section in this prospectus supplement entitled "Risk Factors" and in the accompanying prospectus and in other periodic reports incorporated by reference herein.</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Company</w:t>
      </w:r>
    </w:p>
    <w:p>
      <w:pPr>
        <w:spacing w:after="0" w:line="240"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We are a biopharmaceutical company currently focusing on the development of several immunotherapy technologies. Our lead programs include rindopepimut, a vaccine for which we initiated a randomized Phase 3 study for glioblastoma in December 2011, CDX-011, an antibody-drug conjugate currently in a randomized Phase 2b study for treatment of advanced breast cancer, and CDX-1127, a therapeutic human antibody candidate for cance indications for which we initiated a Phase 1 study for treatment of malignant solid tumors and hematological cancers. We have additional clinical and pre-clinical programs including an APC Targeting Technology™ program, CDX-1401, an immune cell mobilizing agent, CDX-301, and CDX-1135, a molecule that inhibits a part of the immune system called the complement system. We are currently resourcing our priority programs and supplementing the development of additional programs through external collaborations and funding.</w:t>
      </w:r>
    </w:p>
    <w:p>
      <w:pPr>
        <w:spacing w:after="0" w:line="20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Generally our strategy is to develop and demonstrate proof-of-concept for our product candidates before leveraging their value through partnerships o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 and product portfolio while best ensuring the expeditious development of each individual product. Our current collaborations include the commercialization of an oral human rotavirus vaccine. We are exploring potential development and commercialization collaborations for certain produc candidates such as CDX-011 and CDX-1127. Furthermore, while we plan to retain the rights to develop and commercialize rindopepimut in North America, we are exploring potential partnership opportunities to commercialize rindopepimut outside North America. Our product candidates address market opportunities for which we believe current therapies are inadequate or non-existent.</w:t>
      </w:r>
    </w:p>
    <w:p>
      <w:pPr>
        <w:spacing w:after="0" w:line="205" w:lineRule="exact"/>
        <w:rPr>
          <w:sz w:val="20"/>
          <w:szCs w:val="20"/>
          <w:color w:val="auto"/>
        </w:rPr>
      </w:pPr>
    </w:p>
    <w:p>
      <w:pPr>
        <w:ind w:left="240" w:right="100"/>
        <w:spacing w:after="0" w:line="243" w:lineRule="auto"/>
        <w:rPr>
          <w:sz w:val="20"/>
          <w:szCs w:val="20"/>
          <w:color w:val="auto"/>
        </w:rPr>
      </w:pPr>
      <w:r>
        <w:rPr>
          <w:rFonts w:ascii="Arial" w:cs="Arial" w:eastAsia="Arial" w:hAnsi="Arial"/>
          <w:sz w:val="17"/>
          <w:szCs w:val="17"/>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888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688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Rindopepimut (CDX-110)</w:t>
      </w:r>
    </w:p>
    <w:p>
      <w:pPr>
        <w:spacing w:after="0" w:line="240" w:lineRule="exact"/>
        <w:rPr>
          <w:sz w:val="20"/>
          <w:szCs w:val="20"/>
          <w:color w:val="auto"/>
        </w:rPr>
      </w:pPr>
    </w:p>
    <w:p>
      <w:pPr>
        <w:ind w:left="240" w:right="20"/>
        <w:spacing w:after="0" w:line="242" w:lineRule="auto"/>
        <w:rPr>
          <w:sz w:val="20"/>
          <w:szCs w:val="20"/>
          <w:color w:val="auto"/>
        </w:rPr>
      </w:pPr>
      <w:r>
        <w:rPr>
          <w:rFonts w:ascii="Arial" w:cs="Arial" w:eastAsia="Arial" w:hAnsi="Arial"/>
          <w:sz w:val="17"/>
          <w:szCs w:val="17"/>
          <w:color w:val="auto"/>
        </w:rPr>
        <w:t>Rindopepimut is a peptide-based immunotherapy that targets the tumor specific molecule called epidermal growth factor receptor (EGFR) variant III (EGFRvIII), a functional variant of the naturally expressed EGFR, a protein which has been well validated as a target for cancer therapy. Unlike EGFR EGFRvIII is not present in normal tissues and has been shown to be a transforming oncogene that can directly contribute to cancer cell growth. EGFRvIII is commonly present in glioblastoma, or GB, also commonly referred to as glioblastoma multiforme, or GBM, the most common and aggressive form of brain cancer. The rindopepimut vaccine is composed of the EGFRvIII peptide linked to a carrier protein called Keyhole Limpet Hemocyanin (KLH) and administered together with the adjuvant GM-CSF. The Food and Drug Administration (FDA) and the European Medicines Agency (EMA) have both granted orphan drug designation for rindopepimut for the treatment of EGFRvIII expressing GB, and the FDA has also granted Fast Track designation.</w:t>
      </w:r>
    </w:p>
    <w:p>
      <w:pPr>
        <w:spacing w:after="0" w:line="206" w:lineRule="exact"/>
        <w:rPr>
          <w:sz w:val="20"/>
          <w:szCs w:val="20"/>
          <w:color w:val="auto"/>
        </w:rPr>
      </w:pPr>
    </w:p>
    <w:p>
      <w:pPr>
        <w:ind w:left="240" w:right="80"/>
        <w:spacing w:after="0" w:line="252" w:lineRule="auto"/>
        <w:rPr>
          <w:sz w:val="20"/>
          <w:szCs w:val="20"/>
          <w:color w:val="auto"/>
        </w:rPr>
      </w:pPr>
      <w:r>
        <w:rPr>
          <w:rFonts w:ascii="Arial" w:cs="Arial" w:eastAsia="Arial" w:hAnsi="Arial"/>
          <w:sz w:val="17"/>
          <w:szCs w:val="17"/>
          <w:color w:val="auto"/>
        </w:rPr>
        <w:t>The following table summarizes the progression free survival (PFS) and overall survival (OS) rates from clinical trials of rindopepimut as compared to matched historical controls and the standard of care (SOC).</w:t>
      </w:r>
    </w:p>
    <w:p>
      <w:pPr>
        <w:spacing w:after="0" w:line="395" w:lineRule="exact"/>
        <w:rPr>
          <w:sz w:val="20"/>
          <w:szCs w:val="20"/>
          <w:color w:val="auto"/>
        </w:rPr>
      </w:pPr>
    </w:p>
    <w:tbl>
      <w:tblPr>
        <w:tblLayout w:type="fixed"/>
        <w:tblInd w:w="136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Median PFS from</w:t>
            </w:r>
          </w:p>
        </w:tc>
        <w:tc>
          <w:tcPr>
            <w:tcW w:w="1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9"/>
              </w:rPr>
              <w:t>Median OS from</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38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diagnosis</w:t>
            </w:r>
          </w:p>
        </w:tc>
        <w:tc>
          <w:tcPr>
            <w:tcW w:w="1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8"/>
              </w:rPr>
              <w:t>diagnosis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4"/>
        </w:trPr>
        <w:tc>
          <w:tcPr>
            <w:tcW w:w="43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(months)</w:t>
            </w:r>
          </w:p>
        </w:tc>
        <w:tc>
          <w:tcPr>
            <w:tcW w:w="2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(months)</w:t>
            </w:r>
          </w:p>
        </w:tc>
        <w:tc>
          <w:tcPr>
            <w:tcW w:w="160" w:type="dxa"/>
            <w:vAlign w:val="bottom"/>
          </w:tcPr>
          <w:p>
            <w:pPr>
              <w:spacing w:after="0"/>
              <w:rPr>
                <w:sz w:val="18"/>
                <w:szCs w:val="18"/>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OS at 24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4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ACT III (n=65)</w:t>
            </w:r>
          </w:p>
        </w:tc>
        <w:tc>
          <w:tcPr>
            <w:tcW w:w="168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4"/>
                <w:szCs w:val="14"/>
                <w:color w:val="auto"/>
              </w:rPr>
              <w:t>12.3</w:t>
            </w:r>
            <w:r>
              <w:rPr>
                <w:rFonts w:ascii="Arial" w:cs="Arial" w:eastAsia="Arial" w:hAnsi="Arial"/>
                <w:sz w:val="22"/>
                <w:szCs w:val="22"/>
                <w:color w:val="auto"/>
                <w:vertAlign w:val="superscript"/>
              </w:rPr>
              <w:t>(1)</w:t>
            </w:r>
          </w:p>
        </w:tc>
        <w:tc>
          <w:tcPr>
            <w:tcW w:w="16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24.6</w:t>
            </w:r>
          </w:p>
        </w:tc>
        <w:tc>
          <w:tcPr>
            <w:tcW w:w="1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980" w:type="dxa"/>
            <w:vAlign w:val="bottom"/>
          </w:tcPr>
          <w:p>
            <w:pPr>
              <w:spacing w:after="0"/>
              <w:rPr>
                <w:sz w:val="16"/>
                <w:szCs w:val="16"/>
                <w:color w:val="auto"/>
              </w:rPr>
            </w:pPr>
          </w:p>
        </w:tc>
      </w:tr>
      <w:tr>
        <w:trPr>
          <w:trHeight w:val="197"/>
        </w:trPr>
        <w:tc>
          <w:tcPr>
            <w:tcW w:w="4380" w:type="dxa"/>
            <w:vAlign w:val="bottom"/>
          </w:tcPr>
          <w:p>
            <w:pPr>
              <w:ind w:left="20"/>
              <w:spacing w:after="0"/>
              <w:rPr>
                <w:sz w:val="20"/>
                <w:szCs w:val="20"/>
                <w:color w:val="auto"/>
              </w:rPr>
            </w:pPr>
            <w:r>
              <w:rPr>
                <w:rFonts w:ascii="Arial" w:cs="Arial" w:eastAsia="Arial" w:hAnsi="Arial"/>
                <w:sz w:val="17"/>
                <w:szCs w:val="17"/>
                <w:color w:val="auto"/>
              </w:rPr>
              <w:t>ACT II (n=22)</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15.3</w:t>
            </w: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24.4</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980" w:type="dxa"/>
            <w:vAlign w:val="bottom"/>
          </w:tcPr>
          <w:p>
            <w:pPr>
              <w:spacing w:after="0"/>
              <w:rPr>
                <w:sz w:val="17"/>
                <w:szCs w:val="17"/>
                <w:color w:val="auto"/>
              </w:rPr>
            </w:pPr>
          </w:p>
        </w:tc>
      </w:tr>
      <w:tr>
        <w:trPr>
          <w:trHeight w:val="19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ACTIVATE (n=18)</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14.2</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980" w:type="dxa"/>
            <w:vAlign w:val="bottom"/>
          </w:tcPr>
          <w:p>
            <w:pPr>
              <w:spacing w:after="0"/>
              <w:rPr>
                <w:sz w:val="17"/>
                <w:szCs w:val="17"/>
                <w:color w:val="auto"/>
              </w:rPr>
            </w:pPr>
          </w:p>
        </w:tc>
      </w:tr>
      <w:tr>
        <w:trPr>
          <w:trHeight w:val="236"/>
        </w:trPr>
        <w:tc>
          <w:tcPr>
            <w:tcW w:w="4380" w:type="dxa"/>
            <w:vAlign w:val="bottom"/>
          </w:tcPr>
          <w:p>
            <w:pPr>
              <w:ind w:left="20"/>
              <w:spacing w:after="0" w:line="236" w:lineRule="exact"/>
              <w:rPr>
                <w:sz w:val="20"/>
                <w:szCs w:val="20"/>
                <w:color w:val="auto"/>
              </w:rPr>
            </w:pPr>
            <w:r>
              <w:rPr>
                <w:rFonts w:ascii="Arial" w:cs="Arial" w:eastAsia="Arial" w:hAnsi="Arial"/>
                <w:sz w:val="17"/>
                <w:szCs w:val="17"/>
                <w:color w:val="auto"/>
              </w:rPr>
              <w:t>Matched historical control (n=17)</w:t>
            </w:r>
            <w:r>
              <w:rPr>
                <w:rFonts w:ascii="Arial" w:cs="Arial" w:eastAsia="Arial" w:hAnsi="Arial"/>
                <w:sz w:val="27"/>
                <w:szCs w:val="27"/>
                <w:color w:val="auto"/>
                <w:vertAlign w:val="superscript"/>
              </w:rPr>
              <w:t>(2)</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6.4</w:t>
            </w: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15.2</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980" w:type="dxa"/>
            <w:vAlign w:val="bottom"/>
          </w:tcPr>
          <w:p>
            <w:pPr>
              <w:spacing w:after="0"/>
              <w:rPr>
                <w:sz w:val="20"/>
                <w:szCs w:val="20"/>
                <w:color w:val="auto"/>
              </w:rPr>
            </w:pPr>
          </w:p>
        </w:tc>
      </w:tr>
      <w:tr>
        <w:trPr>
          <w:trHeight w:val="236"/>
        </w:trPr>
        <w:tc>
          <w:tcPr>
            <w:tcW w:w="438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Standard of care radiation/TMZ (n=287)</w:t>
            </w:r>
            <w:r>
              <w:rPr>
                <w:rFonts w:ascii="Arial" w:cs="Arial" w:eastAsia="Arial" w:hAnsi="Arial"/>
                <w:sz w:val="27"/>
                <w:szCs w:val="27"/>
                <w:color w:val="auto"/>
                <w:vertAlign w:val="superscript"/>
              </w:rPr>
              <w:t>(3)</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980" w:type="dxa"/>
            <w:vAlign w:val="bottom"/>
          </w:tcPr>
          <w:p>
            <w:pPr>
              <w:spacing w:after="0"/>
              <w:rPr>
                <w:sz w:val="20"/>
                <w:szCs w:val="20"/>
                <w:color w:val="auto"/>
              </w:rPr>
            </w:pPr>
          </w:p>
        </w:tc>
      </w:tr>
      <w:tr>
        <w:trPr>
          <w:trHeight w:val="105"/>
        </w:trPr>
        <w:tc>
          <w:tcPr>
            <w:tcW w:w="43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bl>
    <w:p>
      <w:pPr>
        <w:spacing w:after="0" w:line="141" w:lineRule="exact"/>
        <w:rPr>
          <w:sz w:val="20"/>
          <w:szCs w:val="20"/>
          <w:color w:val="auto"/>
        </w:rPr>
      </w:pPr>
    </w:p>
    <w:p>
      <w:pPr>
        <w:ind w:left="1900" w:hanging="526"/>
        <w:spacing w:after="0"/>
        <w:tabs>
          <w:tab w:leader="none" w:pos="190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Change in median PFS not statistically significant from ACTIVATE and ACT II.</w:t>
      </w:r>
    </w:p>
    <w:p>
      <w:pPr>
        <w:spacing w:after="0" w:line="146" w:lineRule="exact"/>
        <w:rPr>
          <w:rFonts w:ascii="Arial" w:cs="Arial" w:eastAsia="Arial" w:hAnsi="Arial"/>
          <w:sz w:val="21"/>
          <w:szCs w:val="21"/>
          <w:color w:val="auto"/>
          <w:vertAlign w:val="superscript"/>
        </w:rPr>
      </w:pPr>
    </w:p>
    <w:p>
      <w:pPr>
        <w:jc w:val="both"/>
        <w:ind w:left="1900" w:right="40" w:hanging="526"/>
        <w:spacing w:after="0" w:line="205" w:lineRule="auto"/>
        <w:tabs>
          <w:tab w:leader="none" w:pos="190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Sampson, et al. J. Clin. Oncol. 2010 Nov 1, 28(31), 4722-9. Historical controls were treated at M.D. Anderson and matched for eligibility (EGFRvIII-positive, karnofsky performance status, or KPS, greater-than or equal to 80%, complete resection, radiation/temozolomide, or TMZ, and without progression through 3 months post-diagnosis).</w:t>
      </w:r>
    </w:p>
    <w:p>
      <w:pPr>
        <w:spacing w:after="0" w:line="74" w:lineRule="exact"/>
        <w:rPr>
          <w:rFonts w:ascii="Arial" w:cs="Arial" w:eastAsia="Arial" w:hAnsi="Arial"/>
          <w:sz w:val="21"/>
          <w:szCs w:val="21"/>
          <w:color w:val="auto"/>
          <w:vertAlign w:val="superscript"/>
        </w:rPr>
      </w:pPr>
    </w:p>
    <w:p>
      <w:pPr>
        <w:ind w:left="1900" w:hanging="526"/>
        <w:spacing w:after="0"/>
        <w:tabs>
          <w:tab w:leader="none" w:pos="190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Stupp, et al. N. Engl. J. Med. 2005, 352, 987-96.</w:t>
      </w:r>
    </w:p>
    <w:p>
      <w:pPr>
        <w:spacing w:after="0" w:line="197"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Based on the results of the three prior phase 2 trials, in December 2011, we initiated ACT IV, a pivotal, randomized, double-blind, controlled Phase 3 study of rindopepimut in patients with surgically resected, EGFRvIII-positive GB. ACT IV will enroll up to 440 patients at over 150 centers worldwide to recruit approximately 374 patients with Gross Total Resection (GTR) to be included in the primary analysis. Our targeted patient accrual is 24 months and another 18 to 24 months of follow-up. We expect it will cost over $50 million to complete this Phase 3 study.</w:t>
      </w:r>
    </w:p>
    <w:p>
      <w:pPr>
        <w:spacing w:after="0" w:line="198" w:lineRule="exact"/>
        <w:rPr>
          <w:sz w:val="20"/>
          <w:szCs w:val="20"/>
          <w:color w:val="auto"/>
        </w:rPr>
      </w:pPr>
    </w:p>
    <w:p>
      <w:pPr>
        <w:ind w:left="240" w:right="40"/>
        <w:spacing w:after="0" w:line="246" w:lineRule="auto"/>
        <w:rPr>
          <w:sz w:val="20"/>
          <w:szCs w:val="20"/>
          <w:color w:val="auto"/>
        </w:rPr>
      </w:pPr>
      <w:r>
        <w:rPr>
          <w:rFonts w:ascii="Arial" w:cs="Arial" w:eastAsia="Arial" w:hAnsi="Arial"/>
          <w:sz w:val="17"/>
          <w:szCs w:val="17"/>
          <w:color w:val="auto"/>
        </w:rPr>
        <w:t>In December 2011, we also initiated ReACT, a Phase 2 study of rindopepimut in combination with Avastin® in patients with recurrent EGFRvIII-positiv GB. ReACT will enroll approximately 95 patients in a first or second relapse of GB following receipt of standard therapy and will be conducted at approximately 20 sites across the United States. We expect preliminary data from this study to be available in mid-2013.</w:t>
      </w:r>
    </w:p>
    <w:p>
      <w:pPr>
        <w:spacing w:after="0" w:line="199" w:lineRule="exact"/>
        <w:rPr>
          <w:sz w:val="20"/>
          <w:szCs w:val="20"/>
          <w:color w:val="auto"/>
        </w:rPr>
      </w:pPr>
    </w:p>
    <w:p>
      <w:pPr>
        <w:ind w:left="240" w:right="260"/>
        <w:spacing w:after="0" w:line="252" w:lineRule="auto"/>
        <w:rPr>
          <w:sz w:val="20"/>
          <w:szCs w:val="20"/>
          <w:color w:val="auto"/>
        </w:rPr>
      </w:pPr>
      <w:r>
        <w:rPr>
          <w:rFonts w:ascii="Arial" w:cs="Arial" w:eastAsia="Arial" w:hAnsi="Arial"/>
          <w:sz w:val="17"/>
          <w:szCs w:val="17"/>
          <w:color w:val="auto"/>
        </w:rPr>
        <w:t>In addition, researchers at Stanford University are conducting a pilot trial of rindopepimut in pediatric patients with pontine glioma in an investigator sponsored trial. Patient screening is ongoing for this trial.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CDX-011 (glembatumumab vedotin)</w:t>
      </w:r>
    </w:p>
    <w:p>
      <w:pPr>
        <w:spacing w:after="0" w:line="240" w:lineRule="exact"/>
        <w:rPr>
          <w:sz w:val="20"/>
          <w:szCs w:val="20"/>
          <w:color w:val="auto"/>
        </w:rPr>
      </w:pPr>
    </w:p>
    <w:p>
      <w:pPr>
        <w:ind w:left="240" w:right="80"/>
        <w:spacing w:after="0" w:line="245" w:lineRule="auto"/>
        <w:rPr>
          <w:sz w:val="20"/>
          <w:szCs w:val="20"/>
          <w:color w:val="auto"/>
        </w:rPr>
      </w:pPr>
      <w:r>
        <w:rPr>
          <w:rFonts w:ascii="Arial" w:cs="Arial" w:eastAsia="Arial" w:hAnsi="Arial"/>
          <w:sz w:val="17"/>
          <w:szCs w:val="17"/>
          <w:color w:val="auto"/>
        </w:rPr>
        <w:t>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and melanoma. The ADC technology, comprised of MMAE and a stable linker system for attaching it to CR011, was licensed from Seattle Genetics, Inc. The ADC is designed to be stable in the bloodstream.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606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40" w:right="180"/>
        <w:spacing w:after="0" w:line="246" w:lineRule="auto"/>
        <w:rPr>
          <w:sz w:val="20"/>
          <w:szCs w:val="20"/>
          <w:color w:val="auto"/>
        </w:rPr>
      </w:pPr>
      <w:r>
        <w:rPr>
          <w:rFonts w:ascii="Arial" w:cs="Arial" w:eastAsia="Arial" w:hAnsi="Arial"/>
          <w:sz w:val="17"/>
          <w:szCs w:val="17"/>
          <w:color w:val="auto"/>
        </w:rPr>
        <w:t>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99" w:lineRule="exact"/>
        <w:rPr>
          <w:sz w:val="20"/>
          <w:szCs w:val="20"/>
          <w:color w:val="auto"/>
        </w:rPr>
      </w:pPr>
    </w:p>
    <w:p>
      <w:pPr>
        <w:ind w:left="240" w:right="20"/>
        <w:spacing w:after="0" w:line="241" w:lineRule="auto"/>
        <w:rPr>
          <w:sz w:val="20"/>
          <w:szCs w:val="20"/>
          <w:color w:val="auto"/>
        </w:rPr>
      </w:pPr>
      <w:r>
        <w:rPr>
          <w:rFonts w:ascii="Arial" w:cs="Arial" w:eastAsia="Arial" w:hAnsi="Arial"/>
          <w:sz w:val="17"/>
          <w:szCs w:val="17"/>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are allowed to cross over to CDX-011 following disease progression. Activity endpoints include response rate (RR) and PFS. We expect that a significant portion of the enrolled patients will have triple-negative disease,</w:t>
      </w:r>
    </w:p>
    <w:p>
      <w:pPr>
        <w:spacing w:after="0" w:line="1" w:lineRule="exact"/>
        <w:rPr>
          <w:sz w:val="20"/>
          <w:szCs w:val="20"/>
          <w:color w:val="auto"/>
        </w:rPr>
      </w:pPr>
    </w:p>
    <w:p>
      <w:pPr>
        <w:ind w:left="240" w:right="460"/>
        <w:spacing w:after="0" w:line="252" w:lineRule="auto"/>
        <w:rPr>
          <w:sz w:val="20"/>
          <w:szCs w:val="20"/>
          <w:color w:val="auto"/>
        </w:rPr>
      </w:pPr>
      <w:r>
        <w:rPr>
          <w:rFonts w:ascii="Arial" w:cs="Arial" w:eastAsia="Arial" w:hAnsi="Arial"/>
          <w:sz w:val="17"/>
          <w:szCs w:val="17"/>
          <w:color w:val="auto"/>
        </w:rPr>
        <w:t>since GPNMB is frequently expressed in this patient population. We expect to present results at the 2012 American Society of Clinical Oncology conference.</w:t>
      </w:r>
    </w:p>
    <w:p>
      <w:pPr>
        <w:spacing w:after="0" w:line="193"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In 2009, Formatech, Inc., a third party contract manufacturer ("Formatech")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in the Investigator's Choice (control arm) of the study who currently are not receiving CDX-011 and may be eligible to cross over at the time of progression and receive CDX-011 under the study protocol. Currently there are eight patients remaining on the control arm.</w:t>
      </w:r>
    </w:p>
    <w:p>
      <w:pPr>
        <w:spacing w:after="0" w:line="204"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We have initiated discussions with the FDA regarding our proposal to utilize vials of CDX-011 that were filled by a different contract manufacturer. Although the FDA has stated that no new patients may receive CDX-011 and that no patients may cross over to receive CDX-011, we have asked the FDA to reconsider allowing patients currently on the control arm to cross over to CDX-011 after stability testing and confirmation that the product filled by the other contract manufacturer is acceptable for continued use. If the FDA agrees to our proposal concerning use of the alternative CDX-011 for th eligible cross-over patients, we believe that we should have sufficient clinical supply of CDX-011 to treat these cross-over patients. If we are not able t treat the eight remaining cross-over patients with CDX-011, patients may withdraw from the control arm study upon learning that they will not be allowed to cross over to CDX-011 following disease progression. However, the primary analyses for the study are entirely based upon the primary randomization and do not include the cross-over results. Based on our discussions with our clinical investigators, we do not believe that a high proportion of patients will withdraw from the control arm prior to progression. We do not believe that this partial hold will significantly impact analysis of the Phase 2b data for purposes of determining next steps in our future development of CDX-011.</w:t>
      </w:r>
    </w:p>
    <w:p>
      <w:pPr>
        <w:spacing w:after="0" w:line="205" w:lineRule="exact"/>
        <w:rPr>
          <w:sz w:val="20"/>
          <w:szCs w:val="20"/>
          <w:color w:val="auto"/>
        </w:rPr>
      </w:pPr>
    </w:p>
    <w:p>
      <w:pPr>
        <w:ind w:left="240" w:right="40"/>
        <w:spacing w:after="0" w:line="244" w:lineRule="auto"/>
        <w:rPr>
          <w:sz w:val="20"/>
          <w:szCs w:val="20"/>
          <w:color w:val="auto"/>
        </w:rPr>
      </w:pPr>
      <w:r>
        <w:rPr>
          <w:rFonts w:ascii="Arial" w:cs="Arial" w:eastAsia="Arial" w:hAnsi="Arial"/>
          <w:sz w:val="17"/>
          <w:szCs w:val="17"/>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 stability and sterility of the reprocessed vials of CDX-011. If we are unsuccessful at reprocessing the available drug product or if the FDA does not approve the use of these reprocessed vials, we will need to manufacture new drug product for subsequent clinical studies for CDX-011, which may cause a delay in the initiation of a subsequent trial with CDX-011.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923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CDX-1127</w:t>
      </w:r>
    </w:p>
    <w:p>
      <w:pPr>
        <w:spacing w:after="0" w:line="240"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 CDX-1127 is an agonist antibody designed to have two potential therapeutic mechanisms. CDX-1127 has been shown to activate immune cells that can target and eliminate cancerous cells in tumor-bearing mice and to directly kill or inhibit the growth of CD27-expressing lymphomas and leukemias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w:t>
      </w:r>
      <w:r>
        <w:rPr>
          <w:rFonts w:ascii="Arial" w:cs="Arial" w:eastAsia="Arial" w:hAnsi="Arial"/>
          <w:sz w:val="17"/>
          <w:szCs w:val="17"/>
          <w:color w:val="auto"/>
        </w:rPr>
        <w:t>. Both mechanisms have been seen even at low doses in preclinical models.</w:t>
      </w:r>
    </w:p>
    <w:p>
      <w:pPr>
        <w:spacing w:after="0" w:line="201"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refractory/relapsed solid tumors or lymphomas/leukemias known to express CD27. Patients will have received all appropriate prior therapies for their specific disease. The trial design incorporates both single dosing and multiple dosing regimens at each dose level. We expect to complete enrollment in this study by the end of 2012.</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Other Clinical and Pre-Clinical Programs</w:t>
      </w:r>
    </w:p>
    <w:p>
      <w:pPr>
        <w:spacing w:after="0" w:line="240" w:lineRule="exact"/>
        <w:rPr>
          <w:sz w:val="20"/>
          <w:szCs w:val="20"/>
          <w:color w:val="auto"/>
        </w:rPr>
      </w:pPr>
    </w:p>
    <w:p>
      <w:pPr>
        <w:ind w:left="240"/>
        <w:spacing w:after="0" w:line="252" w:lineRule="auto"/>
        <w:rPr>
          <w:sz w:val="20"/>
          <w:szCs w:val="20"/>
          <w:color w:val="auto"/>
        </w:rPr>
      </w:pPr>
      <w:r>
        <w:rPr>
          <w:rFonts w:ascii="Arial" w:cs="Arial" w:eastAsia="Arial" w:hAnsi="Arial"/>
          <w:sz w:val="17"/>
          <w:szCs w:val="17"/>
          <w:color w:val="auto"/>
        </w:rPr>
        <w:t>We have several other programs in clinical and pre-clinical development. The status of the other programs that we currently believe are material to our business is summarized in the table below:</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560" w:type="dxa"/>
            <w:vAlign w:val="bottom"/>
            <w:gridSpan w:val="2"/>
          </w:tcPr>
          <w:p>
            <w:pPr>
              <w:ind w:left="20"/>
              <w:spacing w:after="0"/>
              <w:rPr>
                <w:sz w:val="20"/>
                <w:szCs w:val="20"/>
                <w:color w:val="auto"/>
              </w:rPr>
            </w:pPr>
            <w:r>
              <w:rPr>
                <w:rFonts w:ascii="Arial" w:cs="Arial" w:eastAsia="Arial" w:hAnsi="Arial"/>
                <w:sz w:val="17"/>
                <w:szCs w:val="17"/>
                <w:b w:val="1"/>
                <w:bCs w:val="1"/>
                <w:color w:val="auto"/>
              </w:rPr>
              <w:t>Product Candidate</w:t>
            </w:r>
          </w:p>
        </w:tc>
        <w:tc>
          <w:tcPr>
            <w:tcW w:w="5600" w:type="dxa"/>
            <w:vAlign w:val="bottom"/>
            <w:tcBorders>
              <w:bottom w:val="single" w:sz="8" w:color="auto"/>
            </w:tcBorders>
          </w:tcPr>
          <w:p>
            <w:pPr>
              <w:ind w:left="2180"/>
              <w:spacing w:after="0"/>
              <w:rPr>
                <w:sz w:val="20"/>
                <w:szCs w:val="20"/>
                <w:color w:val="auto"/>
              </w:rPr>
            </w:pPr>
            <w:r>
              <w:rPr>
                <w:rFonts w:ascii="Arial" w:cs="Arial" w:eastAsia="Arial" w:hAnsi="Arial"/>
                <w:sz w:val="17"/>
                <w:szCs w:val="17"/>
                <w:b w:val="1"/>
                <w:bCs w:val="1"/>
                <w:color w:val="auto"/>
              </w:rPr>
              <w:t>Indication/Field</w:t>
            </w:r>
          </w:p>
        </w:tc>
        <w:tc>
          <w:tcPr>
            <w:tcW w:w="140" w:type="dxa"/>
            <w:vAlign w:val="bottom"/>
          </w:tcPr>
          <w:p>
            <w:pPr>
              <w:spacing w:after="0"/>
              <w:rPr>
                <w:sz w:val="20"/>
                <w:szCs w:val="20"/>
                <w:color w:val="auto"/>
              </w:rPr>
            </w:pPr>
          </w:p>
        </w:tc>
        <w:tc>
          <w:tcPr>
            <w:tcW w:w="4000" w:type="dxa"/>
            <w:vAlign w:val="bottom"/>
            <w:tcBorders>
              <w:bottom w:val="single" w:sz="8" w:color="auto"/>
            </w:tcBorders>
          </w:tcPr>
          <w:p>
            <w:pPr>
              <w:ind w:left="860"/>
              <w:spacing w:after="0"/>
              <w:rPr>
                <w:sz w:val="20"/>
                <w:szCs w:val="20"/>
                <w:color w:val="auto"/>
              </w:rPr>
            </w:pPr>
            <w:r>
              <w:rPr>
                <w:rFonts w:ascii="Arial" w:cs="Arial" w:eastAsia="Arial" w:hAnsi="Arial"/>
                <w:sz w:val="17"/>
                <w:szCs w:val="17"/>
                <w:b w:val="1"/>
                <w:bCs w:val="1"/>
                <w:color w:val="auto"/>
              </w:rPr>
              <w:t>Stage of Clinical Development</w:t>
            </w:r>
          </w:p>
        </w:tc>
      </w:tr>
      <w:tr>
        <w:trPr>
          <w:trHeight w:val="173"/>
        </w:trPr>
        <w:tc>
          <w:tcPr>
            <w:tcW w:w="138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7"/>
                <w:szCs w:val="17"/>
                <w:color w:val="auto"/>
              </w:rPr>
              <w:t>CDX-1401</w:t>
            </w:r>
          </w:p>
        </w:tc>
        <w:tc>
          <w:tcPr>
            <w:tcW w:w="180" w:type="dxa"/>
            <w:vAlign w:val="bottom"/>
          </w:tcPr>
          <w:p>
            <w:pPr>
              <w:spacing w:after="0"/>
              <w:rPr>
                <w:sz w:val="15"/>
                <w:szCs w:val="15"/>
                <w:color w:val="auto"/>
              </w:rPr>
            </w:pPr>
          </w:p>
        </w:tc>
        <w:tc>
          <w:tcPr>
            <w:tcW w:w="5600" w:type="dxa"/>
            <w:vAlign w:val="bottom"/>
          </w:tcPr>
          <w:p>
            <w:pPr>
              <w:ind w:left="20"/>
              <w:spacing w:after="0" w:line="173" w:lineRule="exact"/>
              <w:rPr>
                <w:sz w:val="20"/>
                <w:szCs w:val="20"/>
                <w:color w:val="auto"/>
              </w:rPr>
            </w:pPr>
            <w:r>
              <w:rPr>
                <w:rFonts w:ascii="Arial" w:cs="Arial" w:eastAsia="Arial" w:hAnsi="Arial"/>
                <w:sz w:val="17"/>
                <w:szCs w:val="17"/>
                <w:color w:val="auto"/>
              </w:rPr>
              <w:t>Multiple solid tumors</w:t>
            </w:r>
          </w:p>
        </w:tc>
        <w:tc>
          <w:tcPr>
            <w:tcW w:w="140" w:type="dxa"/>
            <w:vAlign w:val="bottom"/>
          </w:tcPr>
          <w:p>
            <w:pPr>
              <w:spacing w:after="0"/>
              <w:rPr>
                <w:sz w:val="15"/>
                <w:szCs w:val="15"/>
                <w:color w:val="auto"/>
              </w:rPr>
            </w:pPr>
          </w:p>
        </w:tc>
        <w:tc>
          <w:tcPr>
            <w:tcW w:w="4000" w:type="dxa"/>
            <w:vAlign w:val="bottom"/>
          </w:tcPr>
          <w:p>
            <w:pPr>
              <w:ind w:left="20"/>
              <w:spacing w:after="0" w:line="173" w:lineRule="exact"/>
              <w:rPr>
                <w:sz w:val="20"/>
                <w:szCs w:val="20"/>
                <w:color w:val="auto"/>
              </w:rPr>
            </w:pPr>
            <w:r>
              <w:rPr>
                <w:rFonts w:ascii="Arial" w:cs="Arial" w:eastAsia="Arial" w:hAnsi="Arial"/>
                <w:sz w:val="17"/>
                <w:szCs w:val="17"/>
                <w:color w:val="auto"/>
              </w:rPr>
              <w:t>Phase 1/2</w:t>
            </w:r>
          </w:p>
        </w:tc>
      </w:tr>
      <w:tr>
        <w:trPr>
          <w:trHeight w:val="197"/>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CDX-301</w:t>
            </w:r>
          </w:p>
        </w:tc>
        <w:tc>
          <w:tcPr>
            <w:tcW w:w="5600" w:type="dxa"/>
            <w:vAlign w:val="bottom"/>
          </w:tcPr>
          <w:p>
            <w:pPr>
              <w:ind w:left="20"/>
              <w:spacing w:after="0"/>
              <w:rPr>
                <w:sz w:val="20"/>
                <w:szCs w:val="20"/>
                <w:color w:val="auto"/>
              </w:rPr>
            </w:pPr>
            <w:r>
              <w:rPr>
                <w:rFonts w:ascii="Arial" w:cs="Arial" w:eastAsia="Arial" w:hAnsi="Arial"/>
                <w:sz w:val="17"/>
                <w:szCs w:val="17"/>
                <w:color w:val="auto"/>
              </w:rPr>
              <w:t>Cancer, autoimmune disease and transplant</w:t>
            </w:r>
          </w:p>
        </w:tc>
        <w:tc>
          <w:tcPr>
            <w:tcW w:w="14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Phase 1</w:t>
            </w:r>
          </w:p>
        </w:tc>
      </w:tr>
      <w:tr>
        <w:trPr>
          <w:trHeight w:val="204"/>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CDX-1135</w:t>
            </w:r>
          </w:p>
        </w:tc>
        <w:tc>
          <w:tcPr>
            <w:tcW w:w="5600" w:type="dxa"/>
            <w:vAlign w:val="bottom"/>
          </w:tcPr>
          <w:p>
            <w:pPr>
              <w:ind w:left="20"/>
              <w:spacing w:after="0"/>
              <w:rPr>
                <w:sz w:val="20"/>
                <w:szCs w:val="20"/>
                <w:color w:val="auto"/>
              </w:rPr>
            </w:pPr>
            <w:r>
              <w:rPr>
                <w:rFonts w:ascii="Arial" w:cs="Arial" w:eastAsia="Arial" w:hAnsi="Arial"/>
                <w:sz w:val="17"/>
                <w:szCs w:val="17"/>
                <w:color w:val="auto"/>
              </w:rPr>
              <w:t>Renal disease</w:t>
            </w:r>
          </w:p>
        </w:tc>
        <w:tc>
          <w:tcPr>
            <w:tcW w:w="14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Preclinical</w:t>
            </w:r>
          </w:p>
        </w:tc>
      </w:tr>
    </w:tbl>
    <w:p>
      <w:pPr>
        <w:spacing w:after="0" w:line="18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Rotarix</w:t>
      </w:r>
    </w:p>
    <w:p>
      <w:pPr>
        <w:spacing w:after="0" w:line="240"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In 1997, we licensed our oral rotavirus strain to GlaxoSmithKline plc, or Glaxo, and Glaxo assumed responsibility for all subsequent clinical trials and a other development activities. Glaxo gained approval for its rotavirus vaccine, Rotarix®, in Mexico in 2004, which represented the first in a series of worldwide approvals and commercial launches for the product leading up to the approval in Europe in 2006 and in the U.S. in 2008. We licensed-in ou rotavirus strain in 1995 and owe a license fee of 30% to Cincinnati Children's Hospital Medical Center, or CCH, on net royalties received from Glaxo. We are obligated to maintain a license with CCH with respect to the Glaxo agreement. The term of the Glaxo agreement is through the expiration of th last of the relevant patents covered by the agreement, although Glaxo may terminate the agreement upon 90 days prior written notice. The last releva patent is scheduled to expire in December 2012. No additional milestones are due from Glaxo under this agreement.</w:t>
      </w:r>
    </w:p>
    <w:p>
      <w:pPr>
        <w:spacing w:after="0" w:line="20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In 2005, we entered into an agreement whereby an affiliate of Paul Royalty Fund II, L.P., or PRF, purchased an interest in the milestone payments and net royalties that we receive on the development and worldwide sales of Rotarix®. We have received a total of $60 million in milestone payments unde the PRF agreement. No additional milestone payments are due from PRF under the agreement. We would retain approximately 65% of the royalties o worldwide sales of Rotarix if PRF receives 2.45 times the aggregate cash payments of $60 million it made to us prior to December 2012. We do not expect this to occur.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907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490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Recent Developments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Certain Recent Balance Sheet Data</w:t>
      </w:r>
    </w:p>
    <w:p>
      <w:pPr>
        <w:spacing w:after="0" w:line="229" w:lineRule="exact"/>
        <w:rPr>
          <w:sz w:val="20"/>
          <w:szCs w:val="20"/>
          <w:color w:val="auto"/>
        </w:rPr>
      </w:pPr>
    </w:p>
    <w:p>
      <w:pPr>
        <w:ind w:left="240" w:right="120"/>
        <w:spacing w:after="0" w:line="243" w:lineRule="auto"/>
        <w:rPr>
          <w:sz w:val="20"/>
          <w:szCs w:val="20"/>
          <w:color w:val="auto"/>
        </w:rPr>
      </w:pPr>
      <w:r>
        <w:rPr>
          <w:rFonts w:ascii="Arial" w:cs="Arial" w:eastAsia="Arial" w:hAnsi="Arial"/>
          <w:sz w:val="17"/>
          <w:szCs w:val="17"/>
          <w:color w:val="auto"/>
        </w:rPr>
        <w:t>While full financial information for the year ended December 31, 2011 is not yet available, we are providing the following unaudited preliminary information for the year ended December 31, 2011 to update investors. We had cash, cash equivalents and short-term investments of approximately $53.3 million at December 31, 2011. The preliminary financial data included in this prospectus supplement has been prepared by, and is the responsibility of, Celldex Therapeutics, Inc.'s management. PricewaterhouseCoopers LLP has not audited, reviewed, compiled or performed any procedures with respect to the foregoing preliminary financial data. Accordingly, PricewaterhouseCoopers LLP does not express an opinion or any other form of assurance with respect thereto.</w:t>
      </w:r>
    </w:p>
    <w:p>
      <w:pPr>
        <w:spacing w:after="0" w:line="202" w:lineRule="exact"/>
        <w:rPr>
          <w:sz w:val="20"/>
          <w:szCs w:val="20"/>
          <w:color w:val="auto"/>
        </w:rPr>
      </w:pPr>
    </w:p>
    <w:p>
      <w:pPr>
        <w:jc w:val="both"/>
        <w:ind w:left="240"/>
        <w:spacing w:after="0" w:line="244" w:lineRule="auto"/>
        <w:rPr>
          <w:sz w:val="20"/>
          <w:szCs w:val="20"/>
          <w:color w:val="auto"/>
        </w:rPr>
      </w:pPr>
      <w:r>
        <w:rPr>
          <w:rFonts w:ascii="Arial" w:cs="Arial" w:eastAsia="Arial" w:hAnsi="Arial"/>
          <w:sz w:val="17"/>
          <w:szCs w:val="17"/>
          <w:color w:val="auto"/>
        </w:rPr>
        <w:t>The foregoing selected, unaudited preliminary financial information is based upon our progress to date and does not present all necessary information for an understanding of our financial condition as of December 31, 2011 or our results of operations for the three months and year ended December 3 2011. The preparation and audit of our consolidated financial statements for the year ended December 31, 2011 is ongoing and could result in materia changes to the financial results set forth above. Our audited consolidated financial statements will not be available until after this offering is completed, and consequently will not be available to you prior to investing in this offering.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Recent Sale of Common Stock</w:t>
      </w:r>
    </w:p>
    <w:p>
      <w:pPr>
        <w:spacing w:after="0" w:line="229"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In January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 Cantor o us.</w:t>
      </w:r>
    </w:p>
    <w:p>
      <w:pPr>
        <w:spacing w:after="0" w:line="199" w:lineRule="exact"/>
        <w:rPr>
          <w:sz w:val="20"/>
          <w:szCs w:val="20"/>
          <w:color w:val="auto"/>
        </w:rPr>
      </w:pPr>
    </w:p>
    <w:p>
      <w:pPr>
        <w:ind w:left="240" w:right="20"/>
        <w:spacing w:after="0" w:line="246" w:lineRule="auto"/>
        <w:rPr>
          <w:sz w:val="20"/>
          <w:szCs w:val="20"/>
          <w:color w:val="auto"/>
        </w:rPr>
      </w:pPr>
      <w:r>
        <w:rPr>
          <w:rFonts w:ascii="Arial" w:cs="Arial" w:eastAsia="Arial" w:hAnsi="Arial"/>
          <w:sz w:val="17"/>
          <w:szCs w:val="17"/>
          <w:color w:val="auto"/>
        </w:rPr>
        <w:t>In January 2012, we sold 2,450,000 shares of common stock under the Cantor Agreement and raised $8.5 million in net proceeds. Under the terms of the Cantor Agreement, we will have the ability to sell up to 1,975,000 shares of our common stock upon the expiration or earlier waiver of our 90-day lock-up with the underwriters of this offering.</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40"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We are a Delaware corporation organized in 1983. Our principal executive offices are located at 119 Fourth Avenue, Needham, Massachusetts 02494 and our telephone number is (781) 433-0771. Our corporate website is www.celldextherapeutics.com. The information on our website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264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626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6300" w:type="dxa"/>
            <w:vAlign w:val="bottom"/>
          </w:tcPr>
          <w:p>
            <w:pPr>
              <w:jc w:val="right"/>
              <w:ind w:right="5035"/>
              <w:spacing w:after="0"/>
              <w:rPr>
                <w:sz w:val="20"/>
                <w:szCs w:val="20"/>
                <w:color w:val="auto"/>
              </w:rPr>
            </w:pPr>
            <w:r>
              <w:rPr>
                <w:rFonts w:ascii="Arial" w:cs="Arial" w:eastAsia="Arial" w:hAnsi="Arial"/>
                <w:sz w:val="17"/>
                <w:szCs w:val="17"/>
                <w:b w:val="1"/>
                <w:bCs w:val="1"/>
                <w:color w:val="auto"/>
              </w:rPr>
              <w:t>The Offering</w:t>
            </w:r>
          </w:p>
        </w:tc>
      </w:tr>
      <w:tr>
        <w:trPr>
          <w:trHeight w:val="212"/>
        </w:trPr>
        <w:tc>
          <w:tcPr>
            <w:tcW w:w="50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197"/>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offered by us</w:t>
            </w:r>
          </w:p>
        </w:tc>
        <w:tc>
          <w:tcPr>
            <w:tcW w:w="6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share</w:t>
            </w:r>
          </w:p>
        </w:tc>
      </w:tr>
      <w:tr>
        <w:trPr>
          <w:trHeight w:val="443"/>
        </w:trPr>
        <w:tc>
          <w:tcPr>
            <w:tcW w:w="5000" w:type="dxa"/>
            <w:vAlign w:val="bottom"/>
          </w:tcPr>
          <w:p>
            <w:pPr>
              <w:ind w:left="20"/>
              <w:spacing w:after="0"/>
              <w:rPr>
                <w:sz w:val="20"/>
                <w:szCs w:val="20"/>
                <w:color w:val="auto"/>
              </w:rPr>
            </w:pPr>
            <w:r>
              <w:rPr>
                <w:rFonts w:ascii="Arial" w:cs="Arial" w:eastAsia="Arial" w:hAnsi="Arial"/>
                <w:sz w:val="17"/>
                <w:szCs w:val="17"/>
                <w:color w:val="auto"/>
              </w:rPr>
              <w:t>Common stock to be outstanding immediately after this offering</w:t>
            </w:r>
          </w:p>
        </w:tc>
        <w:tc>
          <w:tcPr>
            <w:tcW w:w="6300" w:type="dxa"/>
            <w:vAlign w:val="bottom"/>
          </w:tcPr>
          <w:p>
            <w:pPr>
              <w:jc w:val="right"/>
              <w:spacing w:after="0"/>
              <w:rPr>
                <w:sz w:val="20"/>
                <w:szCs w:val="20"/>
                <w:color w:val="auto"/>
              </w:rPr>
            </w:pPr>
            <w:r>
              <w:rPr>
                <w:rFonts w:ascii="Arial" w:cs="Arial" w:eastAsia="Arial" w:hAnsi="Arial"/>
                <w:sz w:val="17"/>
                <w:szCs w:val="17"/>
                <w:color w:val="auto"/>
              </w:rPr>
              <w:t>share</w:t>
            </w:r>
          </w:p>
        </w:tc>
      </w:tr>
      <w:tr>
        <w:trPr>
          <w:trHeight w:val="406"/>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Over-Allotment Option</w:t>
            </w:r>
          </w:p>
        </w:tc>
        <w:tc>
          <w:tcPr>
            <w:tcW w:w="6300" w:type="dxa"/>
            <w:vAlign w:val="bottom"/>
          </w:tcPr>
          <w:p>
            <w:pPr>
              <w:spacing w:after="0"/>
              <w:rPr>
                <w:sz w:val="24"/>
                <w:szCs w:val="24"/>
                <w:color w:val="auto"/>
              </w:rPr>
            </w:pPr>
          </w:p>
        </w:tc>
      </w:tr>
      <w:tr>
        <w:trPr>
          <w:trHeight w:val="412"/>
        </w:trPr>
        <w:tc>
          <w:tcPr>
            <w:tcW w:w="5000" w:type="dxa"/>
            <w:vAlign w:val="bottom"/>
          </w:tcPr>
          <w:p>
            <w:pPr>
              <w:ind w:left="20"/>
              <w:spacing w:after="0"/>
              <w:rPr>
                <w:sz w:val="20"/>
                <w:szCs w:val="20"/>
                <w:color w:val="auto"/>
              </w:rPr>
            </w:pPr>
            <w:r>
              <w:rPr>
                <w:rFonts w:ascii="Arial" w:cs="Arial" w:eastAsia="Arial" w:hAnsi="Arial"/>
                <w:sz w:val="17"/>
                <w:szCs w:val="17"/>
                <w:color w:val="auto"/>
              </w:rPr>
              <w:t>We have granted the underwriters an option to purchase up to</w:t>
            </w:r>
          </w:p>
        </w:tc>
        <w:tc>
          <w:tcPr>
            <w:tcW w:w="6300" w:type="dxa"/>
            <w:vAlign w:val="bottom"/>
          </w:tcPr>
          <w:p>
            <w:pPr>
              <w:jc w:val="right"/>
              <w:spacing w:after="0"/>
              <w:rPr>
                <w:sz w:val="20"/>
                <w:szCs w:val="20"/>
                <w:color w:val="auto"/>
              </w:rPr>
            </w:pPr>
            <w:r>
              <w:rPr>
                <w:rFonts w:ascii="Arial" w:cs="Arial" w:eastAsia="Arial" w:hAnsi="Arial"/>
                <w:sz w:val="17"/>
                <w:szCs w:val="17"/>
                <w:color w:val="auto"/>
              </w:rPr>
              <w:t>additional shares of our common stock solely to cover over-</w:t>
            </w:r>
          </w:p>
        </w:tc>
      </w:tr>
    </w:tbl>
    <w:p>
      <w:pPr>
        <w:ind w:left="240"/>
        <w:spacing w:after="0"/>
        <w:rPr>
          <w:sz w:val="20"/>
          <w:szCs w:val="20"/>
          <w:color w:val="auto"/>
        </w:rPr>
      </w:pPr>
      <w:r>
        <w:rPr>
          <w:rFonts w:ascii="Arial" w:cs="Arial" w:eastAsia="Arial" w:hAnsi="Arial"/>
          <w:sz w:val="17"/>
          <w:szCs w:val="17"/>
          <w:color w:val="auto"/>
        </w:rPr>
        <w:t>allotments, if any. This option is exercisable, in whole or in part, for a period of 30 days from the date of this prospectus supplement.</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Use of Proceeds</w:t>
      </w:r>
    </w:p>
    <w:p>
      <w:pPr>
        <w:spacing w:after="0" w:line="240"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We intend to use the net proceeds to fund clinical trials of our product candidates and for working capital and other general corporate purposes. See "Use of Proceeds."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40" w:lineRule="exact"/>
        <w:rPr>
          <w:sz w:val="20"/>
          <w:szCs w:val="20"/>
          <w:color w:val="auto"/>
        </w:rPr>
      </w:pPr>
    </w:p>
    <w:p>
      <w:pPr>
        <w:jc w:val="both"/>
        <w:ind w:left="240"/>
        <w:spacing w:after="0" w:line="246" w:lineRule="auto"/>
        <w:rPr>
          <w:sz w:val="20"/>
          <w:szCs w:val="20"/>
          <w:color w:val="auto"/>
        </w:rPr>
      </w:pPr>
      <w:r>
        <w:rPr>
          <w:rFonts w:ascii="Arial" w:cs="Arial" w:eastAsia="Arial" w:hAnsi="Arial"/>
          <w:sz w:val="17"/>
          <w:szCs w:val="17"/>
          <w:color w:val="auto"/>
        </w:rPr>
        <w:t>An investment in our common stock involves a high degree of risk. See the information contained in or incorporated under "Risk Factors" beginning on page S-8 of this prospectus supplement, page 9 of the accompanying prospectus and in the documents incorporated by reference into this prospectus supplement.</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Nasdaq Global Market Symbol</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common stock is listed on The Nasdaq Global Market under the symbol "CLDX."</w:t>
      </w:r>
    </w:p>
    <w:p>
      <w:pPr>
        <w:spacing w:after="0" w:line="211" w:lineRule="exact"/>
        <w:rPr>
          <w:sz w:val="20"/>
          <w:szCs w:val="20"/>
          <w:color w:val="auto"/>
        </w:rPr>
      </w:pPr>
    </w:p>
    <w:p>
      <w:pPr>
        <w:jc w:val="both"/>
        <w:ind w:left="240" w:right="20"/>
        <w:spacing w:after="0" w:line="246" w:lineRule="auto"/>
        <w:rPr>
          <w:sz w:val="20"/>
          <w:szCs w:val="20"/>
          <w:color w:val="auto"/>
        </w:rPr>
      </w:pPr>
      <w:r>
        <w:rPr>
          <w:rFonts w:ascii="Arial" w:cs="Arial" w:eastAsia="Arial" w:hAnsi="Arial"/>
          <w:sz w:val="17"/>
          <w:szCs w:val="17"/>
          <w:color w:val="auto"/>
        </w:rPr>
        <w:t>The total number of shares of common stock to be outstanding immediately after this offering assumes no exercise of the underwriters' over-allotment option and is based on 46,660,636 shares of common stock issued and outstanding as of February 16, 2012, which does not include the following, all as of September 30, 2011:</w:t>
      </w:r>
    </w:p>
    <w:p>
      <w:pPr>
        <w:spacing w:after="0" w:line="214"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21"/>
          <w:szCs w:val="21"/>
          <w:color w:val="auto"/>
        </w:rPr>
      </w:pPr>
      <w:r>
        <w:rPr>
          <w:rFonts w:ascii="Arial" w:cs="Arial" w:eastAsia="Arial" w:hAnsi="Arial"/>
          <w:sz w:val="17"/>
          <w:szCs w:val="17"/>
          <w:color w:val="auto"/>
        </w:rPr>
        <w:t>4,535,137 shares issuable upon the exercise of outstanding stock options with a weighted-average exercise price of $6.05 per share; an</w:t>
      </w:r>
    </w:p>
    <w:p>
      <w:pPr>
        <w:spacing w:after="0" w:line="191" w:lineRule="exact"/>
        <w:rPr>
          <w:rFonts w:ascii="Arial" w:cs="Arial" w:eastAsia="Arial" w:hAnsi="Arial"/>
          <w:sz w:val="21"/>
          <w:szCs w:val="21"/>
          <w:color w:val="auto"/>
        </w:rPr>
      </w:pPr>
    </w:p>
    <w:p>
      <w:pPr>
        <w:ind w:left="1280" w:hanging="524"/>
        <w:spacing w:after="0"/>
        <w:tabs>
          <w:tab w:leader="none" w:pos="1280" w:val="left"/>
        </w:tabs>
        <w:numPr>
          <w:ilvl w:val="0"/>
          <w:numId w:val="2"/>
        </w:numPr>
        <w:rPr>
          <w:rFonts w:ascii="Arial" w:cs="Arial" w:eastAsia="Arial" w:hAnsi="Arial"/>
          <w:sz w:val="21"/>
          <w:szCs w:val="21"/>
          <w:color w:val="auto"/>
        </w:rPr>
      </w:pPr>
      <w:r>
        <w:rPr>
          <w:rFonts w:ascii="Arial" w:cs="Arial" w:eastAsia="Arial" w:hAnsi="Arial"/>
          <w:sz w:val="17"/>
          <w:szCs w:val="17"/>
          <w:color w:val="auto"/>
        </w:rPr>
        <w:t>991,562 shares available for future issuance under our equity compensation plans.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stated, all information in this prospectus supplement:</w:t>
      </w:r>
    </w:p>
    <w:p>
      <w:pPr>
        <w:spacing w:after="0" w:line="250" w:lineRule="exact"/>
        <w:rPr>
          <w:sz w:val="20"/>
          <w:szCs w:val="20"/>
          <w:color w:val="auto"/>
        </w:rPr>
      </w:pPr>
    </w:p>
    <w:p>
      <w:pPr>
        <w:ind w:left="1280" w:right="140" w:hanging="524"/>
        <w:spacing w:after="0" w:line="220" w:lineRule="auto"/>
        <w:tabs>
          <w:tab w:leader="none" w:pos="1280" w:val="left"/>
        </w:tabs>
        <w:numPr>
          <w:ilvl w:val="0"/>
          <w:numId w:val="3"/>
        </w:numPr>
        <w:rPr>
          <w:rFonts w:ascii="Arial" w:cs="Arial" w:eastAsia="Arial" w:hAnsi="Arial"/>
          <w:sz w:val="21"/>
          <w:szCs w:val="21"/>
          <w:color w:val="auto"/>
        </w:rPr>
      </w:pPr>
      <w:r>
        <w:rPr>
          <w:rFonts w:ascii="Arial" w:cs="Arial" w:eastAsia="Arial" w:hAnsi="Arial"/>
          <w:sz w:val="17"/>
          <w:szCs w:val="17"/>
          <w:color w:val="auto"/>
        </w:rPr>
        <w:t>assumes no exercise of outstanding options to purchase common stock, no issuance of shares available for future issuance under our equity compensation plans, and no conversion of our convertible notes;</w:t>
      </w:r>
    </w:p>
    <w:p>
      <w:pPr>
        <w:spacing w:after="0" w:line="204" w:lineRule="exact"/>
        <w:rPr>
          <w:rFonts w:ascii="Arial" w:cs="Arial" w:eastAsia="Arial" w:hAnsi="Arial"/>
          <w:sz w:val="21"/>
          <w:szCs w:val="21"/>
          <w:color w:val="auto"/>
        </w:rPr>
      </w:pPr>
    </w:p>
    <w:p>
      <w:pPr>
        <w:ind w:left="1280" w:hanging="524"/>
        <w:spacing w:after="0"/>
        <w:tabs>
          <w:tab w:leader="none" w:pos="1280" w:val="left"/>
        </w:tabs>
        <w:numPr>
          <w:ilvl w:val="0"/>
          <w:numId w:val="3"/>
        </w:numPr>
        <w:rPr>
          <w:rFonts w:ascii="Arial" w:cs="Arial" w:eastAsia="Arial" w:hAnsi="Arial"/>
          <w:sz w:val="21"/>
          <w:szCs w:val="21"/>
          <w:color w:val="auto"/>
        </w:rPr>
      </w:pPr>
      <w:r>
        <w:rPr>
          <w:rFonts w:ascii="Arial" w:cs="Arial" w:eastAsia="Arial" w:hAnsi="Arial"/>
          <w:sz w:val="17"/>
          <w:szCs w:val="17"/>
          <w:color w:val="auto"/>
        </w:rPr>
        <w:t>assumes no exercise of the underwriters' over-allotment option; and</w:t>
      </w:r>
    </w:p>
    <w:p>
      <w:pPr>
        <w:spacing w:after="0" w:line="191" w:lineRule="exact"/>
        <w:rPr>
          <w:rFonts w:ascii="Arial" w:cs="Arial" w:eastAsia="Arial" w:hAnsi="Arial"/>
          <w:sz w:val="21"/>
          <w:szCs w:val="21"/>
          <w:color w:val="auto"/>
        </w:rPr>
      </w:pPr>
    </w:p>
    <w:p>
      <w:pPr>
        <w:ind w:left="1280" w:hanging="524"/>
        <w:spacing w:after="0"/>
        <w:tabs>
          <w:tab w:leader="none" w:pos="1280" w:val="left"/>
        </w:tabs>
        <w:numPr>
          <w:ilvl w:val="0"/>
          <w:numId w:val="3"/>
        </w:numPr>
        <w:rPr>
          <w:rFonts w:ascii="Arial" w:cs="Arial" w:eastAsia="Arial" w:hAnsi="Arial"/>
          <w:sz w:val="21"/>
          <w:szCs w:val="21"/>
          <w:color w:val="auto"/>
        </w:rPr>
      </w:pPr>
      <w:r>
        <w:rPr>
          <w:rFonts w:ascii="Arial" w:cs="Arial" w:eastAsia="Arial" w:hAnsi="Arial"/>
          <w:sz w:val="17"/>
          <w:szCs w:val="17"/>
          <w:color w:val="auto"/>
        </w:rPr>
        <w:t>reflects all currency in United States dollars.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review the risks and uncertainties described below and in our Annual Report on Form 10-K for the year ended December 31, 2010, as updated by any other document that we subsequently filed with the Securities and Exchange Commission and that is incorporated by reference into this prospectus supplement. The risks described in these documents are not the only ones we face, but those that we currently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Please also read carefully the section below entitled "Special Note Regarding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currently have no product revenue and will need to raise capital to operate our business in addition to funds we receive in this offering.</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To date, we have generated no product revenue. Until, and unless, we complete clinical trials and further development, and receive approval from the FDA and other regulatory authorities for our product candidates, we cannot sell our drugs and will not have product revenue. Therefore, for the foreseeable future, we will have to fund all of our operations and development expenditures from cash on hand, equity or debt financings, licensing fees and grants. While the funds we receive in this offering will help fund our operations, additional financing will also be required. If we do not succeed in raising additional funds on acceptable terms, we might not be able to complete planned preclinical and clinical trials or obtain approval of any product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will have broad discretion as to the use of the proceeds from this offering, and we may not use the proceeds effectively.</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experience immediate and substantial dilution in the book value per share of the common stock you purchase.</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Because the price per share of our common stock being offered may be higher than the book value per share of our common stock, you may suffer substantial dilution in the net tangible book value of the common stock you purchase in this offering. See the section entitled "Dilution" below for a more detailed discussion of the dilution you will incur if you purchase common stock in this offering. In addition, we have a significant number of options, convertible notes and restricted stock outstanding. If the holders of these securities exercise or convert them or become vested in them, as applicable, you may incur further dilution.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b w:val="1"/>
          <w:bCs w:val="1"/>
          <w:color w:val="auto"/>
        </w:rPr>
        <w:t>Sales of a significant number of shares of our common stock in the public markets, or the perception that such sales could occur, could depress the market price of our common stock.</w:t>
      </w:r>
    </w:p>
    <w:p>
      <w:pPr>
        <w:spacing w:after="0" w:line="17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Sales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Under the terms of the Cantor Agreement, we will have the ability to sell up to 1,975,000 shares of our common stock upon the expiration or earlier waiver of our 90-day lock-up with the underwriters of this offering. We cannot predict the effect that future sales of our common stock or other equity-related securities would have on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Our long term success depends heavily on our ability to fund and complete research and development activities for, and to commercialize, our lead drug candidate, rindopepimut, which we are developing internally.</w:t>
      </w:r>
    </w:p>
    <w:p>
      <w:pPr>
        <w:spacing w:after="0" w:line="173"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While in the past we have typically focused on developing and demonstrating proof-of-concept for our product candidates by bringing such candidates through Phase 1 and one or more Phase 2 clincial trials, and then leveraging their value through partnerships, we have decided to fund and complete the research and development activities for rindopepimut ourselves. We plan to commercialize rindopepimut ourselves in North America and to find a partner to commercialize rindopepimut outside North America. Therefore, we must allocate a significant portion of our time, personnel and financial resources to the development of rindopepimut. We initiated ACT IV, our pivotal Phase 3 clinical trial of rindopepimut, in December 2011. While we are targeting two years for patient accrual, it could take up to three years to enroll all the patients, and another 18 to 24 months of follow-up, at a cost of over $50 million to complete this Phase 3 study. Our management team lacks significant experience in completing Phase 3 clinical trials and bringing a drug through commercialization. If we face delays, difficulties or unanticipated costs in completing the development of rindopepimut, we will need substantial additional financing. Further, even if we complete the development of rindopepimut and gain marketing approvals from the FDA and comparable foreign regulatory authorities in a timely manner, we cannot be sure that rindopepimut will be commercially successful in the pharmaceutical market. If the results of clinical trials of rindopepimut, the anticipated or actual timing of marketing approvals for rindopepimut, or the market acceptance of rindopepimut, if approved, do not meet the expectations of investors or public market analysts, the market price of our common stock would likely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manage one Phase 3 clinical trial or multiple late stage clinical trials for a variety of product candidates simultaneously.</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safety may not be acceptable to permit filing of a BLA or NDA for any one of the above reasons or a combination of several.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We will need additional capital to fund our operations, including the development, manufacture and potential commercialization of our drug candidates. If we do not have or cannot raise additional capital when needed, we will be unable to develop and ultimately commercialize our drug candidates successfully.</w:t>
      </w:r>
    </w:p>
    <w:p>
      <w:pPr>
        <w:spacing w:after="0" w:line="187"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We expect to incur significant costs as we develop our drug candidates. In particular, the continuing development and commercialization of rindopepimut requires additional capital beyond our current resources. As of December 31, 2011, we had cash, cash equivalents and marketable securities of $53.3 million, which, at that time, we believed would support expected operations for more than 12 months.</w:t>
      </w:r>
    </w:p>
    <w:p>
      <w:pPr>
        <w:spacing w:after="0" w:line="199"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We expect that ACT IV, our pivotal Phase 3 clinical trial of rindopepimut, will cost over $50 million. Even with the proceeds of this offering, we will need to raise additional capital to meet our long-term liquidity needs. Our capital raising activities may include, but may not be limited to, one or more of the following:</w:t>
      </w:r>
    </w:p>
    <w:p>
      <w:pPr>
        <w:spacing w:after="0" w:line="201" w:lineRule="exact"/>
        <w:rPr>
          <w:sz w:val="20"/>
          <w:szCs w:val="20"/>
          <w:color w:val="auto"/>
        </w:rPr>
      </w:pPr>
    </w:p>
    <w:p>
      <w:pPr>
        <w:ind w:left="1060" w:hanging="531"/>
        <w:spacing w:after="0"/>
        <w:tabs>
          <w:tab w:leader="none" w:pos="1060" w:val="left"/>
        </w:tabs>
        <w:numPr>
          <w:ilvl w:val="0"/>
          <w:numId w:val="4"/>
        </w:numPr>
        <w:rPr>
          <w:rFonts w:ascii="Arial" w:cs="Arial" w:eastAsia="Arial" w:hAnsi="Arial"/>
          <w:sz w:val="21"/>
          <w:szCs w:val="21"/>
          <w:color w:val="auto"/>
        </w:rPr>
      </w:pPr>
      <w:r>
        <w:rPr>
          <w:rFonts w:ascii="Arial" w:cs="Arial" w:eastAsia="Arial" w:hAnsi="Arial"/>
          <w:sz w:val="17"/>
          <w:szCs w:val="17"/>
          <w:color w:val="auto"/>
        </w:rPr>
        <w:t>licensing of drug candidates with existing or new collaborative partners;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4"/>
        </w:numPr>
        <w:rPr>
          <w:rFonts w:ascii="Arial" w:cs="Arial" w:eastAsia="Arial" w:hAnsi="Arial"/>
          <w:sz w:val="21"/>
          <w:szCs w:val="21"/>
          <w:color w:val="auto"/>
        </w:rPr>
      </w:pPr>
      <w:r>
        <w:rPr>
          <w:rFonts w:ascii="Arial" w:cs="Arial" w:eastAsia="Arial" w:hAnsi="Arial"/>
          <w:sz w:val="17"/>
          <w:szCs w:val="17"/>
          <w:color w:val="auto"/>
        </w:rPr>
        <w:t>possible business combinations;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4"/>
        </w:numPr>
        <w:rPr>
          <w:rFonts w:ascii="Arial" w:cs="Arial" w:eastAsia="Arial" w:hAnsi="Arial"/>
          <w:sz w:val="21"/>
          <w:szCs w:val="21"/>
          <w:color w:val="auto"/>
        </w:rPr>
      </w:pPr>
      <w:r>
        <w:rPr>
          <w:rFonts w:ascii="Arial" w:cs="Arial" w:eastAsia="Arial" w:hAnsi="Arial"/>
          <w:sz w:val="17"/>
          <w:szCs w:val="17"/>
          <w:color w:val="auto"/>
        </w:rPr>
        <w:t>issuance of debt; or</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4"/>
        </w:numPr>
        <w:rPr>
          <w:rFonts w:ascii="Arial" w:cs="Arial" w:eastAsia="Arial" w:hAnsi="Arial"/>
          <w:sz w:val="21"/>
          <w:szCs w:val="21"/>
          <w:color w:val="auto"/>
        </w:rPr>
      </w:pPr>
      <w:r>
        <w:rPr>
          <w:rFonts w:ascii="Arial" w:cs="Arial" w:eastAsia="Arial" w:hAnsi="Arial"/>
          <w:sz w:val="17"/>
          <w:szCs w:val="17"/>
          <w:color w:val="auto"/>
        </w:rPr>
        <w:t>issuance of common stock or other securities via private placements or public offerings.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While we may continue to seek capital through a number of means, there can be no assurance that additional financing will be available on acceptable terms, if at all, and our negotiating position in capital raising efforts may worsen as existing resources are used.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evaluate a sale of all or part of our business.</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January 2011, we entered into a financing facility with Cantor, which provides for the sale of up to 5,000,000 shares of our common stock from time to time into the open market at prevailing prices. During the year ended December 31, 2011, we sold 575,000 shares of common stock under the Cantor Agreement and raised $2.2 million in net proceeds, after deducting commission and offering expenses. In January 2012, we sold 2,450,000 shares of common stock under the Cantor Agreement and raised $8.5 million in net proceeds. Under the terms of the Cantor Agreement, we will have the ability to sell up to 1,975,000 shares of our common stock upon the expiration or earlier waiver of our 90-day lock-up with the underwriters of this offering. We may or may not sell additional shares under this facility, depending on the volume and price of our common stock, as well as our capital needs and potential alternative sources of capital. If we actively sell shares under this facility, a significant number of shares of common stock could be issued in a short period of time, although we would attempt to structure the volume and price thresholds in a way that minimizes market impact. Notwithstanding these control efforts, these sales, or the perceived risk of dilution from potential sales of stock through this facility, may depress our stock price, cause holders of our common stock to sell their shares, or encourage short selling by market participants, which could contribute to a decline in our stock price. A decline in our stock price might impede our ability to raise capital through the issuance of additional shares of common stock or other equity securities, and may cause our stockholders to lose part or all of the value of their investment in our stock.</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b w:val="1"/>
          <w:bCs w:val="1"/>
          <w:color w:val="auto"/>
        </w:rPr>
        <w:t>We rely on third parties to plan, conduct and monitor our clinical tests, and their failure to perform as required would interfere with our product development.</w:t>
      </w:r>
    </w:p>
    <w:p>
      <w:pPr>
        <w:spacing w:after="0" w:line="17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fails to perform as we expect or if their work fails to meet regulatory standards, our testing could be delayed, cancelled or rendered ineffective.</w:t>
      </w:r>
    </w:p>
    <w:p>
      <w:pPr>
        <w:spacing w:after="0" w:line="179"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b w:val="1"/>
          <w:bCs w:val="1"/>
          <w:color w:val="auto"/>
        </w:rPr>
        <w:t>We may enter into collaboration agreements for the licensing, development and ultimate commercialization of some of our drug candidates including, where appropriate, for our lead drug candidates. In such cases, we will depend greatly on our third party collaborators to license, develop and commercialize such drug candidates, and they may not meet our expectations.</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are exploring potential co-development and commercialization partnerships for certain products, including rindopepimut for commercialization outside North America, CDX-011 and CDX-1127.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79" w:lineRule="exact"/>
        <w:rPr>
          <w:sz w:val="20"/>
          <w:szCs w:val="20"/>
          <w:color w:val="auto"/>
        </w:rPr>
      </w:pPr>
    </w:p>
    <w:p>
      <w:pPr>
        <w:ind w:right="1080"/>
        <w:spacing w:after="0" w:line="276" w:lineRule="auto"/>
        <w:rPr>
          <w:sz w:val="20"/>
          <w:szCs w:val="20"/>
          <w:color w:val="auto"/>
        </w:rPr>
      </w:pPr>
      <w:r>
        <w:rPr>
          <w:rFonts w:ascii="Arial" w:cs="Arial" w:eastAsia="Arial" w:hAnsi="Arial"/>
          <w:sz w:val="17"/>
          <w:szCs w:val="17"/>
          <w:b w:val="1"/>
          <w:bCs w:val="1"/>
          <w:color w:val="auto"/>
        </w:rPr>
        <w:t>We may face delays, difficulties or unanticipated costs in establishing sales, distribution and manufacturing capabilities for our commercially ready products.</w:t>
      </w:r>
    </w:p>
    <w:p>
      <w:pPr>
        <w:spacing w:after="0" w:line="17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current plan is to retain, rather than license to a third party, all rights to rindopepimut in North America (and to explore partnership opportunities to commercialize rindopepimut outside North America) and our APC Targeting Technology programs. As a result,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regulatory requirements, and at a competitive cost. We may not find third parties capable of meeting those manufacturing needs.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product candidates are subject to extensive regulatory scrutiny.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All of our products and product candidates are at various stages of development and commercialization and our activities, products and product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and product candidates. We or our partners must obtain regulatory approval for a product candidate in all of these areas before we can commercialize the product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product candidates that initially appear promising ultimately do not reach the market because they are found to be unsafe or ineffective when tested. Companies in the pharmaceutical, biotechnology and vaccines industries have suffered significant setbacks in advanced clinical trials, even after obtaining promising results in earlier trials. Our inability to commercialize a product or product candidate would impair our ability to earn future revenues.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products do not pass required tests for safety and effectiveness, we will not be able to derive commercial revenue from them.</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order to succeed, we will need to derive commercial revenue from the products we have under development. The FDA has not approved our rindopepimut or CDX-011 product candidates or any of our other lead products for sale to date. Our product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testing is critical to the success of our products but subject to delay or cancellation if we have difficulty enrolling patients.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00" w:lineRule="exact"/>
        <w:rPr>
          <w:sz w:val="20"/>
          <w:szCs w:val="20"/>
          <w:color w:val="auto"/>
        </w:rPr>
      </w:pPr>
    </w:p>
    <w:p>
      <w:pPr>
        <w:ind w:left="1060" w:hanging="531"/>
        <w:spacing w:after="0"/>
        <w:tabs>
          <w:tab w:leader="none" w:pos="106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nature of the clinical test;</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size of the patient population;</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5"/>
        </w:numPr>
        <w:rPr>
          <w:rFonts w:ascii="Arial" w:cs="Arial" w:eastAsia="Arial" w:hAnsi="Arial"/>
          <w:sz w:val="21"/>
          <w:szCs w:val="21"/>
          <w:color w:val="auto"/>
        </w:rPr>
      </w:pPr>
      <w:r>
        <w:rPr>
          <w:rFonts w:ascii="Arial" w:cs="Arial" w:eastAsia="Arial" w:hAnsi="Arial"/>
          <w:sz w:val="17"/>
          <w:szCs w:val="17"/>
          <w:color w:val="auto"/>
        </w:rPr>
        <w:t>patients' willingness to receive a placebo or less effective treatment on the control arm of a clinical study;</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distance between patients and clinical test sites; and</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eligibility criteria for the trial.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If we cannot enroll patients as needed, our costs may increase or it could force us to delay or terminate testing for a product.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delays in completing our clinical trials and we may not complete them at all.</w:t>
      </w:r>
    </w:p>
    <w:p>
      <w:pPr>
        <w:spacing w:after="0" w:line="23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We have not completed the clinical trials necessary to obtain FDA approval to market rindopepimut, CDX-011 or any of our other products in development. We initiated a Phase 3 study of rindopepimut in December 2011 but we have not initiated Phase 3 studies for CDX-011 or any of our other products in development. Our management lacks significant experience in completing Phase 3 trials and bringing a drug through commercialization. Our rindopepimut Phase 3 trial, CDX-011 Phase 2b studies and planned clinical trials for other products in development may be delayed or terminated as a result of many factors, including the following:</w:t>
      </w:r>
    </w:p>
    <w:p>
      <w:pPr>
        <w:spacing w:after="0" w:line="201" w:lineRule="exact"/>
        <w:rPr>
          <w:sz w:val="20"/>
          <w:szCs w:val="20"/>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difficulty in enrolling patients in our clinical trials;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patients failing to complete clinical trials due to dissatisfaction with the treatment, side effects or other reasons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failure by regulators to authorize us to commence a clinical trial;</w:t>
      </w:r>
    </w:p>
    <w:p>
      <w:pPr>
        <w:spacing w:after="0" w:line="228" w:lineRule="exact"/>
        <w:rPr>
          <w:rFonts w:ascii="Arial" w:cs="Arial" w:eastAsia="Arial" w:hAnsi="Arial"/>
          <w:sz w:val="21"/>
          <w:szCs w:val="21"/>
          <w:color w:val="auto"/>
        </w:rPr>
      </w:pPr>
    </w:p>
    <w:p>
      <w:pPr>
        <w:ind w:left="1060" w:right="260" w:hanging="531"/>
        <w:spacing w:after="0" w:line="220" w:lineRule="auto"/>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suspension or termination by regulators of clinical research for many reasons, including concerns about patient safety or failure of our contract manufacturers to comply with cGMP requirements;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delays or failure of the FDA to remove the partial clinical hold on our CDX-011 studies;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treatment candidates demonstrating a lack of efficacy during clinical trials;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inability to continue to fund clinical trials or to find a partner to fund the clinical trials;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competition with ongoing clinical trials and scheduling conflicts with participating clinicians; and</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6"/>
        </w:numPr>
        <w:rPr>
          <w:rFonts w:ascii="Arial" w:cs="Arial" w:eastAsia="Arial" w:hAnsi="Arial"/>
          <w:sz w:val="21"/>
          <w:szCs w:val="21"/>
          <w:color w:val="auto"/>
        </w:rPr>
      </w:pPr>
      <w:r>
        <w:rPr>
          <w:rFonts w:ascii="Arial" w:cs="Arial" w:eastAsia="Arial" w:hAnsi="Arial"/>
          <w:sz w:val="17"/>
          <w:szCs w:val="17"/>
          <w:color w:val="auto"/>
        </w:rPr>
        <w:t>delays in completing data collection and analysis for clinical trials.</w:t>
      </w:r>
    </w:p>
    <w:p>
      <w:pPr>
        <w:spacing w:after="0" w:line="202"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delay in obtaining regulatory approval would have an adverse impact on our ability to earn future revenues.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It is possible that none of the products or product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product candidate. Any analysis we perform of data from clinical activities is subject to confirmation and interpretation by regulatory authorities, which could delay, limit 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prevent regulatory approval. Any delay or failure in obtaining required approvals could have a material adverse effect on our ability to generate revenues from the particular product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Dendreon, Eli Lilly, GlaxoSmithKline, ImmunoGen, Merck, BMS, Pfizer, Roche, Sanofi-Aventis, Seattle Genetics, and Takeda.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comply with applicable regulatory requirements would adversely impact our operations.</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82"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color w:val="auto"/>
        </w:rPr>
        <w:t>We depend greatly on the intellectual capabilities and experience of our key executives and scientists and the loss of any of them could affect our ability to develop our products.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loss of Anthony S. Marucci, our President and Chief Executive Officer, or other key members of our staff, including Avery W. Catlin, our Chief Financial Officer, Dr. Thomas Davis, our Chief Medical Officer, Dr. Tibor Keler, our Chief Scientific Officer or Ronald Pepin, our Chief Business Officer, could harm us. We entered into employment agreements with Messrs. Marucci, Catlin, Davis, Keler and Pepin,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b w:val="1"/>
          <w:bCs w:val="1"/>
          <w:color w:val="auto"/>
        </w:rPr>
        <w:t>We rely on contract manufacturers over whom we have limited control. Should the cost, delivery and quality of clinical and commercial grade materials supplied by contract manufacturers vary to our disadvantage, our business operations could suffer significant harm.</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limited experience in large scale manufacturing at our Fall River facility. We rely on sourcing from third-party manufacturers for suitable quantities of some of our clinical and commercial grade materials and certain filling and packaging essential to preclinical and clinical studies currently underway and to planned clinical trials in addition to those currently being conducted by third parties or us.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 For example, one lot of our CDX-011 product candidate being used in our on-going Phase 2b study was aseptically filled in 2009 by Formatech, a third party contract manufacturer.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from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the eight patients remaining in the control arm of the study, who currently are not receiving CDX-011, and may be eligible to cross over at the time of progression and receive CDX-011 under the study protocol.</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initiated discussions with the FDA regarding our proposal to utilize vials of CDX-011 that were filled by a different contract manufacturer. Although the FDA has stated that no new patients may receive CDX-011 and that no patients may cross over to receive CDX-011, we have asked the FDA to reconsider allowing patients currently on the control arm to cross over to CDX-011 after stability testing and confirmation that the product filled by the other contract manufacturer is acceptable for continued use. If the FDA agrees to our proposal concerning use of the alternative CDX-011 for the eligible cross-over patients, we believe that we should have sufficient clinical supply of CDX-011 to treat these cross-over patients. If we are not able to treat the eight remaining cross-over patients with CDX-011, patients may withdraw from the control arm study upon learning that they will not be allowed to cross over to CDX-011 following disease progression. However, the primary analyses for the study are entirely based upon the primary randomization and do not include the cross-over results. Based on our discussions with our clinical investigators, we do not believe that a high proportion of patients will withdraw from the control arm prior to progression. We do not believe that this partial hold will significantly impact analysis of the Phase 2b data for purposes of determining next steps in our future development of CDX-011.</w:t>
      </w:r>
    </w:p>
    <w:p>
      <w:pPr>
        <w:spacing w:after="0" w:line="20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the stability and sterility of the reprocessed vials of CDX-011. If we are unsuccessful at reprocessing the available drug product or if the FDA does not approve the use of these reprocessed vials, we will need to manufacture new drug product for subsequent clinical studies for CDX-011, which may cause a delay in the initiation of a subsequent trial with CDX-011. We also rely on collaborators and contract manufacturers to manufacture proposed products in both clinical and commercial quantities in the future. Our leading vaccine candidates require specialized manufacturing capabilities and processes.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GMP requirements as a result of language barriers, lack of familiarity with 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GMP; failure to do so could result in, among other things, the disruption of product supplies. As noted above, non-U.S. contract manufacturers may face special challenges in complying with 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20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significant third parties who we currently rely on for sourcing of suitable quantities of some of our clinical and commercial grade materials include Biosyn, Bayer and Sanofi for our rindopepimut drug candidate. If we or our third-party manufacturers are unable to produce drug material in suitable quantities of appropriate quality, in a timely manner, and at a feasible cost, our clinical tests will face delays.</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Certain factors could negatively affect the demand for and sales and profitability of Rotarix®, which would have a material adverse affect on our revenues.</w:t>
      </w:r>
    </w:p>
    <w:p>
      <w:pPr>
        <w:spacing w:after="0" w:line="17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We have licensed a rotavirus strain to Glaxo for the purposes of Glaxo developing and commercializing their Rotarix® vaccine worldwide. The term of the Glaxo agreement is through the expiration of the last of the relevant patents covered by the agreement, although Glaxo may terminate the agreement upon 90 days prior written notice. The last relevant patent is scheduled to expire in December 2012. Glaxo gained approval for Rotarix® in Mexico in July 2004, in the European Union in February 2006 and in the United States in April 2008. In May 2005, we entered into an agreement whereby an affiliate of PRF purchased a 70% interest in the net royalties we receive on worldwide sales of Rotarix®. In addition, we retain upside participation in the worldwide net royalties from Rotarix® once, and if, PRF receives an agreed upon return on capital invested (2.45 times PRF's aggregate cash payments to us of $60 million). The PRF agreement terminates in December 2012, unless otherwise extended. The following are potential factors, among others, that may negatively affect the demand for Rotarix®:</w:t>
      </w:r>
    </w:p>
    <w:p>
      <w:pPr>
        <w:spacing w:after="0" w:line="245" w:lineRule="exact"/>
        <w:rPr>
          <w:sz w:val="20"/>
          <w:szCs w:val="20"/>
          <w:color w:val="auto"/>
        </w:rPr>
      </w:pPr>
    </w:p>
    <w:p>
      <w:pPr>
        <w:ind w:left="1060" w:right="100" w:hanging="531"/>
        <w:spacing w:after="0" w:line="226" w:lineRule="auto"/>
        <w:tabs>
          <w:tab w:leader="none" w:pos="1060" w:val="left"/>
        </w:tabs>
        <w:numPr>
          <w:ilvl w:val="0"/>
          <w:numId w:val="7"/>
        </w:numPr>
        <w:rPr>
          <w:rFonts w:ascii="Arial" w:cs="Arial" w:eastAsia="Arial" w:hAnsi="Arial"/>
          <w:sz w:val="21"/>
          <w:szCs w:val="21"/>
          <w:color w:val="auto"/>
        </w:rPr>
      </w:pPr>
      <w:r>
        <w:rPr>
          <w:rFonts w:ascii="Arial" w:cs="Arial" w:eastAsia="Arial" w:hAnsi="Arial"/>
          <w:sz w:val="17"/>
          <w:szCs w:val="17"/>
          <w:color w:val="auto"/>
        </w:rPr>
        <w:t>competitors in the pharmaceuticals, biotechnology and vaccines market have greater financial and management resources, and significantly more experience in bringing products to market, and may develop, manufacture and market products that are more effective or less expensive than Rotarix®;</w:t>
      </w:r>
    </w:p>
    <w:p>
      <w:pPr>
        <w:spacing w:after="0" w:line="206" w:lineRule="exact"/>
        <w:rPr>
          <w:rFonts w:ascii="Arial" w:cs="Arial" w:eastAsia="Arial" w:hAnsi="Arial"/>
          <w:sz w:val="21"/>
          <w:szCs w:val="21"/>
          <w:color w:val="auto"/>
        </w:rPr>
      </w:pPr>
    </w:p>
    <w:p>
      <w:pPr>
        <w:ind w:left="1060" w:hanging="531"/>
        <w:spacing w:after="0"/>
        <w:tabs>
          <w:tab w:leader="none" w:pos="1060" w:val="left"/>
        </w:tabs>
        <w:numPr>
          <w:ilvl w:val="0"/>
          <w:numId w:val="7"/>
        </w:numPr>
        <w:rPr>
          <w:rFonts w:ascii="Arial" w:cs="Arial" w:eastAsia="Arial" w:hAnsi="Arial"/>
          <w:sz w:val="21"/>
          <w:szCs w:val="21"/>
          <w:color w:val="auto"/>
        </w:rPr>
      </w:pPr>
      <w:r>
        <w:rPr>
          <w:rFonts w:ascii="Arial" w:cs="Arial" w:eastAsia="Arial" w:hAnsi="Arial"/>
          <w:sz w:val="17"/>
          <w:szCs w:val="17"/>
          <w:color w:val="auto"/>
        </w:rPr>
        <w:t>Rotarix® could be replaced by a novel product and may become obsolete;</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7"/>
        </w:numPr>
        <w:rPr>
          <w:rFonts w:ascii="Arial" w:cs="Arial" w:eastAsia="Arial" w:hAnsi="Arial"/>
          <w:sz w:val="21"/>
          <w:szCs w:val="21"/>
          <w:color w:val="auto"/>
        </w:rPr>
      </w:pPr>
      <w:r>
        <w:rPr>
          <w:rFonts w:ascii="Arial" w:cs="Arial" w:eastAsia="Arial" w:hAnsi="Arial"/>
          <w:sz w:val="17"/>
          <w:szCs w:val="17"/>
          <w:color w:val="auto"/>
        </w:rPr>
        <w:t>Glaxo may be unable to prevent third parties from infringing upon their proprietary rights related to Rotarix®;</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7"/>
        </w:numPr>
        <w:rPr>
          <w:rFonts w:ascii="Arial" w:cs="Arial" w:eastAsia="Arial" w:hAnsi="Arial"/>
          <w:sz w:val="21"/>
          <w:szCs w:val="21"/>
          <w:color w:val="auto"/>
        </w:rPr>
      </w:pPr>
      <w:r>
        <w:rPr>
          <w:rFonts w:ascii="Arial" w:cs="Arial" w:eastAsia="Arial" w:hAnsi="Arial"/>
          <w:sz w:val="17"/>
          <w:szCs w:val="17"/>
          <w:color w:val="auto"/>
        </w:rPr>
        <w:t>users may not accept such a recently approved product without years of proven history; and</w:t>
      </w:r>
    </w:p>
    <w:p>
      <w:pPr>
        <w:spacing w:after="0" w:line="241" w:lineRule="exact"/>
        <w:rPr>
          <w:rFonts w:ascii="Arial" w:cs="Arial" w:eastAsia="Arial" w:hAnsi="Arial"/>
          <w:sz w:val="21"/>
          <w:szCs w:val="21"/>
          <w:color w:val="auto"/>
        </w:rPr>
      </w:pPr>
    </w:p>
    <w:p>
      <w:pPr>
        <w:ind w:left="1060" w:right="1240" w:hanging="531"/>
        <w:spacing w:after="0" w:line="220" w:lineRule="auto"/>
        <w:tabs>
          <w:tab w:leader="none" w:pos="1060" w:val="left"/>
        </w:tabs>
        <w:numPr>
          <w:ilvl w:val="0"/>
          <w:numId w:val="7"/>
        </w:numPr>
        <w:rPr>
          <w:rFonts w:ascii="Arial" w:cs="Arial" w:eastAsia="Arial" w:hAnsi="Arial"/>
          <w:sz w:val="21"/>
          <w:szCs w:val="21"/>
          <w:color w:val="auto"/>
        </w:rPr>
      </w:pPr>
      <w:r>
        <w:rPr>
          <w:rFonts w:ascii="Arial" w:cs="Arial" w:eastAsia="Arial" w:hAnsi="Arial"/>
          <w:sz w:val="17"/>
          <w:szCs w:val="17"/>
          <w:color w:val="auto"/>
        </w:rPr>
        <w:t>we are dependent on Glaxo for the manufacturing, testing, acquisition of regulatory approvals, marketing, distribution and commercialization of Rotarix®.</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Any of these factors could have a material adverse effect on the sales of Rotarix® and our revenues. However, any decline in revenue would not impact our net income because any royalty revenue we receive from sales of Rotarix® is offset by a corresponding royalty expense that we pay to PRF.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Other factors could affect the demand for and sales and profitability of Rotarix® and any other products that we may commercialize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general, other factors that could affect the demand for and sales and profitability of our products include, but are not limited to:</w:t>
      </w:r>
    </w:p>
    <w:p>
      <w:pPr>
        <w:spacing w:after="0" w:line="213" w:lineRule="exact"/>
        <w:rPr>
          <w:sz w:val="20"/>
          <w:szCs w:val="20"/>
          <w:color w:val="auto"/>
        </w:rPr>
      </w:pPr>
    </w:p>
    <w:p>
      <w:pPr>
        <w:ind w:left="1060" w:hanging="531"/>
        <w:spacing w:after="0"/>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timing of regulatory approval, if any, of competitive products;</w:t>
      </w:r>
    </w:p>
    <w:p>
      <w:pPr>
        <w:spacing w:after="0" w:line="241" w:lineRule="exact"/>
        <w:rPr>
          <w:rFonts w:ascii="Arial" w:cs="Arial" w:eastAsia="Arial" w:hAnsi="Arial"/>
          <w:sz w:val="21"/>
          <w:szCs w:val="21"/>
          <w:color w:val="auto"/>
        </w:rPr>
      </w:pPr>
    </w:p>
    <w:p>
      <w:pPr>
        <w:ind w:left="1060" w:right="420" w:hanging="531"/>
        <w:spacing w:after="0" w:line="220" w:lineRule="auto"/>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our, Glaxo's, or any other of our partners' pricing decisions, as applicable, including a decision to increase or decrease the price of a product, and the pricing decisions of our competitors;</w:t>
      </w:r>
    </w:p>
    <w:p>
      <w:pPr>
        <w:spacing w:after="0" w:line="228" w:lineRule="exact"/>
        <w:rPr>
          <w:rFonts w:ascii="Arial" w:cs="Arial" w:eastAsia="Arial" w:hAnsi="Arial"/>
          <w:sz w:val="21"/>
          <w:szCs w:val="21"/>
          <w:color w:val="auto"/>
        </w:rPr>
      </w:pPr>
    </w:p>
    <w:p>
      <w:pPr>
        <w:ind w:left="1060" w:right="620" w:hanging="531"/>
        <w:spacing w:after="0" w:line="220" w:lineRule="auto"/>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government and third-party payer reimbursement and coverage decisions that affect the utilization of our products and competing products;</w:t>
      </w:r>
    </w:p>
    <w:p>
      <w:pPr>
        <w:spacing w:after="0" w:line="228" w:lineRule="exact"/>
        <w:rPr>
          <w:rFonts w:ascii="Arial" w:cs="Arial" w:eastAsia="Arial" w:hAnsi="Arial"/>
          <w:sz w:val="21"/>
          <w:szCs w:val="21"/>
          <w:color w:val="auto"/>
        </w:rPr>
      </w:pPr>
    </w:p>
    <w:p>
      <w:pPr>
        <w:ind w:left="1060" w:hanging="531"/>
        <w:spacing w:after="0" w:line="220" w:lineRule="auto"/>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negative safety or efficacy data from new clinical studies conducted either in the U.S. or internationally by any party could cause the sales of our products to decrease or a product to be recalled;</w:t>
      </w:r>
    </w:p>
    <w:p>
      <w:pPr>
        <w:spacing w:after="0" w:line="241" w:lineRule="exact"/>
        <w:rPr>
          <w:rFonts w:ascii="Arial" w:cs="Arial" w:eastAsia="Arial" w:hAnsi="Arial"/>
          <w:sz w:val="21"/>
          <w:szCs w:val="21"/>
          <w:color w:val="auto"/>
        </w:rPr>
      </w:pPr>
    </w:p>
    <w:p>
      <w:pPr>
        <w:ind w:left="1060" w:right="260" w:hanging="531"/>
        <w:spacing w:after="0" w:line="220" w:lineRule="auto"/>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degree of patent protection afforded our products by patents granted to or licensed by us and by the outcome of litigation involving our or any of our licensor's patents;</w:t>
      </w:r>
    </w:p>
    <w:p>
      <w:pPr>
        <w:spacing w:after="0" w:line="228" w:lineRule="exact"/>
        <w:rPr>
          <w:rFonts w:ascii="Arial" w:cs="Arial" w:eastAsia="Arial" w:hAnsi="Arial"/>
          <w:sz w:val="21"/>
          <w:szCs w:val="21"/>
          <w:color w:val="auto"/>
        </w:rPr>
      </w:pPr>
    </w:p>
    <w:p>
      <w:pPr>
        <w:ind w:left="1060" w:right="20" w:hanging="531"/>
        <w:spacing w:after="0" w:line="220" w:lineRule="auto"/>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outcome of litigation involving patents of other companies concerning our products or processes related to production and formulation of those products or uses of those products;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increasing use and development of alternate therapies;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rate of market penetration by competing products; and</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termination of, or change in, existing arrangements with our partners.</w:t>
      </w:r>
    </w:p>
    <w:p>
      <w:pPr>
        <w:spacing w:after="0" w:line="202"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Any of these factors could have a material adverse effect on Glaxo's sales of Rotarix® and on the sales of any other products that we may commercialize in the future.</w:t>
      </w:r>
    </w:p>
    <w:p>
      <w:pPr>
        <w:spacing w:after="0" w:line="17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color w:val="auto"/>
        </w:rPr>
        <w:t>We face the risk of product liability claims, which could exceed our insurance coverage, and produce recalls, each of which could deplete our cash resources.</w:t>
      </w:r>
    </w:p>
    <w:p>
      <w:pPr>
        <w:spacing w:after="0" w:line="17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As a participant in the pharmaceutical, biotechnology and vaccines industries, we are exposed to the risk of product liability claims alleging that use of our products or product candidates caused an injury or harm. These claims can arise at any point in the development, testing, manufacture, marketing or sale of our products or product candidates and may be made directly by patients involved in clinical trials of our products, by consumers or healthcare providers or by individuals, organizations or companies selling our products. Product liability claims can be expensive to defend, even if the product or product candidate did not actually cause the alleged injury or harm.</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Insurance covering product liability claims becomes increasingly expensive as a product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product candidates.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reliance on third parties requires us to share our trade secrets, which increases the possibility that a competitor will discover them.</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85"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b w:val="1"/>
          <w:bCs w:val="1"/>
          <w:color w:val="auto"/>
        </w:rPr>
        <w:t>We may not be able to successfully integrate newly-acquired technology with our existing technology or to modify our technologies to create new vaccines.</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part of our acquisition of technology assets from entities such as 3M Company and Amgen, we have acquired access to Resiquimod™ (a TLR 7/8 agonist) and Flt3L, which may improve the immunogenicity of our vaccines. If we are able to integrate these licensed assets with our vaccine technologies, we believe these assets will give our vaccines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2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believe that our vaccine technology portfolio may offer opportunities to develop vaccines that treat a variety of oncology, inflammatory and infectious diseases by stimulating a patient's immune system against those disease organisms. If our vaccine technology portfolio cannot be used to create effective vaccines against a variety of disease organisms, we may lose all or portions of our investment in development efforts for new vaccine candidates.</w:t>
      </w:r>
    </w:p>
    <w:p>
      <w:pPr>
        <w:spacing w:after="0" w:line="178"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b w:val="1"/>
          <w:bCs w:val="1"/>
          <w:color w:val="auto"/>
        </w:rPr>
        <w:t>We license technology from other companies to develop products, and those companies could influence research and development or restrict our use of it.</w:t>
      </w:r>
    </w:p>
    <w:p>
      <w:pPr>
        <w:spacing w:after="0" w:line="173"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many competitors in our field, and they may develop technologies that make ours obsolete.</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Biotechnology, pharmaceuticals and therapeutics are rapidly evolving fields in which scientific and technological developments are expected to continue at a rapid pace. We have many competitors in the U.S. and abroad.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203" w:lineRule="exact"/>
        <w:rPr>
          <w:sz w:val="20"/>
          <w:szCs w:val="20"/>
          <w:color w:val="auto"/>
        </w:rPr>
      </w:pPr>
    </w:p>
    <w:p>
      <w:pPr>
        <w:ind w:left="1060" w:hanging="531"/>
        <w:spacing w:after="0"/>
        <w:tabs>
          <w:tab w:leader="none" w:pos="1060" w:val="left"/>
        </w:tabs>
        <w:numPr>
          <w:ilvl w:val="0"/>
          <w:numId w:val="9"/>
        </w:numPr>
        <w:rPr>
          <w:rFonts w:ascii="Arial" w:cs="Arial" w:eastAsia="Arial" w:hAnsi="Arial"/>
          <w:sz w:val="21"/>
          <w:szCs w:val="21"/>
          <w:color w:val="auto"/>
        </w:rPr>
      </w:pPr>
      <w:r>
        <w:rPr>
          <w:rFonts w:ascii="Arial" w:cs="Arial" w:eastAsia="Arial" w:hAnsi="Arial"/>
          <w:sz w:val="17"/>
          <w:szCs w:val="17"/>
          <w:color w:val="auto"/>
        </w:rPr>
        <w:t>develop technologies and products that are more effective than ours, making ours obsolete or otherwise noncompetitive;</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9"/>
        </w:numPr>
        <w:rPr>
          <w:rFonts w:ascii="Arial" w:cs="Arial" w:eastAsia="Arial" w:hAnsi="Arial"/>
          <w:sz w:val="21"/>
          <w:szCs w:val="21"/>
          <w:color w:val="auto"/>
        </w:rPr>
      </w:pPr>
      <w:r>
        <w:rPr>
          <w:rFonts w:ascii="Arial" w:cs="Arial" w:eastAsia="Arial" w:hAnsi="Arial"/>
          <w:sz w:val="17"/>
          <w:szCs w:val="17"/>
          <w:color w:val="auto"/>
        </w:rPr>
        <w:t>obtain regulatory approval for products more rapidly or effectively than us; and</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9"/>
        </w:numPr>
        <w:rPr>
          <w:rFonts w:ascii="Arial" w:cs="Arial" w:eastAsia="Arial" w:hAnsi="Arial"/>
          <w:sz w:val="21"/>
          <w:szCs w:val="21"/>
          <w:color w:val="auto"/>
        </w:rPr>
      </w:pPr>
      <w:r>
        <w:rPr>
          <w:rFonts w:ascii="Arial" w:cs="Arial" w:eastAsia="Arial" w:hAnsi="Arial"/>
          <w:sz w:val="17"/>
          <w:szCs w:val="17"/>
          <w:color w:val="auto"/>
        </w:rPr>
        <w:t>obtain patent protection or other intellectual property rights that would block our ability to develop competitive products.</w:t>
      </w:r>
    </w:p>
    <w:p>
      <w:pPr>
        <w:spacing w:after="0" w:line="18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We rely on patents, patent applications and other intellectual property protections to protect our technology and trade secrets; which are expensive and may not provide sufficient protection.</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20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requires us to use hazardous materials, which increases our exposure to dangerous and costly accidents.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care reform and restrictions on reimbursement may limit our returns on potential products.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Celldex, in raising capital.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laws affecting the health care industry could adversely affect our business.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 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204"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We and our collaborators and partners operate in a highly regulated industry. As a result, governmental actions may adversely affect our business, operations or financial condition, including:</w:t>
      </w:r>
    </w:p>
    <w:p>
      <w:pPr>
        <w:spacing w:after="0" w:line="232" w:lineRule="exact"/>
        <w:rPr>
          <w:sz w:val="20"/>
          <w:szCs w:val="20"/>
          <w:color w:val="auto"/>
        </w:rPr>
      </w:pPr>
    </w:p>
    <w:p>
      <w:pPr>
        <w:ind w:left="1060" w:right="680" w:hanging="531"/>
        <w:spacing w:after="0" w:line="220" w:lineRule="auto"/>
        <w:tabs>
          <w:tab w:leader="none" w:pos="10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new laws, regulations or judicial decisions, or new interpretations of existing laws, regulations or decisions, related to health care availability, method of delivery and payment for health care products and services;</w:t>
      </w:r>
    </w:p>
    <w:p>
      <w:pPr>
        <w:spacing w:after="0" w:line="241" w:lineRule="exact"/>
        <w:rPr>
          <w:rFonts w:ascii="Arial" w:cs="Arial" w:eastAsia="Arial" w:hAnsi="Arial"/>
          <w:sz w:val="21"/>
          <w:szCs w:val="21"/>
          <w:color w:val="auto"/>
        </w:rPr>
      </w:pPr>
    </w:p>
    <w:p>
      <w:pPr>
        <w:ind w:left="1060" w:right="120" w:hanging="531"/>
        <w:spacing w:after="0" w:line="220" w:lineRule="auto"/>
        <w:tabs>
          <w:tab w:leader="none" w:pos="10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changes in the FDA and foreign regulatory approval processes that may delay or prevent the approval of new products and result in lost market opportunity;</w:t>
      </w:r>
    </w:p>
    <w:p>
      <w:pPr>
        <w:spacing w:after="0" w:line="228" w:lineRule="exact"/>
        <w:rPr>
          <w:rFonts w:ascii="Arial" w:cs="Arial" w:eastAsia="Arial" w:hAnsi="Arial"/>
          <w:sz w:val="21"/>
          <w:szCs w:val="21"/>
          <w:color w:val="auto"/>
        </w:rPr>
      </w:pPr>
    </w:p>
    <w:p>
      <w:pPr>
        <w:ind w:left="1060" w:right="800" w:hanging="531"/>
        <w:spacing w:after="0" w:line="220" w:lineRule="auto"/>
        <w:tabs>
          <w:tab w:leader="none" w:pos="10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right="580"/>
        <w:spacing w:after="0" w:line="252" w:lineRule="auto"/>
        <w:rPr>
          <w:sz w:val="20"/>
          <w:szCs w:val="20"/>
          <w:color w:val="auto"/>
        </w:rPr>
      </w:pPr>
      <w:r>
        <w:rPr>
          <w:rFonts w:ascii="Arial" w:cs="Arial" w:eastAsia="Arial" w:hAnsi="Arial"/>
          <w:sz w:val="17"/>
          <w:szCs w:val="17"/>
          <w:color w:val="auto"/>
        </w:rPr>
        <w:t>products to market, which could increase our costs of doing business, adversely affect the future permitted uses of approved products, or otherwise adversely affect the market for our products;</w:t>
      </w:r>
    </w:p>
    <w:p>
      <w:pPr>
        <w:spacing w:after="0" w:line="195"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new laws, regulations and judicial decisions affecting pricing or marketing practices; and</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changes in the tax laws relating to our operations.</w:t>
      </w:r>
    </w:p>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8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If physicians, patients and third-party payors do not accept any future drugs that we may develop, we may be unable to generate significant revenue, if any.</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201"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timing of market introduction of competitive drugs;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lower demonstrated clinical safety and efficacy compared to other drugs;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lack of cost-effectiveness;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lack of availability of reimbursement from third-party payors;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convenience and ease of administration;</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prevalence and severity of adverse side effects;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other potential advantages of alternative treatment methods; and</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ineffective marketing and distribution support.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any drugs that we may develop fail to achieve market acceptance, we would not be able to generate sufficient revenue from product sales to maintain or grow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Capital Stock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 of losses and uncertainty of future profitability make our common stock a highly speculative investment.</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have had no commercial revenue to date from sales of our human therapeutic or vaccine products and cannot predict when we will have commercial revenue from such sales. We had an accumulated deficit of $192.3 million as of September 30, 2011. We expect to spend substantial funds to continue the research and development testing of our products that we have in the preclinical and clinical testing stages of development that have not been partnered.</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99"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share price has been and could remain volatile.</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market price of our common stock has historically experienced and may continue to experience significant volatility. From January 2010 through December 2011, the market price of our common stock has fluctuated from a high of $9.49 per share in the second quarter of 2010, to a low of $2.11 per share in the fourth quarter of 2011.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restrictive covenants contained in our credit agreement may limit our activities.</w:t>
      </w:r>
    </w:p>
    <w:p>
      <w:pPr>
        <w:spacing w:after="0" w:line="23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On December 30, 2010, we entered into a Loan and Security Agreement (the "Loan Agreement") with MidCap Financial, LLC ("MidCap") pursuant to which we borrowed $10 million (the "Term Loan") from MidCap. In March 2011, we amended the Loan Agreement and borrowed an additional</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$5 million from General Electric Capital Corporation ("GECC") (collectively with MidCap, the "Lenders") to increase the amount owed under the Term Loan to $15 million. Our obligations under the Term Loan are secured by a first priority lien upon and security interest in substantially all of our existing and after-acquired assets, excluding our intellectual property assets (the "Collateral"). Under the Term Loan, we are subject to specified affirmative covenants customary for loans of this type, including but not limited to the obligations to maintain good standing, provide various notices to the Lenders, deliver financial statements to the Lenders, maintain adequate insurance, promptly discharge all taxes, protect our intellectual property and protect the Collateral. We are also subject to certain negative covenants customary for loans of this type, including but not limited to prohibitions against certain mergers and consolidations, certain management and ownership changes constituting a "change of control," and the imposition of additional liens on Collateral or other of our assets, as well as prohibitions against additional indebtedness, certain dispositions of property, changes in our business, name or location, payment of dividends, prepayment of certain other indebtedness, certain investments or acquisitions, and certain transactions with affiliates, in each case subject to certain customary exceptions, including exceptions that allow us to enter into non-exclusive and/or exclusive licenses and similar agreements providing for the use of our intellectual property in collaboration with third parties provided certain conditions are met.</w:t>
      </w:r>
    </w:p>
    <w:p>
      <w:pPr>
        <w:spacing w:after="0" w:line="205"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Failure to comply with the restrictive covenants in our Term Loan could accelerate the repayment of any debt outstanding under the Term Loan. Additionally, as a result of these restrictive covenants, we may be at a disadvantage compared to our competitors that have greater operating and financing flexibility than we do.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our net operating loss carryforwards will be subject to limitation and, under certain circumstances, may be eliminated.</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Utilization of our net operating loss ("NOL") and research and development ("R&amp;D") credit carryforwards may be subject to substantial annual limitation due to ownership change limitations that have occurred previously or that could occur in the future provided by Section 382 of the Internal Revenue Code of 1986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October 2007, June 2009 and December 2009, Celldex Research experienced a change in ownership as defined by Section 382 of the Internal Revenue Code. Celldex Research, since its formation, had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its Federal NOLs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have not undertaken a study to assess whether an ownership change or multiple ownership changes has occurred for (i) Celldex Therapeutics,</w:t>
      </w:r>
    </w:p>
    <w:p>
      <w:pPr>
        <w:spacing w:after="0" w:line="1" w:lineRule="exact"/>
        <w:rPr>
          <w:sz w:val="20"/>
          <w:szCs w:val="20"/>
          <w:color w:val="auto"/>
        </w:rPr>
      </w:pPr>
    </w:p>
    <w:p>
      <w:pPr>
        <w:ind w:right="540" w:firstLine="5"/>
        <w:spacing w:after="0" w:line="252" w:lineRule="auto"/>
        <w:tabs>
          <w:tab w:leader="none" w:pos="237"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CuraGen, (iii) Celldex Research on the state level, or (iv) R&amp;D credits. If there has been an ownership change at any time since its formation, utilization of NOL or tax credit carryforwards would be subject to an annual limitation under Section 382.</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For additional discussion on income taxes, refer to Note 15, "Income Taxes," in the notes to the consolidated financial statements in our Annual Report on Form 10-K for the fiscal year ended December 31, 2010.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4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contain forward-looking statements made pursuant to the safe harbor provisions of the Private Securities Litigation Reform Act of 1995. Forward-looking statements represent our management's judgment regarding future events. In many cases, you can identify forward-looking statements by terminology such as "may," "will," "should," "plan," "expect," "anticipate," "estimate," "predict," "intend," "potential" or "continue" or the negative of these terms or other words of similar import, although some forward-looking statements are expressed differently. All statements other than statements of historical fact included in this prospectus supplement, the accompanying prospectus and the documents incorporated by reference herein regarding our financial position, business strategy and plans or objectives for future operations are forward-looking statements. Without limiting the broader description of forward-looking statements above, we specifically note that statements regarding potential drug candidates, their potential therapeutic effect, the possibility of obtaining regulatory approval, our expected timing for completing clinical trials and clinical trial milestones for our drug candidates, our ability or the ability of our collaborators to manufacture and sell any products, market acceptance or our ability to earn a profit from sales or licenses of any drug candidate or to discover new drugs in the future are all forward-looking in nature. We cannot guarantee the accuracy of forward-looking statements, and you should be aware that results and events could differ materially and adversely from those described in the forward-looking statements due to a number of factors, including:</w:t>
      </w:r>
    </w:p>
    <w:p>
      <w:pPr>
        <w:spacing w:after="0" w:line="243" w:lineRule="exact"/>
        <w:rPr>
          <w:sz w:val="20"/>
          <w:szCs w:val="20"/>
          <w:color w:val="auto"/>
        </w:rPr>
      </w:pPr>
    </w:p>
    <w:p>
      <w:pPr>
        <w:ind w:left="1060" w:right="8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raise sufficient capital to fund our clinical studies, including our Phase 3 clinical trial for rindopepimut which we estimate will cost over $50 million, and to meet our long-term liquidity needs, on terms acceptable to us, or at all;</w:t>
      </w:r>
    </w:p>
    <w:p>
      <w:pPr>
        <w:spacing w:after="0" w:line="241" w:lineRule="exact"/>
        <w:rPr>
          <w:rFonts w:ascii="Arial" w:cs="Arial" w:eastAsia="Arial" w:hAnsi="Arial"/>
          <w:sz w:val="21"/>
          <w:szCs w:val="21"/>
          <w:color w:val="auto"/>
        </w:rPr>
      </w:pPr>
    </w:p>
    <w:p>
      <w:pPr>
        <w:ind w:left="1060" w:right="340" w:hanging="531"/>
        <w:spacing w:after="0" w:line="226"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successfully complete research and further development, including animal, preclinical and clinical studies, and commercialization of rindopepimut, CDX-011, CDX-1127, and other product candidates and the growth of the markets for those drug candidates;</w:t>
      </w:r>
    </w:p>
    <w:p>
      <w:pPr>
        <w:spacing w:after="0" w:line="230" w:lineRule="exact"/>
        <w:rPr>
          <w:rFonts w:ascii="Arial" w:cs="Arial" w:eastAsia="Arial" w:hAnsi="Arial"/>
          <w:sz w:val="21"/>
          <w:szCs w:val="21"/>
          <w:color w:val="auto"/>
        </w:rPr>
      </w:pPr>
    </w:p>
    <w:p>
      <w:pPr>
        <w:ind w:left="1060" w:right="6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manage multiple clinical trials for a variety of drug candidates at different stages of development, including our Phase 3 trial for rindopepimut;</w:t>
      </w:r>
    </w:p>
    <w:p>
      <w:pPr>
        <w:spacing w:after="0" w:line="228" w:lineRule="exact"/>
        <w:rPr>
          <w:rFonts w:ascii="Arial" w:cs="Arial" w:eastAsia="Arial" w:hAnsi="Arial"/>
          <w:sz w:val="21"/>
          <w:szCs w:val="21"/>
          <w:color w:val="auto"/>
        </w:rPr>
      </w:pPr>
    </w:p>
    <w:p>
      <w:pPr>
        <w:ind w:left="1060" w:right="22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cost, timing, scope and results of ongoing safety and efficacy trials of rindopepimut, CDX-011, CDX-1127 and other preclinical and clinical testing;</w:t>
      </w:r>
    </w:p>
    <w:p>
      <w:pPr>
        <w:spacing w:after="0" w:line="241" w:lineRule="exact"/>
        <w:rPr>
          <w:rFonts w:ascii="Arial" w:cs="Arial" w:eastAsia="Arial" w:hAnsi="Arial"/>
          <w:sz w:val="21"/>
          <w:szCs w:val="21"/>
          <w:color w:val="auto"/>
        </w:rPr>
      </w:pPr>
    </w:p>
    <w:p>
      <w:pPr>
        <w:ind w:left="1060" w:right="56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fund and complete the development and commercialization of rindopepimut for North America internally and to find a strategic partner to commercialize rindopepimut outside North America;</w:t>
      </w:r>
    </w:p>
    <w:p>
      <w:pPr>
        <w:spacing w:after="0" w:line="228" w:lineRule="exact"/>
        <w:rPr>
          <w:rFonts w:ascii="Arial" w:cs="Arial" w:eastAsia="Arial" w:hAnsi="Arial"/>
          <w:sz w:val="21"/>
          <w:szCs w:val="21"/>
          <w:color w:val="auto"/>
        </w:rPr>
      </w:pPr>
    </w:p>
    <w:p>
      <w:pPr>
        <w:ind w:left="106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ability to negotiate strategic partnerships, where appropriate, for our lead programs, including CDX-011 and CDX-1127, as well as for our non-core programs;</w:t>
      </w:r>
    </w:p>
    <w:p>
      <w:pPr>
        <w:spacing w:after="0" w:line="228" w:lineRule="exact"/>
        <w:rPr>
          <w:rFonts w:ascii="Arial" w:cs="Arial" w:eastAsia="Arial" w:hAnsi="Arial"/>
          <w:sz w:val="21"/>
          <w:szCs w:val="21"/>
          <w:color w:val="auto"/>
        </w:rPr>
      </w:pPr>
    </w:p>
    <w:p>
      <w:pPr>
        <w:jc w:val="both"/>
        <w:ind w:left="1060" w:right="160" w:hanging="531"/>
        <w:spacing w:after="0" w:line="226"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strategies and business plans of our partners, such as GlaxoSmithKline's plans with respect to Rotarix® and Vaccine Technologies' plans concerning the CholeraGarde® (Peru-15) and ETEC E. coli vaccines, which are not within our control, and our ability to maintain strong, mutually beneficial relationships with these partners;</w:t>
      </w:r>
    </w:p>
    <w:p>
      <w:pPr>
        <w:spacing w:after="0" w:line="243" w:lineRule="exact"/>
        <w:rPr>
          <w:rFonts w:ascii="Arial" w:cs="Arial" w:eastAsia="Arial" w:hAnsi="Arial"/>
          <w:sz w:val="21"/>
          <w:szCs w:val="21"/>
          <w:color w:val="auto"/>
        </w:rPr>
      </w:pPr>
    </w:p>
    <w:p>
      <w:pPr>
        <w:ind w:left="1060" w:right="2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adapt our APC Targeting Technology™ to develop new, safe and effective vaccines against oncology and infectious disease indications;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our ability to develop technological capabilities and expand our focus to broader markets for vaccines;</w:t>
      </w:r>
    </w:p>
    <w:p>
      <w:pPr>
        <w:spacing w:after="0" w:line="228" w:lineRule="exact"/>
        <w:rPr>
          <w:rFonts w:ascii="Arial" w:cs="Arial" w:eastAsia="Arial" w:hAnsi="Arial"/>
          <w:sz w:val="21"/>
          <w:szCs w:val="21"/>
          <w:color w:val="auto"/>
        </w:rPr>
      </w:pPr>
    </w:p>
    <w:p>
      <w:pPr>
        <w:ind w:left="1060" w:right="580" w:hanging="531"/>
        <w:spacing w:after="0" w:line="220" w:lineRule="auto"/>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availability, cost, delivery and quality of clinical and commercial grade materials produced by our own manufacturing facility or supplied by contract manufacturers and partners;</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availability, cost, delivery and quality of clinical management services provided by our clinical research organization partners;</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timing, cost and uncertainty of obtaining regulatory approvals for our drug candidates;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0" w:lineRule="exact"/>
        <w:rPr>
          <w:sz w:val="20"/>
          <w:szCs w:val="20"/>
          <w:color w:val="auto"/>
        </w:rPr>
      </w:pPr>
    </w:p>
    <w:p>
      <w:pPr>
        <w:ind w:left="1060" w:right="40" w:hanging="531"/>
        <w:spacing w:after="0" w:line="220" w:lineRule="auto"/>
        <w:tabs>
          <w:tab w:leader="none" w:pos="10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ability to develop and commercialize products before competitors that are superior to the alternatives developed by such competitors; and</w:t>
      </w:r>
    </w:p>
    <w:p>
      <w:pPr>
        <w:spacing w:after="0" w:line="241" w:lineRule="exact"/>
        <w:rPr>
          <w:rFonts w:ascii="Arial" w:cs="Arial" w:eastAsia="Arial" w:hAnsi="Arial"/>
          <w:sz w:val="21"/>
          <w:szCs w:val="21"/>
          <w:color w:val="auto"/>
        </w:rPr>
      </w:pPr>
    </w:p>
    <w:p>
      <w:pPr>
        <w:ind w:left="1060" w:right="400" w:hanging="531"/>
        <w:spacing w:after="0" w:line="220" w:lineRule="auto"/>
        <w:tabs>
          <w:tab w:leader="none" w:pos="10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validity of our patents and our ability to avoid intellectual property litigation, which can be costly and divert management time and attention.</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You should also consider carefully the statements set forth in the section entitled "Risk Factors" in this prospectus supplement, as may be updated by any other document that we subsequently filed with the Securities and Exchange Commission and that is incorporated by reference into this prospectus supplement, which address various factors that could cause results or events to differ from those described in the forward-looking statements. All subsequent written and oral forward-looking statements attributable to us or to persons acting on our behalf are expressly qualified in their entirety by the applicable cautionary statements. We have no plans to update these forward-looking statements.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Use of Proceeds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this offering, after deducting the underwriting discounts and commissions and estimated offering expenses</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payable by us, will be approximately $ , or approximately $ , if the underwriters exercise their over-allotment option in full. We currently expect to use the net proceeds from this offering to fund clinical trials of our product candidates and for working capital and other general corporate purposes. Until we use the net proceeds of this offering, we intend to invest the funds in short-term, investment grade, interest-bearing securities.</w:t>
      </w:r>
    </w:p>
    <w:p>
      <w:pPr>
        <w:spacing w:after="0" w:line="39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amount and timing of actual expenditures for the purposes set forth above may vary based on several factors, and our management will retain broad discretion as to the ultimate allocation of the proceeds.</w:t>
      </w:r>
    </w:p>
    <w:p>
      <w:pPr>
        <w:spacing w:after="0" w:line="19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40"/>
          </w:cols>
          <w:pgMar w:left="240" w:top="143" w:right="61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Dilution</w:t>
      </w:r>
    </w:p>
    <w:p>
      <w:pPr>
        <w:spacing w:after="0" w:line="24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public offering price per share and our pro forma net tangible book value per share after this offering. We calculate net tangible book value per share by dividing our net tangible book value, which is tangible assets less total liabilities, by the number of outstanding shares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Our net tangible book value as of September 30, 2011 was approximately $46.5 million, or $1.05 per share. After giving effect to the sale by us</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of shares of common stock offered by this prospectus supplement at a public offering price of $ per share and after deducting the underwriting discounts and commissions and estimated offering expenses payable by us, our pro forma net tangible book value as of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gridSpan w:val="2"/>
          </w:tcPr>
          <w:p>
            <w:pPr>
              <w:spacing w:after="0"/>
              <w:rPr>
                <w:sz w:val="20"/>
                <w:szCs w:val="20"/>
                <w:color w:val="auto"/>
              </w:rPr>
            </w:pPr>
            <w:r>
              <w:rPr>
                <w:rFonts w:ascii="Arial" w:cs="Arial" w:eastAsia="Arial" w:hAnsi="Arial"/>
                <w:sz w:val="17"/>
                <w:szCs w:val="17"/>
                <w:color w:val="auto"/>
              </w:rPr>
              <w:t>2011 would have been approximately $</w:t>
            </w:r>
          </w:p>
        </w:tc>
        <w:tc>
          <w:tcPr>
            <w:tcW w:w="1600" w:type="dxa"/>
            <w:vAlign w:val="bottom"/>
          </w:tcPr>
          <w:p>
            <w:pPr>
              <w:ind w:left="140"/>
              <w:spacing w:after="0"/>
              <w:rPr>
                <w:sz w:val="20"/>
                <w:szCs w:val="20"/>
                <w:color w:val="auto"/>
              </w:rPr>
            </w:pPr>
            <w:r>
              <w:rPr>
                <w:rFonts w:ascii="Arial" w:cs="Arial" w:eastAsia="Arial" w:hAnsi="Arial"/>
                <w:sz w:val="17"/>
                <w:szCs w:val="17"/>
                <w:color w:val="auto"/>
              </w:rPr>
              <w:t>million, or $</w:t>
            </w:r>
          </w:p>
        </w:tc>
        <w:tc>
          <w:tcPr>
            <w:tcW w:w="6180" w:type="dxa"/>
            <w:vAlign w:val="bottom"/>
            <w:gridSpan w:val="8"/>
          </w:tcPr>
          <w:p>
            <w:pPr>
              <w:ind w:left="120"/>
              <w:spacing w:after="0"/>
              <w:rPr>
                <w:sz w:val="20"/>
                <w:szCs w:val="20"/>
                <w:color w:val="auto"/>
              </w:rPr>
            </w:pPr>
            <w:r>
              <w:rPr>
                <w:rFonts w:ascii="Arial" w:cs="Arial" w:eastAsia="Arial" w:hAnsi="Arial"/>
                <w:sz w:val="17"/>
                <w:szCs w:val="17"/>
                <w:color w:val="auto"/>
              </w:rPr>
              <w:t>per share. This represents an immediate increase in pro forma net tangible book</w:t>
            </w:r>
          </w:p>
        </w:tc>
      </w:tr>
      <w:tr>
        <w:trPr>
          <w:trHeight w:val="197"/>
        </w:trPr>
        <w:tc>
          <w:tcPr>
            <w:tcW w:w="1140" w:type="dxa"/>
            <w:vAlign w:val="bottom"/>
          </w:tcPr>
          <w:p>
            <w:pPr>
              <w:spacing w:after="0"/>
              <w:rPr>
                <w:sz w:val="20"/>
                <w:szCs w:val="20"/>
                <w:color w:val="auto"/>
              </w:rPr>
            </w:pPr>
            <w:r>
              <w:rPr>
                <w:rFonts w:ascii="Arial" w:cs="Arial" w:eastAsia="Arial" w:hAnsi="Arial"/>
                <w:sz w:val="17"/>
                <w:szCs w:val="17"/>
                <w:color w:val="auto"/>
              </w:rPr>
              <w:t>value of $</w:t>
            </w:r>
          </w:p>
        </w:tc>
        <w:tc>
          <w:tcPr>
            <w:tcW w:w="5520" w:type="dxa"/>
            <w:vAlign w:val="bottom"/>
            <w:gridSpan w:val="3"/>
          </w:tcPr>
          <w:p>
            <w:pPr>
              <w:ind w:left="320"/>
              <w:spacing w:after="0"/>
              <w:rPr>
                <w:sz w:val="20"/>
                <w:szCs w:val="20"/>
                <w:color w:val="auto"/>
              </w:rPr>
            </w:pPr>
            <w:r>
              <w:rPr>
                <w:rFonts w:ascii="Arial" w:cs="Arial" w:eastAsia="Arial" w:hAnsi="Arial"/>
                <w:sz w:val="17"/>
                <w:szCs w:val="17"/>
                <w:color w:val="auto"/>
              </w:rPr>
              <w:t>per share to existing stockholders and an immediate dilution of $</w:t>
            </w:r>
          </w:p>
        </w:tc>
        <w:tc>
          <w:tcPr>
            <w:tcW w:w="4700" w:type="dxa"/>
            <w:vAlign w:val="bottom"/>
            <w:gridSpan w:val="7"/>
          </w:tcPr>
          <w:p>
            <w:pPr>
              <w:jc w:val="center"/>
              <w:ind w:left="255"/>
              <w:spacing w:after="0"/>
              <w:rPr>
                <w:sz w:val="20"/>
                <w:szCs w:val="20"/>
                <w:color w:val="auto"/>
              </w:rPr>
            </w:pPr>
            <w:r>
              <w:rPr>
                <w:rFonts w:ascii="Arial" w:cs="Arial" w:eastAsia="Arial" w:hAnsi="Arial"/>
                <w:sz w:val="17"/>
                <w:szCs w:val="17"/>
                <w:color w:val="auto"/>
              </w:rPr>
              <w:t>per share to new investors purchasing our common stock</w:t>
            </w:r>
          </w:p>
        </w:tc>
      </w:tr>
      <w:tr>
        <w:trPr>
          <w:trHeight w:val="204"/>
        </w:trPr>
        <w:tc>
          <w:tcPr>
            <w:tcW w:w="5180" w:type="dxa"/>
            <w:vAlign w:val="bottom"/>
            <w:gridSpan w:val="3"/>
          </w:tcPr>
          <w:p>
            <w:pPr>
              <w:spacing w:after="0"/>
              <w:rPr>
                <w:sz w:val="20"/>
                <w:szCs w:val="20"/>
                <w:color w:val="auto"/>
              </w:rPr>
            </w:pPr>
            <w:r>
              <w:rPr>
                <w:rFonts w:ascii="Arial" w:cs="Arial" w:eastAsia="Arial" w:hAnsi="Arial"/>
                <w:sz w:val="17"/>
                <w:szCs w:val="17"/>
                <w:color w:val="auto"/>
              </w:rPr>
              <w:t>in this offering. The following table illustrates the per share dilution:</w:t>
            </w: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 per share</w:t>
            </w:r>
          </w:p>
        </w:tc>
        <w:tc>
          <w:tcPr>
            <w:tcW w:w="16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520" w:type="dxa"/>
            <w:vAlign w:val="bottom"/>
            <w:gridSpan w:val="3"/>
          </w:tcPr>
          <w:p>
            <w:pPr>
              <w:ind w:left="20"/>
              <w:spacing w:after="0"/>
              <w:rPr>
                <w:sz w:val="20"/>
                <w:szCs w:val="20"/>
                <w:color w:val="auto"/>
              </w:rPr>
            </w:pPr>
            <w:r>
              <w:rPr>
                <w:rFonts w:ascii="Arial" w:cs="Arial" w:eastAsia="Arial" w:hAnsi="Arial"/>
                <w:sz w:val="17"/>
                <w:szCs w:val="17"/>
                <w:color w:val="auto"/>
              </w:rPr>
              <w:t>Net tangible book value per share as of September 30, 2011</w:t>
            </w:r>
          </w:p>
        </w:tc>
        <w:tc>
          <w:tcPr>
            <w:tcW w:w="2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1.05</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Increase in net tangible book value per share after this offering</w:t>
            </w: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7640" w:type="dxa"/>
            <w:vAlign w:val="bottom"/>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3"/>
        </w:trPr>
        <w:tc>
          <w:tcPr>
            <w:tcW w:w="1140" w:type="dxa"/>
            <w:vAlign w:val="bottom"/>
          </w:tcPr>
          <w:p>
            <w:pPr>
              <w:spacing w:after="0"/>
              <w:rPr>
                <w:sz w:val="16"/>
                <w:szCs w:val="16"/>
                <w:color w:val="auto"/>
              </w:rPr>
            </w:pPr>
          </w:p>
        </w:tc>
        <w:tc>
          <w:tcPr>
            <w:tcW w:w="7820" w:type="dxa"/>
            <w:vAlign w:val="bottom"/>
            <w:gridSpan w:val="5"/>
          </w:tcPr>
          <w:p>
            <w:pPr>
              <w:ind w:left="20"/>
              <w:spacing w:after="0" w:line="193" w:lineRule="exact"/>
              <w:rPr>
                <w:sz w:val="20"/>
                <w:szCs w:val="20"/>
                <w:color w:val="auto"/>
              </w:rPr>
            </w:pPr>
            <w:r>
              <w:rPr>
                <w:rFonts w:ascii="Arial" w:cs="Arial" w:eastAsia="Arial" w:hAnsi="Arial"/>
                <w:sz w:val="17"/>
                <w:szCs w:val="17"/>
                <w:color w:val="auto"/>
              </w:rPr>
              <w:t>Pro forma net tangible book value per share as of September 30, 2011, after giving effect to this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114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7"/>
                <w:szCs w:val="17"/>
                <w:color w:val="auto"/>
              </w:rPr>
              <w:t>offering</w:t>
            </w: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 in this offering</w:t>
            </w:r>
          </w:p>
        </w:tc>
        <w:tc>
          <w:tcPr>
            <w:tcW w:w="14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above assumes that the underwriters do not exercise their over-allotment option. If the underwriters exercise their over-allotment option</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full, our pro forma net tangible book value per share at September 30, 2011 after giving effect to this offering would have been $ per share, and the dilution in pro forma net tangible book value per share to investors in this offering would have been $ per share. The above discussion</w:t>
      </w:r>
    </w:p>
    <w:p>
      <w:pPr>
        <w:spacing w:after="0" w:line="1"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and table are based on 44,147,214 shares of our common stock issued and outstanding as of September 30, 2011, which does not include the following:</w:t>
      </w:r>
    </w:p>
    <w:p>
      <w:pPr>
        <w:spacing w:after="0" w:line="232" w:lineRule="exact"/>
        <w:rPr>
          <w:sz w:val="20"/>
          <w:szCs w:val="20"/>
          <w:color w:val="auto"/>
        </w:rPr>
      </w:pPr>
    </w:p>
    <w:p>
      <w:pPr>
        <w:ind w:left="1060" w:right="220" w:hanging="531"/>
        <w:spacing w:after="0" w:line="220" w:lineRule="auto"/>
        <w:tabs>
          <w:tab w:leader="none" w:pos="10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4,535,137 shares issuable upon the exercise of outstanding stock options as of September 30, 2011 with a weighted-average exercise price of $6.05 per share;</w:t>
      </w:r>
    </w:p>
    <w:p>
      <w:pPr>
        <w:spacing w:after="0" w:line="204" w:lineRule="exact"/>
        <w:rPr>
          <w:rFonts w:ascii="Arial" w:cs="Arial" w:eastAsia="Arial" w:hAnsi="Arial"/>
          <w:sz w:val="21"/>
          <w:szCs w:val="21"/>
          <w:color w:val="auto"/>
        </w:rPr>
      </w:pPr>
    </w:p>
    <w:p>
      <w:pPr>
        <w:ind w:left="1060" w:hanging="531"/>
        <w:spacing w:after="0"/>
        <w:tabs>
          <w:tab w:leader="none" w:pos="10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991,562 shares available for future issuance under our equity compensation plans as of September 30, 2011; and</w:t>
      </w:r>
    </w:p>
    <w:p>
      <w:pPr>
        <w:spacing w:after="0" w:line="191" w:lineRule="exact"/>
        <w:rPr>
          <w:rFonts w:ascii="Arial" w:cs="Arial" w:eastAsia="Arial" w:hAnsi="Arial"/>
          <w:sz w:val="21"/>
          <w:szCs w:val="21"/>
          <w:color w:val="auto"/>
        </w:rPr>
      </w:pPr>
    </w:p>
    <w:p>
      <w:pPr>
        <w:ind w:left="1060" w:hanging="531"/>
        <w:spacing w:after="0"/>
        <w:tabs>
          <w:tab w:leader="none" w:pos="10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2,450,000 shares of common stock sold in January 2012 which raised $8.5 million in net proceeds.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8540" w:type="dxa"/>
            <w:vAlign w:val="bottom"/>
            <w:gridSpan w:val="2"/>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72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7200" w:type="dxa"/>
            <w:vAlign w:val="bottom"/>
          </w:tcPr>
          <w:p>
            <w:pPr>
              <w:ind w:left="3860"/>
              <w:spacing w:after="0"/>
              <w:rPr>
                <w:sz w:val="20"/>
                <w:szCs w:val="20"/>
                <w:color w:val="auto"/>
              </w:rPr>
            </w:pPr>
            <w:r>
              <w:rPr>
                <w:rFonts w:ascii="Arial" w:cs="Arial" w:eastAsia="Arial" w:hAnsi="Arial"/>
                <w:sz w:val="17"/>
                <w:szCs w:val="17"/>
                <w:b w:val="1"/>
                <w:bCs w:val="1"/>
                <w:color w:val="auto"/>
              </w:rPr>
              <w:t>Underwriting</w:t>
            </w:r>
          </w:p>
        </w:tc>
        <w:tc>
          <w:tcPr>
            <w:tcW w:w="2720" w:type="dxa"/>
            <w:vAlign w:val="bottom"/>
          </w:tcPr>
          <w:p>
            <w:pPr>
              <w:spacing w:after="0"/>
              <w:rPr>
                <w:sz w:val="24"/>
                <w:szCs w:val="24"/>
                <w:color w:val="auto"/>
              </w:rPr>
            </w:pPr>
          </w:p>
        </w:tc>
      </w:tr>
      <w:tr>
        <w:trPr>
          <w:trHeight w:val="412"/>
        </w:trPr>
        <w:tc>
          <w:tcPr>
            <w:tcW w:w="8540" w:type="dxa"/>
            <w:vAlign w:val="bottom"/>
            <w:gridSpan w:val="2"/>
          </w:tcPr>
          <w:p>
            <w:pPr>
              <w:spacing w:after="0"/>
              <w:rPr>
                <w:sz w:val="20"/>
                <w:szCs w:val="20"/>
                <w:color w:val="auto"/>
              </w:rPr>
            </w:pPr>
            <w:r>
              <w:rPr>
                <w:rFonts w:ascii="Arial" w:cs="Arial" w:eastAsia="Arial" w:hAnsi="Arial"/>
                <w:sz w:val="17"/>
                <w:szCs w:val="17"/>
                <w:color w:val="auto"/>
              </w:rPr>
              <w:t>Subject to the terms and conditions set forth in the underwriting agreement to be dated on or about February</w:t>
            </w:r>
          </w:p>
        </w:tc>
        <w:tc>
          <w:tcPr>
            <w:tcW w:w="2720" w:type="dxa"/>
            <w:vAlign w:val="bottom"/>
          </w:tcPr>
          <w:p>
            <w:pPr>
              <w:ind w:left="380"/>
              <w:spacing w:after="0"/>
              <w:rPr>
                <w:sz w:val="20"/>
                <w:szCs w:val="20"/>
                <w:color w:val="auto"/>
              </w:rPr>
            </w:pPr>
            <w:r>
              <w:rPr>
                <w:rFonts w:ascii="Arial" w:cs="Arial" w:eastAsia="Arial" w:hAnsi="Arial"/>
                <w:sz w:val="17"/>
                <w:szCs w:val="17"/>
                <w:color w:val="auto"/>
                <w:w w:val="99"/>
              </w:rPr>
              <w:t>, 2012, between us, Jefferies &amp;</w:t>
            </w:r>
          </w:p>
        </w:tc>
      </w:tr>
    </w:tbl>
    <w:p>
      <w:pPr>
        <w:ind w:right="320"/>
        <w:spacing w:after="0" w:line="252" w:lineRule="auto"/>
        <w:rPr>
          <w:sz w:val="20"/>
          <w:szCs w:val="20"/>
          <w:color w:val="auto"/>
        </w:rPr>
      </w:pPr>
      <w:r>
        <w:rPr>
          <w:rFonts w:ascii="Arial" w:cs="Arial" w:eastAsia="Arial" w:hAnsi="Arial"/>
          <w:sz w:val="17"/>
          <w:szCs w:val="17"/>
          <w:color w:val="auto"/>
        </w:rPr>
        <w:t>Company, Inc. and the other underwriters named in the table below, we have agreed to sell to the underwriters and the underwriters have severally agreed to purchase from us, the number of common shares indicated in the table below:</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98"/>
              </w:rPr>
              <w:t>Number of</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Common</w:t>
            </w:r>
          </w:p>
        </w:tc>
        <w:tc>
          <w:tcPr>
            <w:tcW w:w="0" w:type="dxa"/>
            <w:vAlign w:val="bottom"/>
          </w:tcPr>
          <w:p>
            <w:pPr>
              <w:spacing w:after="0"/>
              <w:rPr>
                <w:sz w:val="1"/>
                <w:szCs w:val="1"/>
                <w:color w:val="auto"/>
              </w:rPr>
            </w:pPr>
          </w:p>
        </w:tc>
      </w:tr>
      <w:tr>
        <w:trPr>
          <w:trHeight w:val="214"/>
        </w:trPr>
        <w:tc>
          <w:tcPr>
            <w:tcW w:w="8220" w:type="dxa"/>
            <w:vAlign w:val="bottom"/>
            <w:gridSpan w:val="2"/>
          </w:tcPr>
          <w:p>
            <w:pPr>
              <w:ind w:left="20"/>
              <w:spacing w:after="0"/>
              <w:rPr>
                <w:sz w:val="20"/>
                <w:szCs w:val="20"/>
                <w:color w:val="auto"/>
              </w:rPr>
            </w:pPr>
            <w:r>
              <w:rPr>
                <w:rFonts w:ascii="Arial" w:cs="Arial" w:eastAsia="Arial" w:hAnsi="Arial"/>
                <w:sz w:val="17"/>
                <w:szCs w:val="17"/>
                <w:b w:val="1"/>
                <w:bCs w:val="1"/>
                <w:color w:val="auto"/>
              </w:rPr>
              <w:t>Underwriter</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98"/>
              </w:rPr>
              <w:t>Shares</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Jefferies &amp; Company, Inc.</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20" w:type="dxa"/>
            <w:vAlign w:val="bottom"/>
            <w:gridSpan w:val="2"/>
          </w:tcPr>
          <w:p>
            <w:pPr>
              <w:ind w:left="20"/>
              <w:spacing w:after="0"/>
              <w:rPr>
                <w:sz w:val="20"/>
                <w:szCs w:val="20"/>
                <w:color w:val="auto"/>
              </w:rPr>
            </w:pPr>
            <w:r>
              <w:rPr>
                <w:rFonts w:ascii="Arial" w:cs="Arial" w:eastAsia="Arial" w:hAnsi="Arial"/>
                <w:sz w:val="17"/>
                <w:szCs w:val="17"/>
                <w:color w:val="auto"/>
              </w:rPr>
              <w:t>Wedbush Securities Inc.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Oppenheimer &amp; Co. Inc.</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20" w:type="dxa"/>
            <w:vAlign w:val="bottom"/>
            <w:gridSpan w:val="2"/>
          </w:tcPr>
          <w:p>
            <w:pPr>
              <w:ind w:left="20"/>
              <w:spacing w:after="0"/>
              <w:rPr>
                <w:sz w:val="20"/>
                <w:szCs w:val="20"/>
                <w:color w:val="auto"/>
              </w:rPr>
            </w:pPr>
            <w:r>
              <w:rPr>
                <w:rFonts w:ascii="Arial" w:cs="Arial" w:eastAsia="Arial" w:hAnsi="Arial"/>
                <w:sz w:val="17"/>
                <w:szCs w:val="17"/>
                <w:color w:val="auto"/>
              </w:rPr>
              <w:t>Brean Murray, Carret &amp;Co., LLC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Roth Capital Partners, LLC</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20" w:type="dxa"/>
            <w:vAlign w:val="bottom"/>
            <w:gridSpan w:val="2"/>
            <w:vMerge w:val="restart"/>
          </w:tcPr>
          <w:p>
            <w:pPr>
              <w:ind w:left="16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20" w:type="dxa"/>
            <w:vAlign w:val="bottom"/>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 is acting as sole book-running manager of this offering and as representative of the underwriters named above.</w:t>
      </w:r>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underwriters have advised us that they currently intend to make a market in the common shares. However, the underwriters are not obligated to do so and may discontinue any market-making activities at any time without notice. No assurance can be given as to the liquidity of the trading market for the common shares.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underwriters are offering the common shares subject to their acceptance of the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common shares to the public at the initial public offering price set forth on the cover</w:t>
      </w:r>
    </w:p>
    <w:p>
      <w:pPr>
        <w:spacing w:after="0" w:line="1" w:lineRule="exact"/>
        <w:rPr>
          <w:sz w:val="20"/>
          <w:szCs w:val="20"/>
          <w:color w:val="auto"/>
        </w:rPr>
      </w:pPr>
    </w:p>
    <w:p>
      <w:pPr>
        <w:jc w:val="both"/>
        <w:ind w:right="200"/>
        <w:spacing w:after="0" w:line="241" w:lineRule="auto"/>
        <w:rPr>
          <w:sz w:val="20"/>
          <w:szCs w:val="20"/>
          <w:color w:val="auto"/>
        </w:rPr>
      </w:pPr>
      <w:r>
        <w:rPr>
          <w:rFonts w:ascii="Arial" w:cs="Arial" w:eastAsia="Arial" w:hAnsi="Arial"/>
          <w:sz w:val="17"/>
          <w:szCs w:val="17"/>
          <w:color w:val="auto"/>
        </w:rPr>
        <w:t>page of this prospectus and to certain dealers at that price less a concession not in excess of $ per common share. The underwriters may allow, and certain dealers may reallow, a discount from the concession not in excess of $ per common share to certain brokers and dealers.</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2">
              <w:r>
                <w:rPr>
                  <w:rFonts w:ascii="Arial" w:cs="Arial" w:eastAsia="Arial" w:hAnsi="Arial"/>
                  <w:sz w:val="17"/>
                  <w:szCs w:val="17"/>
                  <w:color w:val="0000EE"/>
                  <w:w w:val="98"/>
                </w:rPr>
                <w:t>Table of Contents</w:t>
              </w:r>
            </w:hyperlink>
          </w:p>
        </w:tc>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23"/>
        </w:trPr>
        <w:tc>
          <w:tcPr>
            <w:tcW w:w="9220" w:type="dxa"/>
            <w:vAlign w:val="bottom"/>
            <w:gridSpan w:val="9"/>
          </w:tcPr>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 additional shares.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40" w:type="dxa"/>
            <w:vAlign w:val="bottom"/>
            <w:gridSpan w:val="3"/>
          </w:tcPr>
          <w:p>
            <w:pPr>
              <w:jc w:val="right"/>
              <w:ind w:right="495"/>
              <w:spacing w:after="0"/>
              <w:rPr>
                <w:sz w:val="20"/>
                <w:szCs w:val="20"/>
                <w:color w:val="auto"/>
              </w:rPr>
            </w:pPr>
            <w:r>
              <w:rPr>
                <w:rFonts w:ascii="Arial" w:cs="Arial" w:eastAsia="Arial" w:hAnsi="Arial"/>
                <w:sz w:val="17"/>
                <w:szCs w:val="17"/>
                <w:b w:val="1"/>
                <w:bCs w:val="1"/>
                <w:color w:val="auto"/>
              </w:rPr>
              <w:t>Per Share</w:t>
            </w:r>
          </w:p>
        </w:tc>
        <w:tc>
          <w:tcPr>
            <w:tcW w:w="160" w:type="dxa"/>
            <w:vAlign w:val="bottom"/>
          </w:tcPr>
          <w:p>
            <w:pPr>
              <w:spacing w:after="0"/>
              <w:rPr>
                <w:sz w:val="24"/>
                <w:szCs w:val="24"/>
                <w:color w:val="auto"/>
              </w:rPr>
            </w:pPr>
          </w:p>
        </w:tc>
        <w:tc>
          <w:tcPr>
            <w:tcW w:w="2080" w:type="dxa"/>
            <w:vAlign w:val="bottom"/>
            <w:gridSpan w:val="4"/>
          </w:tcPr>
          <w:p>
            <w:pPr>
              <w:ind w:left="780"/>
              <w:spacing w:after="0"/>
              <w:rPr>
                <w:sz w:val="20"/>
                <w:szCs w:val="20"/>
                <w:color w:val="auto"/>
              </w:rPr>
            </w:pPr>
            <w:r>
              <w:rPr>
                <w:rFonts w:ascii="Arial" w:cs="Arial" w:eastAsia="Arial" w:hAnsi="Arial"/>
                <w:sz w:val="17"/>
                <w:szCs w:val="17"/>
                <w:b w:val="1"/>
                <w:bCs w:val="1"/>
                <w:color w:val="auto"/>
              </w:rPr>
              <w:t>Total</w:t>
            </w:r>
          </w:p>
        </w:tc>
      </w:tr>
      <w:tr>
        <w:trPr>
          <w:trHeight w:val="173"/>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w w:val="97"/>
              </w:rPr>
              <w:t>Without</w:t>
            </w: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w w:val="97"/>
              </w:rPr>
              <w:t>With</w:t>
            </w:r>
          </w:p>
        </w:tc>
        <w:tc>
          <w:tcPr>
            <w:tcW w:w="160" w:type="dxa"/>
            <w:vAlign w:val="bottom"/>
          </w:tcPr>
          <w:p>
            <w:pPr>
              <w:spacing w:after="0"/>
              <w:rPr>
                <w:sz w:val="15"/>
                <w:szCs w:val="15"/>
                <w:color w:val="auto"/>
              </w:rPr>
            </w:pPr>
          </w:p>
        </w:tc>
        <w:tc>
          <w:tcPr>
            <w:tcW w:w="1040" w:type="dxa"/>
            <w:vAlign w:val="bottom"/>
            <w:tcBorders>
              <w:top w:val="single" w:sz="8" w:color="auto"/>
            </w:tcBorders>
            <w:gridSpan w:val="2"/>
          </w:tcPr>
          <w:p>
            <w:pPr>
              <w:jc w:val="center"/>
              <w:ind w:right="160"/>
              <w:spacing w:after="0" w:line="173" w:lineRule="exact"/>
              <w:rPr>
                <w:sz w:val="20"/>
                <w:szCs w:val="20"/>
                <w:color w:val="auto"/>
              </w:rPr>
            </w:pPr>
            <w:r>
              <w:rPr>
                <w:rFonts w:ascii="Arial" w:cs="Arial" w:eastAsia="Arial" w:hAnsi="Arial"/>
                <w:sz w:val="17"/>
                <w:szCs w:val="17"/>
                <w:b w:val="1"/>
                <w:bCs w:val="1"/>
                <w:color w:val="auto"/>
              </w:rPr>
              <w:t>Without</w:t>
            </w:r>
          </w:p>
        </w:tc>
        <w:tc>
          <w:tcPr>
            <w:tcW w:w="9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rPr>
              <w:t>With</w:t>
            </w:r>
          </w:p>
        </w:tc>
        <w:tc>
          <w:tcPr>
            <w:tcW w:w="14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rPr>
              <w:t>Option to</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Option to</w:t>
            </w: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Option to</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Option to</w:t>
            </w: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rPr>
              <w:t>Purchase</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99"/>
              </w:rPr>
              <w:t>Purchase</w:t>
            </w: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9"/>
              </w:rPr>
              <w:t>Purchase</w:t>
            </w:r>
          </w:p>
        </w:tc>
        <w:tc>
          <w:tcPr>
            <w:tcW w:w="10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Purchase</w:t>
            </w: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8"/>
              </w:rPr>
              <w:t>Additional</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Additional</w:t>
            </w: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Additional</w:t>
            </w:r>
          </w:p>
        </w:tc>
        <w:tc>
          <w:tcPr>
            <w:tcW w:w="10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8"/>
              </w:rPr>
              <w:t>Additional</w:t>
            </w: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Shares</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4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Public offering price</w:t>
            </w:r>
          </w:p>
        </w:tc>
        <w:tc>
          <w:tcPr>
            <w:tcW w:w="880" w:type="dxa"/>
            <w:vAlign w:val="bottom"/>
            <w:shd w:val="clear" w:color="auto" w:fill="CCEEFF"/>
          </w:tcPr>
          <w:p>
            <w:pPr>
              <w:jc w:val="right"/>
              <w:ind w:right="655"/>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75"/>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75"/>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75"/>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940" w:type="dxa"/>
            <w:vAlign w:val="bottom"/>
            <w:gridSpan w:val="2"/>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65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7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7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tcPr>
          <w:p>
            <w:pPr>
              <w:jc w:val="right"/>
              <w:ind w:right="6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4"/>
          <w:szCs w:val="14"/>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Our common shares are listed on The Nasdaq Global Market under the trading symbol "CLDX".</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an aggregate of</w:t>
      </w:r>
    </w:p>
    <w:p>
      <w:pPr>
        <w:spacing w:after="0" w:line="1" w:lineRule="exact"/>
        <w:rPr>
          <w:sz w:val="20"/>
          <w:szCs w:val="20"/>
          <w:color w:val="auto"/>
        </w:rPr>
      </w:pPr>
    </w:p>
    <w:p>
      <w:pPr>
        <w:ind w:right="80" w:firstLine="1374"/>
        <w:spacing w:after="0" w:line="245" w:lineRule="auto"/>
        <w:rPr>
          <w:sz w:val="20"/>
          <w:szCs w:val="20"/>
          <w:color w:val="auto"/>
        </w:rPr>
      </w:pPr>
      <w:r>
        <w:rPr>
          <w:rFonts w:ascii="Arial" w:cs="Arial" w:eastAsia="Arial" w:hAnsi="Arial"/>
          <w:sz w:val="17"/>
          <w:szCs w:val="17"/>
          <w:color w:val="auto"/>
        </w:rPr>
        <w:t>additional common shares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40"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We, our officers, directors and holders of all or substantially all our outstanding capital shares and other securities have agreed, subject to specified exceptions, not to directly or indirectly:</w:t>
      </w:r>
    </w:p>
    <w:p>
      <w:pPr>
        <w:spacing w:after="0" w:line="232" w:lineRule="exact"/>
        <w:rPr>
          <w:sz w:val="20"/>
          <w:szCs w:val="20"/>
          <w:color w:val="auto"/>
        </w:rPr>
      </w:pPr>
    </w:p>
    <w:p>
      <w:pPr>
        <w:ind w:left="1060" w:hanging="531"/>
        <w:spacing w:after="0" w:line="220" w:lineRule="auto"/>
        <w:tabs>
          <w:tab w:leader="none" w:pos="10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241" w:lineRule="exact"/>
        <w:rPr>
          <w:rFonts w:ascii="Arial" w:cs="Arial" w:eastAsia="Arial" w:hAnsi="Arial"/>
          <w:sz w:val="21"/>
          <w:szCs w:val="21"/>
          <w:color w:val="auto"/>
        </w:rPr>
      </w:pPr>
    </w:p>
    <w:p>
      <w:pPr>
        <w:ind w:left="1060" w:right="120" w:hanging="531"/>
        <w:spacing w:after="0" w:line="220" w:lineRule="auto"/>
        <w:tabs>
          <w:tab w:leader="none" w:pos="10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otherwise dispose of any common shares, options or warrants to acquire common shares, or securities exchangeable or exercisable for or convertible into common shares currently or hereafter owned either of record or beneficially, or</w:t>
      </w:r>
    </w:p>
    <w:p>
      <w:pPr>
        <w:spacing w:after="0" w:line="228" w:lineRule="exact"/>
        <w:rPr>
          <w:rFonts w:ascii="Arial" w:cs="Arial" w:eastAsia="Arial" w:hAnsi="Arial"/>
          <w:sz w:val="21"/>
          <w:szCs w:val="21"/>
          <w:color w:val="auto"/>
        </w:rPr>
      </w:pPr>
    </w:p>
    <w:p>
      <w:pPr>
        <w:ind w:left="1060" w:right="60" w:hanging="531"/>
        <w:spacing w:after="0" w:line="220" w:lineRule="auto"/>
        <w:tabs>
          <w:tab w:leader="none" w:pos="10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publicly announce an intention to do any of the foregoing for a period of 90 days after the date of this prospectus without the prior written consent of Jefferies &amp; Company, Inc.</w:t>
      </w:r>
    </w:p>
    <w:p>
      <w:pPr>
        <w:spacing w:after="0" w:line="202"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This restriction terminates after the close of trading of the common shares on and including the 90 days after the date of this prospectus. However, subject to certain exceptions, in the event that either:</w:t>
      </w:r>
    </w:p>
    <w:p>
      <w:pPr>
        <w:spacing w:after="0" w:line="232" w:lineRule="exact"/>
        <w:rPr>
          <w:sz w:val="20"/>
          <w:szCs w:val="20"/>
          <w:color w:val="auto"/>
        </w:rPr>
      </w:pPr>
    </w:p>
    <w:p>
      <w:pPr>
        <w:ind w:left="1060" w:right="220" w:hanging="531"/>
        <w:spacing w:after="0" w:line="220" w:lineRule="auto"/>
        <w:tabs>
          <w:tab w:leader="none" w:pos="10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during the last 17 days of the 90-day restricted period, we issue an earnings release or material news or a material event relating to us occurs, or</w:t>
      </w:r>
    </w:p>
    <w:p>
      <w:pPr>
        <w:spacing w:after="0" w:line="241" w:lineRule="exact"/>
        <w:rPr>
          <w:rFonts w:ascii="Arial" w:cs="Arial" w:eastAsia="Arial" w:hAnsi="Arial"/>
          <w:sz w:val="21"/>
          <w:szCs w:val="21"/>
          <w:color w:val="auto"/>
        </w:rPr>
      </w:pPr>
    </w:p>
    <w:p>
      <w:pPr>
        <w:ind w:left="1060" w:right="680" w:hanging="531"/>
        <w:spacing w:after="0" w:line="220" w:lineRule="auto"/>
        <w:tabs>
          <w:tab w:leader="none" w:pos="10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prior to the expiration of the 90-day restricted period, we announce that we will release earnings results during the 16-day period beginning on the last day of the 90-day restricted period,</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then in either case the expiration of the 90-day restricted period will be extended until the expiration of the 18-day period beginning on the date of the issuance of an earnings release or the occurrence of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material news or event, as applicable, unless Jefferies &amp; Company, Inc. waives, in writing, such an extension.</w:t>
      </w:r>
    </w:p>
    <w:p>
      <w:pPr>
        <w:spacing w:after="0" w:line="21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Jefferies &amp; Company, Inc. may, in its sole discretion and at any time or from time to time before the termination of the 90-day period, without public notice,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4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underwriters have advised us that, pursuant to Regulation M under the Securities Exchange Act of 1934, as amended, certain persons participating in the offering may engage in transactions, including overallotment, stabilizing bids, syndicate covering transactions or the imposition of penalty bids, which may have the effect of stabilizing or maintaining the market price of the common shares at a level above that which might otherwise prevail in the open market. Overallotment involves syndicate sales in excess of the offering size, which creates a syndicate short position. Establishing short sales positions may involve either "covered" short sales or "naked" short sales.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shares in this offering. The underwriters may close out any covered short position by either exercising their option to purchase additional shares of our common shares or purchasing shares of our common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99"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"Naked" short sales are sales in excess of the option to purchase additional shares of our common shares. The underwriters must close out any naked short position by purchasing shares in the open market. A naked short position is more likely to be created if the underwriters are concerned that there may be downward pressure on the price of the shares of our common shares in the open market after pricing that could adversely affect investors who purchase in this offering.</w:t>
      </w:r>
    </w:p>
    <w:p>
      <w:pPr>
        <w:spacing w:after="0" w:line="198" w:lineRule="exact"/>
        <w:rPr>
          <w:sz w:val="20"/>
          <w:szCs w:val="20"/>
          <w:color w:val="auto"/>
        </w:rPr>
      </w:pPr>
    </w:p>
    <w:p>
      <w:pPr>
        <w:ind w:right="300"/>
        <w:spacing w:after="0" w:line="242" w:lineRule="auto"/>
        <w:rPr>
          <w:sz w:val="20"/>
          <w:szCs w:val="20"/>
          <w:color w:val="auto"/>
        </w:rPr>
      </w:pPr>
      <w:r>
        <w:rPr>
          <w:rFonts w:ascii="Arial" w:cs="Arial" w:eastAsia="Arial" w:hAnsi="Arial"/>
          <w:sz w:val="17"/>
          <w:szCs w:val="17"/>
          <w:color w:val="auto"/>
        </w:rPr>
        <w:t>A stabilizing bid is a bid for the purchase of common shares on behalf of the underwriters for the purpose of fixing or maintaining the price of the common shares. A syndicate covering transaction is the bid for or the purchase of common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our common shares. The underwriters are not obligated to engage in these activities and, if commenced, any of the activities may be discontinued at any time.</w:t>
      </w:r>
    </w:p>
    <w:p>
      <w:pPr>
        <w:spacing w:after="0" w:line="199"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4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Affiliations</w:t>
      </w:r>
    </w:p>
    <w:p>
      <w:pPr>
        <w:spacing w:after="0" w:line="240"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financial advisory and investment banking services for the issuer, for which they received or will receive customary fees and expenses.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certain of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to Investors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Australia</w:t>
      </w:r>
    </w:p>
    <w:p>
      <w:pPr>
        <w:spacing w:after="0" w:line="240"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You confirm and warrant that you are either:</w:t>
      </w:r>
    </w:p>
    <w:p>
      <w:pPr>
        <w:spacing w:after="0" w:line="93" w:lineRule="exact"/>
        <w:rPr>
          <w:sz w:val="20"/>
          <w:szCs w:val="20"/>
          <w:color w:val="auto"/>
        </w:rPr>
      </w:pPr>
    </w:p>
    <w:p>
      <w:pPr>
        <w:ind w:left="1580" w:hanging="526"/>
        <w:spacing w:after="0"/>
        <w:tabs>
          <w:tab w:leader="none" w:pos="15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a "sophisticated investor" under section 708(8)(a) or (b) of the Corporations Act;</w:t>
      </w:r>
    </w:p>
    <w:p>
      <w:pPr>
        <w:spacing w:after="0" w:line="189" w:lineRule="exact"/>
        <w:rPr>
          <w:rFonts w:ascii="Arial" w:cs="Arial" w:eastAsia="Arial" w:hAnsi="Arial"/>
          <w:sz w:val="28"/>
          <w:szCs w:val="28"/>
          <w:color w:val="auto"/>
          <w:vertAlign w:val="superscript"/>
        </w:rPr>
      </w:pPr>
    </w:p>
    <w:p>
      <w:pPr>
        <w:ind w:left="1580" w:right="180" w:hanging="526"/>
        <w:spacing w:after="0" w:line="201" w:lineRule="auto"/>
        <w:tabs>
          <w:tab w:leader="none" w:pos="15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71" w:lineRule="exact"/>
        <w:rPr>
          <w:rFonts w:ascii="Arial" w:cs="Arial" w:eastAsia="Arial" w:hAnsi="Arial"/>
          <w:sz w:val="28"/>
          <w:szCs w:val="28"/>
          <w:color w:val="auto"/>
          <w:vertAlign w:val="superscript"/>
        </w:rPr>
      </w:pPr>
    </w:p>
    <w:p>
      <w:pPr>
        <w:ind w:left="1580" w:hanging="526"/>
        <w:spacing w:after="0"/>
        <w:tabs>
          <w:tab w:leader="none" w:pos="15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"professional investor" within the meaning of section 708(11)(a) or (b) of the Corporations Act.</w:t>
      </w:r>
    </w:p>
    <w:p>
      <w:pPr>
        <w:spacing w:after="0" w:line="202" w:lineRule="exact"/>
        <w:rPr>
          <w:sz w:val="20"/>
          <w:szCs w:val="20"/>
          <w:color w:val="auto"/>
        </w:rPr>
      </w:pPr>
    </w:p>
    <w:p>
      <w:pPr>
        <w:ind w:left="1060" w:right="180"/>
        <w:spacing w:after="0" w:line="252"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93" w:lineRule="exact"/>
        <w:rPr>
          <w:sz w:val="20"/>
          <w:szCs w:val="20"/>
          <w:color w:val="auto"/>
        </w:rPr>
      </w:pPr>
    </w:p>
    <w:p>
      <w:pPr>
        <w:jc w:val="both"/>
        <w:ind w:left="1060" w:right="360"/>
        <w:spacing w:after="0" w:line="246" w:lineRule="auto"/>
        <w:rPr>
          <w:sz w:val="20"/>
          <w:szCs w:val="20"/>
          <w:color w:val="auto"/>
        </w:rPr>
      </w:pPr>
      <w:r>
        <w:rPr>
          <w:rFonts w:ascii="Arial" w:cs="Arial" w:eastAsia="Arial" w:hAnsi="Arial"/>
          <w:sz w:val="17"/>
          <w:szCs w:val="17"/>
          <w:color w:val="auto"/>
        </w:rPr>
        <w:t>You warrant and agree that you will not offer any of the shares issued to you pursuant to this prospectus for resale in Australia within 12 months of those shares being issued unless any such resale offer is exempt from the requirement to issue a disclosure document under section 708 of the Corporations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any securities which are the subject of the offering contemplated by this prospectus has been or will be made to the public in that Relevant Member State other than any offer where a prospectus has been or will be published in relation to such securities that has been approved by the competent authority in that Relevant Member State or, where appropriate, approved in another Relevant Member State and notified to the relevant competent authority in that Relevant Member State in accordance with the Prospectus Directive, except that with effect from and including the Relevant Implementation Date, an offer of such securities may be made to the public in that Relevant Member State:</w:t>
      </w:r>
    </w:p>
    <w:p>
      <w:pPr>
        <w:spacing w:after="0" w:line="201"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10" w:lineRule="exact"/>
        <w:rPr>
          <w:rFonts w:ascii="Arial" w:cs="Arial" w:eastAsia="Arial" w:hAnsi="Arial"/>
          <w:sz w:val="17"/>
          <w:szCs w:val="17"/>
          <w:color w:val="auto"/>
        </w:rPr>
      </w:pPr>
    </w:p>
    <w:p>
      <w:pPr>
        <w:ind w:left="520" w:right="120" w:hanging="515"/>
        <w:spacing w:after="0" w:line="24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85" w:lineRule="exact"/>
        <w:rPr>
          <w:rFonts w:ascii="Arial" w:cs="Arial" w:eastAsia="Arial" w:hAnsi="Arial"/>
          <w:sz w:val="17"/>
          <w:szCs w:val="17"/>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1"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193"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4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20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Japan</w:t>
      </w:r>
    </w:p>
    <w:p>
      <w:pPr>
        <w:spacing w:after="0" w:line="24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Singapore</w:t>
      </w:r>
    </w:p>
    <w:p>
      <w:pPr>
        <w:spacing w:after="0" w:line="24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the public or any member of the public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as defined under Section 275(2), or any person pursuant to Section 275(1A) of the SFA, and in accordance with the conditions, specified in Section 275 of the SFA, or (iii) otherwise pursuant to, and in accordance with the conditions of any other applicable provision of the SFA.</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211" w:lineRule="exact"/>
        <w:rPr>
          <w:sz w:val="20"/>
          <w:szCs w:val="20"/>
          <w:color w:val="auto"/>
        </w:rPr>
      </w:pPr>
    </w:p>
    <w:p>
      <w:pPr>
        <w:ind w:left="520" w:right="40" w:hanging="515"/>
        <w:spacing w:after="0" w:line="252"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192" w:lineRule="exact"/>
        <w:rPr>
          <w:rFonts w:ascii="Arial" w:cs="Arial" w:eastAsia="Arial" w:hAnsi="Arial"/>
          <w:sz w:val="17"/>
          <w:szCs w:val="17"/>
          <w:color w:val="auto"/>
        </w:rPr>
      </w:pPr>
    </w:p>
    <w:p>
      <w:pPr>
        <w:ind w:left="520" w:right="660" w:hanging="515"/>
        <w:spacing w:after="0" w:line="252"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in that trust shall not be transferable for six months after that corporation or that trust has acquired the Offer Shares under Section 275 of the SFA except:</w:t>
      </w:r>
    </w:p>
    <w:p>
      <w:pPr>
        <w:spacing w:after="0" w:line="193" w:lineRule="exact"/>
        <w:rPr>
          <w:sz w:val="20"/>
          <w:szCs w:val="20"/>
          <w:color w:val="auto"/>
        </w:rPr>
      </w:pPr>
    </w:p>
    <w:p>
      <w:pPr>
        <w:ind w:left="520" w:right="40" w:hanging="515"/>
        <w:spacing w:after="0" w:line="244"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6" w:lineRule="exact"/>
        <w:rPr>
          <w:rFonts w:ascii="Arial" w:cs="Arial" w:eastAsia="Arial" w:hAnsi="Arial"/>
          <w:sz w:val="17"/>
          <w:szCs w:val="17"/>
          <w:color w:val="auto"/>
        </w:rPr>
      </w:pPr>
    </w:p>
    <w:p>
      <w:pPr>
        <w:ind w:left="520" w:hanging="515"/>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where no consideration is given for the transfer; or</w:t>
      </w:r>
    </w:p>
    <w:p>
      <w:pPr>
        <w:spacing w:after="0" w:line="210" w:lineRule="exact"/>
        <w:rPr>
          <w:rFonts w:ascii="Arial" w:cs="Arial" w:eastAsia="Arial" w:hAnsi="Arial"/>
          <w:sz w:val="17"/>
          <w:szCs w:val="17"/>
          <w:color w:val="auto"/>
        </w:rPr>
      </w:pPr>
    </w:p>
    <w:p>
      <w:pPr>
        <w:ind w:left="520" w:hanging="515"/>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Switzerland</w:t>
      </w:r>
    </w:p>
    <w:p>
      <w:pPr>
        <w:spacing w:after="0" w:line="24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Kingdom</w:t>
      </w:r>
    </w:p>
    <w:p>
      <w:pPr>
        <w:spacing w:after="0" w:line="24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40"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Lowenstein Sandler PC, Roseland, New Jersey, will provide us with an opinion as to the validity of the shares of common stock offered by this prospectus supplement and the accompanying prospectus. This opinion may be conditioned upon and may be subject to assumptions regarding future actions required to be taken by us and any underwriters, dealers or agents in connection with the issuance and sale of the securities. Dewey &amp; LeBoeuf LLP, New York, New York, is counsel for the underwriters in connection with this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40"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2010 have been so incorporated in reliance on the report of PricewaterhouseCoopers LLP, an independent registered public accounting firm, given on the authority of said firm as experts in auditing and accounting.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4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have also filed a registration statement on Form S-3, including exhibits, under the Securities Act with respect to the securities offered by this prospectus supplement and the accompanying prospectus. This prospectus supplement and the accompanying prospectus are a part of the registration statement but do not contain all of the information included in the registration statement or the exhibits. You may read and copy the registration statement and any other document that we file at the SEC's public reference room at 100 F Street, N.E., Room 1580, Washington D.C. 20549. You can call the SEC at 1-800-SEC-0330 for further information on the operation of the public reference room. You can also find our public filings with the SEC on the Internet at a web site maintained by the SEC located at http://www.sec.gov.</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Incorporation of Documents by Reference</w:t>
      </w:r>
    </w:p>
    <w:p>
      <w:pPr>
        <w:spacing w:after="0" w:line="24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SEC allows us to "incorporate by reference" information from other documents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common stock being offered pursuant to this prospectus supplement.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205"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2010, filed on March 9, 2011;</w:t>
      </w:r>
    </w:p>
    <w:p>
      <w:pPr>
        <w:spacing w:after="0" w:line="210" w:lineRule="exact"/>
        <w:rPr>
          <w:rFonts w:ascii="Arial" w:cs="Arial" w:eastAsia="Arial" w:hAnsi="Arial"/>
          <w:sz w:val="17"/>
          <w:szCs w:val="17"/>
          <w:color w:val="auto"/>
        </w:rPr>
      </w:pPr>
    </w:p>
    <w:p>
      <w:pPr>
        <w:ind w:left="520" w:right="240" w:hanging="515"/>
        <w:spacing w:after="0" w:line="252"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Quarterly Reports on Form 10-Q for the quarterly periods ending March 31, 2011, filed on May 5, 2011, June 30, 2011, filed on August 4, 2011, and September 30, 2011, filed on November 3, 2011;</w:t>
      </w:r>
    </w:p>
    <w:p>
      <w:pPr>
        <w:spacing w:after="0" w:line="179" w:lineRule="exact"/>
        <w:rPr>
          <w:rFonts w:ascii="Arial" w:cs="Arial" w:eastAsia="Arial" w:hAnsi="Arial"/>
          <w:sz w:val="17"/>
          <w:szCs w:val="17"/>
          <w:color w:val="auto"/>
        </w:rPr>
      </w:pPr>
    </w:p>
    <w:p>
      <w:pPr>
        <w:ind w:left="520" w:hanging="515"/>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Current Reports on Form 8-K filed on January 6, 2011, May 18, 2011, June 16, 2011, July 6, 2011 and February 23, 2012; and</w:t>
      </w:r>
    </w:p>
    <w:p>
      <w:pPr>
        <w:spacing w:after="0" w:line="197" w:lineRule="exact"/>
        <w:rPr>
          <w:rFonts w:ascii="Arial" w:cs="Arial" w:eastAsia="Arial" w:hAnsi="Arial"/>
          <w:sz w:val="17"/>
          <w:szCs w:val="17"/>
          <w:color w:val="auto"/>
        </w:rPr>
      </w:pPr>
    </w:p>
    <w:p>
      <w:pPr>
        <w:ind w:left="520" w:right="40" w:hanging="515"/>
        <w:spacing w:after="0" w:line="252"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on November 8, 2004, as amended by Form 8-A/A filed on October 22, 2007 and March 7, 2008.</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all documents subsequently filed by us pursuant to Section 13(a), 13(c), 14 or 15(d) of the Securities Exchange Act of 1934, as amended, before the date our offering is terminated or complete, are deemed to be incorporated by reference into, and to be a part of, this prospectus supplement and the accompanying prospectus.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You may request a copy of these filings, at no cost, by writing to or telephoning us at the following address: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Corporate Secretary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Celldex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 Fourth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Needham, Massachusetts 02494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(781) 433-0771</w:t>
      </w:r>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31"/>
          <w:szCs w:val="31"/>
          <w:b w:val="1"/>
          <w:bCs w:val="1"/>
          <w:color w:val="auto"/>
        </w:rPr>
        <w:t>CELLDEX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157480</wp:posOffset>
            </wp:positionV>
            <wp:extent cx="1906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$150,000,000</w:t>
      </w:r>
    </w:p>
    <w:p>
      <w:pPr>
        <w:spacing w:after="0" w:line="209"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auto"/>
        </w:rPr>
        <w:t>Common Stock</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Preferred Stock</w:t>
      </w:r>
    </w:p>
    <w:p>
      <w:pPr>
        <w:jc w:val="center"/>
        <w:ind w:right="-39"/>
        <w:spacing w:after="0"/>
        <w:rPr>
          <w:sz w:val="20"/>
          <w:szCs w:val="20"/>
          <w:color w:val="auto"/>
        </w:rPr>
      </w:pPr>
      <w:r>
        <w:rPr>
          <w:rFonts w:ascii="Arial" w:cs="Arial" w:eastAsia="Arial" w:hAnsi="Arial"/>
          <w:sz w:val="24"/>
          <w:szCs w:val="24"/>
          <w:b w:val="1"/>
          <w:bCs w:val="1"/>
          <w:color w:val="auto"/>
        </w:rPr>
        <w:t>Warrants</w:t>
      </w:r>
    </w:p>
    <w:p>
      <w:pPr>
        <w:jc w:val="center"/>
        <w:ind w:right="-39"/>
        <w:spacing w:after="0"/>
        <w:rPr>
          <w:sz w:val="20"/>
          <w:szCs w:val="20"/>
          <w:color w:val="auto"/>
        </w:rPr>
      </w:pPr>
      <w:r>
        <w:rPr>
          <w:rFonts w:ascii="Arial" w:cs="Arial" w:eastAsia="Arial" w:hAnsi="Arial"/>
          <w:sz w:val="24"/>
          <w:szCs w:val="24"/>
          <w:b w:val="1"/>
          <w:bCs w:val="1"/>
          <w:color w:val="auto"/>
        </w:rPr>
        <w:t>Depositary Shares</w:t>
      </w: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133350</wp:posOffset>
            </wp:positionV>
            <wp:extent cx="1906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Celldex Therapeutics, Inc. may offer, issue and sell from time to time, together or separately, in one or more offerings, any combination of (i) our common stock,</w:t>
      </w:r>
    </w:p>
    <w:p>
      <w:pPr>
        <w:spacing w:after="0" w:line="43" w:lineRule="exact"/>
        <w:rPr>
          <w:sz w:val="20"/>
          <w:szCs w:val="20"/>
          <w:color w:val="auto"/>
        </w:rPr>
      </w:pPr>
    </w:p>
    <w:p>
      <w:pPr>
        <w:ind w:right="340" w:firstLine="5"/>
        <w:spacing w:after="0" w:line="275" w:lineRule="auto"/>
        <w:tabs>
          <w:tab w:leader="none" w:pos="2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preferred stock, which we may issue in one or more series, (iii) warrants, (iv) depositary shares and (v) units, up to a maximum aggregate offering price of $150,000,000.</w:t>
      </w:r>
    </w:p>
    <w:p>
      <w:pPr>
        <w:spacing w:after="0" w:line="175"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may offer and sell these securities in amounts, at prices and on terms determined at the time of the offering. We will provide the specific terms of these securities in supplements to this prospectus. You should read this prospectus and the accompanying prospectus supplement, as well as the documents incorporated or deemed incorporated by reference in this prospectus, carefully before you make your investment decision. Our common stock is traded on the NASDAQ Global Select Market System under the symbol "CLDX." On March 31, 2010, the last reported sale price of our common stock on the NASDAQ Global Select Market System was $6.14 per share. You are urged to obtain current market quotations of the common stock. Each prospectus supplement will indicate if the securities offered thereby will be listed on any securities exchange.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prospectus may not be used to sell securities unless accompanied by a prospectus supplement.</w:t>
      </w:r>
    </w:p>
    <w:p>
      <w:pPr>
        <w:spacing w:after="0" w:line="224"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We may offer to sell these securities on a continuous or delayed basis, through agents, dealers or underwriters, or directly to purchasers. The prospectus supplement for each offering of securities will describe in detail the plan of distribution for that offering. If our agents or any dealers or underwriters are involved in the sale of the securities, the applicable prospectus supplement will set forth the names of the agents, dealers or underwriters and any applicable commissions or discounts. Our net proceeds from the sale of securities will also be set forth in the applicable prospectus supplement. For general information about the distribution of securities offered, please see "Plan of Distribution" in this prospectus.</w:t>
      </w:r>
    </w:p>
    <w:p>
      <w:pPr>
        <w:spacing w:after="0" w:line="183" w:lineRule="exact"/>
        <w:rPr>
          <w:sz w:val="20"/>
          <w:szCs w:val="20"/>
          <w:color w:val="auto"/>
        </w:rPr>
      </w:pPr>
    </w:p>
    <w:p>
      <w:pPr>
        <w:ind w:right="280" w:firstLine="341"/>
        <w:spacing w:after="0" w:line="287" w:lineRule="auto"/>
        <w:rPr>
          <w:sz w:val="20"/>
          <w:szCs w:val="20"/>
          <w:color w:val="auto"/>
        </w:rPr>
      </w:pPr>
      <w:r>
        <w:rPr>
          <w:rFonts w:ascii="Arial" w:cs="Arial" w:eastAsia="Arial" w:hAnsi="Arial"/>
          <w:sz w:val="17"/>
          <w:szCs w:val="17"/>
          <w:b w:val="1"/>
          <w:bCs w:val="1"/>
          <w:color w:val="auto"/>
        </w:rPr>
        <w:t>Investing in our securities involves risks. You should carefully review the information contained in this prospectus under the heading "Risk Factors" beginning on page 9 of this prospectus.</w:t>
      </w:r>
    </w:p>
    <w:p>
      <w:pPr>
        <w:spacing w:after="0" w:line="162" w:lineRule="exact"/>
        <w:rPr>
          <w:sz w:val="20"/>
          <w:szCs w:val="20"/>
          <w:color w:val="auto"/>
        </w:rPr>
      </w:pPr>
    </w:p>
    <w:p>
      <w:pPr>
        <w:ind w:firstLine="341"/>
        <w:spacing w:after="0" w:line="27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OR REGULATORY BODY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date of this prospectus is April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8360" w:type="dxa"/>
            <w:vAlign w:val="bottom"/>
            <w:gridSpan w:val="17"/>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4"/>
          </w:tcPr>
          <w:p>
            <w:pPr>
              <w:ind w:left="20"/>
              <w:spacing w:after="0"/>
              <w:rPr>
                <w:sz w:val="20"/>
                <w:szCs w:val="20"/>
                <w:color w:val="auto"/>
              </w:rPr>
            </w:pPr>
            <w:r>
              <w:rPr>
                <w:rFonts w:ascii="Arial" w:cs="Arial" w:eastAsia="Arial" w:hAnsi="Arial"/>
                <w:sz w:val="17"/>
                <w:szCs w:val="17"/>
                <w:b w:val="1"/>
                <w:bCs w:val="1"/>
                <w:color w:val="auto"/>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PROSPECTUS SUMMARY</w:t>
              </w:r>
            </w:hyperlink>
          </w:p>
        </w:tc>
        <w:tc>
          <w:tcPr>
            <w:tcW w:w="192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SPECIAL NOTE REGARDING FORWARD-LOOKING STATEMENTS</w:t>
              </w:r>
            </w:hyperlink>
          </w:p>
        </w:tc>
        <w:tc>
          <w:tcPr>
            <w:tcW w:w="192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7"/>
                <w:szCs w:val="17"/>
                <w:color w:val="0000EE"/>
                <w:w w:val="87"/>
              </w:rPr>
            </w:pPr>
            <w:hyperlink w:anchor="page47">
              <w:r>
                <w:rPr>
                  <w:rFonts w:ascii="Arial" w:cs="Arial" w:eastAsia="Arial" w:hAnsi="Arial"/>
                  <w:sz w:val="17"/>
                  <w:szCs w:val="17"/>
                  <w:color w:val="0000EE"/>
                  <w:w w:val="87"/>
                </w:rPr>
                <w:t>RISK FACTORS</w:t>
              </w:r>
            </w:hyperlink>
          </w:p>
        </w:tc>
        <w:tc>
          <w:tcPr>
            <w:tcW w:w="3860" w:type="dxa"/>
            <w:vAlign w:val="bottom"/>
            <w:gridSpan w:val="13"/>
          </w:tcPr>
          <w:p>
            <w:pPr>
              <w:spacing w:after="0"/>
              <w:rPr>
                <w:sz w:val="24"/>
                <w:szCs w:val="24"/>
                <w:color w:val="auto"/>
              </w:rPr>
            </w:pPr>
          </w:p>
        </w:tc>
        <w:tc>
          <w:tcPr>
            <w:tcW w:w="2160" w:type="dxa"/>
            <w:vAlign w:val="bottom"/>
          </w:tcPr>
          <w:p>
            <w:pPr>
              <w:spacing w:after="0"/>
              <w:rPr>
                <w:sz w:val="24"/>
                <w:szCs w:val="24"/>
                <w:color w:val="auto"/>
              </w:rPr>
            </w:pPr>
          </w:p>
        </w:tc>
        <w:tc>
          <w:tcPr>
            <w:tcW w:w="1920" w:type="dxa"/>
            <w:vAlign w:val="bottom"/>
            <w:gridSpan w:val="3"/>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RATIOS OF EARNINGS TO FIXED CHARGES</w:t>
              </w:r>
            </w:hyperlink>
          </w:p>
        </w:tc>
        <w:tc>
          <w:tcPr>
            <w:tcW w:w="1920" w:type="dxa"/>
            <w:vAlign w:val="bottom"/>
            <w:gridSpan w:val="3"/>
          </w:tcPr>
          <w:p>
            <w:pPr>
              <w:jc w:val="right"/>
              <w:spacing w:after="0"/>
              <w:rPr>
                <w:rFonts w:ascii="Arial" w:cs="Arial" w:eastAsia="Arial" w:hAnsi="Arial"/>
                <w:sz w:val="17"/>
                <w:szCs w:val="17"/>
                <w:color w:val="0000EE"/>
              </w:rPr>
            </w:pPr>
            <w:hyperlink w:anchor="page60">
              <w:r>
                <w:rPr>
                  <w:rFonts w:ascii="Arial" w:cs="Arial" w:eastAsia="Arial" w:hAnsi="Arial"/>
                  <w:sz w:val="17"/>
                  <w:szCs w:val="17"/>
                  <w:color w:val="0000EE"/>
                </w:rPr>
                <w:t>22</w:t>
              </w:r>
            </w:hyperlink>
          </w:p>
        </w:tc>
      </w:tr>
      <w:tr>
        <w:trPr>
          <w:trHeight w:val="399"/>
        </w:trPr>
        <w:tc>
          <w:tcPr>
            <w:tcW w:w="1220" w:type="dxa"/>
            <w:vAlign w:val="bottom"/>
          </w:tcPr>
          <w:p>
            <w:pPr>
              <w:spacing w:after="0"/>
              <w:rPr>
                <w:sz w:val="24"/>
                <w:szCs w:val="24"/>
                <w:color w:val="auto"/>
              </w:rPr>
            </w:pPr>
          </w:p>
        </w:tc>
        <w:tc>
          <w:tcPr>
            <w:tcW w:w="3340" w:type="dxa"/>
            <w:vAlign w:val="bottom"/>
            <w:tcBorders>
              <w:top w:val="single" w:sz="8" w:color="0000EE"/>
            </w:tcBorders>
            <w:gridSpan w:val="11"/>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USE OF PROCEEDS</w:t>
              </w:r>
            </w:hyperlink>
          </w:p>
        </w:tc>
        <w:tc>
          <w:tcPr>
            <w:tcW w:w="380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0">
              <w:r>
                <w:rPr>
                  <w:rFonts w:ascii="Arial" w:cs="Arial" w:eastAsia="Arial" w:hAnsi="Arial"/>
                  <w:sz w:val="17"/>
                  <w:szCs w:val="17"/>
                  <w:color w:val="0000EE"/>
                  <w:w w:val="84"/>
                </w:rPr>
                <w:t>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DESCRIPTIONS OF SECURITIES WE MAY OFFER</w:t>
              </w:r>
            </w:hyperlink>
          </w:p>
        </w:tc>
        <w:tc>
          <w:tcPr>
            <w:tcW w:w="1920" w:type="dxa"/>
            <w:vAlign w:val="bottom"/>
            <w:gridSpan w:val="3"/>
          </w:tcPr>
          <w:p>
            <w:pPr>
              <w:jc w:val="right"/>
              <w:spacing w:after="0"/>
              <w:rPr>
                <w:rFonts w:ascii="Arial" w:cs="Arial" w:eastAsia="Arial" w:hAnsi="Arial"/>
                <w:sz w:val="17"/>
                <w:szCs w:val="17"/>
                <w:color w:val="0000EE"/>
              </w:rPr>
            </w:pPr>
            <w:hyperlink w:anchor="page60">
              <w:r>
                <w:rPr>
                  <w:rFonts w:ascii="Arial" w:cs="Arial" w:eastAsia="Arial" w:hAnsi="Arial"/>
                  <w:sz w:val="17"/>
                  <w:szCs w:val="17"/>
                  <w:color w:val="0000EE"/>
                </w:rPr>
                <w:t>22</w:t>
              </w:r>
            </w:hyperlink>
          </w:p>
        </w:tc>
      </w:tr>
      <w:tr>
        <w:trPr>
          <w:trHeight w:val="399"/>
        </w:trPr>
        <w:tc>
          <w:tcPr>
            <w:tcW w:w="1220" w:type="dxa"/>
            <w:vAlign w:val="bottom"/>
          </w:tcPr>
          <w:p>
            <w:pPr>
              <w:spacing w:after="0"/>
              <w:rPr>
                <w:sz w:val="24"/>
                <w:szCs w:val="24"/>
                <w:color w:val="auto"/>
              </w:rPr>
            </w:pPr>
          </w:p>
        </w:tc>
        <w:tc>
          <w:tcPr>
            <w:tcW w:w="3700" w:type="dxa"/>
            <w:vAlign w:val="bottom"/>
            <w:tcBorders>
              <w:top w:val="single" w:sz="8" w:color="0000EE"/>
            </w:tcBorders>
            <w:gridSpan w:val="13"/>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DESCRIPTION OF COMMON STOCK</w:t>
              </w:r>
            </w:hyperlink>
          </w:p>
        </w:tc>
        <w:tc>
          <w:tcPr>
            <w:tcW w:w="344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1">
              <w:r>
                <w:rPr>
                  <w:rFonts w:ascii="Arial" w:cs="Arial" w:eastAsia="Arial" w:hAnsi="Arial"/>
                  <w:sz w:val="17"/>
                  <w:szCs w:val="17"/>
                  <w:color w:val="0000EE"/>
                  <w:w w:val="84"/>
                </w:rPr>
                <w:t>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DESCRIPTION OF PREFERRED STOCK</w:t>
              </w:r>
            </w:hyperlink>
          </w:p>
        </w:tc>
        <w:tc>
          <w:tcPr>
            <w:tcW w:w="1920" w:type="dxa"/>
            <w:vAlign w:val="bottom"/>
            <w:gridSpan w:val="3"/>
          </w:tcPr>
          <w:p>
            <w:pPr>
              <w:jc w:val="right"/>
              <w:spacing w:after="0"/>
              <w:rPr>
                <w:rFonts w:ascii="Arial" w:cs="Arial" w:eastAsia="Arial" w:hAnsi="Arial"/>
                <w:sz w:val="17"/>
                <w:szCs w:val="17"/>
                <w:color w:val="0000EE"/>
              </w:rPr>
            </w:pPr>
            <w:hyperlink w:anchor="page62">
              <w:r>
                <w:rPr>
                  <w:rFonts w:ascii="Arial" w:cs="Arial" w:eastAsia="Arial" w:hAnsi="Arial"/>
                  <w:sz w:val="17"/>
                  <w:szCs w:val="17"/>
                  <w:color w:val="0000EE"/>
                </w:rPr>
                <w:t>24</w:t>
              </w:r>
            </w:hyperlink>
          </w:p>
        </w:tc>
      </w:tr>
      <w:tr>
        <w:trPr>
          <w:trHeight w:val="399"/>
        </w:trPr>
        <w:tc>
          <w:tcPr>
            <w:tcW w:w="12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1"/>
              </w:rPr>
            </w:pPr>
            <w:hyperlink w:anchor="page64">
              <w:r>
                <w:rPr>
                  <w:rFonts w:ascii="Arial" w:cs="Arial" w:eastAsia="Arial" w:hAnsi="Arial"/>
                  <w:sz w:val="17"/>
                  <w:szCs w:val="17"/>
                  <w:color w:val="0000EE"/>
                  <w:w w:val="91"/>
                </w:rPr>
                <w:t>DESCRIPTION OF WARRANTS</w:t>
              </w:r>
            </w:hyperlink>
          </w:p>
        </w:tc>
        <w:tc>
          <w:tcPr>
            <w:tcW w:w="620" w:type="dxa"/>
            <w:vAlign w:val="bottom"/>
            <w:tcBorders>
              <w:top w:val="single" w:sz="8" w:color="0000EE"/>
            </w:tcBorders>
            <w:gridSpan w:val="2"/>
          </w:tcPr>
          <w:p>
            <w:pPr>
              <w:spacing w:after="0"/>
              <w:rPr>
                <w:sz w:val="24"/>
                <w:szCs w:val="24"/>
                <w:color w:val="auto"/>
              </w:rPr>
            </w:pPr>
          </w:p>
        </w:tc>
        <w:tc>
          <w:tcPr>
            <w:tcW w:w="424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26</w:t>
              </w:r>
            </w:hyperlink>
          </w:p>
        </w:tc>
      </w:tr>
      <w:tr>
        <w:trPr>
          <w:trHeight w:val="399"/>
        </w:trPr>
        <w:tc>
          <w:tcPr>
            <w:tcW w:w="122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7"/>
                <w:szCs w:val="17"/>
                <w:color w:val="0000EE"/>
                <w:w w:val="91"/>
              </w:rPr>
            </w:pPr>
            <w:hyperlink w:anchor="page66">
              <w:r>
                <w:rPr>
                  <w:rFonts w:ascii="Arial" w:cs="Arial" w:eastAsia="Arial" w:hAnsi="Arial"/>
                  <w:sz w:val="17"/>
                  <w:szCs w:val="17"/>
                  <w:color w:val="0000EE"/>
                  <w:w w:val="91"/>
                </w:rPr>
                <w:t>DESCRIPTION OF DEPOSITARY SHARES</w:t>
              </w:r>
            </w:hyperlink>
          </w:p>
        </w:tc>
        <w:tc>
          <w:tcPr>
            <w:tcW w:w="406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6">
              <w:r>
                <w:rPr>
                  <w:rFonts w:ascii="Arial" w:cs="Arial" w:eastAsia="Arial" w:hAnsi="Arial"/>
                  <w:sz w:val="17"/>
                  <w:szCs w:val="17"/>
                  <w:color w:val="0000EE"/>
                  <w:w w:val="84"/>
                </w:rPr>
                <w:t>28</w:t>
              </w:r>
            </w:hyperlink>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DESCRIPTION OF UNITS</w:t>
              </w:r>
            </w:hyperlink>
          </w:p>
        </w:tc>
        <w:tc>
          <w:tcPr>
            <w:tcW w:w="1920" w:type="dxa"/>
            <w:vAlign w:val="bottom"/>
            <w:gridSpan w:val="3"/>
          </w:tcPr>
          <w:p>
            <w:pPr>
              <w:jc w:val="right"/>
              <w:spacing w:after="0"/>
              <w:rPr>
                <w:rFonts w:ascii="Arial" w:cs="Arial" w:eastAsia="Arial" w:hAnsi="Arial"/>
                <w:sz w:val="17"/>
                <w:szCs w:val="17"/>
                <w:color w:val="0000EE"/>
              </w:rPr>
            </w:pPr>
            <w:hyperlink w:anchor="page67">
              <w:r>
                <w:rPr>
                  <w:rFonts w:ascii="Arial" w:cs="Arial" w:eastAsia="Arial" w:hAnsi="Arial"/>
                  <w:sz w:val="17"/>
                  <w:szCs w:val="17"/>
                  <w:color w:val="0000EE"/>
                </w:rPr>
                <w:t>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7"/>
                <w:szCs w:val="17"/>
                <w:color w:val="0000EE"/>
                <w:w w:val="94"/>
              </w:rPr>
            </w:pPr>
            <w:hyperlink w:anchor="page67">
              <w:r>
                <w:rPr>
                  <w:rFonts w:ascii="Arial" w:cs="Arial" w:eastAsia="Arial" w:hAnsi="Arial"/>
                  <w:sz w:val="17"/>
                  <w:szCs w:val="17"/>
                  <w:color w:val="0000EE"/>
                  <w:w w:val="94"/>
                </w:rPr>
                <w:t>PLAN OF DISTRIBUTION</w:t>
              </w:r>
            </w:hyperlink>
          </w:p>
        </w:tc>
        <w:tc>
          <w:tcPr>
            <w:tcW w:w="5240" w:type="dxa"/>
            <w:vAlign w:val="bottom"/>
            <w:gridSpan w:val="10"/>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7">
              <w:r>
                <w:rPr>
                  <w:rFonts w:ascii="Arial" w:cs="Arial" w:eastAsia="Arial" w:hAnsi="Arial"/>
                  <w:sz w:val="17"/>
                  <w:szCs w:val="17"/>
                  <w:color w:val="0000EE"/>
                  <w:w w:val="84"/>
                </w:rPr>
                <w:t>29</w:t>
              </w:r>
            </w:hyperlink>
          </w:p>
        </w:tc>
      </w:tr>
      <w:tr>
        <w:trPr>
          <w:trHeight w:val="399"/>
        </w:trPr>
        <w:tc>
          <w:tcPr>
            <w:tcW w:w="1220" w:type="dxa"/>
            <w:vAlign w:val="bottom"/>
          </w:tcPr>
          <w:p>
            <w:pPr>
              <w:spacing w:after="0"/>
              <w:rPr>
                <w:sz w:val="24"/>
                <w:szCs w:val="24"/>
                <w:color w:val="auto"/>
              </w:rPr>
            </w:pPr>
          </w:p>
        </w:tc>
        <w:tc>
          <w:tcPr>
            <w:tcW w:w="4720" w:type="dxa"/>
            <w:vAlign w:val="bottom"/>
            <w:tcBorders>
              <w:bottom w:val="single" w:sz="8" w:color="0000EE"/>
            </w:tcBorders>
            <w:gridSpan w:val="14"/>
          </w:tcPr>
          <w:p>
            <w:pPr>
              <w:spacing w:after="0"/>
              <w:rPr>
                <w:rFonts w:ascii="Arial" w:cs="Arial" w:eastAsia="Arial" w:hAnsi="Arial"/>
                <w:sz w:val="17"/>
                <w:szCs w:val="17"/>
                <w:color w:val="0000EE"/>
                <w:w w:val="93"/>
              </w:rPr>
            </w:pPr>
            <w:hyperlink w:anchor="page69">
              <w:r>
                <w:rPr>
                  <w:rFonts w:ascii="Arial" w:cs="Arial" w:eastAsia="Arial" w:hAnsi="Arial"/>
                  <w:sz w:val="17"/>
                  <w:szCs w:val="17"/>
                  <w:color w:val="0000EE"/>
                  <w:w w:val="93"/>
                </w:rPr>
                <w:t>INCORPORATION OF CERTAIN DOCUMENTS BY REFERENCE</w:t>
              </w:r>
            </w:hyperlink>
          </w:p>
        </w:tc>
        <w:tc>
          <w:tcPr>
            <w:tcW w:w="242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9">
              <w:r>
                <w:rPr>
                  <w:rFonts w:ascii="Arial" w:cs="Arial" w:eastAsia="Arial" w:hAnsi="Arial"/>
                  <w:sz w:val="17"/>
                  <w:szCs w:val="17"/>
                  <w:color w:val="0000EE"/>
                  <w:w w:val="84"/>
                </w:rPr>
                <w:t>31</w:t>
              </w:r>
            </w:hyperlink>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LEGAL MATTERS</w:t>
              </w:r>
            </w:hyperlink>
          </w:p>
        </w:tc>
        <w:tc>
          <w:tcPr>
            <w:tcW w:w="1920" w:type="dxa"/>
            <w:vAlign w:val="bottom"/>
            <w:gridSpan w:val="3"/>
          </w:tcPr>
          <w:p>
            <w:pPr>
              <w:jc w:val="right"/>
              <w:spacing w:after="0"/>
              <w:rPr>
                <w:rFonts w:ascii="Arial" w:cs="Arial" w:eastAsia="Arial" w:hAnsi="Arial"/>
                <w:sz w:val="17"/>
                <w:szCs w:val="17"/>
                <w:color w:val="0000EE"/>
              </w:rPr>
            </w:pPr>
            <w:hyperlink w:anchor="page70">
              <w:r>
                <w:rPr>
                  <w:rFonts w:ascii="Arial" w:cs="Arial" w:eastAsia="Arial" w:hAnsi="Arial"/>
                  <w:sz w:val="17"/>
                  <w:szCs w:val="17"/>
                  <w:color w:val="0000EE"/>
                </w:rPr>
                <w:t>32</w:t>
              </w:r>
            </w:hyperlink>
          </w:p>
        </w:tc>
      </w:tr>
      <w:tr>
        <w:trPr>
          <w:trHeight w:val="399"/>
        </w:trPr>
        <w:tc>
          <w:tcPr>
            <w:tcW w:w="1220" w:type="dxa"/>
            <w:vAlign w:val="bottom"/>
          </w:tcPr>
          <w:p>
            <w:pPr>
              <w:spacing w:after="0"/>
              <w:rPr>
                <w:sz w:val="24"/>
                <w:szCs w:val="24"/>
                <w:color w:val="auto"/>
              </w:rPr>
            </w:pPr>
          </w:p>
        </w:tc>
        <w:tc>
          <w:tcPr>
            <w:tcW w:w="1300" w:type="dxa"/>
            <w:vAlign w:val="bottom"/>
            <w:tcBorders>
              <w:top w:val="single" w:sz="8" w:color="0000EE"/>
            </w:tcBorders>
            <w:gridSpan w:val="3"/>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EXPERTS</w:t>
              </w:r>
            </w:hyperlink>
          </w:p>
        </w:tc>
        <w:tc>
          <w:tcPr>
            <w:tcW w:w="584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70">
              <w:r>
                <w:rPr>
                  <w:rFonts w:ascii="Arial" w:cs="Arial" w:eastAsia="Arial" w:hAnsi="Arial"/>
                  <w:sz w:val="17"/>
                  <w:szCs w:val="17"/>
                  <w:color w:val="0000EE"/>
                  <w:w w:val="84"/>
                </w:rPr>
                <w:t>32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7140" w:type="dxa"/>
            <w:vAlign w:val="bottom"/>
            <w:gridSpan w:val="16"/>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WHERE YOU CAN FIND MORE INFORMATION</w:t>
              </w:r>
            </w:hyperlink>
          </w:p>
        </w:tc>
        <w:tc>
          <w:tcPr>
            <w:tcW w:w="1920" w:type="dxa"/>
            <w:vAlign w:val="bottom"/>
            <w:gridSpan w:val="3"/>
          </w:tcPr>
          <w:p>
            <w:pPr>
              <w:jc w:val="right"/>
              <w:spacing w:after="0"/>
              <w:rPr>
                <w:rFonts w:ascii="Arial" w:cs="Arial" w:eastAsia="Arial" w:hAnsi="Arial"/>
                <w:sz w:val="17"/>
                <w:szCs w:val="17"/>
                <w:color w:val="0000EE"/>
              </w:rPr>
            </w:pPr>
            <w:hyperlink w:anchor="page71">
              <w:r>
                <w:rPr>
                  <w:rFonts w:ascii="Arial" w:cs="Arial" w:eastAsia="Arial" w:hAnsi="Arial"/>
                  <w:sz w:val="17"/>
                  <w:szCs w:val="17"/>
                  <w:color w:val="0000EE"/>
                </w:rPr>
                <w:t>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6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firstLine="341"/>
        <w:spacing w:after="0" w:line="313" w:lineRule="auto"/>
        <w:rPr>
          <w:sz w:val="20"/>
          <w:szCs w:val="20"/>
          <w:color w:val="auto"/>
        </w:rPr>
      </w:pPr>
      <w:r>
        <w:rPr>
          <w:rFonts w:ascii="Arial" w:cs="Arial" w:eastAsia="Arial" w:hAnsi="Arial"/>
          <w:sz w:val="15"/>
          <w:szCs w:val="15"/>
          <w:b w:val="1"/>
          <w:bCs w:val="1"/>
          <w:color w:val="auto"/>
        </w:rPr>
        <w:t>We have not authorized any person to give any information or make any statement that differs from what is in this prospectus. If any person does make a statement that differs from what is in this prospectus, you should not rely on it. This prospectus is not an offer to sell, nor is it a solicitation of an offer to buy, these securities in any state in which the offer or sale is not permitted. The information in this prospectus is complete and accurate as of its date, but the information may change after that date. You should not assume that the information in this prospectus is accurate as of any date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66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PROSPECTUS SUMMARY</w:t>
      </w:r>
    </w:p>
    <w:p>
      <w:pPr>
        <w:spacing w:after="0" w:line="224" w:lineRule="exact"/>
        <w:rPr>
          <w:sz w:val="20"/>
          <w:szCs w:val="20"/>
          <w:color w:val="auto"/>
        </w:rPr>
      </w:pPr>
    </w:p>
    <w:p>
      <w:pPr>
        <w:ind w:right="160" w:firstLine="338"/>
        <w:spacing w:after="0" w:line="352" w:lineRule="auto"/>
        <w:rPr>
          <w:sz w:val="20"/>
          <w:szCs w:val="20"/>
          <w:color w:val="auto"/>
        </w:rPr>
      </w:pPr>
      <w:r>
        <w:rPr>
          <w:rFonts w:ascii="Arial" w:cs="Arial" w:eastAsia="Arial" w:hAnsi="Arial"/>
          <w:sz w:val="15"/>
          <w:szCs w:val="15"/>
          <w:color w:val="auto"/>
        </w:rPr>
        <w:t>This prospectus is a part of a registration statement that we filed with the Securities and Exchange Commission, or the SEC, utilizing a "shelf" registration process. Under this shelf registration process, we may, from time to time, sell any combination of the securities described in this prospectus in one or more offerings.</w:t>
      </w:r>
    </w:p>
    <w:p>
      <w:pPr>
        <w:spacing w:after="0" w:line="123"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 xml:space="preserve">The registration statement containing this prospectus, including the exhibits to the registration statement, provides additional information about us and the securities offered under this prospectus. You should read the registration statement and the accompanying exhibits for further information. The registration statement, including the exhibits and the documents incorporated or deemed incorporated herein by reference, can be read and are available to the public over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described under the heading "Where You Can Find More Information."</w:t>
      </w:r>
    </w:p>
    <w:p>
      <w:pPr>
        <w:spacing w:after="0" w:line="169"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Each time we sell securities pursuant to this prospectus, we will provide a prospectus supplement containing specific information about the terms of a particular offering by us. That prospectus supplement may include a discussion of any risk factors or other special considerations that apply to those securities. The prospectus supplement may add, update or change information in this prospectus. If the information in the prospectus is inconsistent with a prospectus supplement, you should rely on the information in that prospectus supplement. You should read both this prospectus and, if applicable, any prospectus supplement. See "Where You Can Find More Information" for more information.</w:t>
      </w:r>
    </w:p>
    <w:p>
      <w:pPr>
        <w:spacing w:after="0" w:line="187" w:lineRule="exact"/>
        <w:rPr>
          <w:sz w:val="20"/>
          <w:szCs w:val="20"/>
          <w:color w:val="auto"/>
        </w:rPr>
      </w:pPr>
    </w:p>
    <w:p>
      <w:pPr>
        <w:ind w:right="40" w:firstLine="338"/>
        <w:spacing w:after="0" w:line="27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or any prospectus supplement. You must not rely upon any information or representation not contained or incorporated by reference in this prospectus or any prospectus supplement. This prospectus and any prospectus supplement do not constitute an offer to sell or the solicitation of an offer to buy any securities other than the registered securities to which they relate, nor do this prospectus and any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or any prospectus supplement is accurate on any date subsequent to the date set forth on the front of such document or that any information we have incorporated by reference is correct on any date subsequent to the date of the document incorporated by reference, even though this prospectus and any prospectus supplement is delivered or securities are sold on a later date.</w:t>
      </w:r>
    </w:p>
    <w:p>
      <w:pPr>
        <w:spacing w:after="0" w:line="177" w:lineRule="exact"/>
        <w:rPr>
          <w:sz w:val="20"/>
          <w:szCs w:val="20"/>
          <w:color w:val="auto"/>
        </w:rPr>
      </w:pPr>
    </w:p>
    <w:p>
      <w:pPr>
        <w:jc w:val="both"/>
        <w:ind w:right="160" w:firstLine="341"/>
        <w:spacing w:after="0" w:line="322" w:lineRule="auto"/>
        <w:rPr>
          <w:sz w:val="20"/>
          <w:szCs w:val="20"/>
          <w:color w:val="auto"/>
        </w:rPr>
      </w:pPr>
      <w:r>
        <w:rPr>
          <w:rFonts w:ascii="Arial" w:cs="Arial" w:eastAsia="Arial" w:hAnsi="Arial"/>
          <w:sz w:val="15"/>
          <w:szCs w:val="15"/>
          <w:i w:val="1"/>
          <w:iCs w:val="1"/>
          <w:color w:val="auto"/>
        </w:rPr>
        <w:t>Unless this prospectus indicates otherwise or the context otherwise requires, the terms "we," "our," "us," "Celldex" or the "Company" as used in this prospectus refer to Celldex Therapeutics, Inc. and its subsidiaries, except that such terms refer to only Celldex Therapeutics, Inc. and not its subsidiaries in the sections entitled "Description of Common Stock," "Description of Preferred Stock," "Description of Warrants," "Description of Depositary Shares," and "Description of Units."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Overview</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79" w:lineRule="exact"/>
        <w:rPr>
          <w:sz w:val="20"/>
          <w:szCs w:val="20"/>
          <w:color w:val="auto"/>
        </w:rPr>
      </w:pPr>
    </w:p>
    <w:p>
      <w:pPr>
        <w:ind w:right="440" w:firstLine="341"/>
        <w:spacing w:after="0" w:line="270" w:lineRule="auto"/>
        <w:rPr>
          <w:sz w:val="20"/>
          <w:szCs w:val="20"/>
          <w:color w:val="auto"/>
        </w:rPr>
      </w:pPr>
      <w:r>
        <w:rPr>
          <w:rFonts w:ascii="Arial" w:cs="Arial" w:eastAsia="Arial" w:hAnsi="Arial"/>
          <w:sz w:val="17"/>
          <w:szCs w:val="17"/>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March 7, 2008, a wholly-owned subsidiary of Celldex (formerly named AVANT Immunotherapeutics, Inc.) merged into Celldex Research Corporation (formerly named Celldex Therapeutics, Inc.), which was then a privately-held company. Through that merger, Celldex acquired a therapeutic cancer vaccine candidate, known as CDX-110, which is currently in Phase 2 development for the treatment of glioblastoma multiforme.</w:t>
      </w:r>
    </w:p>
    <w:p>
      <w:pPr>
        <w:spacing w:after="0" w:line="17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October 1, 2009, a wholly-owned subsidiary of Celldex (which we refer to as the Merger Sub), merged with and into CuraGen Corporation ("CuraGen"), which we refer to as the CuraGen Merger, in accordance with the Agreement and Plan of Merger, dated May 28, 2009, among CuraGen, Merger Sub and Celldex, which we refer to as the Merger Agreement. As a result of the Merger, CuraGen became a wholly-owned subsidiary of Celldex. Through the CuraGen Merger, Celldex acquired over $70 million in cash, cash equivalents and marketable securities and an antibody drug candidate, known as CDX-011, which is currently in Phase 2 development for treatment of metastatic melanoma and breast cancer.</w:t>
      </w:r>
    </w:p>
    <w:p>
      <w:pPr>
        <w:spacing w:after="0" w:line="187"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On December 31, 2009, CuraGen merged into Celldex and, as a result of the merger, Celldex succeeded to all of CuraGen's assets and liabilities and the separate existence of CuraGen ceased.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Programs and Partnerships</w:t>
      </w:r>
    </w:p>
    <w:p>
      <w:pPr>
        <w:spacing w:after="0" w:line="224"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Our goal is to become a leading developer of innovative products that we call Precision Targeted Immunotherapeutics which are designed to address major unmet health care needs. Most of our products are derived from a broad set of complementary technologies (collectively known as our Precision Targeted Immunotherapy Platform). This platform includes monoclonal antibodies, antibody-targeted vaccines, antibody-drug conjugates and immunomodulators to create novel disease-specific drugs. We are using our Precision Targeted Immunotherapy Platform to develop targeted immunotherapies that prevent or treat specific forms of cancer, autoimmune disorders and disease caused by infectious organisms. We expect that a large percentage of our research and development expenses will be incurred in support of our current and future clinical trial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includes the programs that we currently believe are material to our business: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Product (generic)</w:t>
            </w:r>
          </w:p>
        </w:tc>
        <w:tc>
          <w:tcPr>
            <w:tcW w:w="1000" w:type="dxa"/>
            <w:vAlign w:val="bottom"/>
          </w:tcPr>
          <w:p>
            <w:pPr>
              <w:spacing w:after="0"/>
              <w:rPr>
                <w:sz w:val="13"/>
                <w:szCs w:val="13"/>
                <w:color w:val="auto"/>
              </w:rPr>
            </w:pPr>
          </w:p>
        </w:tc>
        <w:tc>
          <w:tcPr>
            <w:tcW w:w="3840" w:type="dxa"/>
            <w:vAlign w:val="bottom"/>
            <w:tcBorders>
              <w:bottom w:val="single" w:sz="8" w:color="auto"/>
            </w:tcBorders>
          </w:tcPr>
          <w:p>
            <w:pPr>
              <w:ind w:left="1480"/>
              <w:spacing w:after="0"/>
              <w:rPr>
                <w:sz w:val="20"/>
                <w:szCs w:val="20"/>
                <w:color w:val="auto"/>
              </w:rPr>
            </w:pPr>
            <w:r>
              <w:rPr>
                <w:rFonts w:ascii="Arial" w:cs="Arial" w:eastAsia="Arial" w:hAnsi="Arial"/>
                <w:sz w:val="13"/>
                <w:szCs w:val="13"/>
                <w:b w:val="1"/>
                <w:bCs w:val="1"/>
                <w:color w:val="auto"/>
              </w:rPr>
              <w:t>Indication/Field</w:t>
            </w:r>
          </w:p>
        </w:tc>
        <w:tc>
          <w:tcPr>
            <w:tcW w:w="180" w:type="dxa"/>
            <w:vAlign w:val="bottom"/>
          </w:tcPr>
          <w:p>
            <w:pPr>
              <w:spacing w:after="0"/>
              <w:rPr>
                <w:sz w:val="13"/>
                <w:szCs w:val="13"/>
                <w:color w:val="auto"/>
              </w:rPr>
            </w:pPr>
          </w:p>
        </w:tc>
        <w:tc>
          <w:tcPr>
            <w:tcW w:w="186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Partner</w:t>
            </w:r>
          </w:p>
        </w:tc>
        <w:tc>
          <w:tcPr>
            <w:tcW w:w="180" w:type="dxa"/>
            <w:vAlign w:val="bottom"/>
          </w:tcPr>
          <w:p>
            <w:pPr>
              <w:spacing w:after="0"/>
              <w:rPr>
                <w:sz w:val="13"/>
                <w:szCs w:val="13"/>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Status</w:t>
            </w:r>
          </w:p>
        </w:tc>
      </w:tr>
      <w:tr>
        <w:trPr>
          <w:trHeight w:val="203"/>
        </w:trPr>
        <w:tc>
          <w:tcPr>
            <w:tcW w:w="1140" w:type="dxa"/>
            <w:vAlign w:val="bottom"/>
          </w:tcPr>
          <w:p>
            <w:pPr>
              <w:spacing w:after="0"/>
              <w:rPr>
                <w:sz w:val="17"/>
                <w:szCs w:val="17"/>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CLINICAL</w:t>
            </w:r>
          </w:p>
        </w:tc>
        <w:tc>
          <w:tcPr>
            <w:tcW w:w="3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1140" w:type="dxa"/>
            <w:vAlign w:val="bottom"/>
          </w:tcPr>
          <w:p>
            <w:pPr>
              <w:spacing w:after="0"/>
              <w:rPr>
                <w:sz w:val="17"/>
                <w:szCs w:val="17"/>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color w:val="auto"/>
              </w:rPr>
              <w:t>CDX-110</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Arial" w:cs="Arial" w:eastAsia="Arial" w:hAnsi="Arial"/>
                <w:sz w:val="17"/>
                <w:szCs w:val="17"/>
                <w:color w:val="auto"/>
              </w:rPr>
              <w:t>(rindopepimut)</w:t>
            </w:r>
          </w:p>
        </w:tc>
        <w:tc>
          <w:tcPr>
            <w:tcW w:w="3840" w:type="dxa"/>
            <w:vAlign w:val="bottom"/>
          </w:tcPr>
          <w:p>
            <w:pPr>
              <w:spacing w:after="0"/>
              <w:rPr>
                <w:sz w:val="20"/>
                <w:szCs w:val="20"/>
                <w:color w:val="auto"/>
              </w:rPr>
            </w:pPr>
            <w:r>
              <w:rPr>
                <w:rFonts w:ascii="Arial" w:cs="Arial" w:eastAsia="Arial" w:hAnsi="Arial"/>
                <w:sz w:val="17"/>
                <w:szCs w:val="17"/>
                <w:color w:val="auto"/>
              </w:rPr>
              <w:t>Glioblastoma multiforme</w:t>
            </w:r>
          </w:p>
        </w:tc>
        <w:tc>
          <w:tcPr>
            <w:tcW w:w="18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7"/>
                <w:szCs w:val="17"/>
                <w:color w:val="auto"/>
              </w:rPr>
              <w:t>Pfizer (PF-4948568)</w:t>
            </w:r>
          </w:p>
        </w:tc>
        <w:tc>
          <w:tcPr>
            <w:tcW w:w="960" w:type="dxa"/>
            <w:vAlign w:val="bottom"/>
          </w:tcPr>
          <w:p>
            <w:pPr>
              <w:spacing w:after="0"/>
              <w:rPr>
                <w:sz w:val="20"/>
                <w:szCs w:val="20"/>
                <w:color w:val="auto"/>
              </w:rPr>
            </w:pPr>
            <w:r>
              <w:rPr>
                <w:rFonts w:ascii="Arial" w:cs="Arial" w:eastAsia="Arial" w:hAnsi="Arial"/>
                <w:sz w:val="17"/>
                <w:szCs w:val="17"/>
                <w:color w:val="auto"/>
              </w:rPr>
              <w:t>Phase 2b</w:t>
            </w:r>
          </w:p>
        </w:tc>
      </w:tr>
      <w:tr>
        <w:trPr>
          <w:trHeight w:val="202"/>
        </w:trPr>
        <w:tc>
          <w:tcPr>
            <w:tcW w:w="1140" w:type="dxa"/>
            <w:vAlign w:val="bottom"/>
          </w:tcPr>
          <w:p>
            <w:pPr>
              <w:spacing w:after="0"/>
              <w:rPr>
                <w:sz w:val="17"/>
                <w:szCs w:val="17"/>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CDX-011</w:t>
            </w:r>
          </w:p>
        </w:tc>
        <w:tc>
          <w:tcPr>
            <w:tcW w:w="3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(glembatumumab</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8"/>
        </w:trPr>
        <w:tc>
          <w:tcPr>
            <w:tcW w:w="1140" w:type="dxa"/>
            <w:vAlign w:val="bottom"/>
          </w:tcPr>
          <w:p>
            <w:pPr>
              <w:spacing w:after="0"/>
              <w:rPr>
                <w:sz w:val="18"/>
                <w:szCs w:val="18"/>
                <w:color w:val="auto"/>
              </w:rPr>
            </w:pPr>
          </w:p>
        </w:tc>
        <w:tc>
          <w:tcPr>
            <w:tcW w:w="2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vedotin)</w:t>
            </w: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Metastatic melanoma and breast cancer</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Phase 2</w:t>
            </w:r>
          </w:p>
        </w:tc>
      </w:tr>
      <w:tr>
        <w:trPr>
          <w:trHeight w:val="201"/>
        </w:trPr>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Colorectal, bladder, pancreas, ovarian and breast</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color w:val="auto"/>
              </w:rPr>
              <w:t>CDX-1307</w:t>
            </w:r>
          </w:p>
        </w:tc>
        <w:tc>
          <w:tcPr>
            <w:tcW w:w="3840" w:type="dxa"/>
            <w:vAlign w:val="bottom"/>
          </w:tcPr>
          <w:p>
            <w:pPr>
              <w:spacing w:after="0"/>
              <w:rPr>
                <w:sz w:val="20"/>
                <w:szCs w:val="20"/>
                <w:color w:val="auto"/>
              </w:rPr>
            </w:pPr>
            <w:r>
              <w:rPr>
                <w:rFonts w:ascii="Arial" w:cs="Arial" w:eastAsia="Arial" w:hAnsi="Arial"/>
                <w:sz w:val="17"/>
                <w:szCs w:val="17"/>
                <w:color w:val="auto"/>
              </w:rPr>
              <w:t>tumors</w:t>
            </w:r>
          </w:p>
        </w:tc>
        <w:tc>
          <w:tcPr>
            <w:tcW w:w="18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r>
              <w:rPr>
                <w:rFonts w:ascii="Arial" w:cs="Arial" w:eastAsia="Arial" w:hAnsi="Arial"/>
                <w:sz w:val="17"/>
                <w:szCs w:val="17"/>
                <w:color w:val="auto"/>
              </w:rPr>
              <w:t>Phase 1</w:t>
            </w:r>
          </w:p>
        </w:tc>
      </w:tr>
      <w:tr>
        <w:trPr>
          <w:trHeight w:val="211"/>
        </w:trPr>
        <w:tc>
          <w:tcPr>
            <w:tcW w:w="1140" w:type="dxa"/>
            <w:vAlign w:val="bottom"/>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CDX-1401</w:t>
            </w: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Multiple solid tumors</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Phase 1/2</w:t>
            </w:r>
          </w:p>
        </w:tc>
      </w:tr>
      <w:tr>
        <w:trPr>
          <w:trHeight w:val="210"/>
        </w:trPr>
        <w:tc>
          <w:tcPr>
            <w:tcW w:w="114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color w:val="auto"/>
              </w:rPr>
              <w:t>CDX-1135</w:t>
            </w:r>
          </w:p>
        </w:tc>
        <w:tc>
          <w:tcPr>
            <w:tcW w:w="3840" w:type="dxa"/>
            <w:vAlign w:val="bottom"/>
          </w:tcPr>
          <w:p>
            <w:pPr>
              <w:spacing w:after="0"/>
              <w:rPr>
                <w:sz w:val="20"/>
                <w:szCs w:val="20"/>
                <w:color w:val="auto"/>
              </w:rPr>
            </w:pPr>
            <w:r>
              <w:rPr>
                <w:rFonts w:ascii="Arial" w:cs="Arial" w:eastAsia="Arial" w:hAnsi="Arial"/>
                <w:sz w:val="17"/>
                <w:szCs w:val="17"/>
                <w:color w:val="auto"/>
              </w:rPr>
              <w:t>Renal disease</w:t>
            </w:r>
          </w:p>
        </w:tc>
        <w:tc>
          <w:tcPr>
            <w:tcW w:w="18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r>
              <w:rPr>
                <w:rFonts w:ascii="Arial" w:cs="Arial" w:eastAsia="Arial" w:hAnsi="Arial"/>
                <w:sz w:val="17"/>
                <w:szCs w:val="17"/>
                <w:color w:val="auto"/>
              </w:rPr>
              <w:t>Phase 1/2</w:t>
            </w:r>
          </w:p>
        </w:tc>
      </w:tr>
      <w:tr>
        <w:trPr>
          <w:trHeight w:val="419"/>
        </w:trPr>
        <w:tc>
          <w:tcPr>
            <w:tcW w:w="1140" w:type="dxa"/>
            <w:vAlign w:val="bottom"/>
          </w:tcPr>
          <w:p>
            <w:pPr>
              <w:spacing w:after="0"/>
              <w:rPr>
                <w:sz w:val="24"/>
                <w:szCs w:val="24"/>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PRECLINICAL</w:t>
            </w:r>
          </w:p>
        </w:tc>
        <w:tc>
          <w:tcPr>
            <w:tcW w:w="3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color w:val="auto"/>
              </w:rPr>
              <w:t>CDX-301</w:t>
            </w:r>
          </w:p>
        </w:tc>
        <w:tc>
          <w:tcPr>
            <w:tcW w:w="3840" w:type="dxa"/>
            <w:vAlign w:val="bottom"/>
          </w:tcPr>
          <w:p>
            <w:pPr>
              <w:spacing w:after="0"/>
              <w:rPr>
                <w:sz w:val="20"/>
                <w:szCs w:val="20"/>
                <w:color w:val="auto"/>
              </w:rPr>
            </w:pPr>
            <w:r>
              <w:rPr>
                <w:rFonts w:ascii="Arial" w:cs="Arial" w:eastAsia="Arial" w:hAnsi="Arial"/>
                <w:sz w:val="17"/>
                <w:szCs w:val="17"/>
                <w:color w:val="auto"/>
              </w:rPr>
              <w:t>Cancer, autoimmune disease and transplant</w:t>
            </w:r>
          </w:p>
        </w:tc>
        <w:tc>
          <w:tcPr>
            <w:tcW w:w="18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r>
              <w:rPr>
                <w:rFonts w:ascii="Arial" w:cs="Arial" w:eastAsia="Arial" w:hAnsi="Arial"/>
                <w:sz w:val="17"/>
                <w:szCs w:val="17"/>
                <w:color w:val="auto"/>
              </w:rPr>
              <w:t>Preclinical</w:t>
            </w:r>
          </w:p>
        </w:tc>
      </w:tr>
      <w:tr>
        <w:trPr>
          <w:trHeight w:val="210"/>
        </w:trPr>
        <w:tc>
          <w:tcPr>
            <w:tcW w:w="1140" w:type="dxa"/>
            <w:vAlign w:val="bottom"/>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CDX-1127</w:t>
            </w: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Immuno-modulation, multiple tumors</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Preclinical</w:t>
            </w:r>
          </w:p>
        </w:tc>
      </w:tr>
      <w:tr>
        <w:trPr>
          <w:trHeight w:val="210"/>
        </w:trPr>
        <w:tc>
          <w:tcPr>
            <w:tcW w:w="114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color w:val="auto"/>
              </w:rPr>
              <w:t>CDX-014</w:t>
            </w:r>
          </w:p>
        </w:tc>
        <w:tc>
          <w:tcPr>
            <w:tcW w:w="3840" w:type="dxa"/>
            <w:vAlign w:val="bottom"/>
          </w:tcPr>
          <w:p>
            <w:pPr>
              <w:spacing w:after="0"/>
              <w:rPr>
                <w:sz w:val="20"/>
                <w:szCs w:val="20"/>
                <w:color w:val="auto"/>
              </w:rPr>
            </w:pPr>
            <w:r>
              <w:rPr>
                <w:rFonts w:ascii="Arial" w:cs="Arial" w:eastAsia="Arial" w:hAnsi="Arial"/>
                <w:sz w:val="17"/>
                <w:szCs w:val="17"/>
                <w:color w:val="auto"/>
              </w:rPr>
              <w:t>Renal and ovarian cancer</w:t>
            </w:r>
          </w:p>
        </w:tc>
        <w:tc>
          <w:tcPr>
            <w:tcW w:w="18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r>
              <w:rPr>
                <w:rFonts w:ascii="Arial" w:cs="Arial" w:eastAsia="Arial" w:hAnsi="Arial"/>
                <w:sz w:val="17"/>
                <w:szCs w:val="17"/>
                <w:color w:val="auto"/>
              </w:rPr>
              <w:t>Preclinical</w:t>
            </w:r>
          </w:p>
        </w:tc>
      </w:tr>
      <w:tr>
        <w:trPr>
          <w:trHeight w:val="210"/>
        </w:trPr>
        <w:tc>
          <w:tcPr>
            <w:tcW w:w="1140" w:type="dxa"/>
            <w:vAlign w:val="bottom"/>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CDX-1189</w:t>
            </w: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Renal disease</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Preclinical</w:t>
            </w:r>
          </w:p>
        </w:tc>
      </w:tr>
      <w:tr>
        <w:trPr>
          <w:trHeight w:val="407"/>
        </w:trPr>
        <w:tc>
          <w:tcPr>
            <w:tcW w:w="114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b w:val="1"/>
                <w:bCs w:val="1"/>
                <w:color w:val="auto"/>
              </w:rPr>
              <w:t>MARKETED</w:t>
            </w: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1"/>
        </w:trPr>
        <w:tc>
          <w:tcPr>
            <w:tcW w:w="1140" w:type="dxa"/>
            <w:vAlign w:val="bottom"/>
          </w:tcPr>
          <w:p>
            <w:pPr>
              <w:spacing w:after="0"/>
              <w:rPr>
                <w:sz w:val="19"/>
                <w:szCs w:val="19"/>
                <w:color w:val="auto"/>
              </w:rPr>
            </w:pPr>
          </w:p>
        </w:tc>
        <w:tc>
          <w:tcPr>
            <w:tcW w:w="2100" w:type="dxa"/>
            <w:vAlign w:val="bottom"/>
            <w:gridSpan w:val="2"/>
          </w:tcPr>
          <w:p>
            <w:pPr>
              <w:ind w:left="180"/>
              <w:spacing w:after="0"/>
              <w:rPr>
                <w:sz w:val="20"/>
                <w:szCs w:val="20"/>
                <w:color w:val="auto"/>
              </w:rPr>
            </w:pPr>
            <w:r>
              <w:rPr>
                <w:rFonts w:ascii="Arial" w:cs="Arial" w:eastAsia="Arial" w:hAnsi="Arial"/>
                <w:sz w:val="17"/>
                <w:szCs w:val="17"/>
                <w:b w:val="1"/>
                <w:bCs w:val="1"/>
                <w:color w:val="auto"/>
              </w:rPr>
              <w:t>PRODUCTS</w:t>
            </w:r>
          </w:p>
        </w:tc>
        <w:tc>
          <w:tcPr>
            <w:tcW w:w="3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Rotarix®</w:t>
            </w: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Rotavirus infection</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GlaxoSmithKline</w:t>
            </w: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Marketed</w:t>
            </w:r>
          </w:p>
        </w:tc>
      </w:tr>
      <w:tr>
        <w:trPr>
          <w:trHeight w:val="417"/>
        </w:trPr>
        <w:tc>
          <w:tcPr>
            <w:tcW w:w="3240" w:type="dxa"/>
            <w:vAlign w:val="bottom"/>
            <w:gridSpan w:val="3"/>
          </w:tcPr>
          <w:p>
            <w:pPr>
              <w:spacing w:after="0"/>
              <w:rPr>
                <w:sz w:val="20"/>
                <w:szCs w:val="20"/>
                <w:color w:val="auto"/>
              </w:rPr>
            </w:pPr>
            <w:r>
              <w:rPr>
                <w:rFonts w:ascii="Arial" w:cs="Arial" w:eastAsia="Arial" w:hAnsi="Arial"/>
                <w:sz w:val="17"/>
                <w:szCs w:val="17"/>
                <w:b w:val="1"/>
                <w:bCs w:val="1"/>
                <w:color w:val="auto"/>
              </w:rPr>
              <w:t>Clinical Development Programs</w:t>
            </w: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CDX-110</w:t>
      </w:r>
    </w:p>
    <w:p>
      <w:pPr>
        <w:spacing w:after="0" w:line="224"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Our lead clinical development program, CDX-110,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87" w:lineRule="exact"/>
        <w:rPr>
          <w:sz w:val="20"/>
          <w:szCs w:val="20"/>
          <w:color w:val="auto"/>
        </w:rPr>
      </w:pPr>
    </w:p>
    <w:p>
      <w:pPr>
        <w:jc w:val="both"/>
        <w:ind w:right="300" w:firstLine="341"/>
        <w:spacing w:after="0" w:line="270" w:lineRule="auto"/>
        <w:rPr>
          <w:sz w:val="20"/>
          <w:szCs w:val="20"/>
          <w:color w:val="auto"/>
        </w:rPr>
      </w:pPr>
      <w:r>
        <w:rPr>
          <w:rFonts w:ascii="Arial" w:cs="Arial" w:eastAsia="Arial" w:hAnsi="Arial"/>
          <w:sz w:val="17"/>
          <w:szCs w:val="17"/>
          <w:color w:val="auto"/>
        </w:rPr>
        <w:t>In April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CDX-011</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CDX-011 (formerly CR011-vcMMAE)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CDX-1307</w:t>
      </w:r>
    </w:p>
    <w:p>
      <w:pPr>
        <w:spacing w:after="0" w:line="224"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CDX-1401</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CDX-1401 is a fusion protein consisting of a fully human monoclonal antibody with specificity for the dendritic cell receptor, DEC-205, linked to the NY-ESO-1 tumor antigen. In humans, NY-ESO-1 has been detected in 20 - 30%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CDX-1135</w:t>
      </w:r>
    </w:p>
    <w:p>
      <w:pPr>
        <w:spacing w:after="0" w:line="224"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Development Programs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CDX-301</w:t>
      </w:r>
    </w:p>
    <w:p>
      <w:pPr>
        <w:spacing w:after="0" w:line="224"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CDX-1127</w:t>
      </w:r>
    </w:p>
    <w:p>
      <w:pPr>
        <w:spacing w:after="0" w:line="224"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We have entered into a License Agreement with the University of Southampton, UK, to develop human antibodies to CD27, a potentially important target for immunotherapy of various cancers.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evaluating new human monoclonal antibodies in preclinical models.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CDX-014</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CDX-014 (formerly CR014-vcMMAE)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CDX-1189</w:t>
      </w:r>
    </w:p>
    <w:p>
      <w:pPr>
        <w:spacing w:after="0" w:line="22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We are developing therapeutic human antibodies to a signaling molecule known as CD89 or Fca receptor type I (FcaRI). CD89 is 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Marketed Products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Rotavirus Vaccine</w:t>
      </w:r>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Rotavirus is a major cause of diarrhea and vomiting in infants and children. In 1997, we licensed our oral rotavirus strain to GlaxoSmithKline, or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Information</w:t>
      </w:r>
    </w:p>
    <w:p>
      <w:pPr>
        <w:spacing w:after="0" w:line="224"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 xml:space="preserve">We are a Delaware corporation organized in 1983. The principal executive offices of Celldex are located at 119 Fourth Avenue, Needham, Massachusetts 02494 and its telephone number is (781) 433-0771. Our corporate website is </w:t>
      </w:r>
      <w:r>
        <w:rPr>
          <w:rFonts w:ascii="Arial" w:cs="Arial" w:eastAsia="Arial" w:hAnsi="Arial"/>
          <w:sz w:val="17"/>
          <w:szCs w:val="17"/>
          <w:i w:val="1"/>
          <w:iCs w:val="1"/>
          <w:color w:val="auto"/>
        </w:rPr>
        <w:t>www.celldextherapeutics.com</w:t>
      </w:r>
      <w:r>
        <w:rPr>
          <w:rFonts w:ascii="Arial" w:cs="Arial" w:eastAsia="Arial" w:hAnsi="Arial"/>
          <w:sz w:val="17"/>
          <w:szCs w:val="17"/>
          <w:color w:val="auto"/>
        </w:rPr>
        <w:t>. The information on our website is not incorporated by reference into this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SPECIAL NOTE REGARDING FORWARD-LOOKING STATEMENTS</w:t>
      </w:r>
    </w:p>
    <w:p>
      <w:pPr>
        <w:spacing w:after="0" w:line="224"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This prospectus, including the documents that we incorporate by reference, contains forward-looking statements within the meaning of Section 27A of the Securities Act of 1933 and Section 21E of the Securities Exchange Act of 1934. Any statements about our expectations, beliefs, plans, objectives, assumptions or future events or performance are not historical facts and may be forward-looking. These statements are often, but not always, made through the use of words or phrases such as "anticipate," "estimate," "plans," "projects," "continuing," "ongoing," "expects," "management believes," "we believe," "we intend" and similar words or phrases. Accordingly, these statements involve estimates, assumptions and uncertainties, which could cause actual results to differ materially from those expressed in them. Any forward-looking statements are qualified in their entirety by reference to the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risk factors discussed in this prospectus or discussed in documents incorporated by reference in this prospectus.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Forward-looking statements are subject to known and unknown risks and uncertainties, which change over time, and are based on management's expectations and assumptions at the time the statements are made, and are not guarantees of future results. Our actual results may differ materially from those expressed or anticipated in the forward-looking statements for many reasons including the factors described in the section entitled "Risk Factors" in this prospectus and in any risk factors described in a supplement to this prospectus or in other filings.</w:t>
      </w:r>
    </w:p>
    <w:p>
      <w:pPr>
        <w:spacing w:after="0" w:line="185"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You are cautioned not to place undue reliance on these forward-looking statements, which speak only as of the date on which they were made. We undertake no obligation to publicly revise any forward-looking statement to reflect circumstances or events after the date of this prospectus or to reflect the occurrence of unanticipated events. You should, however, review the factors and risks we describe in the reports we file from time to time with the SEC after the date of this prospectus. We undertake no obligation to revise or update the forward-looking statements contained in this prospectus at any time. All forward-looking statements are qualified in their entirety by this cautionary 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i w:val="1"/>
          <w:iCs w:val="1"/>
          <w:color w:val="auto"/>
        </w:rPr>
        <w:t>An investment in our securities involves risks. Before making an investment decision, you should carefully consider the risks described under "Risk Factors" in this prospectus as well as the applicable prospectus supplement and in our most recent Annual Report on Form 10-K, and in our updates to those Risk Factors in our Quarterly Reports on Form 10-Q following the most recent Form 10-K, and in all other information appearing in this prospectus or incorporated by reference into this prospectus and any applicable prospectus supplement. The material risks and uncertainties that management believes affect us will be described in those documents.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and product candidates are subject to extensive regulatory scrutiny.</w:t>
      </w:r>
    </w:p>
    <w:p>
      <w:pPr>
        <w:spacing w:after="0" w:line="224" w:lineRule="exact"/>
        <w:rPr>
          <w:sz w:val="20"/>
          <w:szCs w:val="20"/>
          <w:color w:val="auto"/>
        </w:rPr>
      </w:pPr>
    </w:p>
    <w:p>
      <w:pPr>
        <w:ind w:right="60" w:firstLine="332"/>
        <w:spacing w:after="0" w:line="299" w:lineRule="auto"/>
        <w:rPr>
          <w:sz w:val="20"/>
          <w:szCs w:val="20"/>
          <w:color w:val="auto"/>
        </w:rPr>
      </w:pPr>
      <w:r>
        <w:rPr>
          <w:rFonts w:ascii="Arial" w:cs="Arial" w:eastAsia="Arial" w:hAnsi="Arial"/>
          <w:sz w:val="15"/>
          <w:szCs w:val="15"/>
          <w:color w:val="auto"/>
        </w:rPr>
        <w:t>All of our products and product candidates are at various stages of development and commercialization and our activities, products and product candidates are significantly regulated by a number of governmental entities, including the Food and Drug Administration in the United States, which we refer to as the FDA, and by comparable authorities in other countries. These entities regulate, among other things, the manufacture, testing, safety, effectiveness, labeling, documentation, advertising and sale of our products and product candidates. We or our partners must obtain regulatory approval for a product candidate in all of these areas before we can commercialize a product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product candidates that initially appear promising ultimately do not reach the market because they are found to be unsafe or ineffective when tested. Companies in the pharmaceutical, biotechnology and vaccines industries have suffered significant setbacks in advanced clinical trials, even after obtaining promising results in earlier trials. Our inability to commercialize a product or product candidate would impair our ability to earn future revenues.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products do not pass required tests for safety and effectiveness, we will not be able to derive commercial revenue from them.</w:t>
      </w:r>
    </w:p>
    <w:p>
      <w:pPr>
        <w:spacing w:after="0" w:line="224" w:lineRule="exact"/>
        <w:rPr>
          <w:sz w:val="20"/>
          <w:szCs w:val="20"/>
          <w:color w:val="auto"/>
        </w:rPr>
      </w:pPr>
    </w:p>
    <w:p>
      <w:pPr>
        <w:ind w:right="60" w:firstLine="341"/>
        <w:spacing w:after="0" w:line="260" w:lineRule="auto"/>
        <w:rPr>
          <w:sz w:val="20"/>
          <w:szCs w:val="20"/>
          <w:color w:val="auto"/>
        </w:rPr>
      </w:pPr>
      <w:r>
        <w:rPr>
          <w:rFonts w:ascii="Arial" w:cs="Arial" w:eastAsia="Arial" w:hAnsi="Arial"/>
          <w:sz w:val="17"/>
          <w:szCs w:val="17"/>
          <w:color w:val="auto"/>
        </w:rPr>
        <w:t>In order to succeed, we will need to derive commercial revenue from the products we have under development. The FDA has not approved our CDX-110 or CDX-011 product candidates or any of our other lead products for sale to date. Products in our vaccine programs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investigational new drug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companies, including Glaxo and Pfizer, which intend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testing is critical to the success of our products but subject to delay or cancellation if we have difficulty enrolling patients.</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99"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nature of the clinical test;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size of the patient population;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patients' willingness to receive a placebo or less effective treatment on the control arm of a clinical study;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distance between patients and clinical test sites;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eligibility criteria for the trial.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cannot enroll patients as needed, our costs may increase or it could force us to delay or terminate testing for a product.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delay in obtaining regulatory approval would have an adverse impact on our ability to earn future revenues.</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It is possible that none of the products or product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product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product candidate.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62"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These competitors include Alexion, Anadys, Antigenics, Baxter, BioSante, Crucell, Dendreon, Eli Lilly, Emergent, Genitope, GlaxoSmithKline, Idera, Intercell, Immunogen, Maxygen, Merck, NeoPharm, Northwest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60"/>
        <w:spacing w:after="0" w:line="311" w:lineRule="auto"/>
        <w:rPr>
          <w:sz w:val="20"/>
          <w:szCs w:val="20"/>
          <w:color w:val="auto"/>
        </w:rPr>
      </w:pPr>
      <w:r>
        <w:rPr>
          <w:rFonts w:ascii="Arial" w:cs="Arial" w:eastAsia="Arial" w:hAnsi="Arial"/>
          <w:sz w:val="15"/>
          <w:szCs w:val="15"/>
          <w:color w:val="auto"/>
        </w:rPr>
        <w:t>Biotherapeutics, Novavax, Pfizer, Roche, Sanofi-Aventis, Seattle Genetics, and Vical.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applicable regulatory requirements would adversely impact our operations.</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70" w:lineRule="exact"/>
        <w:rPr>
          <w:sz w:val="20"/>
          <w:szCs w:val="20"/>
          <w:color w:val="auto"/>
        </w:rPr>
      </w:pPr>
    </w:p>
    <w:p>
      <w:pPr>
        <w:ind w:right="60" w:firstLine="338"/>
        <w:spacing w:after="0" w:line="260" w:lineRule="auto"/>
        <w:rPr>
          <w:sz w:val="20"/>
          <w:szCs w:val="20"/>
          <w:color w:val="auto"/>
        </w:rPr>
      </w:pPr>
      <w:r>
        <w:rPr>
          <w:rFonts w:ascii="Arial" w:cs="Arial" w:eastAsia="Arial" w:hAnsi="Arial"/>
          <w:sz w:val="17"/>
          <w:szCs w:val="17"/>
          <w:color w:val="auto"/>
        </w:rPr>
        <w:t>The loss of Anthony S. Marucci, our President and Chief Executive Officer, or other key members of our staff, including Avery W. Catlin, our Chief Financial Officer, Dr. Thomas Davis, our Chief Medical Officer, or Dr. Tibor Keler, our Chief Scientific Officer, could harm us. We entered into employment agreements with Messrs. Marucci, Catlin, Davis and Keler.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90"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We rely on contract manufacturers. Should the cost, delivery and quality of clinical and commercial grade materials supplied by contract manufacturers vary to our disadvantage, our business operations could suffer significant harm.</w:t>
      </w:r>
    </w:p>
    <w:p>
      <w:pPr>
        <w:spacing w:after="0" w:line="170"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Although we have small-lot manufacturing capability at our Fall River facility, we rely on sourcing from third-party manufacturers for suitable quantities of some of our clinical and commercial grade materials essential to preclinical and clinical studies currently underway and to planned clinical trials in addition to those currently being conducted by third parties or us.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 We also rely on collaborators and contract manufacturers to manufacture proposed products in both clinical and commercial quantities in the future. Our leading vaccine candidates require specialized manufacturing capabilities and processes.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the FDA's Good Manufacturing Practices ("GMP") as a result of language barriers, lack of familiarity with 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59" w:lineRule="exact"/>
        <w:rPr>
          <w:sz w:val="20"/>
          <w:szCs w:val="20"/>
          <w:color w:val="auto"/>
        </w:rPr>
      </w:pPr>
    </w:p>
    <w:p>
      <w:pPr>
        <w:ind w:right="160" w:firstLine="338"/>
        <w:spacing w:after="0" w:line="303" w:lineRule="auto"/>
        <w:rPr>
          <w:sz w:val="20"/>
          <w:szCs w:val="20"/>
          <w:color w:val="auto"/>
        </w:rPr>
      </w:pPr>
      <w:r>
        <w:rPr>
          <w:rFonts w:ascii="Arial" w:cs="Arial" w:eastAsia="Arial" w:hAnsi="Arial"/>
          <w:sz w:val="15"/>
          <w:szCs w:val="15"/>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GMP; failure to do so could result in, among other things, the disruption of product supplies. As noted above, non-U.S. contract manufacturers may face special challenges in complying with the FDA's 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significant third-parties who we currently rely on for sourcing of suitable quantities of some of our clinical and commercial grade materials include:</w:t>
      </w:r>
    </w:p>
    <w:p>
      <w:pPr>
        <w:spacing w:after="0" w:line="249"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Pfizer, Bayer, and Genzyme for the CDX-110 drug product;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Dalton for Hiltonol which is an integral part of several of our drug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3M for Resiquimod which is an integral part of several of our drug products;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Piramal for the CDX-011 drug product.</w:t>
      </w:r>
    </w:p>
    <w:p>
      <w:pPr>
        <w:spacing w:after="0" w:line="224"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If we or our third-party manufacturers are unable to produce drug material in suitable quantities of appropriate quality, in a timely manner, and at a feasible cost, our clinical tests will face delays.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third parties to plan, conduct and monitor our clinical tests, and their failure to perform as required would interfere with our product development.</w:t>
      </w:r>
    </w:p>
    <w:p>
      <w:pPr>
        <w:spacing w:after="0" w:line="247"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Our significant third-party clinical development providers include Pfizer for the development of our CDX-110 drug product.</w:t>
      </w:r>
    </w:p>
    <w:p>
      <w:pPr>
        <w:spacing w:after="0" w:line="185"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If any of these third parties fails to perform as we expect or if their work fails to meet regulatory standards, our testing could be delayed, cancelled or rendered ineffective.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greatly on third party collaborators to license, develop and commercialize some of our products, and they may not meet our expectations.</w:t>
      </w:r>
    </w:p>
    <w:p>
      <w:pPr>
        <w:spacing w:after="0" w:line="236"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We have agreements with companies, including Glaxo, Pfizer and VTI for the licensing, development and ultimate commercialization of some of our products. Some of those agreements give substantial responsibility over the products to the collaborator. Some collaborators may be unable or unwilling to devote sufficient resources to develop our products as their agreements require. They often face business risks similar to ours, and this could interfere with their efforts. Also, collaborators may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success of our products depends in great part upon our and our collaborators' success in promoting them as superior to other treatment alternatives. We believe that our products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delays, difficulties or unanticipated costs in establishing sales, distribution and manufacturing capabilities for our commercially ready products.</w:t>
      </w:r>
    </w:p>
    <w:p>
      <w:pPr>
        <w:spacing w:after="0" w:line="247" w:lineRule="exact"/>
        <w:rPr>
          <w:sz w:val="20"/>
          <w:szCs w:val="20"/>
          <w:color w:val="auto"/>
        </w:rPr>
      </w:pPr>
    </w:p>
    <w:p>
      <w:pPr>
        <w:ind w:right="60" w:firstLine="338"/>
        <w:spacing w:after="0" w:line="262" w:lineRule="auto"/>
        <w:rPr>
          <w:sz w:val="20"/>
          <w:szCs w:val="20"/>
          <w:color w:val="auto"/>
        </w:rPr>
      </w:pPr>
      <w:r>
        <w:rPr>
          <w:rFonts w:ascii="Arial" w:cs="Arial" w:eastAsia="Arial" w:hAnsi="Arial"/>
          <w:sz w:val="17"/>
          <w:szCs w:val="17"/>
          <w:color w:val="auto"/>
        </w:rPr>
        <w:t>To date, we have chosen to retain, rather than license, all rights to some of our lead products, such as CDX-011 and our APC Targeting Technology programs. If we proceed with this strategy,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88"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factors could negatively affect the demand for and sales and profitability of Rotarix®, which would have a material adverse affect on our revenues.</w:t>
      </w:r>
    </w:p>
    <w:p>
      <w:pPr>
        <w:spacing w:after="0" w:line="247" w:lineRule="exact"/>
        <w:rPr>
          <w:sz w:val="20"/>
          <w:szCs w:val="20"/>
          <w:color w:val="auto"/>
        </w:rPr>
      </w:pPr>
    </w:p>
    <w:p>
      <w:pPr>
        <w:ind w:right="180" w:firstLine="341"/>
        <w:spacing w:after="0" w:line="281" w:lineRule="auto"/>
        <w:rPr>
          <w:sz w:val="20"/>
          <w:szCs w:val="20"/>
          <w:color w:val="auto"/>
        </w:rPr>
      </w:pPr>
      <w:r>
        <w:rPr>
          <w:rFonts w:ascii="Arial" w:cs="Arial" w:eastAsia="Arial" w:hAnsi="Arial"/>
          <w:sz w:val="16"/>
          <w:szCs w:val="16"/>
          <w:color w:val="auto"/>
        </w:rPr>
        <w:t>Both the demand and ultimately the profitability of Rotarix® are components to our success. We have licensed a rotavirus strain to Glaxo for the purposes of Glaxo developing and commercializing their Rotarix® vaccine worldwide. Glaxo gained approval for Rotarix® in Mexico in July 2004, in the European Union in February 2006 and in the United States in April 2008. In May 2005, we entered into an agreement whereby an affiliate of Paul Royalty Fund, or PRF, purchased an interest in the net royalties we will receive on worldwide sales of Rotarix®. In addition, we retain upside participation in the worldwide net royalties from Rotarix® once, and if, PRF receives an agreed upon return on capital invested (2.45 times PRF's aggregate cash payments to us of $60 million). The following are potential factors, among others, that may negatively affect the demand for Rotarix®:</w:t>
      </w:r>
    </w:p>
    <w:p>
      <w:pPr>
        <w:spacing w:after="0" w:line="189" w:lineRule="exact"/>
        <w:rPr>
          <w:sz w:val="20"/>
          <w:szCs w:val="20"/>
          <w:color w:val="auto"/>
        </w:rPr>
      </w:pPr>
    </w:p>
    <w:p>
      <w:pPr>
        <w:ind w:left="1060" w:hanging="531"/>
        <w:spacing w:after="0" w:line="352" w:lineRule="auto"/>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Competitors in the pharmaceuticals, biotechnology and vaccines market have greater financial and management resources, and significantly more experience in bringing products to market, and may develop, manufacture and market products that are more effective or less expensive than Rotarix®;</w:t>
      </w:r>
    </w:p>
    <w:p>
      <w:pPr>
        <w:spacing w:after="0" w:line="149" w:lineRule="exact"/>
        <w:rPr>
          <w:rFonts w:ascii="Arial" w:cs="Arial" w:eastAsia="Arial" w:hAnsi="Arial"/>
          <w:sz w:val="15"/>
          <w:szCs w:val="15"/>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Rotarix® could be replaced by a novel product and may become obsolete;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Glaxo may be unable to prevent third parties from infringing upon their proprietary rights related to Rotarix®;</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Users may not accept such a recently approved product without years of proven history; and</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are dependent on Glaxo for the manufacturing, testing, acquisition of regulatory approvals, marketing, distribution and commercialization of Rotarix®.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factors could have a material adverse effect on the sales of Rotarix® and our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factors could affect the demand for and sales and profitability of Rotarix® and any other of our current or future products.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general, other factors that could affect the demand for and sales and profitability of our products include, but are not limited to:</w:t>
      </w:r>
    </w:p>
    <w:p>
      <w:pPr>
        <w:spacing w:after="0" w:line="237"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regulatory approval, if any, of competitive products;</w:t>
      </w:r>
    </w:p>
    <w:p>
      <w:pPr>
        <w:spacing w:after="0" w:line="250"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Glaxo's, Pfizer's or any other of our partners' pricing decisions, as applicable, including a decision to increase or decrease the price of a product, and the pricing decisions of our competitors;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48" w:lineRule="exact"/>
        <w:rPr>
          <w:rFonts w:ascii="Arial" w:cs="Arial" w:eastAsia="Arial" w:hAnsi="Arial"/>
          <w:sz w:val="16"/>
          <w:szCs w:val="16"/>
          <w:color w:val="auto"/>
        </w:rPr>
      </w:pPr>
    </w:p>
    <w:p>
      <w:pPr>
        <w:ind w:left="1060" w:right="44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Negative safety or efficacy data from new clinical studies conducted either in the U.S. or internationally by any party could cause the sales of our products to decrease or a product to be recalled;</w:t>
      </w:r>
    </w:p>
    <w:p>
      <w:pPr>
        <w:spacing w:after="0" w:line="196"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degree of patent protection afforded our products by patents granted to or licensed by us and by the outcome of litigation involving our or any of our licensor's patents;</w:t>
      </w:r>
    </w:p>
    <w:p>
      <w:pPr>
        <w:spacing w:after="0" w:line="182"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of litigation involving patents of other companies concerning our products or processes related to production and formulation of those products or uses of those products;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increasing use and development of alternate therapies;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rate of market penetration by competing products;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termination of, or change in, existing arrangements with our partners.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Any of these factors could have a material adverse effect on Glaxo's sales of Rotarix® and on any other of our current or future products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multiple late stage clinical trials for a variety of product candidates simultaneously.</w:t>
      </w:r>
    </w:p>
    <w:p>
      <w:pPr>
        <w:spacing w:after="0" w:line="224"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As our current clinical trials progress, we may need to manage multiple late stage clinical trials simultaneously in order to continue developing all of our current products.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Biologic License Application ("BLA") or New Drug Application ("NDA") for any one of the above reasons or a combination of several.</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produce recalls, each of which could deplete our cash resources.</w:t>
      </w:r>
    </w:p>
    <w:p>
      <w:pPr>
        <w:spacing w:after="0" w:line="24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a participant in the pharmaceutical, biotechnology and vaccines industries, we are exposed to the risk of product liability claims alleging that use of our products or product candidates caused an injury or harm. These claims can arise at any point in the development, testing, manufacture, marketing or sale of our products or product candidates and may be made directly by patients involved in clinical trials of our products, by consumers or healthcare providers or by individuals, organizations or companies selling our products. Product liability claims can be expensive to defend, even if the product or product candidate did not actually cause the alleged injury or harm.</w:t>
      </w:r>
    </w:p>
    <w:p>
      <w:pPr>
        <w:spacing w:after="0" w:line="187"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Insurance covering product liability claims becomes increasingly expensive as a product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product candidates.</w:t>
      </w:r>
    </w:p>
    <w:p>
      <w:pPr>
        <w:spacing w:after="0" w:line="187"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w:t>
      </w:r>
    </w:p>
    <w:p>
      <w:pPr>
        <w:spacing w:after="0" w:line="224"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will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typically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where we do not have proprietary or otherwise protected rights at the time of publication. A competitor's discovery of our trade secrets would impair our competitive position.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newly-acquired technology with our existing technology or to modify our technologies to create new vaccines.</w:t>
      </w:r>
    </w:p>
    <w:p>
      <w:pPr>
        <w:spacing w:after="0" w:line="247"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As part of our acquisition of technology assets from entities such as 3M Company and Amgen, we have acquired access to Resiquimod™ (a TLR 7/8 agonist) and Flt3L, which may improve the immunogenicity of our vaccines. If we are able to integrate these licensed assets with our vaccine technologies, we believe these assets will give our vaccines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88" w:lineRule="exact"/>
        <w:rPr>
          <w:sz w:val="20"/>
          <w:szCs w:val="20"/>
          <w:color w:val="auto"/>
        </w:rPr>
      </w:pPr>
    </w:p>
    <w:p>
      <w:pPr>
        <w:ind w:right="380" w:firstLine="338"/>
        <w:spacing w:after="0" w:line="294" w:lineRule="auto"/>
        <w:rPr>
          <w:sz w:val="20"/>
          <w:szCs w:val="20"/>
          <w:color w:val="auto"/>
        </w:rPr>
      </w:pPr>
      <w:r>
        <w:rPr>
          <w:rFonts w:ascii="Arial" w:cs="Arial" w:eastAsia="Arial" w:hAnsi="Arial"/>
          <w:sz w:val="16"/>
          <w:szCs w:val="16"/>
          <w:color w:val="auto"/>
        </w:rPr>
        <w:t>We believe that our vaccine technology portfolio may offer opportunities to develop vaccines that treat a variety of oncology, inflammatory and infectious diseases by stimulating a patient's immune system against those disease organisms. If our vaccine technology portfolio cannot be used to create effective vaccines against a variety of disease organisms, we may lose all or portions of our investment in development efforts for new vaccine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license technology from other companies to develop products, and those companies could influence research and development or restrict our use of it.</w:t>
      </w:r>
    </w:p>
    <w:p>
      <w:pPr>
        <w:spacing w:after="0" w:line="247" w:lineRule="exact"/>
        <w:rPr>
          <w:sz w:val="20"/>
          <w:szCs w:val="20"/>
          <w:color w:val="auto"/>
        </w:rPr>
      </w:pPr>
    </w:p>
    <w:p>
      <w:pPr>
        <w:ind w:right="200" w:firstLine="341"/>
        <w:spacing w:after="0" w:line="28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many competitors in our field and they may develop technologies that make ours obsolete.</w:t>
      </w:r>
    </w:p>
    <w:p>
      <w:pPr>
        <w:spacing w:after="0" w:line="22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These competitors include Alexion, Anadys, Antigenics, Baxter, BioSante, Crucell, Dendreon, Eli Lilly, Emergent, Genitope, GlaxoSmithKline, Idera, Intercell, Immunogen, Maxygen, Merck, NeoPharm, Northwest Biotherapeutics, Novavax, Pfizer, Roche, Sanofi-Aventis, Seattle Genetics, and Vical.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9"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 technologies and products that are more effective than ours, making ours obsolete or otherwise noncompetitive;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regulatory approval for products more rapidly or effectively than us;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patent protection or other intellectual property rights that would block our ability to develop competitive products.</w:t>
      </w:r>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We rely on patents, patent applications and other intellectual property protections to protect our technology and trade secrets; which are expensive and may not provide sufficient protection.</w:t>
      </w:r>
    </w:p>
    <w:p>
      <w:pPr>
        <w:spacing w:after="0" w:line="170"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8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requires us to use hazardous materials, which increases our exposure to dangerous and costly accidents.</w:t>
      </w:r>
    </w:p>
    <w:p>
      <w:pPr>
        <w:spacing w:after="0" w:line="224" w:lineRule="exact"/>
        <w:rPr>
          <w:sz w:val="20"/>
          <w:szCs w:val="20"/>
          <w:color w:val="auto"/>
        </w:rPr>
      </w:pPr>
    </w:p>
    <w:p>
      <w:pPr>
        <w:jc w:val="both"/>
        <w:ind w:right="140" w:firstLine="341"/>
        <w:spacing w:after="0" w:line="311" w:lineRule="auto"/>
        <w:rPr>
          <w:sz w:val="20"/>
          <w:szCs w:val="20"/>
          <w:color w:val="auto"/>
        </w:rPr>
      </w:pPr>
      <w:r>
        <w:rPr>
          <w:rFonts w:ascii="Arial" w:cs="Arial" w:eastAsia="Arial" w:hAnsi="Arial"/>
          <w:sz w:val="15"/>
          <w:szCs w:val="15"/>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 and restrictions on reimbursement may limit our returns on potential products.</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4"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affecting the health care industry could adversely affect our business.</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In March 2010, the U.S. passed legislation to reform the U.S. health care system by expanding health insurance coverage, reducing certain health care costs and making other changes. While this and continued health care reform may increase the number of patients who have insurance coverage for our products, it may also include cost containment measures that adversely affect reimbursement for our products, including:</w:t>
      </w:r>
    </w:p>
    <w:p>
      <w:pPr>
        <w:spacing w:after="0" w:line="201"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 the Medicare reimbursement system for outpatient drugs;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 the amount of rebates that manufacturers pay for coverage of their drugs by Medicaid programs;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facilitate the importation of lower-cost prescription drugs that are marketed outside the U.S.</w:t>
      </w:r>
    </w:p>
    <w:p>
      <w:pPr>
        <w:spacing w:after="0" w:line="224"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74"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We and our collaborators and partners operate in a highly regulated industry. As a result, governmental actions may adversely affect our business, operations or financial condition, including:</w:t>
      </w:r>
    </w:p>
    <w:p>
      <w:pPr>
        <w:spacing w:after="0" w:line="183" w:lineRule="exact"/>
        <w:rPr>
          <w:sz w:val="20"/>
          <w:szCs w:val="20"/>
          <w:color w:val="auto"/>
        </w:rPr>
      </w:pPr>
    </w:p>
    <w:p>
      <w:pPr>
        <w:ind w:left="1060" w:right="16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laws, regulations or judicial decisions, or new interpretations of existing laws, regulations or decisions, related to health care availability, method of delivery and payment for health care products and services;</w:t>
      </w:r>
    </w:p>
    <w:p>
      <w:pPr>
        <w:spacing w:after="0" w:line="196" w:lineRule="exact"/>
        <w:rPr>
          <w:rFonts w:ascii="Arial" w:cs="Arial" w:eastAsia="Arial" w:hAnsi="Arial"/>
          <w:sz w:val="17"/>
          <w:szCs w:val="17"/>
          <w:color w:val="auto"/>
        </w:rPr>
      </w:pPr>
    </w:p>
    <w:p>
      <w:pPr>
        <w:ind w:left="1060" w:right="60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FDA and foreign regulatory approval processes that may delay or prevent the approval of new products and result in lost market opportunity;</w:t>
      </w:r>
    </w:p>
    <w:p>
      <w:pPr>
        <w:spacing w:after="0" w:line="182" w:lineRule="exact"/>
        <w:rPr>
          <w:rFonts w:ascii="Arial" w:cs="Arial" w:eastAsia="Arial" w:hAnsi="Arial"/>
          <w:sz w:val="17"/>
          <w:szCs w:val="17"/>
          <w:color w:val="auto"/>
        </w:rPr>
      </w:pPr>
    </w:p>
    <w:p>
      <w:pPr>
        <w:jc w:val="both"/>
        <w:ind w:left="1060" w:right="100" w:hanging="531"/>
        <w:spacing w:after="0" w:line="270"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laws, regulations and judicial decisions affecting pricing or marketing practices;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tax laws relating to our operations.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physicians, patients and third-party payors do not accept any future drugs that we may develop, we may be unable to generate significant revenue, if any.</w:t>
      </w:r>
    </w:p>
    <w:p>
      <w:pPr>
        <w:spacing w:after="0" w:line="247" w:lineRule="exact"/>
        <w:rPr>
          <w:sz w:val="20"/>
          <w:szCs w:val="20"/>
          <w:color w:val="auto"/>
        </w:rPr>
      </w:pPr>
    </w:p>
    <w:p>
      <w:pPr>
        <w:ind w:right="340" w:firstLine="341"/>
        <w:spacing w:after="0" w:line="352" w:lineRule="auto"/>
        <w:rPr>
          <w:sz w:val="20"/>
          <w:szCs w:val="20"/>
          <w:color w:val="auto"/>
        </w:rPr>
      </w:pPr>
      <w:r>
        <w:rPr>
          <w:rFonts w:ascii="Arial" w:cs="Arial" w:eastAsia="Arial" w:hAnsi="Arial"/>
          <w:sz w:val="15"/>
          <w:szCs w:val="15"/>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36"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timing of market introduction of competitive drugs;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lower demonstrated clinical safety and efficacy compared to other drugs;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lack of cost-effectiveness;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lack of availability of reimbursement from third-party payors;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convenience and ease of administration;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prevalence and severity of adverse side effects;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potential advantages of alternative treatment methods;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ineffective marketing and distribution support.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If our approved drugs fail to achieve market acceptance, we would not be able to generate sufficient revenue from product sales to maintain or grow our business.</w:t>
      </w:r>
    </w:p>
    <w:p>
      <w:pPr>
        <w:spacing w:after="0" w:line="247"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If we are not successful in integrating CuraGen's drug development programs, we may not be able to operate efficiently after the CuraGen Merger, which may have a material adverse effect on our results of operations and financial condition.</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Achieving the benefits of the CuraGen Merger will depend in part on the successful integration of CuraGen's clinical and preclinical programs and personnel in a timely and efficient manner. The integration process requires coordination of different development, regulatory, and manufacturing teams, and involves the integration of systems, applications, policies, procedures, business processes and operations. This may be difficult and unpredictable because of possible cultural conflicts and different opinions on scientific and regulatory matters. If we cannot successfully integrate CuraGen's programs and personnel, we may not realize the expected benefits of the CuraGen Merger.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CuraGen's programs may divert management's attention away from our operations.</w:t>
      </w:r>
    </w:p>
    <w:p>
      <w:pPr>
        <w:spacing w:after="0" w:line="224"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The successful integration of CuraGen's programs and personnel may place a significant burden on our management and internal resources, including time that will be spent on winding down CuraGen's facility in Connecticut and transitioning certain CuraGen employees to our facilities. The diversion of management's attention and any difficulties encountered in the transition and integration process could result in delays in our clinical trial programs and could otherwise harm our business, financial condition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history of losses and uncertainty of future profitability make our securities a highly speculative investment.</w:t>
      </w:r>
    </w:p>
    <w:p>
      <w:pPr>
        <w:spacing w:after="0" w:line="224" w:lineRule="exact"/>
        <w:rPr>
          <w:sz w:val="20"/>
          <w:szCs w:val="20"/>
          <w:color w:val="auto"/>
        </w:rPr>
      </w:pPr>
    </w:p>
    <w:p>
      <w:pPr>
        <w:jc w:val="both"/>
        <w:ind w:right="40" w:firstLine="338"/>
        <w:spacing w:after="0" w:line="270" w:lineRule="auto"/>
        <w:rPr>
          <w:sz w:val="20"/>
          <w:szCs w:val="20"/>
          <w:color w:val="auto"/>
        </w:rPr>
      </w:pPr>
      <w:r>
        <w:rPr>
          <w:rFonts w:ascii="Arial" w:cs="Arial" w:eastAsia="Arial" w:hAnsi="Arial"/>
          <w:sz w:val="17"/>
          <w:szCs w:val="17"/>
          <w:color w:val="auto"/>
        </w:rPr>
        <w:t>We have had no commercial revenues to date from sales of our human therapeutic or vaccine products and cannot predict when we will. We have an accumulated deficit of $157.7 million as of December 31, 2009. We expect to spend substantial funds to continue the research and development testing of our products that we have in the preclinical and clinical testing stages of development that have not been partnered.</w:t>
      </w:r>
    </w:p>
    <w:p>
      <w:pPr>
        <w:spacing w:after="0" w:line="179"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79"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We cannot be certain that we will achieve or sustain profitability in the future. Failure to achieve profitability could diminish our ability to sustain operations, pay dividends on our securities, obtain additional required funds and make required payments on our present or future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sell securities to raise necessary funds, we may be forced to limit our research, development and testing programs.</w:t>
      </w:r>
    </w:p>
    <w:p>
      <w:pPr>
        <w:spacing w:after="0" w:line="224" w:lineRule="exact"/>
        <w:rPr>
          <w:sz w:val="20"/>
          <w:szCs w:val="20"/>
          <w:color w:val="auto"/>
        </w:rPr>
      </w:pPr>
    </w:p>
    <w:p>
      <w:pPr>
        <w:ind w:right="100" w:firstLine="338"/>
        <w:spacing w:after="0" w:line="287" w:lineRule="auto"/>
        <w:rPr>
          <w:sz w:val="20"/>
          <w:szCs w:val="20"/>
          <w:color w:val="auto"/>
        </w:rPr>
      </w:pPr>
      <w:r>
        <w:rPr>
          <w:rFonts w:ascii="Arial" w:cs="Arial" w:eastAsia="Arial" w:hAnsi="Arial"/>
          <w:sz w:val="16"/>
          <w:szCs w:val="16"/>
          <w:color w:val="auto"/>
        </w:rPr>
        <w:t>We will need to raise more capital from investors to advance our clinical and preclinical products and to fund our operations until we receive final FDA approval and our products begin to generate revenues for us. However, based on our history of losses and the on-going uncertainty of the U.S. capital markets, we may have difficulty raising sufficient capital on terms that are acceptable to us, or at all. As of December 31, 2009, we had cash, cash equivalents and marketable securities of $82.5 million, which, at that time, we believed would support expected operations for more than 12 months.</w:t>
      </w:r>
    </w:p>
    <w:p>
      <w:pPr>
        <w:spacing w:after="0" w:line="16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continue to seek partnerships with pharmaceutical and biotech companies and with other organizations to support the clinical development of our programs, in addition to funded research grants. This kind of funding is at the discretion of other organizations and companies which have limited funds and many companies compete with us for those funds. As a result, we may not receive any research grants or funds from collaborators. If we are unable to raise the necessary funds, we may have to delay or discontinue the clinical development of programs, license out programs earlier than expected, raise funds at significant discount or on other unfavorable terms, if at all, or evaluate a sale of all or part of our business.</w:t>
      </w:r>
    </w:p>
    <w:p>
      <w:pPr>
        <w:spacing w:after="0" w:line="187"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Until we begin generating revenue, we may seek funding through the sale of equity, or securities convertible into equity, and further dilution to the then existing stockholders may result. If we raise additional capital through the incurrence of debt, our business may be affected by the amount of leverage it incurs, and its borrowings may subject it to restrictive covenants.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has been and could remain volatile.</w:t>
      </w:r>
    </w:p>
    <w:p>
      <w:pPr>
        <w:spacing w:after="0" w:line="224"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market price of our common stock has historically experienced and may continue to experience significant volatility. From January 2009 through December 2009, the market price of our common stock has fluctuated from a high of $14.19 per share in the second quarter of 2009, to a low of $4.16 per share in the fourth quarter of 2009.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RATIO OF EARNINGS TO FIXED CHARGES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consolidated ratio of earnings to fixed charges for the years ended December 31, 2009, 2008, 2007, 2006 and 2005.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Ratio of Earnings to Fixed Charges</w:t>
      </w: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Years ended December 31,</w:t>
      </w:r>
    </w:p>
    <w:p>
      <w:pPr>
        <w:spacing w:after="0" w:line="8" w:lineRule="exact"/>
        <w:rPr>
          <w:sz w:val="20"/>
          <w:szCs w:val="20"/>
          <w:color w:val="auto"/>
        </w:rPr>
      </w:pPr>
    </w:p>
    <w:tbl>
      <w:tblPr>
        <w:tblLayout w:type="fixed"/>
        <w:tblInd w:w="4000" w:type="dxa"/>
        <w:tblCellMar>
          <w:top w:w="0" w:type="dxa"/>
          <w:left w:w="0" w:type="dxa"/>
          <w:bottom w:w="0" w:type="dxa"/>
          <w:right w:w="0" w:type="dxa"/>
        </w:tblCellMar>
      </w:tblPr>
      <w:tr>
        <w:trPr>
          <w:trHeight w:val="137"/>
        </w:trPr>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2007</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2006</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r>
      <w:tr>
        <w:trPr>
          <w:trHeight w:val="209"/>
        </w:trPr>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62865</wp:posOffset>
            </wp:positionV>
            <wp:extent cx="1523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06" w:lineRule="exact"/>
        <w:rPr>
          <w:sz w:val="20"/>
          <w:szCs w:val="20"/>
          <w:color w:val="auto"/>
        </w:rPr>
      </w:pPr>
    </w:p>
    <w:p>
      <w:pPr>
        <w:ind w:left="1680" w:right="20" w:hanging="533"/>
        <w:spacing w:after="0" w:line="270"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Due to our loss from continuing operations for the years ended December 31, 2009, 2008, 2007, 2006 and 2005 earnings were insufficient to cover fixed charges by $36.9 million, $48.8 million, $15.5 million, $18.8 million, and $17.4 million, respectively. For this reason, no ratios are provided.</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USE OF PROCEEDS</w:t>
      </w:r>
    </w:p>
    <w:p>
      <w:pPr>
        <w:spacing w:after="0" w:line="224" w:lineRule="exact"/>
        <w:rPr>
          <w:sz w:val="20"/>
          <w:szCs w:val="20"/>
          <w:color w:val="auto"/>
        </w:rPr>
      </w:pPr>
    </w:p>
    <w:p>
      <w:pPr>
        <w:ind w:right="60" w:firstLine="341"/>
        <w:spacing w:after="0" w:line="279" w:lineRule="auto"/>
        <w:rPr>
          <w:sz w:val="20"/>
          <w:szCs w:val="20"/>
          <w:color w:val="auto"/>
        </w:rPr>
      </w:pPr>
      <w:r>
        <w:rPr>
          <w:rFonts w:ascii="Arial" w:cs="Arial" w:eastAsia="Arial" w:hAnsi="Arial"/>
          <w:sz w:val="16"/>
          <w:szCs w:val="16"/>
          <w:color w:val="auto"/>
        </w:rPr>
        <w:t>Unless otherwise provided in the applicable prospectus supplement to this prospectus used to offer specific securities, we expect to use the net proceeds from any offering of securities by us for general corporate purposes, which may include acquisitions, capital expenditures, investments, and the repayment, redemption or refinancing of all or a portion of any indebtedness or other securities outstanding at a particular time, to fund our operations until we receive FDA approval of our products and are able to commercialize our products and to make substantial investments to establish sales, marketing, quality control, and regulatory compliance capabilities in anticipation of FDA approval of our products. Pending the application of the net proceeds, we expect to invest the proceeds in short-term, interest-bearing instruments with a maturity of three months or less at the date of purchase and consist primarily of investments in money market mutual funds with commercial banks and financial institutions or other investment-grade securities. Such investments may include depositing such net proceeds into, and maintaining cash balances with, financial institutions in excess of insured limits.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DESCRIPTIONS OF SECURITIES WE MAY OFFER</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This prospectus contains summary descriptions of the common stock, preferred stock, warrants, depositary shares and units that we may offer and sell from time to time. The preferred stock may also be exchangeable for and/or convertible into shares of common stock or another series of preferred stock. When one or more of these securities are offered in the future, a prospectus supplement will explain the particular terms of the securities and the extent to which these general provisions may apply. These summary descriptions and any summary descriptions in the applicable prospectus supplement do not purport to be complete descriptions of the terms and conditions of each security and are qualified in their entirety by reference to our third restated certificate of incorporation, as amended, our by-laws and by applicable Delaware law and any other documents referenced in such summary descriptions and from which such summary descriptions are derived. If any particular terms of a security described in the applicable prospectus supplement differ from any of the terms described herein, then the terms described herein will be deemed superseded by the terms set forth in that prospectus supplement.</w:t>
      </w:r>
    </w:p>
    <w:p>
      <w:pPr>
        <w:spacing w:after="0" w:line="177" w:lineRule="exact"/>
        <w:rPr>
          <w:sz w:val="20"/>
          <w:szCs w:val="20"/>
          <w:color w:val="auto"/>
        </w:rPr>
      </w:pPr>
    </w:p>
    <w:p>
      <w:pPr>
        <w:ind w:right="180" w:firstLine="338"/>
        <w:spacing w:after="0" w:line="263" w:lineRule="auto"/>
        <w:rPr>
          <w:sz w:val="20"/>
          <w:szCs w:val="20"/>
          <w:color w:val="auto"/>
        </w:rPr>
      </w:pPr>
      <w:r>
        <w:rPr>
          <w:rFonts w:ascii="Arial" w:cs="Arial" w:eastAsia="Arial" w:hAnsi="Arial"/>
          <w:sz w:val="17"/>
          <w:szCs w:val="17"/>
          <w:color w:val="auto"/>
        </w:rPr>
        <w:t>We may issue securities in book-entry form through one or more depositaries, such as The Depository Trust Company, Euroclear or Clearstream, named in the applicable prospectus supplement. Each sale of a security in book-entry form will settle in immediately available funds through the applicable depositary, unless otherwise stated. We will issue the securities only in registered form, without coupons, although we may issue the securities in bearer form if so specified in the applicable prospectus supplement. If any securities are to be listed or quoted on a securities exchange or quotation system, the applicable prospectus supplement will say 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DESCRIPTION OF COMMON STOCK</w:t>
      </w:r>
    </w:p>
    <w:p>
      <w:pPr>
        <w:spacing w:after="0" w:line="224" w:lineRule="exact"/>
        <w:rPr>
          <w:sz w:val="20"/>
          <w:szCs w:val="20"/>
          <w:color w:val="auto"/>
        </w:rPr>
      </w:pPr>
    </w:p>
    <w:p>
      <w:pPr>
        <w:ind w:right="160" w:firstLine="332"/>
        <w:spacing w:after="0" w:line="270" w:lineRule="auto"/>
        <w:rPr>
          <w:sz w:val="20"/>
          <w:szCs w:val="20"/>
          <w:color w:val="auto"/>
        </w:rPr>
      </w:pPr>
      <w:r>
        <w:rPr>
          <w:rFonts w:ascii="Arial" w:cs="Arial" w:eastAsia="Arial" w:hAnsi="Arial"/>
          <w:sz w:val="17"/>
          <w:szCs w:val="17"/>
          <w:color w:val="auto"/>
        </w:rPr>
        <w:t>As of March 31, 2010 we are authorized to issue up to 297,000,000 shares of common stock, $.001 par value per share. As of March 31, 2010, approximately 31,759,718 shares of common stock were outstanding. All outstanding shares of our common stock are fully paid and non-assessable. Our common stock is listed on the NASDAQ Global Select Market System under the symbol "CLDX".</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Dividends</w:t>
      </w:r>
    </w:p>
    <w:p>
      <w:pPr>
        <w:spacing w:after="0" w:line="224"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Board of Directors may, out of funds legally available, at any regular or special meeting, declare dividends to the holders of shares of our common stock as and when they deem expedient, subject to the rights of holders of the preferred stock, if 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Voting</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Each share of common stock entitles the holders to one vote per share on all matters requiring a vote of the stockholders, including the election of directors. No holders of shares of common stock shall have the right to vote such shares cumulatively in any election for the board of directors.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Rights Upon Liquidation</w:t>
      </w:r>
    </w:p>
    <w:p>
      <w:pPr>
        <w:spacing w:after="0" w:line="224"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color w:val="auto"/>
        </w:rPr>
        <w:t>In the event of our voluntary or involuntary liquidation, dissolution, or winding up, the holders of our common stock will be entitled to share equally in our assets available for distribution after payment in full of all debts and after the holders of preferred stock, if any, have received their liquidation preferences in full.</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Miscellaneous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No holders of shares of our common stock shall have any preemptive rights to subscribe for, purchase or receive any shares of any class, whether now or hereafter authorized, or any options or warrants to purchase any such shares, or any securities convertible into or exchanged for any such shares, which may at any time be issued, sold or offered for sale by Celldex.</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Anti-Takeover Provisions</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Certain provisions in our third restated certificate of incorporation, as amended, and applicable Delaware corporate, as well as our shareholder rights agreement, may have the effect of discouraging a change of control of Celldex, even if such a transaction is favored by some of our stockholders and could result in stockholders receiving a substantial premium over the current market price of our shares. The primary purpose of these provisions is to encourage negotiations with our management by persons interested in acquiring control of our corporation. These provisions may also tend to perpetuate present management and make it difficult for stockholders owning less than a majority of the shares to be able to elect even a single director.</w:t>
      </w:r>
    </w:p>
    <w:p>
      <w:pPr>
        <w:spacing w:after="0" w:line="174"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Pursuant to our shareholder rights agreement (referred to in this prospectus as the rights agreement) a dividend of one Preferred Stock Purchase Right (referred to in this prospectus as a right) for each share of common stock of Celldex was declared for each outstanding share of common stock of Celldex on November 11, 2004. Each share of common stock of Celldex issued after such date is also issued with a right. Each right entitles the registered holder to purchase from Celldex a unit consisting of one one-ten thousandth of a share of Celldex Series C-1 Junior Participating Cumulative Preferred Stock, at a cash exercise price of $35 per unit, subject to adjustment as specified in the rights agreement. We describe the rights more completely in the rights agreement itself, which is contained in Exhibit 4.1 to our Registration Statement on Form 8-A filed on November 8, 2004. The summary of the provisions of the rights agreement is qualified in its entirety by reference to that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Computershare Trust Company, N.A. is presently the transfer agent and registrar for our common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DESCRIPTION OF PREFERRED STOCK</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At December 31, 2009, the Company had authorized preferred stock comprised of 3,000,000 shares of Class C Preferred Stock of which 350,000 shares has been designated as Class C-1 Junior Participating Cumulative, the terms of which are to be determined by our Board of Directors. As of March 31, 2010, there was no preferred stock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C Preferred Stock</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This section describes the general terms and provisions of our Class C Preferred Stock. The applicable prospectus supplement will describe the specific terms of the shares of preferred stock offered through that prospectus supplement, as well as any general terms described in this section that will not apply to those shares of preferred stock.</w:t>
      </w:r>
    </w:p>
    <w:p>
      <w:pPr>
        <w:spacing w:after="0" w:line="179" w:lineRule="exact"/>
        <w:rPr>
          <w:sz w:val="20"/>
          <w:szCs w:val="20"/>
          <w:color w:val="auto"/>
        </w:rPr>
      </w:pPr>
    </w:p>
    <w:p>
      <w:pPr>
        <w:jc w:val="both"/>
        <w:ind w:right="420" w:firstLine="341"/>
        <w:spacing w:after="0" w:line="270" w:lineRule="auto"/>
        <w:rPr>
          <w:sz w:val="20"/>
          <w:szCs w:val="20"/>
          <w:color w:val="auto"/>
        </w:rPr>
      </w:pPr>
      <w:r>
        <w:rPr>
          <w:rFonts w:ascii="Arial" w:cs="Arial" w:eastAsia="Arial" w:hAnsi="Arial"/>
          <w:sz w:val="17"/>
          <w:szCs w:val="17"/>
          <w:color w:val="auto"/>
        </w:rPr>
        <w:t>Our board of directors has been authorized to provide for the issuance of the 2,650,000 unissued and undesignated shares of our Class C Preferred Stock In general, our third restated certificate of incorporation, as amended, authorizes our board of directors to issue new shares of our common stock or preferred stock without further stockholder action, provided that there are sufficient authorized shares.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respect to each series of our Class C Preferred Stock, our board of directors has the authority to fix the following terms:</w:t>
      </w:r>
    </w:p>
    <w:p>
      <w:pPr>
        <w:spacing w:after="0" w:line="237"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of shares within the series;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dividends are cumulative and, if cumulative, the dates from which dividends are cumulative;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rate of any dividends, any conditions upon which dividends are payable, and the dates of payment of dividends;</w:t>
      </w:r>
    </w:p>
    <w:p>
      <w:pPr>
        <w:spacing w:after="0" w:line="250"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interests in the shares of preferred stock will be represented by depositary shares as more fully described below under "Description of Depositary Shares";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the shares are redeemable, the redemption price and the terms of redemption;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payable to you for each share you own if we dissolve or liquidate;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the shares are convertible or exchangeable, the price or rate of conversion or exchange, and the applicable terms and conditions;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restrictions on issuance of shares in the same series or any other series;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voting rights applicable to the series of preferred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rights, priorities, preferences, restrictions or limitations of such series.</w:t>
      </w:r>
    </w:p>
    <w:p>
      <w:pPr>
        <w:spacing w:after="0" w:line="224"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rights with respect to any shares of our Class C Preferred Stock will be subordinate to the rights of our general creditors. Shares of our Class C Preferred Stock that we issue in accordance with their terms will be fully paid and nonassessable, and will not be entitled to preemptive rights unless specified in the applicable prospectus supplement.</w:t>
      </w:r>
    </w:p>
    <w:p>
      <w:pPr>
        <w:spacing w:after="0" w:line="179"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Our ability to issue preferred stock, or rights to purchase such shares, could discourage an unsolicited acquisition proposal. For example, we could impede a business combination by issuing a series of preferred stock containing class voting rights that would enable the holders of such preferred stock to block a business combination transaction. Alternatively, we could facilitate a business combination transaction by issuing a series of preferred stock having sufficient voting rights to provide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 required percentage vote of the stockholders. Additionally, under certain circumstances, our issuance of preferred stock could adversely affect the voting power of the holders of our common stock. Although our board of directors is required to make any determination to issue any preferred stock based on its judgment as to the best interests of our stockholders, our board of directors could act in a manner that would discourage an acquisition attempt or other transaction that some, or a majority, of our stockholders might believe to be in their best interests or in which stockholders might receive a premium for their stock over prevailing market prices of such stock. Our board of directors does not at present intend to seek stockholder approval prior to any issuance of currently authorized stock, unless otherwise required by law or applicable stock exchange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the Preferred Stock That We May Offer and Sell to You</w:t>
      </w:r>
    </w:p>
    <w:p>
      <w:pPr>
        <w:spacing w:after="0" w:line="228" w:lineRule="exact"/>
        <w:rPr>
          <w:sz w:val="20"/>
          <w:szCs w:val="20"/>
          <w:color w:val="auto"/>
        </w:rPr>
      </w:pPr>
    </w:p>
    <w:p>
      <w:pPr>
        <w:ind w:right="20" w:firstLine="338"/>
        <w:spacing w:after="0" w:line="300" w:lineRule="auto"/>
        <w:rPr>
          <w:sz w:val="20"/>
          <w:szCs w:val="20"/>
          <w:color w:val="auto"/>
        </w:rPr>
      </w:pPr>
      <w:r>
        <w:rPr>
          <w:rFonts w:ascii="Arial" w:cs="Arial" w:eastAsia="Arial" w:hAnsi="Arial"/>
          <w:sz w:val="15"/>
          <w:szCs w:val="15"/>
          <w:color w:val="auto"/>
        </w:rPr>
        <w:t>We summarize below some of the provisions that will apply to the preferred stock that we may offer to you unless the applicable prospectus supplement provides otherwise. This summary may not contain all information that is important to you. You should read the prospectus supplement, which will contain additional information and which may update or change some of the information below. Prior to the issuance of a new series of preferred stock, we will further amend our third restated certificate of incorporation, as amended, designating the stock of that series and the terms of that series. We will file a copy of the certificate of designation that contains the terms of each new series of preferred stock with the SEC each time we issue a new series of preferred stock. Each certificate of designation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designation as well as our third restated certificate of incorporation, as amended, before deciding to buy shares of our preferred stock as described in the applicable prospectus supplement.</w:t>
      </w:r>
    </w:p>
    <w:p>
      <w:pPr>
        <w:spacing w:after="0" w:line="163"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board of directors has the authority, without further action by the stockholders, to issue preferred stock in one or more series and to fix the number of shares, dividend rights, conversion rights, voting rights, redemption rights, liquidation preferences, sinking funds, and any other rights, preferences, privileges and restrictions applicable to each such series of preferred stock.</w:t>
      </w:r>
    </w:p>
    <w:p>
      <w:pPr>
        <w:spacing w:after="0" w:line="179"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other corporate action.</w:t>
      </w:r>
    </w:p>
    <w:p>
      <w:pPr>
        <w:spacing w:after="0" w:line="170"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terms of any particular series of preferred stock will be described in the prospectus supplement relating to that particular series of preferred stock, including, where applicable:</w:t>
      </w:r>
    </w:p>
    <w:p>
      <w:pPr>
        <w:spacing w:after="0" w:line="183"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designation, stated value and liquidation preference of such preferred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shares within the series;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offering price;</w:t>
      </w:r>
    </w:p>
    <w:p>
      <w:pPr>
        <w:spacing w:after="0" w:line="237" w:lineRule="exact"/>
        <w:rPr>
          <w:rFonts w:ascii="Arial" w:cs="Arial" w:eastAsia="Arial" w:hAnsi="Arial"/>
          <w:sz w:val="17"/>
          <w:szCs w:val="17"/>
          <w:color w:val="auto"/>
        </w:rPr>
      </w:pPr>
    </w:p>
    <w:p>
      <w:pPr>
        <w:ind w:left="1060" w:right="64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96" w:lineRule="exact"/>
        <w:rPr>
          <w:rFonts w:ascii="Arial" w:cs="Arial" w:eastAsia="Arial" w:hAnsi="Arial"/>
          <w:sz w:val="17"/>
          <w:szCs w:val="17"/>
          <w:color w:val="auto"/>
        </w:rPr>
      </w:pPr>
    </w:p>
    <w:p>
      <w:pPr>
        <w:ind w:left="1060" w:right="60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interests in the shares of preferred stock will be represented by depository shares as more fully described below under "Description of Depositary Shares");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redemption or sinking fund provisions;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 that shares of such series shall be entitled to receive in the event of our liquidation, dissolution or winding-up;</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terms and conditions, if any, on which shares of such series shall be convertible or exchangeable for shares of our stock of any other class or classes, or other series of the same class;</w:t>
      </w:r>
    </w:p>
    <w:p>
      <w:pPr>
        <w:spacing w:after="0" w:line="196" w:lineRule="exact"/>
        <w:rPr>
          <w:rFonts w:ascii="Arial" w:cs="Arial" w:eastAsia="Arial" w:hAnsi="Arial"/>
          <w:sz w:val="17"/>
          <w:szCs w:val="17"/>
          <w:color w:val="auto"/>
        </w:rPr>
      </w:pPr>
    </w:p>
    <w:p>
      <w:pPr>
        <w:ind w:left="1060" w:right="78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voting rights, if any, of shares of such series; the status as to reissuance or sale of shares of such series redeemed, purchased or otherwise reacquired, or surrendered to us on conversion or exchange;</w:t>
      </w:r>
    </w:p>
    <w:p>
      <w:pPr>
        <w:spacing w:after="0" w:line="182"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conditions and restrictions, if any, on the payment of dividends or on the making of other distributions on, or the purchase, redemption or other acquisition by us or any subsidiary, of the common stock or of any other class of our shares ranking junior to the shares of such series as to dividends or upon liquidation;</w:t>
      </w:r>
    </w:p>
    <w:p>
      <w:pPr>
        <w:spacing w:after="0" w:line="192"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conditions and restrictions, if any, on the creation of indebtedness by us or by any subsidiary, or on the issuance of any additional stock ranking on a parity with or prior to the shares of such series as to dividends or upon liquidation; and</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additional dividend, liquidation, redemption, sinking or retirement fund and other rights, preferences, privileges, limitations and restrictions of such preferred stock.</w:t>
      </w:r>
    </w:p>
    <w:p>
      <w:pPr>
        <w:spacing w:after="0" w:line="170" w:lineRule="exact"/>
        <w:rPr>
          <w:sz w:val="20"/>
          <w:szCs w:val="20"/>
          <w:color w:val="auto"/>
        </w:rPr>
      </w:pPr>
    </w:p>
    <w:p>
      <w:pPr>
        <w:ind w:right="620" w:firstLine="338"/>
        <w:spacing w:after="0" w:line="315" w:lineRule="auto"/>
        <w:rPr>
          <w:sz w:val="20"/>
          <w:szCs w:val="20"/>
          <w:color w:val="auto"/>
        </w:rPr>
      </w:pPr>
      <w:r>
        <w:rPr>
          <w:rFonts w:ascii="Arial" w:cs="Arial" w:eastAsia="Arial" w:hAnsi="Arial"/>
          <w:sz w:val="16"/>
          <w:szCs w:val="16"/>
          <w:color w:val="auto"/>
        </w:rPr>
        <w:t>The description of the terms of a particular series of preferred stock in the applicable prospectus supplement will not be complete. You should refer to the applicable amendment to our third restated certificate of incorporation, as amended, for complete information regarding a series of preferred stock.</w:t>
      </w:r>
    </w:p>
    <w:p>
      <w:pPr>
        <w:spacing w:after="0" w:line="146" w:lineRule="exact"/>
        <w:rPr>
          <w:sz w:val="20"/>
          <w:szCs w:val="20"/>
          <w:color w:val="auto"/>
        </w:rPr>
      </w:pPr>
    </w:p>
    <w:p>
      <w:pPr>
        <w:jc w:val="both"/>
        <w:ind w:right="240" w:firstLine="338"/>
        <w:spacing w:after="0" w:line="294" w:lineRule="auto"/>
        <w:rPr>
          <w:sz w:val="20"/>
          <w:szCs w:val="20"/>
          <w:color w:val="auto"/>
        </w:rPr>
      </w:pPr>
      <w:r>
        <w:rPr>
          <w:rFonts w:ascii="Arial" w:cs="Arial" w:eastAsia="Arial" w:hAnsi="Arial"/>
          <w:sz w:val="16"/>
          <w:szCs w:val="16"/>
          <w:color w:val="auto"/>
        </w:rPr>
        <w:t>The preferred stock will, when issued against payment of the consideration payable therefor, be fully paid and nonassessable. Unless otherwise specified in the applicable prospectus supplement, each series of preferred stock will, upon issuance, rank senior to the common stock and on a parity in all respects with each other outstanding series of preferred stock. The rights of the holders of our preferred stock will be subordinate to that of our general creditors.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DESCRIPTION OF WARRANTS</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We may issue, together with other securities or separately, warrants to purchase common stock, preferred stock or other securities. We may issue the warrants under warrant agreements to be entered into between us and a bank or trust company, as warrant agent, all as set forth in the applicable prospectus supplement. The warrant agent would act solely as our agent in connection with the warrants of the series being offered and would not assume any obligation or relationship of agency or trust for or with any holders or beneficial owners of warrants.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applicable prospectus supplement will describe the following terms, where applicable, of warrants in respect of which this prospectus is being delivered:</w:t>
      </w:r>
    </w:p>
    <w:p>
      <w:pPr>
        <w:spacing w:after="0" w:line="249"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title of the warrants;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12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designation, amount and terms of the securities for which the warrants are exercisable and the procedures and conditions relating to the exercise of such warrants;</w:t>
      </w:r>
    </w:p>
    <w:p>
      <w:pPr>
        <w:spacing w:after="0" w:line="196"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designation and terms of the other securities, if any, with which the warrants are to be issued and the number of warrants issued with each such security;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price or prices at which the warrants will be issued;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aggregate number of warrants;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provisions for adjustment of the number or amount of securities receivable upon exercise of the warrants or the exercise price of the warrants;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price or prices at which the securities purchasable upon exercise of the warrants may be purchased;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securities purchasable upon exercise of the warrants will be separately transferable;</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applicable, a discussion of the material U.S. federal income tax considerations applicable to the warrants;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shall commence and the date on which the right shall expire;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applicable, the maximum or minimum number of warrants which may be exercised at any 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identity of the warrant agent;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mandatory or optional redemption provision;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the warrants are to be issued in registered or bearer form;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the warrants are extendible and the period or periods of such extendibility;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with respect to book-entry procedures, if any;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terms of the warrants.</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Warrants</w:t>
      </w:r>
    </w:p>
    <w:p>
      <w:pPr>
        <w:spacing w:after="0" w:line="228" w:lineRule="exact"/>
        <w:rPr>
          <w:sz w:val="20"/>
          <w:szCs w:val="20"/>
          <w:color w:val="auto"/>
        </w:rPr>
      </w:pPr>
    </w:p>
    <w:p>
      <w:pPr>
        <w:jc w:val="both"/>
        <w:ind w:right="80" w:firstLine="341"/>
        <w:spacing w:after="0" w:line="294" w:lineRule="auto"/>
        <w:rPr>
          <w:sz w:val="20"/>
          <w:szCs w:val="20"/>
          <w:color w:val="auto"/>
        </w:rPr>
      </w:pPr>
      <w:r>
        <w:rPr>
          <w:rFonts w:ascii="Arial" w:cs="Arial" w:eastAsia="Arial" w:hAnsi="Arial"/>
          <w:sz w:val="15"/>
          <w:szCs w:val="15"/>
          <w:color w:val="auto"/>
        </w:rPr>
        <w:t>Each warrant will entitle the holder thereof to purchase such number of shares of common stock or preferred stock or other securities at the exercise price as will in each case be set forth in, or be determinable as set forth in, the applicable prospectus supplement. Warrants may be exercised at any time up to the close of business on the expiration date set forth in the applicable prospectus supplement. After the close of business on the expiration date, unexercised warrants will become void.</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Warrants may be exercised as set forth in the applicable prospectus supplement relating to the warrants offered thereby. Upon receipt of payment and the warrant certificate properly completed and duly executed at the corporate trust office of the warrant agent or any other office indicated in the applicable prospectus supplement, we will, as soon as practicable, forward the purchased securities. If less than all of the warrants represented by the warrant certificate are exercised, a new warrant certificate will be issued for the remaining warrants.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Enforceability of Rights of Holders of Warrants</w:t>
      </w:r>
    </w:p>
    <w:p>
      <w:pPr>
        <w:spacing w:after="0" w:line="228"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that holder's warrant(s).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Warrant Agreement</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warrant agreement will permit us and the warrant agent, without the consent of the warrant holders, to supplement or amend the agreement in the following circumstances:</w:t>
      </w:r>
    </w:p>
    <w:p>
      <w:pPr>
        <w:spacing w:after="0" w:line="183"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cure any ambiguity;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correct or supplement any provision which may be defective or inconsistent with any other provisions;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add new provisions regarding matters or questions that we and the warrant agent may deem necessary or desirable and which do not adversely affect the interests of the warrant holders.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DESCRIPTION OF DEPOSITARY SHARES</w:t>
      </w:r>
    </w:p>
    <w:p>
      <w:pPr>
        <w:spacing w:after="0" w:line="224"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summarize below some of the provisions that will apply to depositary shares unless the applicable prospectus supplement provides otherwise. This summary may not contain all information that is important to you. The complete terms of the depositary shares will be contained in the depositary agreement and depositary receipt applicable to any depositary shares. These documents have been or will be included or incorporated by reference as exhibits to the registration statement of which this prospectus is a part. You should read the depositary agreement and the depositary receipt. You should also read the prospectus supplement, which will contain additional information and which may update or change some of the information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We may, at our option, elect to offer fractional or multiple shares of common stock or preferred stock, rather than single shares of common stock or preferred stock (to be set forth in the prospectus supplement relating to such depositary shares). In the event we elect to do so, depositary receipts evidencing depositary shares will be issued to the public.</w:t>
      </w:r>
    </w:p>
    <w:p>
      <w:pPr>
        <w:spacing w:after="0" w:line="179"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shares of common stock or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 million. Subject to the terms of the deposit agreement, each owner of a depositary share will be entitled, in proportion to the applicable fraction of a share of common stock or preferred stock represented by such depositary share, to all the rights and preferences of the shares of common stock or preferred stock represented by the depositary share, including dividend, voting, redemption and liquidation rights.</w:t>
      </w:r>
    </w:p>
    <w:p>
      <w:pPr>
        <w:spacing w:after="0" w:line="159"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depositary shares will be evidenced by depositary receipts issued pursuant to the deposit agreement. Depositary receipts will be distributed to those persons purchasing the fractional shares of common stock or the related class or series of preferred shares in accordance with the terms of the offering described in the related prospectus supplement.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DESCRIPTION OF UNITS</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99" w:lineRule="exact"/>
        <w:rPr>
          <w:sz w:val="20"/>
          <w:szCs w:val="20"/>
          <w:color w:val="auto"/>
        </w:rPr>
      </w:pPr>
    </w:p>
    <w:p>
      <w:pPr>
        <w:ind w:left="1060" w:right="80" w:hanging="531"/>
        <w:spacing w:after="0" w:line="28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designation and terms of the units and of the securities comprising the units, including whether and under what circumstances those securities may be held or transferred separately;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terms of the unit agreement governing the units;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United States federal income tax considerations relevant to the units;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units will be issued in fully registered global form.</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PLAN OF DISTRIBUTION</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We may sell the securities covered hereby from time to time pursuant to underwritten public offerings, direct sales to the public, negotiated transactions, block trades or a combination of these methods. A distribution of the securities offered by this prospectus may also be effected through the issuance of derivative securities, including without limitation, warrants and subscriptions. We may sell the securities to or through underwriters or dealers, through agents, or directly to one or more purchasers. We may distribute securities from time to time in one or more transactions:</w:t>
      </w:r>
    </w:p>
    <w:p>
      <w:pPr>
        <w:spacing w:after="0" w:line="199"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a fixed price or prices, which may be changed;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market prices prevailing at the time of sale;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varying prices determined at the time of sale;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prospectus supplement or supplements will describe the terms of the offering of the securities, including:</w:t>
      </w:r>
    </w:p>
    <w:p>
      <w:pPr>
        <w:spacing w:after="0" w:line="250"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name or names of the underwriters, dealers or agents participating in the offering, if any;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purchase price of the securities sold by us to any underwriter or dealer and the net proceeds we expect to receive from the offering;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over-allotment options under which underwriters may purchase additional securities from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agency fees or underwriting discounts or commissions and other items constituting agents' or underwriters' compensation;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public offering price;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discounts or concessions allowed or reallowed or paid to dealers;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securities exchange or market on which the securities may be listed.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Only underwriters named in the prospectus supplement will be underwriters of the securities offered by the prospectus supplement.</w:t>
      </w:r>
    </w:p>
    <w:p>
      <w:pPr>
        <w:spacing w:after="0" w:line="224"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commissions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5"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9" w:lineRule="exact"/>
        <w:rPr>
          <w:sz w:val="20"/>
          <w:szCs w:val="20"/>
          <w:color w:val="auto"/>
        </w:rPr>
      </w:pPr>
    </w:p>
    <w:p>
      <w:pPr>
        <w:jc w:val="both"/>
        <w:ind w:right="220" w:firstLine="338"/>
        <w:spacing w:after="0" w:line="294"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3"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9"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on the NASDAQ Capital Market.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176" w:lineRule="exact"/>
        <w:rPr>
          <w:sz w:val="20"/>
          <w:szCs w:val="20"/>
          <w:color w:val="auto"/>
        </w:rPr>
      </w:pPr>
    </w:p>
    <w:p>
      <w:pPr>
        <w:ind w:firstLine="332"/>
        <w:spacing w:after="0" w:line="306"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be higher than it would otherwise be. If commenced, the underwriters may discontinue any of the activities at any time.</w:t>
      </w:r>
    </w:p>
    <w:p>
      <w:pPr>
        <w:spacing w:after="0" w:line="224"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Any agents and underwriters who are qualified market makers on the NASDAQ Capital Market may engage in passive market making transactions in the securities on the NASDAQ Capital Market in accordance with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62"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color w:val="auto"/>
        </w:rPr>
        <w:t>In compliance with guidelines of the Financial Industry Regulatory Authority, or FINRA, the maximum compensation to be received by any FINRA member or independent broker dealer may not exceed 8% of the aggregate amount of the securities offered pursuant to this prospectus and any applicable prospectus supplement.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INCORPORATION OF CERTAIN DOCUMENTS BY REFERENCE</w:t>
      </w:r>
    </w:p>
    <w:p>
      <w:pPr>
        <w:spacing w:after="0" w:line="224" w:lineRule="exact"/>
        <w:rPr>
          <w:sz w:val="20"/>
          <w:szCs w:val="20"/>
          <w:color w:val="auto"/>
        </w:rPr>
      </w:pPr>
    </w:p>
    <w:p>
      <w:pPr>
        <w:ind w:right="240" w:firstLine="338"/>
        <w:spacing w:after="0" w:line="322" w:lineRule="auto"/>
        <w:rPr>
          <w:sz w:val="20"/>
          <w:szCs w:val="20"/>
          <w:color w:val="auto"/>
        </w:rPr>
      </w:pPr>
      <w:r>
        <w:rPr>
          <w:rFonts w:ascii="Arial" w:cs="Arial" w:eastAsia="Arial" w:hAnsi="Arial"/>
          <w:sz w:val="15"/>
          <w:szCs w:val="15"/>
          <w:color w:val="auto"/>
        </w:rPr>
        <w:t>The SEC allows us to "incorporate by reference" into this prospectus the information we have filed with the SEC, which means that we can disclose important information to you by referring you to those documents. Any information that we file subsequently with the SEC will automatically update this prospectus. We incorporate by reference into this prospectus the information contained in the documents listed below, which is considered to be a part of this prospectus:</w:t>
      </w:r>
    </w:p>
    <w:p>
      <w:pPr>
        <w:spacing w:after="0" w:line="158" w:lineRule="exact"/>
        <w:rPr>
          <w:sz w:val="20"/>
          <w:szCs w:val="20"/>
          <w:color w:val="auto"/>
        </w:rPr>
      </w:pPr>
    </w:p>
    <w:p>
      <w:pPr>
        <w:ind w:left="1060" w:right="20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2009, filed on March 12, 2010, as amended by Amendment No. 1 to our Annual Report on Form 10-K for the year ended December 31, 2009 filed on March 31, 2010.</w:t>
      </w:r>
    </w:p>
    <w:p>
      <w:pPr>
        <w:spacing w:after="0" w:line="196"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Current Reports on Form 8-K filed with the Commission on January 8, 2010, January 25, 2010, February 16, 2010, March 4, 2010 and March 30, 2010 (in each case except to the extent furnished but not filed).</w:t>
      </w:r>
    </w:p>
    <w:p>
      <w:pPr>
        <w:spacing w:after="0" w:line="182" w:lineRule="exact"/>
        <w:rPr>
          <w:rFonts w:ascii="Arial" w:cs="Arial" w:eastAsia="Arial" w:hAnsi="Arial"/>
          <w:sz w:val="17"/>
          <w:szCs w:val="17"/>
          <w:color w:val="auto"/>
        </w:rPr>
      </w:pPr>
    </w:p>
    <w:p>
      <w:pPr>
        <w:ind w:left="1060" w:right="140" w:hanging="531"/>
        <w:spacing w:after="0" w:line="352" w:lineRule="auto"/>
        <w:tabs>
          <w:tab w:leader="none" w:pos="10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description of our Common Stock contained in our registration statement on Form 8-A, filed with the Commission on September 22, 1986 under Section 12 of the Securities Exchange Act of 1934, as amended, and any amendments or reports filed for the purpose of updating such description.</w:t>
      </w:r>
    </w:p>
    <w:p>
      <w:pPr>
        <w:spacing w:after="0" w:line="136"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description of the rights to purchase our Series C-1 Junior Participating Cumulative Preferred Stock contained in our registration statement on Form S-4, filed with the SEC on December 21, 2007, our registration statement on Form 8-A filed with the SEC on November 8, 2004, our registration statement on Form 8-A/A filed with the SEC on October 22, 2007, our registration statement on Form 8-A/A filed with the SEC on March 7, 2008, and any amendment or report filed with the SEC for the purposes of updating such descriptions.</w:t>
      </w:r>
    </w:p>
    <w:p>
      <w:pPr>
        <w:spacing w:after="0" w:line="169" w:lineRule="exact"/>
        <w:rPr>
          <w:sz w:val="20"/>
          <w:szCs w:val="20"/>
          <w:color w:val="auto"/>
        </w:rPr>
      </w:pPr>
    </w:p>
    <w:p>
      <w:pPr>
        <w:ind w:right="360" w:firstLine="338"/>
        <w:spacing w:after="0" w:line="306" w:lineRule="auto"/>
        <w:rPr>
          <w:sz w:val="20"/>
          <w:szCs w:val="20"/>
          <w:color w:val="auto"/>
        </w:rPr>
      </w:pPr>
      <w:r>
        <w:rPr>
          <w:rFonts w:ascii="Arial" w:cs="Arial" w:eastAsia="Arial" w:hAnsi="Arial"/>
          <w:sz w:val="15"/>
          <w:szCs w:val="15"/>
          <w:color w:val="auto"/>
        </w:rPr>
        <w:t>We also incorporate by reference all documents we file under Sections 13(a), 13(c), 14 or 15(d) of the Exchange Act (a) after the initial filing date of the registration statement of which this prospectus is a part and before the effectiveness of the registration statement and (b) after the effectiveness of the registration statement and before the filing of a post-effective amendment that indicates that the securities offered by this prospectus have been sold or that deregisters the securities covered by this prospectus then remaining unsold. The most recent information that we file with the SEC automatically updates and supersedes older information. The information contained in any such filing will be deemed to be a part of this prospectus, commencing on the date on which the document is filed.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In addition, we incorporate by reference the documents listed below made by CuraGen with the SEC under Sections 13(a), 13(c), 14 or 15(d) of the Securities Exchange Act of 1934:</w:t>
      </w:r>
    </w:p>
    <w:p>
      <w:pPr>
        <w:spacing w:after="0" w:line="183" w:lineRule="exact"/>
        <w:rPr>
          <w:sz w:val="20"/>
          <w:szCs w:val="20"/>
          <w:color w:val="auto"/>
        </w:rPr>
      </w:pPr>
    </w:p>
    <w:p>
      <w:pPr>
        <w:ind w:left="1060" w:right="20" w:hanging="531"/>
        <w:spacing w:after="0" w:line="270"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CuraGen's Annual Report on Form 10-K for the year Fiscal year ended December 31, 2008, filed on March 10, 2009 as amended by Amendment No. 1 to CuraGen's Annual Report on Form 10-K for the Fiscal Year ended December 31, 2008 filed on April 30, 2009 and Amendment No. 2 to CuraGen's Annual Report on Form 10-K for the fiscal year ended December 31, 2008 filed on June 19, 2009.</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CuraGen's Quarterly Report on Form 10-Q for the quarterly period ended September 30, 2009, filed November 6, 2009.</w:t>
      </w:r>
    </w:p>
    <w:p>
      <w:pPr>
        <w:spacing w:after="0" w:line="224" w:lineRule="exact"/>
        <w:rPr>
          <w:sz w:val="20"/>
          <w:szCs w:val="20"/>
          <w:color w:val="auto"/>
        </w:rPr>
      </w:pPr>
    </w:p>
    <w:p>
      <w:pPr>
        <w:jc w:val="both"/>
        <w:ind w:right="160" w:firstLine="338"/>
        <w:spacing w:after="0" w:line="270" w:lineRule="auto"/>
        <w:rPr>
          <w:sz w:val="20"/>
          <w:szCs w:val="20"/>
          <w:color w:val="auto"/>
        </w:rPr>
      </w:pPr>
      <w:r>
        <w:rPr>
          <w:rFonts w:ascii="Arial" w:cs="Arial" w:eastAsia="Arial" w:hAnsi="Arial"/>
          <w:sz w:val="17"/>
          <w:szCs w:val="17"/>
          <w:color w:val="auto"/>
        </w:rPr>
        <w:t>We will furnish without charge to each person, including any beneficial owner, to whom this prospectus is delivered, upon written or oral request, a copy of any documents incorporated by reference other than exhibits to those documents. Requests should be addressed to: 119 Fourth Avenue, Needham, Massachusetts 02494, Attention: Corporate Secretary (telephone number (781) 433-0771).</w:t>
      </w:r>
    </w:p>
    <w:p>
      <w:pPr>
        <w:spacing w:after="0" w:line="179" w:lineRule="exact"/>
        <w:rPr>
          <w:sz w:val="20"/>
          <w:szCs w:val="20"/>
          <w:color w:val="auto"/>
        </w:rPr>
      </w:pPr>
    </w:p>
    <w:p>
      <w:pPr>
        <w:ind w:right="20" w:firstLine="335"/>
        <w:spacing w:after="0" w:line="270" w:lineRule="auto"/>
        <w:rPr>
          <w:sz w:val="20"/>
          <w:szCs w:val="20"/>
          <w:color w:val="auto"/>
        </w:rPr>
      </w:pPr>
      <w:r>
        <w:rPr>
          <w:rFonts w:ascii="Arial" w:cs="Arial" w:eastAsia="Arial" w:hAnsi="Arial"/>
          <w:sz w:val="17"/>
          <w:szCs w:val="17"/>
          <w:color w:val="auto"/>
        </w:rPr>
        <w:t>You should rely only on the information incorporated by reference or provided in this prospectus. We have not authorized anyone to provide you with different information. You should not assume that the information in this prospectus or the documents incorporated by reference is accurate as of any date other than the date on the front of this prospectus or those documents.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Celldex Therapeutics,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 Fourth Avenue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Needham, Massachusetts 02494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telephone number (781) 433-0771</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Unless otherwise indicated in the applicable prospectus supplement, the validity of the securities offered hereby will be passed upon for us by Lowenstein Sandler PC, Roseland, New Jersey.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EXPERTS</w:t>
      </w:r>
    </w:p>
    <w:p>
      <w:pPr>
        <w:spacing w:after="0" w:line="224"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financial statements of Celldex Therapeutics, Inc. as of December 31, 2009 and 2008 and for the years ended December 31, 2009 and 2008 and management's assessment of the effectiveness of internal control over financial reporting (which is included in Management's Report on Internal Control over Financial Reporting) incorporated in this prospectus by reference to the Annual Report on Form 10-K of Celldex Therapeutics, Inc.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of Celldex Therapeutics, Inc. included in our Annual Report on Form 10-K for the year ended December 31, 2007, which is incorporated by reference in this prospectus and elsewhere in the registration statement. Our financial statements as of December 31, 2007 are incorporated by reference in reliance on Ernst &amp; Young LLP's report, given on their authority as experts in accounting and auditing.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The consolidated financial statements of CuraGen Corporation, incorporated in this prospectus by reference from CuraGen Corporation's Annual Report on Form 10-K for the year ended December 31, 2008, as amended by Amendments No. 1 and 2 to CuraGen's Annual Report on Form 10-K for the year ended December 31, 2008 and the effectiveness of CuraGen Corporation's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WHERE YOU CAN FIND MORE INFORMATION</w:t>
      </w:r>
    </w:p>
    <w:p>
      <w:pPr>
        <w:spacing w:after="0" w:line="224" w:lineRule="exact"/>
        <w:rPr>
          <w:sz w:val="20"/>
          <w:szCs w:val="20"/>
          <w:color w:val="auto"/>
        </w:rPr>
      </w:pPr>
    </w:p>
    <w:p>
      <w:pPr>
        <w:ind w:right="140" w:firstLine="338"/>
        <w:spacing w:after="0" w:line="283" w:lineRule="auto"/>
        <w:rPr>
          <w:sz w:val="20"/>
          <w:szCs w:val="20"/>
          <w:color w:val="auto"/>
        </w:rPr>
      </w:pPr>
      <w:r>
        <w:rPr>
          <w:rFonts w:ascii="Arial" w:cs="Arial" w:eastAsia="Arial" w:hAnsi="Arial"/>
          <w:sz w:val="16"/>
          <w:szCs w:val="16"/>
          <w:color w:val="auto"/>
        </w:rPr>
        <w:t>We have filed with the SEC a registration statement on Form S-3, including exhibits, under the Securities Act with respect to the securities being offered under this prospectus. This prospectus does not contain all of the information set forth in the registration statement. This prospectus contains descriptions of certain agreements or documents that are exhibits to the registration statement. The statements as to the contents of such exhibits, however, are brief descriptions and are not necessarily complete, and each statement is qualified in all respects by reference to such agreement or document. For further information about us, please refer to the registration statement and the documents incorporated by reference in this prospectus.</w:t>
      </w:r>
    </w:p>
    <w:p>
      <w:pPr>
        <w:spacing w:after="0" w:line="174"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 xml:space="preserve">We file annual, quarterly and special reports, proxy statements and other information with the SEC. Our SEC filings are available to the public over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The SEC's website contains reports, proxy statements and other information regarding issuers, such as Celldex Therapeutics, Inc., that file electronically with the SEC. You may also read and copy any document we file with the SEC at the SEC's Public Reference Room, located at 100 F Street, N.E., Washington, D.C. 20549. Please call the SEC at 1-800-SEC-0330 for further information on the operation of its Public Reference Room. We make available free of charge through our web site our Annual Report on Form 10-K, Quarterly Reports on Form 10-Q, Current Reports on Form 8-K, Proxy Statements on Schedule 14A and all amendments to those reports as soon as reasonably practicable after such material is electronically filed with or furnished to the SEC. Our website address is </w:t>
      </w:r>
      <w:r>
        <w:rPr>
          <w:rFonts w:ascii="Arial" w:cs="Arial" w:eastAsia="Arial" w:hAnsi="Arial"/>
          <w:sz w:val="16"/>
          <w:szCs w:val="16"/>
          <w:i w:val="1"/>
          <w:iCs w:val="1"/>
          <w:color w:val="auto"/>
        </w:rPr>
        <w:t>http://www.celldextherapeutics.com</w:t>
      </w:r>
      <w:r>
        <w:rPr>
          <w:rFonts w:ascii="Arial" w:cs="Arial" w:eastAsia="Arial" w:hAnsi="Arial"/>
          <w:sz w:val="16"/>
          <w:szCs w:val="16"/>
          <w:color w:val="auto"/>
        </w:rPr>
        <w:t>. Please note that our website address is provided as an inactive textual reference only. Information contained on or accessible through our website is not part of this prospectus or the prospectus supplement, and is therefore not incorporated by reference unless such information is otherwise specifically referenced elsewhere in this prospectus or the prospectus supplement.</w:t>
      </w:r>
    </w:p>
    <w:p>
      <w:pPr>
        <w:spacing w:after="0" w:line="179" w:lineRule="exact"/>
        <w:rPr>
          <w:sz w:val="20"/>
          <w:szCs w:val="20"/>
          <w:color w:val="auto"/>
        </w:rPr>
      </w:pPr>
    </w:p>
    <w:p>
      <w:pPr>
        <w:ind w:right="40" w:firstLine="335"/>
        <w:spacing w:after="0" w:line="26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No one has been authorized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as well as information we filed with the SEC and incorporated by reference, is accurate as of the date of those documents only. Our business, financial condition and results of operations described in those documents may have changed since those dates.</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CELLDEX THERAPEUTICS, INC.</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PROSPECTUS</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April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143510</wp:posOffset>
            </wp:positionV>
            <wp:extent cx="1906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504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154305</wp:posOffset>
            </wp:positionV>
            <wp:extent cx="2172970" cy="524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7297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154305</wp:posOffset>
            </wp:positionV>
            <wp:extent cx="2039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150495</wp:posOffset>
            </wp:positionV>
            <wp:extent cx="2039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Sole Book-Running Manager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Jefferies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820" w:type="dxa"/>
            <w:vAlign w:val="bottom"/>
          </w:tcPr>
          <w:p>
            <w:pPr>
              <w:jc w:val="center"/>
              <w:ind w:right="1102"/>
              <w:spacing w:after="0"/>
              <w:rPr>
                <w:sz w:val="20"/>
                <w:szCs w:val="20"/>
                <w:color w:val="auto"/>
              </w:rPr>
            </w:pPr>
            <w:r>
              <w:rPr>
                <w:rFonts w:ascii="Arial" w:cs="Arial" w:eastAsia="Arial" w:hAnsi="Arial"/>
                <w:sz w:val="21"/>
                <w:szCs w:val="21"/>
                <w:b w:val="1"/>
                <w:bCs w:val="1"/>
                <w:color w:val="auto"/>
                <w:w w:val="99"/>
              </w:rPr>
              <w:t>Wedbush PacGrow Life Sciences</w:t>
            </w:r>
          </w:p>
        </w:tc>
        <w:tc>
          <w:tcPr>
            <w:tcW w:w="5600" w:type="dxa"/>
            <w:vAlign w:val="bottom"/>
          </w:tcPr>
          <w:p>
            <w:pPr>
              <w:jc w:val="right"/>
              <w:ind w:right="2102"/>
              <w:spacing w:after="0"/>
              <w:rPr>
                <w:sz w:val="20"/>
                <w:szCs w:val="20"/>
                <w:color w:val="auto"/>
              </w:rPr>
            </w:pPr>
            <w:r>
              <w:rPr>
                <w:rFonts w:ascii="Arial" w:cs="Arial" w:eastAsia="Arial" w:hAnsi="Arial"/>
                <w:sz w:val="21"/>
                <w:szCs w:val="21"/>
                <w:b w:val="1"/>
                <w:bCs w:val="1"/>
                <w:color w:val="auto"/>
              </w:rPr>
              <w:t>Oppenheimer &amp; Co.</w:t>
            </w:r>
          </w:p>
        </w:tc>
      </w:tr>
      <w:tr>
        <w:trPr>
          <w:trHeight w:val="472"/>
        </w:trPr>
        <w:tc>
          <w:tcPr>
            <w:tcW w:w="5820" w:type="dxa"/>
            <w:vAlign w:val="bottom"/>
          </w:tcPr>
          <w:p>
            <w:pPr>
              <w:jc w:val="center"/>
              <w:ind w:right="1122"/>
              <w:spacing w:after="0"/>
              <w:rPr>
                <w:sz w:val="20"/>
                <w:szCs w:val="20"/>
                <w:color w:val="auto"/>
              </w:rPr>
            </w:pPr>
            <w:r>
              <w:rPr>
                <w:rFonts w:ascii="Arial" w:cs="Arial" w:eastAsia="Arial" w:hAnsi="Arial"/>
                <w:sz w:val="21"/>
                <w:szCs w:val="21"/>
                <w:b w:val="1"/>
                <w:bCs w:val="1"/>
                <w:color w:val="auto"/>
                <w:w w:val="99"/>
              </w:rPr>
              <w:t>Brean Murray, Carret &amp; Co.</w:t>
            </w:r>
          </w:p>
        </w:tc>
        <w:tc>
          <w:tcPr>
            <w:tcW w:w="5600" w:type="dxa"/>
            <w:vAlign w:val="bottom"/>
          </w:tcPr>
          <w:p>
            <w:pPr>
              <w:jc w:val="right"/>
              <w:ind w:right="1562"/>
              <w:spacing w:after="0"/>
              <w:rPr>
                <w:sz w:val="20"/>
                <w:szCs w:val="20"/>
                <w:color w:val="auto"/>
              </w:rPr>
            </w:pPr>
            <w:r>
              <w:rPr>
                <w:rFonts w:ascii="Arial" w:cs="Arial" w:eastAsia="Arial" w:hAnsi="Arial"/>
                <w:sz w:val="21"/>
                <w:szCs w:val="21"/>
                <w:b w:val="1"/>
                <w:bCs w:val="1"/>
                <w:color w:val="auto"/>
              </w:rPr>
              <w:t>Roth Capital Partners</w:t>
            </w:r>
          </w:p>
        </w:tc>
      </w:tr>
      <w:tr>
        <w:trPr>
          <w:trHeight w:val="408"/>
        </w:trPr>
        <w:tc>
          <w:tcPr>
            <w:tcW w:w="5820" w:type="dxa"/>
            <w:vAlign w:val="bottom"/>
          </w:tcPr>
          <w:p>
            <w:pPr>
              <w:ind w:left="4760"/>
              <w:spacing w:after="0"/>
              <w:rPr>
                <w:sz w:val="20"/>
                <w:szCs w:val="20"/>
                <w:color w:val="auto"/>
              </w:rPr>
            </w:pPr>
            <w:r>
              <w:rPr>
                <w:rFonts w:ascii="Arial" w:cs="Arial" w:eastAsia="Arial" w:hAnsi="Arial"/>
                <w:sz w:val="17"/>
                <w:szCs w:val="17"/>
                <w:color w:val="auto"/>
              </w:rPr>
              <w:t>February</w:t>
            </w:r>
          </w:p>
        </w:tc>
        <w:tc>
          <w:tcPr>
            <w:tcW w:w="5600" w:type="dxa"/>
            <w:vAlign w:val="bottom"/>
          </w:tcPr>
          <w:p>
            <w:pPr>
              <w:jc w:val="right"/>
              <w:ind w:right="4642"/>
              <w:spacing w:after="0"/>
              <w:rPr>
                <w:sz w:val="20"/>
                <w:szCs w:val="20"/>
                <w:color w:val="auto"/>
              </w:rPr>
            </w:pPr>
            <w:r>
              <w:rPr>
                <w:rFonts w:ascii="Arial" w:cs="Arial" w:eastAsia="Arial" w:hAnsi="Arial"/>
                <w:sz w:val="17"/>
                <w:szCs w:val="17"/>
                <w:color w:val="auto"/>
              </w:rPr>
              <w:t>, 2012</w:t>
            </w:r>
          </w:p>
        </w:tc>
      </w:tr>
      <w:tr>
        <w:trPr>
          <w:trHeight w:val="474"/>
        </w:trPr>
        <w:tc>
          <w:tcPr>
            <w:tcW w:w="5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39"/>
        </w:trPr>
        <w:tc>
          <w:tcPr>
            <w:tcW w:w="582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r>
      <w:tr>
        <w:trPr>
          <w:trHeight w:val="219"/>
        </w:trPr>
        <w:tc>
          <w:tcPr>
            <w:tcW w:w="582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Roman"/>
      <w:start w:val="2"/>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Roman"/>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Roman"/>
      <w:start w:val="2"/>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2019-12-09T08:40:22Z</dcterms:created>
  <dcterms:modified xsi:type="dcterms:W3CDTF">2019-12-09T08:40:22Z</dcterms:modified>
</cp:coreProperties>
</file>