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28, 2014, 89,403,761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2014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40"/>
          </w:cols>
          <w:pgMar w:left="240" w:top="233" w:right="319" w:bottom="0" w:gutter="0" w:footer="0" w:header="0"/>
        </w:sectPr>
      </w:pPr>
    </w:p>
    <w:p>
      <w:pPr>
        <w:spacing w:after="0" w:line="221" w:lineRule="exact"/>
        <w:rPr>
          <w:sz w:val="24"/>
          <w:szCs w:val="24"/>
          <w:color w:val="auto"/>
        </w:rPr>
      </w:pPr>
    </w:p>
    <w:p>
      <w:pPr>
        <w:ind w:left="1088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6745605</wp:posOffset>
            </wp:positionH>
            <wp:positionV relativeFrom="paragraph">
              <wp:posOffset>28575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2014 and December 31, 2013</w:t>
              </w:r>
            </w:hyperlink>
          </w:p>
        </w:tc>
        <w:tc>
          <w:tcPr>
            <w:tcW w:w="18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Six Months Ended June 30, 2014 and 2013</w:t>
              </w:r>
            </w:hyperlink>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Cash Flows for the Six Months Ended June 30, 2014 and 2013</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7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8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7960" w:type="dxa"/>
            <w:vAlign w:val="bottom"/>
            <w:gridSpan w:val="1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1A. Risk Factors</w:t>
              </w:r>
            </w:hyperlink>
          </w:p>
        </w:tc>
        <w:tc>
          <w:tcPr>
            <w:tcW w:w="460" w:type="dxa"/>
            <w:vAlign w:val="bottom"/>
            <w:tcBorders>
              <w:top w:val="single" w:sz="8" w:color="0000EE"/>
            </w:tcBorders>
          </w:tcPr>
          <w:p>
            <w:pPr>
              <w:spacing w:after="0"/>
              <w:rPr>
                <w:sz w:val="24"/>
                <w:szCs w:val="24"/>
                <w:color w:val="auto"/>
              </w:rPr>
            </w:pPr>
          </w:p>
        </w:tc>
        <w:tc>
          <w:tcPr>
            <w:tcW w:w="57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662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2"/>
          </w:tcPr>
          <w:p>
            <w:pPr>
              <w:spacing w:after="0"/>
              <w:rPr>
                <w:sz w:val="24"/>
                <w:szCs w:val="24"/>
                <w:color w:val="auto"/>
              </w:rPr>
            </w:pPr>
          </w:p>
        </w:tc>
        <w:tc>
          <w:tcPr>
            <w:tcW w:w="4940" w:type="dxa"/>
            <w:vAlign w:val="bottom"/>
            <w:gridSpan w:val="10"/>
          </w:tcPr>
          <w:p>
            <w:pPr>
              <w:jc w:val="center"/>
              <w:ind w:left="4030"/>
              <w:spacing w:after="0"/>
              <w:rPr>
                <w:sz w:val="20"/>
                <w:szCs w:val="20"/>
                <w:color w:val="auto"/>
              </w:rPr>
            </w:pPr>
            <w:r>
              <w:rPr>
                <w:rFonts w:ascii="Arial" w:cs="Arial" w:eastAsia="Arial" w:hAnsi="Arial"/>
                <w:sz w:val="18"/>
                <w:szCs w:val="18"/>
                <w:color w:val="auto"/>
                <w:w w:val="99"/>
              </w:rPr>
              <w:t>2</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7960" w:type="dxa"/>
            <w:vAlign w:val="bottom"/>
            <w:gridSpan w:val="1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60" w:type="dxa"/>
            <w:vAlign w:val="bottom"/>
            <w:gridSpan w:val="17"/>
          </w:tcPr>
          <w:p>
            <w:pP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60" w:type="dxa"/>
            <w:vAlign w:val="bottom"/>
            <w:gridSpan w:val="17"/>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rPr>
              <w:t>CELLDEX THERAPEUTICS,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92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40,797</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211,572</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255,597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22,313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760" w:type="dxa"/>
            <w:vAlign w:val="bottom"/>
            <w:tcBorders>
              <w:bottom w:val="single" w:sz="8" w:color="CCEEFF"/>
            </w:tcBorders>
            <w:gridSpan w:val="15"/>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297,592</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347,095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1,187</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17,897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2,118</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32,277</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15"/>
          </w:tcPr>
          <w:p>
            <w:pPr>
              <w:spacing w:after="0" w:line="201" w:lineRule="exact"/>
              <w:rPr>
                <w:sz w:val="20"/>
                <w:szCs w:val="20"/>
                <w:color w:val="auto"/>
              </w:rPr>
            </w:pPr>
            <w:r>
              <w:rPr>
                <w:rFonts w:ascii="Arial" w:cs="Arial" w:eastAsia="Arial" w:hAnsi="Arial"/>
                <w:sz w:val="18"/>
                <w:szCs w:val="18"/>
                <w:color w:val="auto"/>
                <w:w w:val="99"/>
              </w:rPr>
              <w:t>Convertible Preferred Stock, $.01 Par Value; 3,000,000 Shares Authorized; No Shares Issued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60" w:type="dxa"/>
            <w:vAlign w:val="bottom"/>
            <w:gridSpan w:val="15"/>
          </w:tcPr>
          <w:p>
            <w:pPr>
              <w:ind w:left="160"/>
              <w:spacing w:after="0"/>
              <w:rPr>
                <w:sz w:val="20"/>
                <w:szCs w:val="20"/>
                <w:color w:val="auto"/>
              </w:rPr>
            </w:pPr>
            <w:r>
              <w:rPr>
                <w:rFonts w:ascii="Arial" w:cs="Arial" w:eastAsia="Arial" w:hAnsi="Arial"/>
                <w:sz w:val="18"/>
                <w:szCs w:val="18"/>
                <w:color w:val="auto"/>
              </w:rPr>
              <w:t>Outstanding at June 30, 2014 and December 31, 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76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297,000,000 Shares Authorized; 89,396,160 and 89,246,832 Shares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76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Issued and Outstanding at June 30, 2014 and December 31, 2013,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666,334</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662,717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-6330315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-6330315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(403,856)</w:t>
            </w:r>
          </w:p>
        </w:tc>
        <w:tc>
          <w:tcPr>
            <w:tcW w:w="4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(345,679)</w:t>
            </w:r>
          </w:p>
        </w:tc>
      </w:tr>
      <w:tr>
        <w:trPr>
          <w:trHeight w:val="210"/>
        </w:trPr>
        <w:tc>
          <w:tcPr>
            <w:tcW w:w="5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265,315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297,592</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6"/>
              </w:rPr>
              <w:t>June 30, 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June 30, 2013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Product Royalties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15,090</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51,169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61,045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(18,658)</w:t>
            </w: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(60,037)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Calculating Basic and Diluted Net Loss per Share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89,361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80,899</w:t>
            </w: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89,316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(28,274)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(19,016)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(58,177)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(58,097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(58,177)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(36,348)</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(1,949)</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or Disposal of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Prepaid and Other Current Assets</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4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(35,258)</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50,587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(126,222)</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114,187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Stock from Employee Benefit Plans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 of Term Loan</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Liabilities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(128,605)</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169,402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7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40,797</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2013, which are included in the Company’s Annual Report on Form 10-K filed with the Securities and Exchange Commission (“SEC”) on March 3, 2014.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2014, the Company had cash, cash equivalents and marketable securities of $252.4 million. The Company incurred a loss of</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$58.2 million for the six months ended June 30, 2014. Net cash used in operations for the six months ended June 30, 2014 was $52.7 million. The Company believes that the cash, cash equivalents and marketable securities at June 30, 2014 will be sufficient to meet estimated working capital requirements and fund planned operations for at least the next twelve months.</w:t>
      </w:r>
    </w:p>
    <w:p>
      <w:pPr>
        <w:spacing w:after="0" w:line="19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six months ended June 30, 2014 are consistent with those discussed in Note 2 to the consolidated financial statements in our Annual Report on Form 10-K for the year ended December 31, 2013, except for the adoption of new accounting standards during the first six months of 2014 as discussed below.</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The updated guidance is effective for annual reporting periods beginning on or after December 15, 2016, and interim periods within those annual periods. Early adoption is not permitted. The Company will further study the implications of this standard in order to evaluate the expected impact on the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6,961,766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6,973,766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Income by component for the three and six months ended June 30, 2014 are summarized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amounts were reclassified out of accumulated other comprehensive income during the three or six months ended June 30,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Unrealized Gain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(Loss) 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Securities, net of tax</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 Items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2,586</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2014</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7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30,885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211,572</w:t>
            </w: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211,572</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242,457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2013</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7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148,549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w w:val="86"/>
              </w:rPr>
              <w:t>133,581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133,581</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282,130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w:t>
      </w:r>
    </w:p>
    <w:p>
      <w:pPr>
        <w:sectPr>
          <w:pgSz w:w="11900" w:h="16838"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46,138</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39,447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85,585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96,350</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29,474</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125,824</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2"/>
              </w:rPr>
              <w:t>211,409</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55,531</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18,234</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73,765</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38,973</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20,761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59,734</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133,499</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June 30, 2014. Marketable securities include $1.7 million and $0.9 million in accrued interest at June 30, 2014 and December 31,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Estimated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December 31, 2013</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1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360" w:type="dxa"/>
            <w:vAlign w:val="bottom"/>
          </w:tcPr>
          <w:p>
            <w:pPr>
              <w:jc w:val="right"/>
              <w:ind w:right="596"/>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11 years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60" w:type="dxa"/>
            <w:vAlign w:val="bottom"/>
            <w:vMerge w:val="restart"/>
          </w:tcPr>
          <w:p>
            <w:pPr>
              <w:jc w:val="right"/>
              <w:ind w:right="136"/>
              <w:spacing w:after="0"/>
              <w:rPr>
                <w:sz w:val="20"/>
                <w:szCs w:val="20"/>
                <w:color w:val="auto"/>
              </w:rPr>
            </w:pPr>
            <w:r>
              <w:rPr>
                <w:rFonts w:ascii="Arial" w:cs="Arial" w:eastAsia="Arial" w:hAnsi="Arial"/>
                <w:sz w:val="18"/>
                <w:szCs w:val="18"/>
                <w:color w:val="auto"/>
              </w:rPr>
              <w:t>Indefinite</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At the date of acquisition and at June 30, 2014, glembatumumab vedotin had not yet reached technological feasibility nor did it have any alternative future use. Glembatumumab vedotin is in a randomized study for the treatment of triple negative breast cancer designed to obtain accelerated approval.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2013</w:t>
            </w:r>
          </w:p>
        </w:tc>
      </w:tr>
      <w:tr>
        <w:trPr>
          <w:trHeight w:val="142"/>
        </w:trPr>
        <w:tc>
          <w:tcPr>
            <w:tcW w:w="5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3"/>
          </w:tcPr>
          <w:p>
            <w:pPr>
              <w:jc w:val="right"/>
              <w:ind w:right="101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8"/>
                <w:szCs w:val="18"/>
                <w:color w:val="auto"/>
              </w:rPr>
              <w:t>4,661</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138"/>
        </w:trPr>
        <w:tc>
          <w:tcPr>
            <w:tcW w:w="57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2,252</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5,762</w:t>
            </w: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r>
      <w:tr>
        <w:trPr>
          <w:trHeight w:val="210"/>
        </w:trPr>
        <w:tc>
          <w:tcPr>
            <w:tcW w:w="5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5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January 2014, 2013, 2012 and 2011, the Company received approval from the New Jersey Economic Development Authority and agreed to sell New Jersey tax benefits worth $1.1 million, $0.8 million, $0.8 million and $0.6 million to an independent third party for $1.0 million, $0.8 million, $0.7 million and $0.5 million, respectively. Under the agreement, the Company must maintain a base of operations in New Jersey for five years or the tax benefits must be paid back on a pro-rata basis based on the number of years completed. During the six months ended June 30, 2014 and 2013, the Company recorded $0.4 million and $0.2 million to other income related to the sale of these tax benefits, respectively.</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will bill Rockefeller quarterly for actual time and direct costs incurred and record those amounts to revenue in the quarter the services are performed. The Company recorded $0.4 million and $0.7 million in revenue related to the Rockefeller agreement during the three and six months ended June 30, 2014.</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May 2014, the Company entered into a clinical trial collaboration with Bristol-Myers Squibb Company (“BMS”) to evaluate the safety, tolerability and preliminary efficacy of varlilumab and nivolumab, BMS’s PD-1 immune checkpoint inhibitor, in a Phase 1/2 study. Under the terms of this clinical trial collaboration, BMS made a one-time payment to the Company of $5.0 million and the companies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Phase 1/2 study, which is expected to begin in the fourth quarter of 2014.</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$0.2 million in revenue related to the BMS agreement during the three months ended June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six months ended June 30, 2013, the Company issued 2,433,608 shares of its common stock under its controlled equity offering sales agreement with Cantor Fitzgerald &amp; Co., as amended, resulting in net proceeds to the Company of $17.1 million, after deducting commission and offering expenses.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six months ended June 30, 2013, the Company issued 13,800,000 shares of its common stock in an underwritten public offering resulting in net proceeds to the Company of $97.0 million, after deducting underwriting fees and offering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5,770,544</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1,333,850</w:t>
            </w:r>
          </w:p>
        </w:tc>
        <w:tc>
          <w:tcPr>
            <w:tcW w:w="300" w:type="dxa"/>
            <w:vAlign w:val="bottom"/>
          </w:tcPr>
          <w:p>
            <w:pPr>
              <w:spacing w:after="0"/>
              <w:rPr>
                <w:sz w:val="18"/>
                <w:szCs w:val="18"/>
                <w:color w:val="auto"/>
              </w:rPr>
            </w:pP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13.57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(134,131)</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(8,497)</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10.51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6,961,766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2014</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9.19</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6,886,817</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3,480,200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765,589</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six months ended June 30, 2014 was $8.76. Stock-based compensation expense for the three and six months ended June 30, 2014 and 2013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747</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764</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and six months ended June 30, 2014 and 2013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71 - 72%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1.2 - 1.8%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1.2 - 1.8%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2014 and December 31, 2013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rindopepimut (also referred to as CDX-110),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rindopepimut and METRIC for glembatumumab vedotin;</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glembatumumab vedotin, and other preclinical and clinical testing;</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rindopepimut in North America ourselves;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rindopepimut outside of North America, glembatumumab vedotin and varlilumab (also referred to as CDX-1127);</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8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ectPr>
          <w:pgSz w:w="11900" w:h="16838" w:orient="portrait"/>
          <w:cols w:equalWidth="0" w:num="1">
            <w:col w:w="11420"/>
          </w:cols>
          <w:pgMar w:left="240" w:top="125" w:right="239" w:bottom="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2013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study for the treatment of triple negative breast cancer designed to obtain accelerated approval. We also have a number of earlier stage drug candidates in clinical development, including varlilumab (also referred to as CDX-1127), a fully human therapeutic monoclonal antibody for cancer indications, CDX-301, an immune cell mobilizing agent and dendritic cell growth factor and CDX-1401, a targeted immunotherapeutic aimed at antigen presenting cells, or APC, for cancer indications. Our drug candidates address market opportunities for which we believe current therapies are inadequate or non-existent.</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4280" w:type="dxa"/>
            <w:vAlign w:val="bottom"/>
            <w:gridSpan w:val="2"/>
          </w:tcPr>
          <w:p>
            <w:pPr>
              <w:ind w:left="1500"/>
              <w:spacing w:after="0"/>
              <w:rPr>
                <w:sz w:val="20"/>
                <w:szCs w:val="20"/>
                <w:color w:val="auto"/>
              </w:rPr>
            </w:pPr>
            <w:r>
              <w:rPr>
                <w:rFonts w:ascii="Arial" w:cs="Arial" w:eastAsia="Arial" w:hAnsi="Arial"/>
                <w:sz w:val="14"/>
                <w:szCs w:val="14"/>
                <w:b w:val="1"/>
                <w:bCs w:val="1"/>
                <w:color w:val="auto"/>
              </w:rPr>
              <w:t>Indication/Field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3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Front-line glioblastoma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3</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4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Metastatic breast cancer and melanoma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2b</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Recurrent glioblastoma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4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Lymphoma/leukemia and solid tumors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CDX-1401</w:t>
            </w: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Multiple solid tumors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Cancer, autoimmune disease and transplant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Ovarian and renal cancer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Preclinical</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0" w:type="dxa"/>
            <w:vAlign w:val="bottom"/>
          </w:tcPr>
          <w:p>
            <w:pPr>
              <w:jc w:val="right"/>
              <w:ind w:right="37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Completion</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-1227455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ectPr>
          <w:pgSz w:w="11900" w:h="16838" w:orient="portrait"/>
          <w:cols w:equalWidth="0" w:num="1">
            <w:col w:w="11460"/>
          </w:cols>
          <w:pgMar w:left="240" w:top="341" w:right="199" w:bottom="0" w:gutter="0" w:footer="0" w:header="0"/>
        </w:sectPr>
      </w:pPr>
    </w:p>
    <w:bookmarkStart w:id="9" w:name="page10"/>
    <w:bookmarkEnd w:id="9"/>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2013, we incurred an aggregate of $201.1 million in research and development expenses. The following table indicates the amount incurred for each of our significant research programs and for other identified research and development activities during the six months ended June 30, 2014 and 2013. The amounts disclosed in the following table reflect direct research and development costs, license fees associated with the underlying technology and an allocation of indirect research and development costs to each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25,917</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17,743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14,799</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4,433</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2,058</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CDX-014</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1,815</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51,169</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29,180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ectPr>
          <w:pgSz w:w="11900" w:h="16838" w:orient="portrait"/>
          <w:cols w:equalWidth="0" w:num="1">
            <w:col w:w="11420"/>
          </w:cols>
          <w:pgMar w:left="240" w:top="125" w:right="239" w:bottom="0" w:gutter="0" w:footer="0" w:header="0"/>
        </w:sectPr>
      </w:pPr>
    </w:p>
    <w:bookmarkStart w:id="10" w:name="page11"/>
    <w:bookmarkEnd w:id="10"/>
    <w:p>
      <w:pPr>
        <w:ind w:right="140" w:firstLine="648"/>
        <w:spacing w:after="0" w:line="259" w:lineRule="auto"/>
        <w:rPr>
          <w:sz w:val="20"/>
          <w:szCs w:val="20"/>
          <w:color w:val="auto"/>
        </w:rPr>
      </w:pPr>
      <w:r>
        <w:rPr>
          <w:rFonts w:ascii="Arial" w:cs="Arial" w:eastAsia="Arial" w:hAnsi="Arial"/>
          <w:sz w:val="18"/>
          <w:szCs w:val="18"/>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Median, Years</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2-year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3-year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4-year</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5-year</w:t>
            </w:r>
          </w:p>
        </w:tc>
      </w:tr>
      <w:tr>
        <w:trPr>
          <w:trHeight w:val="171"/>
        </w:trPr>
        <w:tc>
          <w:tcPr>
            <w:tcW w:w="4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(95% CI)</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Phase 2 rindopepimut studies (n=105)</w:t>
            </w:r>
          </w:p>
        </w:tc>
        <w:tc>
          <w:tcPr>
            <w:tcW w:w="12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2"/>
              </w:rPr>
              <w:t>2.1 (1.8, 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Matched historical control (n=17)(1)</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1.3 (0.9, 1.7)</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77" w:lineRule="auto"/>
        <w:tabs>
          <w:tab w:leader="none" w:pos="667"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7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The pooled overall long-term survival results continue to be consistent with the ACT III Phase 2 study (18% for 4-years and 14% for 5-years).</w:t>
      </w:r>
    </w:p>
    <w:p>
      <w:pPr>
        <w:spacing w:after="0" w:line="2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GBM. Patients are randomized after the completion of surgery and standard 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after Gross Total Resection, or GTR, when compared to treatment with TMZ and a control injection of KLH. KLH is a component of rindopepimut and was selected due to its ability to generate a similar injection site reaction to that observed with rindopepimut. ACT IV is enrolling patients at over 200 centers worldwide and is expected to accrue 700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patients to reach the required 374 patients with minimal residual disease needed for analysis of the primary endpoint, overall survival. All patients, including patients with disease that exceed this threshold will be included in the analysis of secondary endpoints including progression-free survival, safety and tolerability, neurologic status and quality of life. Based on current projections, we anticipate that we will close screening in the third quarter of 2014 and that the last patient will be randomized into the study in the fourth quarter of 2014.</w:t>
      </w:r>
    </w:p>
    <w:p>
      <w:pPr>
        <w:spacing w:after="0" w:line="187"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recurrent EGFRvIII-positive GBM. ReACT was initially planned to enroll approximately 95 patients in a first or second relapse of GBM following receipt of standard therapy at approximately 25 sites across the United States. In August 2013, we announced the addition of an expansion cohort of approximately 75 patients (Group 2C)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(Group 1)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or ORR, overall survival and safety and tolerability.</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November 2013, we reported interim data from our ongoing Phase 2 ReACT study. Rindopepimut plus Avastin was very well tolerated (dosing up to 13+ months) and the results demonstrated promising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strong survival trend has also been seen to date versus the control group (see chart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ReACT Overall Survival and Progression-free Survival in Avastin-Naïve Recurrent GBM</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Rindopepimut &amp;</w:t>
            </w: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Control &amp; Avastin</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Hazard Ratio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Avastin (n=20)</w:t>
            </w: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(n=20)</w:t>
            </w: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Overall survival</w:t>
            </w:r>
          </w:p>
        </w:tc>
        <w:tc>
          <w:tcPr>
            <w:tcW w:w="18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12.0 months</w:t>
            </w: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7.9 months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0.43 (0.13, 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p=0.16</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Progression-free survival</w:t>
            </w:r>
          </w:p>
        </w:tc>
        <w:tc>
          <w:tcPr>
            <w:tcW w:w="1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3.7 months</w:t>
            </w: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 months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0.74 (0.34, 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P=0.47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Avastin-refractory patients treated with both rindopepimut and Avastin, a median progression-free survival, or PFS, of 1.9 months and an overall survival, or OS, of 5.6 months was observed. The median overall survival of 5.6 months is noteworthy in these heavily pre-treated, refractory EGFRvIII-positive patients. A review of the literature assessing survival in recurrent patients who are Avastin-experienced across eight independent studies suggests a weighted-average survival of 3.6 months (range of 2.6 to 5.8 months) in all-comers. It is important to note that these eight studies do not necessarily meet the strict definition of refractory applied in the ReACT study and that these studies included EGFRvIII-negative patients who tend to perform better. Progression-free survival results in this refractory population may be more consistent with the profile of an immunotherapy candidate where progression-free survival does not always correlate directly with an overall survival benefit.</w:t>
      </w:r>
    </w:p>
    <w:p>
      <w:pPr>
        <w:spacing w:after="0" w:line="17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Enrollment to Group 1 (Avastin-naïve patients) and enrollment of the first 23 patients in Group 2C (Avastin-refractory patients) is complete. Group 2C is designed as a two-stage cohort; evidence of anti-tumor activity in the first 23 patients will trigger full completion of enrollment to this arm of the study. Updated data from the study will be presented by year-end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ectPr>
          <w:pgSz w:w="11900" w:h="16838" w:orient="portrait"/>
          <w:cols w:equalWidth="0" w:num="1">
            <w:col w:w="11420"/>
          </w:cols>
          <w:pgMar w:left="240" w:top="125" w:right="239" w:bottom="0" w:gutter="0" w:footer="0" w:header="0"/>
        </w:sectPr>
      </w:pPr>
    </w:p>
    <w:bookmarkStart w:id="11" w:name="page12"/>
    <w:bookmarkEnd w:id="11"/>
    <w:p>
      <w:pPr>
        <w:ind w:right="100" w:firstLine="648"/>
        <w:spacing w:after="0" w:line="259" w:lineRule="auto"/>
        <w:rPr>
          <w:sz w:val="20"/>
          <w:szCs w:val="20"/>
          <w:color w:val="auto"/>
        </w:rPr>
      </w:pPr>
      <w:r>
        <w:rPr>
          <w:rFonts w:ascii="Arial" w:cs="Arial" w:eastAsia="Arial" w:hAnsi="Arial"/>
          <w:sz w:val="17"/>
          <w:szCs w:val="17"/>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w:t>
      </w:r>
      <w:r>
        <w:rPr>
          <w:rFonts w:ascii="Arial" w:cs="Arial" w:eastAsia="Arial" w:hAnsi="Arial"/>
          <w:sz w:val="22"/>
          <w:szCs w:val="22"/>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5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28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gpNMB Over-Expression</w:t>
            </w:r>
          </w:p>
        </w:tc>
        <w:tc>
          <w:tcPr>
            <w:tcW w:w="31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3280" w:type="dxa"/>
            <w:vAlign w:val="bottom"/>
            <w:gridSpan w:val="4"/>
            <w:vMerge w:val="continue"/>
          </w:tcPr>
          <w:p>
            <w:pPr>
              <w:spacing w:after="0"/>
              <w:rPr>
                <w:sz w:val="14"/>
                <w:szCs w:val="14"/>
                <w:color w:val="auto"/>
              </w:rPr>
            </w:pPr>
          </w:p>
        </w:tc>
        <w:tc>
          <w:tcPr>
            <w:tcW w:w="31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vedotin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Choice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vedotin</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gridSpan w:val="4"/>
            <w:vMerge w:val="restart"/>
          </w:tcPr>
          <w:p>
            <w:pPr>
              <w:jc w:val="center"/>
              <w:ind w:right="1520"/>
              <w:spacing w:after="0"/>
              <w:rPr>
                <w:sz w:val="20"/>
                <w:szCs w:val="20"/>
                <w:color w:val="auto"/>
              </w:rPr>
            </w:pPr>
            <w:r>
              <w:rPr>
                <w:rFonts w:ascii="Arial" w:cs="Arial" w:eastAsia="Arial" w:hAnsi="Arial"/>
                <w:sz w:val="14"/>
                <w:szCs w:val="14"/>
                <w:b w:val="1"/>
                <w:bCs w:val="1"/>
                <w:color w:val="auto"/>
                <w:w w:val="97"/>
              </w:rPr>
              <w:t>gpNMB</w:t>
            </w:r>
          </w:p>
        </w:tc>
        <w:tc>
          <w:tcPr>
            <w:tcW w:w="3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Triple Negative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1920" w:type="dxa"/>
            <w:vAlign w:val="bottom"/>
            <w:gridSpan w:val="3"/>
          </w:tcPr>
          <w:p>
            <w:pPr>
              <w:jc w:val="center"/>
              <w:ind w:left="1001"/>
              <w:spacing w:after="0" w:line="149" w:lineRule="exact"/>
              <w:rPr>
                <w:sz w:val="20"/>
                <w:szCs w:val="20"/>
                <w:color w:val="auto"/>
              </w:rPr>
            </w:pPr>
            <w:r>
              <w:rPr>
                <w:rFonts w:ascii="Arial" w:cs="Arial" w:eastAsia="Arial" w:hAnsi="Arial"/>
                <w:sz w:val="14"/>
                <w:szCs w:val="14"/>
                <w:b w:val="1"/>
                <w:bCs w:val="1"/>
                <w:color w:val="auto"/>
                <w:w w:val="97"/>
              </w:rPr>
              <w:t>and gpNMB</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Over-Expression</w:t>
            </w:r>
          </w:p>
        </w:tc>
        <w:tc>
          <w:tcPr>
            <w:tcW w:w="3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Over-Expression</w:t>
            </w: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Borders>
              <w:top w:val="single" w:sz="8" w:color="auto"/>
            </w:tcBorders>
          </w:tcPr>
          <w:p>
            <w:pPr>
              <w:jc w:val="center"/>
              <w:ind w:left="70"/>
              <w:spacing w:after="0" w:line="119" w:lineRule="exact"/>
              <w:rPr>
                <w:sz w:val="20"/>
                <w:szCs w:val="20"/>
                <w:color w:val="auto"/>
              </w:rPr>
            </w:pPr>
            <w:r>
              <w:rPr>
                <w:rFonts w:ascii="Arial" w:cs="Arial" w:eastAsia="Arial" w:hAnsi="Arial"/>
                <w:sz w:val="13"/>
                <w:szCs w:val="13"/>
                <w:b w:val="1"/>
                <w:bCs w:val="1"/>
                <w:color w:val="auto"/>
              </w:rPr>
              <w:t>glembatumumab</w:t>
            </w: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30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080" w:type="dxa"/>
            <w:vAlign w:val="bottom"/>
            <w:tcBorders>
              <w:top w:val="single" w:sz="8" w:color="auto"/>
            </w:tcBorders>
          </w:tcPr>
          <w:p>
            <w:pPr>
              <w:jc w:val="center"/>
              <w:ind w:right="180"/>
              <w:spacing w:after="0" w:line="119" w:lineRule="exact"/>
              <w:rPr>
                <w:sz w:val="20"/>
                <w:szCs w:val="20"/>
                <w:color w:val="auto"/>
              </w:rPr>
            </w:pPr>
            <w:r>
              <w:rPr>
                <w:rFonts w:ascii="Arial" w:cs="Arial" w:eastAsia="Arial" w:hAnsi="Arial"/>
                <w:sz w:val="13"/>
                <w:szCs w:val="13"/>
                <w:b w:val="1"/>
                <w:bCs w:val="1"/>
                <w:color w:val="auto"/>
              </w:rPr>
              <w:t>Investigator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left="70"/>
              <w:spacing w:after="0"/>
              <w:rPr>
                <w:sz w:val="20"/>
                <w:szCs w:val="20"/>
                <w:color w:val="auto"/>
              </w:rPr>
            </w:pPr>
            <w:r>
              <w:rPr>
                <w:rFonts w:ascii="Arial" w:cs="Arial" w:eastAsia="Arial" w:hAnsi="Arial"/>
                <w:sz w:val="14"/>
                <w:szCs w:val="14"/>
                <w:b w:val="1"/>
                <w:bCs w:val="1"/>
                <w:color w:val="auto"/>
                <w:w w:val="92"/>
              </w:rPr>
              <w:t>vedotin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Choice</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vedotin</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5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2.7</w:t>
            </w:r>
          </w:p>
        </w:tc>
        <w:tc>
          <w:tcPr>
            <w:tcW w:w="1780" w:type="dxa"/>
            <w:vAlign w:val="bottom"/>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87"/>
              </w:rPr>
              <w:t>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80"/>
              <w:spacing w:after="0"/>
              <w:rPr>
                <w:sz w:val="20"/>
                <w:szCs w:val="20"/>
                <w:color w:val="auto"/>
              </w:rPr>
            </w:pPr>
            <w:r>
              <w:rPr>
                <w:rFonts w:ascii="Arial" w:cs="Arial" w:eastAsia="Arial" w:hAnsi="Arial"/>
                <w:sz w:val="18"/>
                <w:szCs w:val="18"/>
                <w:color w:val="auto"/>
                <w:w w:val="87"/>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color w:val="auto"/>
                <w:w w:val="89"/>
              </w:rPr>
              <w:t>p=0.14</w:t>
            </w:r>
          </w:p>
        </w:tc>
        <w:tc>
          <w:tcPr>
            <w:tcW w:w="1920" w:type="dxa"/>
            <w:vAlign w:val="bottom"/>
            <w:gridSpan w:val="3"/>
            <w:shd w:val="clear" w:color="auto" w:fill="CCEEFF"/>
          </w:tcPr>
          <w:p>
            <w:pPr>
              <w:jc w:val="center"/>
              <w:ind w:left="1001"/>
              <w:spacing w:after="0"/>
              <w:rPr>
                <w:sz w:val="20"/>
                <w:szCs w:val="20"/>
                <w:color w:val="auto"/>
              </w:rPr>
            </w:pPr>
            <w:r>
              <w:rPr>
                <w:rFonts w:ascii="Arial" w:cs="Arial" w:eastAsia="Arial" w:hAnsi="Arial"/>
                <w:sz w:val="18"/>
                <w:szCs w:val="18"/>
                <w:color w:val="auto"/>
                <w:w w:val="91"/>
              </w:rPr>
              <w:t>p=0.008</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780" w:type="dxa"/>
            <w:vAlign w:val="bottom"/>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87"/>
              </w:rPr>
              <w:t>5.7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80"/>
              <w:spacing w:after="0"/>
              <w:rPr>
                <w:sz w:val="20"/>
                <w:szCs w:val="20"/>
                <w:color w:val="auto"/>
              </w:rPr>
            </w:pPr>
            <w:r>
              <w:rPr>
                <w:rFonts w:ascii="Arial" w:cs="Arial" w:eastAsia="Arial" w:hAnsi="Arial"/>
                <w:sz w:val="18"/>
                <w:szCs w:val="18"/>
                <w:color w:val="auto"/>
                <w:w w:val="87"/>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color w:val="auto"/>
                <w:w w:val="89"/>
              </w:rPr>
              <w:t>p=0.18</w:t>
            </w:r>
          </w:p>
        </w:tc>
        <w:tc>
          <w:tcPr>
            <w:tcW w:w="1920" w:type="dxa"/>
            <w:vAlign w:val="bottom"/>
            <w:gridSpan w:val="3"/>
            <w:shd w:val="clear" w:color="auto" w:fill="CCEEFF"/>
          </w:tcPr>
          <w:p>
            <w:pPr>
              <w:jc w:val="center"/>
              <w:ind w:left="1001"/>
              <w:spacing w:after="0"/>
              <w:rPr>
                <w:sz w:val="20"/>
                <w:szCs w:val="20"/>
                <w:color w:val="auto"/>
              </w:rPr>
            </w:pPr>
            <w:r>
              <w:rPr>
                <w:rFonts w:ascii="Arial" w:cs="Arial" w:eastAsia="Arial" w:hAnsi="Arial"/>
                <w:sz w:val="18"/>
                <w:szCs w:val="18"/>
                <w:color w:val="auto"/>
                <w:w w:val="91"/>
              </w:rPr>
              <w:t>p=0.003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December 2013, we initiated METRIC, a randomized, controlled study of glembatumumab vedotin in patients with triple negative breast cancer that over-express gpNMB designed to obtain accelerated approval. METRIC will be conducted in approximately 100 sites, primarily across the United States with additional sites in Canada and Australia and will enroll approximately 300 patients.</w:t>
      </w:r>
    </w:p>
    <w:p>
      <w:pPr>
        <w:sectPr>
          <w:pgSz w:w="11900" w:h="16838" w:orient="portrait"/>
          <w:cols w:equalWidth="0" w:num="1">
            <w:col w:w="11420"/>
          </w:cols>
          <w:pgMar w:left="240" w:top="125" w:right="239" w:bottom="164" w:gutter="0" w:footer="0" w:header="0"/>
        </w:sectPr>
      </w:pPr>
    </w:p>
    <w:bookmarkStart w:id="12" w:name="page13"/>
    <w:bookmarkEnd w:id="12"/>
    <w:p>
      <w:pPr>
        <w:spacing w:after="0" w:line="2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is currently exploring conducting additional clinical studies in indications known to express gpNMB. A Phase 2 study in metastatic melanoma is expected to be initiated in the second half of 2014. Assay optimization and validation for a Phase 2 study in squamous cell lung cancer is expected to be completed by year-end and the study will commence soon after. We have also entered into a Cooperative Research and Development Agreement (CRADA) with the National Cancer Institute under which we will collaborate initially on two studies of glembatumumab vedotin—one in uveal melanoma and one in pediatric osterosarcoma.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or BMS) for access to the UltiMab technology to develop and commercialize human antibodies to CD27.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w:t>
      </w:r>
    </w:p>
    <w:p>
      <w:pPr>
        <w:spacing w:after="0" w:line="16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Both mechanisms have been seen even at low doses in appropriate preclinical models.</w:t>
      </w:r>
    </w:p>
    <w:p>
      <w:pPr>
        <w:spacing w:after="0" w:line="18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presented data from this Phase 1 study in June 2014. Varlilumab was very well tolerated and induced immunologic activity in patients that is consistent with both its mechanism of action and preclinical models. In the lymphoid malignancies dose escalation arm (n=24) two patients were continuing treatment and had not yet been evaluated for response. A heavily pre-treated patient with aggressive Hodgkin lymphoma had achieved a complete response. She continued in remission at 12.9+ months. Six additional patients with Hodgkin lymphoma had been enrolled, with one patient awaiting initial response evaluation. Three additional patients with non-Hodgkin lymphoma had experienced stable disease with a PFS range of 4.5 to 14 months. One of these patients experienced significant tumor shrinkage (36%). All patients had completed treatment in the solid tumor dose escalation arm (n=25). Four patients experienced stable disease (SD) with a PFS range of 3.0 to 22.4+ months. In the melanoma cohort, three patients had ongoing SD with a PFS range of 2.7+ to 11.5+ months, including a uveal melanoma patient with 12% shrinkage of measurable disease. In the renal cell carcinoma expansion cohort, one patient achieved a partial response at 2.7+ months. Additionally, three patients had SD with a duration of 2.8+ to 8.4+ months. Five patients continued on treatment, one of whom had not yet been seen for the first assessment of response. Based on these data, we intend to initiate new studies of varlilumab in combination with various agents in the second half of 2014.</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May 2014, we entered into a clinical trial collaboration with BMS to evaluate the safety, tolerability and preliminary efficacy of varlilumab and nivolumab, BMS’s PD-1 immune checkpoint inhibitor, in a Phase 1/2 study. Multiple tumor types will be explored in the study, which could potentially include non-small cell lung cancer (NSCLC), metastatic melanoma, ovarian, colorectal (CRC) and squamous cell head and neck cancers. The Phase 1/2 study is expected to begin in the fourth quarter of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 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Phase 1 study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w:t>
      </w:r>
    </w:p>
    <w:p>
      <w:pPr>
        <w:sectPr>
          <w:pgSz w:w="11900" w:h="16865" w:orient="portrait"/>
          <w:cols w:equalWidth="0" w:num="1">
            <w:col w:w="11420"/>
          </w:cols>
          <w:pgMar w:left="240" w:top="121" w:right="239" w:bottom="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Phase 1 study has identified a well-tolerated and immunogenic regimen to take forward into future studies. We are planning to initiate a Phase 1/2 study of varlilumab and ipilimumab plus CDX-1401 in NY-ESO+ patients with metastatic melanoma in the second half of 2014. In addition, Celldex will provide support for a collaborative Phase 2 study of CDX-1401 in combination with CDX-301 in metastatic melanoma. This study will be conducted by the Cancer Immunotherapy Trials Network under a cooperative research and development agreement, or CRADA, with the Cancer Therapy Evaluation Program of the National Cancer Institute and is expected to begin enrolling patients in the third quarter of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2"/>
          <w:szCs w:val="22"/>
          <w:color w:val="auto"/>
          <w:vertAlign w:val="superscript"/>
        </w:rPr>
        <w:t>®</w:t>
      </w:r>
      <w:r>
        <w:rPr>
          <w:rFonts w:ascii="Arial" w:cs="Arial" w:eastAsia="Arial" w:hAnsi="Arial"/>
          <w:sz w:val="17"/>
          <w:szCs w:val="17"/>
          <w:color w:val="auto"/>
        </w:rPr>
        <w:t>, which may have significant potential for use in autologous and allogeneic hematopoietic stem cell transplantation. Based on the safety profile and the clinical and preclinical data to date, we plan to initiate a pilot clinical study of CDX-301 as a single-agent and in combination with Mozobil in the transplant setting in the third quarter of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CDX-014 is a fully-human monoclonal ADC that targets TIM-1, a molecule that is upregulated in several cancers, including renal cell and ovarian carcinomas. It is associated with kidney injury and the shedding of its ectodomain is a predictive biomarker for tumor progression. TIM-1 has very restricted expression in healthy tissues, making it a promising target for antibody mediated therapy. The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have established preclinical proof-of-concept and are completing manufacturing and IND-enabling studies to support the initiation of Phase 1 clinical studies in renal cell carcinoma and potentially other TIM-1 expressing tumors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2013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with Three Months Ended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6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510%</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24,100</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15,090</w:t>
            </w:r>
          </w:p>
        </w:tc>
        <w:tc>
          <w:tcPr>
            <w:tcW w:w="3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9,010</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(28,549)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9,891</w:t>
            </w:r>
          </w:p>
        </w:tc>
        <w:tc>
          <w:tcPr>
            <w:tcW w:w="3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ectPr>
          <w:pgSz w:w="11900" w:h="16838" w:orient="portrait"/>
          <w:cols w:equalWidth="0" w:num="1">
            <w:col w:w="11420"/>
          </w:cols>
          <w:pgMar w:left="240" w:top="125" w:right="239" w:bottom="0" w:gutter="0" w:footer="0" w:header="0"/>
          <w:type w:val="continuous"/>
        </w:sectPr>
      </w:pPr>
    </w:p>
    <w:bookmarkStart w:id="14" w:name="page15"/>
    <w:bookmarkEnd w:id="14"/>
    <w:p>
      <w:pPr>
        <w:ind w:right="120" w:firstLine="648"/>
        <w:spacing w:after="0" w:line="277" w:lineRule="auto"/>
        <w:rPr>
          <w:sz w:val="20"/>
          <w:szCs w:val="20"/>
          <w:color w:val="auto"/>
        </w:rPr>
      </w:pPr>
      <w:r>
        <w:rPr>
          <w:rFonts w:ascii="Arial" w:cs="Arial" w:eastAsia="Arial" w:hAnsi="Arial"/>
          <w:sz w:val="18"/>
          <w:szCs w:val="18"/>
          <w:color w:val="auto"/>
        </w:rPr>
        <w:t>The $9.3 million increase in net loss for the three months ended June 30, 2014 compared to the three months ended June 30, 2013 was primarily the result of an increase in research and development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$0.2 million increase in product development and licensing agreements revenue for the three months ended June 30, 2014 compared to the three months ended June 30, 2013 was primarily related to our BMS agreement. In May 2014, we entered into a clinical trial collaboration with BMS whereby BMS made a one-time payment to us of $5.0 million which we are recognizing as revenue over our estimated performance period. The $0.3 million increase in contracts and grants revenue for the three months ended June 30, 2014 compared to the three months ended June 30, 2013 was primarily related to our Rockefeller University agreement pursuant to which we perform research and development services for Rockefeller. The agreement includes an approved project plan for the development services of $4.8 million and a term of three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0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4,831</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996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845</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929</w:t>
            </w:r>
          </w:p>
        </w:tc>
        <w:tc>
          <w:tcPr>
            <w:tcW w:w="460" w:type="dxa"/>
            <w:vAlign w:val="bottom"/>
          </w:tcPr>
          <w:p>
            <w:pPr>
              <w:spacing w:after="0"/>
              <w:rPr>
                <w:sz w:val="18"/>
                <w:szCs w:val="18"/>
                <w:color w:val="auto"/>
              </w:rPr>
            </w:pP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(84)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1,358</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License Fees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4"/>
              </w:rPr>
              <w:t>15,871</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8,569</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7,302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$1.0 million increase in personnel expenses for the three months ended June 30, 2014 compared to the three months ended June 30, 2013 was primarily due to higher stock-based compensation of $0.3 million and increased headcount. We expect personnel expenses to increase over the next twelve months as we plan to continue to increase our headcount, primarily to support our rindopepimut, glembatumumab vedotin and varlilumab programs.</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$0.1 million decrease in laboratory supply expense for the three months ended June 30, 2014 compared to the three months ended June 30, 2013 was primarily due to lower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w:t>
      </w:r>
    </w:p>
    <w:p>
      <w:pPr>
        <w:spacing w:after="0" w:line="2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$0.2 million increase in facility expenses for the three months ended June 30, 2014 compared to the three months ended June 30, 2013 was primarily due to an increase in amortization expense related to the leasehold improvements made at our headquarters facility in Hampton, New Jersey. We expect facility expenses to remain relatively consistent over the next twelve months, although there may be fluctuations on a quarterly basis.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License fee expenses include annual license maintenance fees and milestone payments due upon the achievement of certain development, regulatory and/or commercial milestones. License fee expenses for the three months ended June 30, 2014 were relatively consistent compared to the three months ended June 30, 2013. We expect license fee expense to remain relatively consistent over the next twelve months.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$7.3 million increase in product development expenses for the three months ended June 30, 2014 compared to the three months ended June 30, 2013 was primarily the result of an increase in clinical trial costs and contract manufacturing of $1.4 million and</w:t>
      </w:r>
    </w:p>
    <w:p>
      <w:pPr>
        <w:ind w:right="20"/>
        <w:spacing w:after="0" w:line="255" w:lineRule="auto"/>
        <w:rPr>
          <w:sz w:val="20"/>
          <w:szCs w:val="20"/>
          <w:color w:val="auto"/>
        </w:rPr>
      </w:pPr>
      <w:r>
        <w:rPr>
          <w:rFonts w:ascii="Arial" w:cs="Arial" w:eastAsia="Arial" w:hAnsi="Arial"/>
          <w:sz w:val="18"/>
          <w:szCs w:val="18"/>
          <w:color w:val="auto"/>
        </w:rPr>
        <w:t>$5.8 million, respectively, primarily related to our rindopepimut and glembatumumab vedotin programs. We expect product development expenses to increase over the next twelve months primarily due to the increase in clinical trial and contract manufacturing expenses related to our rindopepimut, glembatumumab vedotin and varlilumab programs, although there may be fluctuations on a quarterly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$1.4 million increase in general and administrative expenses for the three months ended June 30, 2014 compared to the three months ended June 30, 2013 was primarily due to higher stock-based compensation of $0.5 million, increased headcount and rindopepimut and glembatumumab vedotin commercial planning costs. We expect general and administrative expense to increase over the next twelve months primarily due to increased commercial planning efforts for rindopepimut and glembatumumab vedotin, although there may be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Amortization expenses for the three months ended June 30, 2014 were relatively consistent compared to the three months ended June 30, 2013. We expect amortization expense of acquired intangible assets to remain relatively consistent over the next twelve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$0.1 million increase in investment and other income, net for the three months ended June 30, 2014 compared to the three months ended June 30, 2013 was primarily due to higher cash and investment balances. We anticipate other income to increase over the next twelve months due to the anticipated receipt of a $2.0 million milestone payment from TopoTarget. This payment is the last milestone payment we are owed from TopoTarget and was triggered in July 2014 upon the FDA approval of Beleodaq™ (belinostat).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$0.5 million decrease in interest expense for the three months ended June 30, 2014 compared to the three months ended June 30, 2013 was primarily due to our election in May 2013 to prepay our term loan in full, pursuant to the terms of our loan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(2,334)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51,169</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21,989</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(2,334)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9,369</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(60,037)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23,978</w:t>
            </w:r>
          </w:p>
        </w:tc>
        <w:tc>
          <w:tcPr>
            <w:tcW w:w="3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$21.8 million increase in net loss for the six months ended June 30, 2014 compared to the six months ended June 30, 2013 was primarily the result of an increase in research and development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$0.2 million increase in product development and licensing agreements revenue for the six months ended June 30, 2014 compared to the six months ended June 30, 2013 was primarily related to our BMS agreement. The $0.7 million increase in contracts and grants revenue for the six months ended June 30, 2014 compared to the six months ended June 30, 2013 was primarily related to our Rockefeller University agreement. The $2.3 million decrease in product royalty revenue for the six months ended June 30, 2014 compared to the six months ended June 30, 2013 was due to the termination of our agreement with GlaxoSmithKline plc upon the expiration of the last relevant patent right covered by the agreement. The terminated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Paul Royalty Fund II, L.P. had been equal to the amount payable to Cincinnati Children’s Hospital Medical Center and recognized as royalty expense by 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9,292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1,674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Laboratory Supplies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1,669</w:t>
            </w:r>
          </w:p>
        </w:tc>
        <w:tc>
          <w:tcPr>
            <w:tcW w:w="6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2,559</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License Fees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2,683</w:t>
            </w:r>
          </w:p>
        </w:tc>
        <w:tc>
          <w:tcPr>
            <w:tcW w:w="6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2,545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7"/>
              </w:rPr>
              <w:t>33,024</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16,384</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16,640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$1.7 million increase in personnel expenses for the six months ended June 30, 2014 compared to the six months ended June 30, 2013 was primarily due to higher stock-based compensation of $0.5 million and increased headcount.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Laboratory supply expense for the six months ended June 30, 2014 was relatively consistent as compared to the six months ended June 30, 2013.</w:t>
      </w:r>
    </w:p>
    <w:p>
      <w:pPr>
        <w:spacing w:after="0" w:line="24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$0.3 million increase in facility expenses for the six months ended June 30, 2014 compared to the six months ended June 30, 2013 was primarily due to an increase in amortization expense related to the leasehold improvements made at our headquarters facility in Hampton, New Jersey.</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$2.5 million increase in license fee expenses for the six months ended June 30, 2014 compared to the six months ended June 30, 2013 was due to the one-time $2.5 million milestone incurred and paid to Seattle Genetics as a result of the METRIC initiation.</w:t>
      </w:r>
    </w:p>
    <w:p>
      <w:pPr>
        <w:sectPr>
          <w:pgSz w:w="11900" w:h="16838" w:orient="portrait"/>
          <w:cols w:equalWidth="0" w:num="1">
            <w:col w:w="11420"/>
          </w:cols>
          <w:pgMar w:left="240" w:top="125" w:right="239" w:bottom="0" w:gutter="0" w:footer="0" w:header="0"/>
        </w:sectPr>
      </w:pPr>
    </w:p>
    <w:bookmarkStart w:id="16" w:name="page17"/>
    <w:bookmarkEnd w:id="16"/>
    <w:p>
      <w:pPr>
        <w:spacing w:after="0" w:line="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$16.6 million increase in product development expenses for the six months ended June 30, 2014 compared to the six months ended June 30, 2013 was primarily the result of an increase in clinical trial costs and contract manufacturing of $7.7 million and $8.7 million, respectively, primarily related to our rindopepimut and glembatumumab vedotin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$2.3 million decrease in royalty expenses for the six months ended June 30, 2014 compared to the six months ended June 30, 2013 was due to the termination of our agreement with GlaxoSmithKline plc upon the expiration of the last relevant patent right covered by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$2.8 million increase in general and administrative expenses for the six months ended June 30, 2014 compared to the six months ended June 30, 2013 was primarily due to higher stock-based compensation of $0.9 million, increased headcount and rindopepimut and glembatumumab vedotin commercial planning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expenses for the six months ended June 30, 2014 was relatively consistent as compared to the six months ended June 30,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The $1.3 million increase in investment and other income, net for the six months ended June 30, 2014 compared to the six months ended June 30, 2013 was primarily due to $1.0 million received in February 2014 in connection with our TopoTarget agreement and us recognizing $0.4 million and $0.2 million in other income related to the sale of New Jersey tax benefits during the six months ended June 30, 2014 and 2013,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$0.8 million decrease in interest expense for the six months ended June 30, 2014 compared to the six months ended June 30, 2013 was primarily due to our election in May 2013 to prepay our term loan in full, pursuant to the terms of our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At June 30, 2014, our principal sources of liquidity consisted of cash, cash equivalents and marketable securities of $252.4 million. We incurred a loss of $58.2 million for the six months ended June 30, 2014. Net cash used in operations for the six months ended June 30, 2014 was $52.7 million. We believe that the cash, cash equivalents and marketable securities at June 30, 2014 are sufficient to meet estimated working capital requirements and fund planned operations for more than the next two years.</w:t>
      </w:r>
    </w:p>
    <w:p>
      <w:pPr>
        <w:spacing w:after="0" w:line="18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Net cash used in operating activities was $52.7 million for the six months ended June 30, 2014 compared to $35.3 million for the six months ended June 30, 2013. The increase in net cash used in operating activities was primarily due to an increase in net loss of $22.3 million and changes in working capital. We expect that cash used in operations will continue to increase over the next twelve months primarily related to costs incurred on our rindopepimut and glembatumumab vedotin programs.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ectPr>
          <w:pgSz w:w="11900" w:h="16845" w:orient="portrait"/>
          <w:cols w:equalWidth="0" w:num="1">
            <w:col w:w="11380"/>
          </w:cols>
          <w:pgMar w:left="240" w:top="125" w:right="279" w:bottom="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$76.7 million for the six months ended June 30, 2014 compared to $69.2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2013. The increase in net cash used in investing activities was primarily due to net purchases of marketable securities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of $75.6 million as compared to $68.3 million for the six months ended June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financing activities was $0.9 million for the six months ended June 30, 2014 compared to $105.4 million for the six months ended June 30, 2013. Net proceeds from stock issuances, including stock issued pursuant to employee benefit plans, were $0.9 million during the six months ended June 30, 2014 compared to $116.5 million for the six months ended June 30, 2013. We paid $11.0 million in principal payments on our Term Loan during the six months ended June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six months ended June 30, 2013, we issued 2,433,608 shares of our common stock under our controlled equity offering sales agreement with Cantor Fitzgerald &amp; Co., as amended, resulting in net proceeds to us of $17.1 million, after deducting commission and offering expenses.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six months ended June 30, 2013, we issued 13,800,000 shares of our common stock in an underwritten public offering resulting in net proceeds to us of $97.0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2013 which was filed with the SEC on March 8, 2013 have not materially changed since we filed that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2014 due to the short-term maturities of these instruments.</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2014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2013,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838" w:orient="portrait"/>
          <w:cols w:equalWidth="0" w:num="1">
            <w:col w:w="11420"/>
          </w:cols>
          <w:pgMar w:left="240" w:top="341" w:right="239" w:bottom="63" w:gutter="0" w:footer="0" w:header="0"/>
        </w:sectPr>
      </w:pPr>
    </w:p>
    <w:bookmarkStart w:id="18" w:name="page19"/>
    <w:bookmarkEnd w:id="18"/>
    <w:p>
      <w:pPr>
        <w:spacing w:after="0" w:line="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3,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10600" w:type="dxa"/>
            <w:vAlign w:val="bottom"/>
            <w:gridSpan w:val="2"/>
          </w:tcPr>
          <w:p>
            <w:pPr>
              <w:ind w:left="4760"/>
              <w:spacing w:after="0"/>
              <w:rPr>
                <w:sz w:val="20"/>
                <w:szCs w:val="20"/>
                <w:color w:val="auto"/>
              </w:rPr>
            </w:pPr>
            <w:r>
              <w:rPr>
                <w:rFonts w:ascii="Arial" w:cs="Arial" w:eastAsia="Arial" w:hAnsi="Arial"/>
                <w:sz w:val="18"/>
                <w:szCs w:val="18"/>
                <w:color w:val="auto"/>
              </w:rPr>
              <w:t>24</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9"/>
              </w:rPr>
              <w:t>Third Restated Certificate of Incorporation of the Company, incorporated by reference to Exhibit 3.1 of the Company’s Registration</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6"/>
              </w:rPr>
              <w:t>Certificate of Amendment of Third Restated Certificate of Incorporation of the Company, incorporated by reference to Exhibit 3.1 of the</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 3.2 of</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1"/>
              </w:rPr>
              <w:t>the Company’s Registration Statement on Form S-4 (Reg. No. 333-59215), filed July 16, 1998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3.5</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3.6</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3.7</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2"/>
              </w:rPr>
              <w:t>Amendment No. 2 to Shareholder Rights Agreement dated November 5, 2004, between the Company and Computershare Trust Company,</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w w:val="93"/>
              </w:rPr>
              <w:t>N.A. (formerly EquiServe Trust Company, N.A.), as Rights Agent, incorporated by reference to Exhibit 10.1 of the Company’s Registration</w:t>
            </w:r>
          </w:p>
        </w:tc>
      </w:tr>
      <w:tr>
        <w:trPr>
          <w:trHeight w:val="216"/>
        </w:trPr>
        <w:tc>
          <w:tcPr>
            <w:tcW w:w="860" w:type="dxa"/>
            <w:vAlign w:val="bottom"/>
          </w:tcPr>
          <w:p>
            <w:pPr>
              <w:spacing w:after="0"/>
              <w:rPr>
                <w:sz w:val="18"/>
                <w:szCs w:val="18"/>
                <w:color w:val="auto"/>
              </w:rPr>
            </w:pP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hanging="74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40" w:hanging="74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40" w:right="60" w:hanging="74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7, 2014</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7, 2014</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85" w:orient="portrait"/>
          <w:cols w:equalWidth="0" w:num="1">
            <w:col w:w="11460"/>
          </w:cols>
          <w:pgMar w:left="240" w:top="125" w:right="199" w:bottom="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85" w:orient="portrait"/>
          <w:cols w:equalWidth="0" w:num="1">
            <w:col w:w="11460"/>
          </w:cols>
          <w:pgMar w:left="240" w:top="125" w:right="19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320"/>
              <w:spacing w:after="0"/>
              <w:rPr>
                <w:sz w:val="20"/>
                <w:szCs w:val="20"/>
                <w:color w:val="auto"/>
              </w:rPr>
            </w:pPr>
            <w:r>
              <w:rPr>
                <w:rFonts w:ascii="Arial" w:cs="Arial" w:eastAsia="Arial" w:hAnsi="Arial"/>
                <w:sz w:val="18"/>
                <w:szCs w:val="18"/>
                <w:color w:val="auto"/>
                <w:w w:val="98"/>
              </w:rPr>
              <w:t>Third Restated Certificate of Incorporation of the Company, incorporated by reference to Exhibit 3.1 of the Company’s Registration</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320"/>
              <w:spacing w:after="0"/>
              <w:rPr>
                <w:sz w:val="20"/>
                <w:szCs w:val="20"/>
                <w:color w:val="auto"/>
              </w:rPr>
            </w:pPr>
            <w:r>
              <w:rPr>
                <w:rFonts w:ascii="Arial" w:cs="Arial" w:eastAsia="Arial" w:hAnsi="Arial"/>
                <w:sz w:val="18"/>
                <w:szCs w:val="18"/>
                <w:color w:val="auto"/>
                <w:w w:val="95"/>
              </w:rPr>
              <w:t>Certificate of Amendment of Third Restated Certificate of Incorporation of the Company, incorporated by reference to Exhibit 3.1 of the</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the Company’s Registration Statement on Form S-4 (Reg. No. 333-59215), filed July 16, 1998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32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3.7</w:t>
            </w:r>
          </w:p>
        </w:tc>
        <w:tc>
          <w:tcPr>
            <w:tcW w:w="10560" w:type="dxa"/>
            <w:vAlign w:val="bottom"/>
          </w:tcPr>
          <w:p>
            <w:pPr>
              <w:ind w:left="32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Amendment No. 2 to Shareholder Rights Agreement dated November 5, 2004, between the Company and Computershare Trust Company,</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N.A. (formerly EquiServe Trust Company, N.A.) as Rights Agent, incorporated by reference to Exhibit 10.1 of the Company’s Registration</w:t>
            </w:r>
          </w:p>
        </w:tc>
      </w:tr>
      <w:tr>
        <w:trPr>
          <w:trHeight w:val="216"/>
        </w:trPr>
        <w:tc>
          <w:tcPr>
            <w:tcW w:w="8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2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2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2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20" w:hanging="72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20" w:hanging="723"/>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20" w:right="20" w:hanging="723"/>
        <w:spacing w:after="0" w:line="261"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7, 2014</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0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7, 2014</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0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7, 2014</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40" w:type="dxa"/>
            <w:vAlign w:val="bottom"/>
          </w:tcPr>
          <w:p>
            <w:pPr>
              <w:spacing w:after="0"/>
              <w:rPr>
                <w:sz w:val="16"/>
                <w:szCs w:val="16"/>
                <w:color w:val="auto"/>
              </w:rPr>
            </w:pPr>
          </w:p>
        </w:tc>
        <w:tc>
          <w:tcPr>
            <w:tcW w:w="280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4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7, 2014</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40" w:type="dxa"/>
            <w:vAlign w:val="bottom"/>
          </w:tcPr>
          <w:p>
            <w:pPr>
              <w:spacing w:after="0"/>
              <w:rPr>
                <w:sz w:val="16"/>
                <w:szCs w:val="16"/>
                <w:color w:val="auto"/>
              </w:rPr>
            </w:pPr>
          </w:p>
        </w:tc>
        <w:tc>
          <w:tcPr>
            <w:tcW w:w="280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64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2019-12-05T20:25:08Z</dcterms:created>
  <dcterms:modified xsi:type="dcterms:W3CDTF">2019-12-05T20:25:08Z</dcterms:modified>
</cp:coreProperties>
</file>