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4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1160" w:right="3820" w:hanging="740"/>
        <w:spacing w:after="0" w:line="277" w:lineRule="auto"/>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2016</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Times New Roman" w:cs="Times New Roman" w:eastAsia="Times New Roman" w:hAnsi="Times New Roman"/>
          <w:sz w:val="18"/>
          <w:szCs w:val="18"/>
          <w:color w:val="auto"/>
        </w:rPr>
      </w:pPr>
    </w:p>
    <w:p>
      <w:pPr>
        <w:ind w:left="4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Commission File Number 000-15006</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CELLDEX THERAPEUTICS,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3540" w:type="dxa"/>
        <w:tblCellMar>
          <w:top w:w="0" w:type="dxa"/>
          <w:left w:w="0" w:type="dxa"/>
          <w:bottom w:w="0" w:type="dxa"/>
          <w:right w:w="0" w:type="dxa"/>
        </w:tblCellMar>
      </w:tblPr>
      <w:tr>
        <w:trPr>
          <w:trHeight w:val="218"/>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18"/>
                <w:szCs w:val="18"/>
                <w:b w:val="1"/>
                <w:bCs w:val="1"/>
                <w:color w:val="auto"/>
                <w:w w:val="98"/>
              </w:rPr>
              <w:t>13-3191702</w:t>
            </w:r>
          </w:p>
        </w:tc>
      </w:tr>
      <w:tr>
        <w:trPr>
          <w:trHeight w:val="216"/>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162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16"/>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6"/>
              </w:rPr>
              <w:t>incorporation or</w:t>
            </w:r>
          </w:p>
        </w:tc>
        <w:tc>
          <w:tcPr>
            <w:tcW w:w="162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228"/>
        </w:trPr>
        <w:tc>
          <w:tcPr>
            <w:tcW w:w="236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organization)</w:t>
            </w:r>
          </w:p>
        </w:tc>
        <w:tc>
          <w:tcPr>
            <w:tcW w:w="1620" w:type="dxa"/>
            <w:vAlign w:val="bottom"/>
          </w:tcPr>
          <w:p>
            <w:pPr>
              <w:spacing w:after="0"/>
              <w:rPr>
                <w:sz w:val="19"/>
                <w:szCs w:val="19"/>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(908) 200-7500</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0"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w:t>
            </w:r>
          </w:p>
        </w:tc>
        <w:tc>
          <w:tcPr>
            <w:tcW w:w="580" w:type="dxa"/>
            <w:vAlign w:val="bottom"/>
          </w:tcPr>
          <w:p>
            <w:pPr>
              <w:spacing w:after="0"/>
              <w:rPr>
                <w:sz w:val="13"/>
                <w:szCs w:val="13"/>
                <w:color w:val="auto"/>
              </w:rPr>
            </w:pPr>
          </w:p>
        </w:tc>
      </w:tr>
      <w:tr>
        <w:trPr>
          <w:trHeight w:val="165"/>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Class:</w:t>
            </w:r>
          </w:p>
        </w:tc>
        <w:tc>
          <w:tcPr>
            <w:tcW w:w="1200" w:type="dxa"/>
            <w:vAlign w:val="bottom"/>
          </w:tcPr>
          <w:p>
            <w:pPr>
              <w:spacing w:after="0"/>
              <w:rPr>
                <w:sz w:val="14"/>
                <w:szCs w:val="14"/>
                <w:color w:val="auto"/>
              </w:rPr>
            </w:pP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Registered:</w:t>
            </w:r>
          </w:p>
        </w:tc>
        <w:tc>
          <w:tcPr>
            <w:tcW w:w="580" w:type="dxa"/>
            <w:vAlign w:val="bottom"/>
          </w:tcPr>
          <w:p>
            <w:pPr>
              <w:spacing w:after="0"/>
              <w:rPr>
                <w:sz w:val="14"/>
                <w:szCs w:val="14"/>
                <w:color w:val="auto"/>
              </w:rPr>
            </w:pPr>
          </w:p>
        </w:tc>
      </w:tr>
      <w:tr>
        <w:trPr>
          <w:trHeight w:val="222"/>
        </w:trPr>
        <w:tc>
          <w:tcPr>
            <w:tcW w:w="20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Common Stock, par value $.001</w:t>
            </w:r>
          </w:p>
        </w:tc>
        <w:tc>
          <w:tcPr>
            <w:tcW w:w="12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NASDAQ Global Market</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18"/>
        </w:trPr>
        <w:tc>
          <w:tcPr>
            <w:tcW w:w="2020" w:type="dxa"/>
            <w:vAlign w:val="bottom"/>
          </w:tcPr>
          <w:p>
            <w:pPr>
              <w:spacing w:after="0"/>
              <w:rPr>
                <w:sz w:val="24"/>
                <w:szCs w:val="24"/>
                <w:color w:val="auto"/>
              </w:rPr>
            </w:pPr>
          </w:p>
        </w:tc>
        <w:tc>
          <w:tcPr>
            <w:tcW w:w="6800" w:type="dxa"/>
            <w:vAlign w:val="bottom"/>
            <w:gridSpan w:val="4"/>
          </w:tcPr>
          <w:p>
            <w:pPr>
              <w:ind w:left="1060"/>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580" w:type="dxa"/>
            <w:vAlign w:val="bottom"/>
          </w:tcPr>
          <w:p>
            <w:pPr>
              <w:spacing w:after="0"/>
              <w:rPr>
                <w:sz w:val="24"/>
                <w:szCs w:val="24"/>
                <w:color w:val="auto"/>
              </w:rPr>
            </w:pPr>
          </w:p>
        </w:tc>
      </w:tr>
      <w:tr>
        <w:trPr>
          <w:trHeight w:val="452"/>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 Yes o</w:t>
            </w:r>
          </w:p>
        </w:tc>
        <w:tc>
          <w:tcPr>
            <w:tcW w:w="5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8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6"/>
              </w:rPr>
              <w:t>Indicate by check mark if the registrant is not required to file reports pursuant to Section 13 or Section 15(d) of the Act. Yes o</w:t>
            </w:r>
          </w:p>
        </w:tc>
        <w:tc>
          <w:tcPr>
            <w:tcW w:w="5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85"/>
              </w:rPr>
              <w:t xml:space="preserve">No </w:t>
            </w:r>
            <w:r>
              <w:rPr>
                <w:rFonts w:ascii="MS PGothic" w:cs="MS PGothic" w:eastAsia="MS PGothic" w:hAnsi="MS PGothic"/>
                <w:sz w:val="18"/>
                <w:szCs w:val="18"/>
                <w:color w:val="auto"/>
                <w:w w:val="85"/>
              </w:rPr>
              <w:t>☒</w:t>
            </w:r>
          </w:p>
        </w:tc>
      </w:tr>
    </w:tbl>
    <w:p>
      <w:pPr>
        <w:spacing w:after="0" w:line="184" w:lineRule="exact"/>
        <w:rPr>
          <w:sz w:val="24"/>
          <w:szCs w:val="24"/>
          <w:color w:val="auto"/>
        </w:rPr>
      </w:pPr>
    </w:p>
    <w:p>
      <w:pPr>
        <w:ind w:right="300"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right="100"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firstLine="395"/>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320" w:firstLine="395"/>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47" w:lineRule="exact"/>
        <w:rPr>
          <w:sz w:val="24"/>
          <w:szCs w:val="24"/>
          <w:color w:val="auto"/>
        </w:rPr>
      </w:pPr>
    </w:p>
    <w:p>
      <w:pPr>
        <w:ind w:left="40"/>
        <w:spacing w:after="0" w:line="230" w:lineRule="exact"/>
        <w:tabs>
          <w:tab w:leader="none" w:pos="3580" w:val="left"/>
          <w:tab w:leader="none" w:pos="6920" w:val="left"/>
          <w:tab w:leader="none" w:pos="9500" w:val="left"/>
        </w:tabs>
        <w:rPr>
          <w:sz w:val="20"/>
          <w:szCs w:val="20"/>
          <w:color w:val="auto"/>
        </w:rPr>
      </w:pPr>
      <w:r>
        <w:rPr>
          <w:rFonts w:ascii="Times New Roman" w:cs="Times New Roman" w:eastAsia="Times New Roman" w:hAnsi="Times New Roman"/>
          <w:sz w:val="18"/>
          <w:szCs w:val="18"/>
          <w:color w:val="auto"/>
        </w:rPr>
        <w:t>Large accelerated filer o</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20"/>
          <w:szCs w:val="20"/>
          <w:color w:val="auto"/>
          <w:vertAlign w:val="superscript"/>
        </w:rPr>
        <w:t>Smaller Reporting Company o</w:t>
      </w:r>
    </w:p>
    <w:p>
      <w:pPr>
        <w:spacing w:after="0" w:line="16" w:lineRule="exact"/>
        <w:rPr>
          <w:sz w:val="24"/>
          <w:szCs w:val="24"/>
          <w:color w:val="auto"/>
        </w:rPr>
      </w:pPr>
    </w:p>
    <w:p>
      <w:pPr>
        <w:jc w:val="center"/>
        <w:ind w:left="4100"/>
        <w:spacing w:after="0"/>
        <w:rPr>
          <w:sz w:val="20"/>
          <w:szCs w:val="20"/>
          <w:color w:val="auto"/>
        </w:rPr>
      </w:pPr>
      <w:r>
        <w:rPr>
          <w:rFonts w:ascii="Times New Roman" w:cs="Times New Roman" w:eastAsia="Times New Roman" w:hAnsi="Times New Roman"/>
          <w:sz w:val="14"/>
          <w:szCs w:val="14"/>
          <w:color w:val="auto"/>
        </w:rPr>
        <w:t>(Do not check if a</w:t>
      </w:r>
    </w:p>
    <w:p>
      <w:pPr>
        <w:jc w:val="center"/>
        <w:ind w:left="4100"/>
        <w:spacing w:after="0"/>
        <w:rPr>
          <w:sz w:val="20"/>
          <w:szCs w:val="20"/>
          <w:color w:val="auto"/>
        </w:rPr>
      </w:pPr>
      <w:r>
        <w:rPr>
          <w:rFonts w:ascii="Times New Roman" w:cs="Times New Roman" w:eastAsia="Times New Roman" w:hAnsi="Times New Roman"/>
          <w:sz w:val="14"/>
          <w:szCs w:val="14"/>
          <w:color w:val="auto"/>
        </w:rPr>
        <w:t>smaller reporting company)</w:t>
      </w:r>
    </w:p>
    <w:p>
      <w:pPr>
        <w:sectPr>
          <w:pgSz w:w="11900" w:h="16838" w:orient="portrait"/>
          <w:cols w:equalWidth="0" w:num="1">
            <w:col w:w="11420"/>
          </w:cols>
          <w:pgMar w:left="240" w:top="679" w:right="239" w:bottom="0" w:gutter="0" w:footer="0" w:header="0"/>
        </w:sectPr>
      </w:pPr>
    </w:p>
    <w:p>
      <w:pPr>
        <w:spacing w:after="0" w:line="162" w:lineRule="exact"/>
        <w:rPr>
          <w:sz w:val="24"/>
          <w:szCs w:val="24"/>
          <w:color w:val="auto"/>
        </w:rPr>
      </w:pPr>
    </w:p>
    <w:p>
      <w:pPr>
        <w:ind w:left="400"/>
        <w:spacing w:after="0" w:line="207" w:lineRule="exact"/>
        <w:tabs>
          <w:tab w:leader="none" w:pos="82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679" w:right="239" w:bottom="0" w:gutter="0" w:footer="0" w:header="0"/>
          <w:type w:val="continuous"/>
        </w:sectPr>
      </w:pPr>
    </w:p>
    <w:bookmarkStart w:id="1" w:name="page2"/>
    <w:bookmarkEnd w:id="1"/>
    <w:p>
      <w:pPr>
        <w:ind w:firstLine="392"/>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as of June 30, 2016 was $435 million.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number of shares of common stock outstanding at March 6, 2017 was 123,213,438 shares.</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Portions of the definitive Proxy Statement for our 2017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510540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2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400" w:type="dxa"/>
            <w:vAlign w:val="bottom"/>
            <w:gridSpan w:val="2"/>
            <w:vMerge w:val="restart"/>
          </w:tcPr>
          <w:p>
            <w:pPr>
              <w:spacing w:after="0"/>
              <w:rPr>
                <w:rFonts w:ascii="Times New Roman" w:cs="Times New Roman" w:eastAsia="Times New Roman" w:hAnsi="Times New Roman"/>
                <w:sz w:val="18"/>
                <w:szCs w:val="18"/>
                <w:color w:val="0000EE"/>
                <w:w w:val="96"/>
              </w:rPr>
            </w:pPr>
            <w:hyperlink w:anchor="page6">
              <w:r>
                <w:rPr>
                  <w:rFonts w:ascii="Times New Roman" w:cs="Times New Roman" w:eastAsia="Times New Roman" w:hAnsi="Times New Roman"/>
                  <w:sz w:val="18"/>
                  <w:szCs w:val="18"/>
                  <w:color w:val="0000EE"/>
                  <w:w w:val="96"/>
                </w:rPr>
                <w:t>Part I</w:t>
              </w:r>
            </w:hyperlink>
          </w:p>
        </w:tc>
        <w:tc>
          <w:tcPr>
            <w:tcW w:w="1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00" w:type="dxa"/>
            <w:vAlign w:val="bottom"/>
            <w:tcBorders>
              <w:bottom w:val="single" w:sz="8" w:color="0000EE"/>
            </w:tcBorders>
            <w:gridSpan w:val="2"/>
            <w:vMerge w:val="continue"/>
          </w:tcPr>
          <w:p>
            <w:pPr>
              <w:spacing w:after="0"/>
              <w:rPr>
                <w:sz w:val="14"/>
                <w:szCs w:val="14"/>
                <w:color w:val="auto"/>
              </w:rPr>
            </w:pPr>
          </w:p>
        </w:tc>
        <w:tc>
          <w:tcPr>
            <w:tcW w:w="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Item</w:t>
              </w:r>
            </w:hyperlink>
          </w:p>
        </w:tc>
        <w:tc>
          <w:tcPr>
            <w:tcW w:w="140" w:type="dxa"/>
            <w:vAlign w:val="bottom"/>
          </w:tcPr>
          <w:p>
            <w:pPr>
              <w:ind w:left="20"/>
              <w:spacing w:after="0" w:line="196" w:lineRule="exact"/>
              <w:rPr>
                <w:rFonts w:ascii="Times New Roman" w:cs="Times New Roman" w:eastAsia="Times New Roman" w:hAnsi="Times New Roman"/>
                <w:sz w:val="18"/>
                <w:szCs w:val="18"/>
                <w:color w:val="0000EE"/>
                <w:w w:val="73"/>
              </w:rPr>
            </w:pPr>
            <w:hyperlink w:anchor="page6">
              <w:r>
                <w:rPr>
                  <w:rFonts w:ascii="Times New Roman" w:cs="Times New Roman" w:eastAsia="Times New Roman" w:hAnsi="Times New Roman"/>
                  <w:sz w:val="18"/>
                  <w:szCs w:val="18"/>
                  <w:color w:val="0000EE"/>
                  <w:w w:val="73"/>
                </w:rPr>
                <w:t>1.</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Business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w:t>
              </w:r>
            </w:hyperlink>
          </w:p>
        </w:tc>
        <w:tc>
          <w:tcPr>
            <w:tcW w:w="220" w:type="dxa"/>
            <w:vAlign w:val="bottom"/>
            <w:tcBorders>
              <w:bottom w:val="single" w:sz="8" w:color="0000EE"/>
            </w:tcBorders>
            <w:gridSpan w:val="2"/>
          </w:tcPr>
          <w:p>
            <w:pPr>
              <w:ind w:left="20"/>
              <w:spacing w:after="0"/>
              <w:rPr>
                <w:rFonts w:ascii="Times New Roman" w:cs="Times New Roman" w:eastAsia="Times New Roman" w:hAnsi="Times New Roman"/>
                <w:sz w:val="15"/>
                <w:szCs w:val="15"/>
                <w:color w:val="0000EE"/>
                <w:w w:val="72"/>
              </w:rPr>
            </w:pPr>
            <w:hyperlink w:anchor="page36">
              <w:r>
                <w:rPr>
                  <w:rFonts w:ascii="Times New Roman" w:cs="Times New Roman" w:eastAsia="Times New Roman" w:hAnsi="Times New Roman"/>
                  <w:sz w:val="15"/>
                  <w:szCs w:val="15"/>
                  <w:color w:val="0000EE"/>
                  <w:w w:val="72"/>
                </w:rPr>
                <w:t>1A.</w:t>
              </w:r>
            </w:hyperlink>
          </w:p>
        </w:tc>
        <w:tc>
          <w:tcPr>
            <w:tcW w:w="42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36">
              <w:r>
                <w:rPr>
                  <w:rFonts w:ascii="Times New Roman" w:cs="Times New Roman" w:eastAsia="Times New Roman" w:hAnsi="Times New Roman"/>
                  <w:sz w:val="18"/>
                  <w:szCs w:val="18"/>
                  <w:color w:val="0000EE"/>
                  <w:w w:val="97"/>
                </w:rPr>
                <w:t>Risk Factors</w:t>
              </w:r>
            </w:hyperlink>
          </w:p>
        </w:tc>
        <w:tc>
          <w:tcPr>
            <w:tcW w:w="6480" w:type="dxa"/>
            <w:vAlign w:val="bottom"/>
            <w:gridSpan w:val="1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w:t>
              </w:r>
            </w:hyperlink>
          </w:p>
        </w:tc>
        <w:tc>
          <w:tcPr>
            <w:tcW w:w="640" w:type="dxa"/>
            <w:vAlign w:val="bottom"/>
            <w:gridSpan w:val="3"/>
          </w:tcPr>
          <w:p>
            <w:pPr>
              <w:ind w:left="20"/>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1B.</w:t>
              </w:r>
            </w:hyperlink>
          </w:p>
        </w:tc>
        <w:tc>
          <w:tcPr>
            <w:tcW w:w="7380" w:type="dxa"/>
            <w:vAlign w:val="bottom"/>
            <w:gridSpan w:val="22"/>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Unresolved Staff Comments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58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w:t>
              </w:r>
            </w:hyperlink>
          </w:p>
        </w:tc>
        <w:tc>
          <w:tcPr>
            <w:tcW w:w="140" w:type="dxa"/>
            <w:vAlign w:val="bottom"/>
            <w:tcBorders>
              <w:top w:val="single" w:sz="8" w:color="0000EE"/>
              <w:bottom w:val="single" w:sz="8" w:color="0000EE"/>
            </w:tcBorders>
          </w:tcPr>
          <w:p>
            <w:pPr>
              <w:ind w:left="20"/>
              <w:spacing w:after="0" w:line="196" w:lineRule="exact"/>
              <w:rPr>
                <w:rFonts w:ascii="Times New Roman" w:cs="Times New Roman" w:eastAsia="Times New Roman" w:hAnsi="Times New Roman"/>
                <w:sz w:val="18"/>
                <w:szCs w:val="18"/>
                <w:color w:val="0000EE"/>
                <w:w w:val="73"/>
              </w:rPr>
            </w:pPr>
            <w:hyperlink w:anchor="page63">
              <w:r>
                <w:rPr>
                  <w:rFonts w:ascii="Times New Roman" w:cs="Times New Roman" w:eastAsia="Times New Roman" w:hAnsi="Times New Roman"/>
                  <w:sz w:val="18"/>
                  <w:szCs w:val="18"/>
                  <w:color w:val="0000EE"/>
                  <w:w w:val="73"/>
                </w:rPr>
                <w:t>2.</w:t>
              </w:r>
            </w:hyperlink>
          </w:p>
        </w:tc>
        <w:tc>
          <w:tcPr>
            <w:tcW w:w="8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63">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8"/>
          </w:tcPr>
          <w:p>
            <w:pPr>
              <w:spacing w:after="0"/>
              <w:rPr>
                <w:sz w:val="17"/>
                <w:szCs w:val="17"/>
                <w:color w:val="auto"/>
              </w:rPr>
            </w:pPr>
          </w:p>
        </w:tc>
        <w:tc>
          <w:tcPr>
            <w:tcW w:w="538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3">
              <w:r>
                <w:rPr>
                  <w:rFonts w:ascii="Times New Roman" w:cs="Times New Roman" w:eastAsia="Times New Roman" w:hAnsi="Times New Roman"/>
                  <w:sz w:val="18"/>
                  <w:szCs w:val="18"/>
                  <w:color w:val="0000EE"/>
                  <w:w w:val="88"/>
                </w:rPr>
                <w:t>58</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w:t>
              </w:r>
            </w:hyperlink>
          </w:p>
        </w:tc>
        <w:tc>
          <w:tcPr>
            <w:tcW w:w="140" w:type="dxa"/>
            <w:vAlign w:val="bottom"/>
          </w:tcPr>
          <w:p>
            <w:pPr>
              <w:ind w:left="20"/>
              <w:spacing w:after="0" w:line="196" w:lineRule="exact"/>
              <w:rPr>
                <w:rFonts w:ascii="Times New Roman" w:cs="Times New Roman" w:eastAsia="Times New Roman" w:hAnsi="Times New Roman"/>
                <w:sz w:val="18"/>
                <w:szCs w:val="18"/>
                <w:color w:val="0000EE"/>
                <w:w w:val="73"/>
              </w:rPr>
            </w:pPr>
            <w:hyperlink w:anchor="page63">
              <w:r>
                <w:rPr>
                  <w:rFonts w:ascii="Times New Roman" w:cs="Times New Roman" w:eastAsia="Times New Roman" w:hAnsi="Times New Roman"/>
                  <w:sz w:val="18"/>
                  <w:szCs w:val="18"/>
                  <w:color w:val="0000EE"/>
                  <w:w w:val="73"/>
                </w:rPr>
                <w:t>3.</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Legal Proceedings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58</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w:t>
              </w:r>
            </w:hyperlink>
          </w:p>
        </w:tc>
        <w:tc>
          <w:tcPr>
            <w:tcW w:w="14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73"/>
              </w:rPr>
            </w:pPr>
            <w:hyperlink w:anchor="page63">
              <w:r>
                <w:rPr>
                  <w:rFonts w:ascii="Times New Roman" w:cs="Times New Roman" w:eastAsia="Times New Roman" w:hAnsi="Times New Roman"/>
                  <w:sz w:val="18"/>
                  <w:szCs w:val="18"/>
                  <w:color w:val="0000EE"/>
                  <w:w w:val="73"/>
                </w:rPr>
                <w:t>4.</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Mine Safety Disclosures</w:t>
              </w:r>
            </w:hyperlink>
          </w:p>
        </w:tc>
        <w:tc>
          <w:tcPr>
            <w:tcW w:w="564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3">
              <w:r>
                <w:rPr>
                  <w:rFonts w:ascii="Times New Roman" w:cs="Times New Roman" w:eastAsia="Times New Roman" w:hAnsi="Times New Roman"/>
                  <w:sz w:val="18"/>
                  <w:szCs w:val="18"/>
                  <w:color w:val="0000EE"/>
                  <w:w w:val="88"/>
                </w:rPr>
                <w:t>58</w:t>
              </w:r>
            </w:hyperlink>
          </w:p>
        </w:tc>
        <w:tc>
          <w:tcPr>
            <w:tcW w:w="0" w:type="dxa"/>
            <w:vAlign w:val="bottom"/>
          </w:tcPr>
          <w:p>
            <w:pPr>
              <w:spacing w:after="0"/>
              <w:rPr>
                <w:sz w:val="1"/>
                <w:szCs w:val="1"/>
                <w:color w:val="auto"/>
              </w:rPr>
            </w:pPr>
          </w:p>
        </w:tc>
      </w:tr>
      <w:tr>
        <w:trPr>
          <w:trHeight w:val="196"/>
        </w:trPr>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64">
              <w:r>
                <w:rPr>
                  <w:rFonts w:ascii="Times New Roman" w:cs="Times New Roman" w:eastAsia="Times New Roman" w:hAnsi="Times New Roman"/>
                  <w:sz w:val="18"/>
                  <w:szCs w:val="18"/>
                  <w:color w:val="0000EE"/>
                  <w:w w:val="96"/>
                </w:rPr>
                <w:t>Part II</w:t>
              </w:r>
            </w:hyperlink>
          </w:p>
        </w:tc>
        <w:tc>
          <w:tcPr>
            <w:tcW w:w="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w:t>
              </w:r>
            </w:hyperlink>
          </w:p>
        </w:tc>
        <w:tc>
          <w:tcPr>
            <w:tcW w:w="14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73"/>
              </w:rPr>
            </w:pPr>
            <w:hyperlink w:anchor="page64">
              <w:r>
                <w:rPr>
                  <w:rFonts w:ascii="Times New Roman" w:cs="Times New Roman" w:eastAsia="Times New Roman" w:hAnsi="Times New Roman"/>
                  <w:sz w:val="18"/>
                  <w:szCs w:val="18"/>
                  <w:color w:val="0000EE"/>
                  <w:w w:val="73"/>
                </w:rPr>
                <w:t>5.</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Market for Registrant's Common Equity, Related Stockholder Matters and Issuer Purchases of Equity</w:t>
              </w:r>
            </w:hyperlink>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64">
              <w:r>
                <w:rPr>
                  <w:rFonts w:ascii="Times New Roman" w:cs="Times New Roman" w:eastAsia="Times New Roman" w:hAnsi="Times New Roman"/>
                  <w:sz w:val="18"/>
                  <w:szCs w:val="18"/>
                  <w:color w:val="0000EE"/>
                  <w:w w:val="95"/>
                </w:rPr>
                <w:t>Securities</w:t>
              </w:r>
            </w:hyperlink>
          </w:p>
        </w:tc>
        <w:tc>
          <w:tcPr>
            <w:tcW w:w="6500" w:type="dxa"/>
            <w:vAlign w:val="bottom"/>
            <w:gridSpan w:val="1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59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Item</w:t>
              </w:r>
            </w:hyperlink>
          </w:p>
        </w:tc>
        <w:tc>
          <w:tcPr>
            <w:tcW w:w="14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73"/>
              </w:rPr>
            </w:pPr>
            <w:hyperlink w:anchor="page65">
              <w:r>
                <w:rPr>
                  <w:rFonts w:ascii="Times New Roman" w:cs="Times New Roman" w:eastAsia="Times New Roman" w:hAnsi="Times New Roman"/>
                  <w:sz w:val="18"/>
                  <w:szCs w:val="18"/>
                  <w:color w:val="0000EE"/>
                  <w:w w:val="73"/>
                </w:rPr>
                <w:t>6.</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Selected Financial Data</w:t>
              </w:r>
            </w:hyperlink>
          </w:p>
        </w:tc>
        <w:tc>
          <w:tcPr>
            <w:tcW w:w="5700" w:type="dxa"/>
            <w:vAlign w:val="bottom"/>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60</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Item</w:t>
              </w:r>
            </w:hyperlink>
          </w:p>
        </w:tc>
        <w:tc>
          <w:tcPr>
            <w:tcW w:w="140" w:type="dxa"/>
            <w:vAlign w:val="bottom"/>
          </w:tcPr>
          <w:p>
            <w:pPr>
              <w:ind w:left="20"/>
              <w:spacing w:after="0" w:line="196" w:lineRule="exact"/>
              <w:rPr>
                <w:rFonts w:ascii="Times New Roman" w:cs="Times New Roman" w:eastAsia="Times New Roman" w:hAnsi="Times New Roman"/>
                <w:sz w:val="18"/>
                <w:szCs w:val="18"/>
                <w:color w:val="0000EE"/>
                <w:w w:val="73"/>
              </w:rPr>
            </w:pPr>
            <w:hyperlink w:anchor="page67">
              <w:r>
                <w:rPr>
                  <w:rFonts w:ascii="Times New Roman" w:cs="Times New Roman" w:eastAsia="Times New Roman" w:hAnsi="Times New Roman"/>
                  <w:sz w:val="18"/>
                  <w:szCs w:val="18"/>
                  <w:color w:val="0000EE"/>
                  <w:w w:val="73"/>
                </w:rPr>
                <w:t>7.</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380" w:type="dxa"/>
            <w:vAlign w:val="bottom"/>
            <w:gridSpan w:val="22"/>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w:t>
              </w:r>
            </w:hyperlink>
          </w:p>
        </w:tc>
        <w:tc>
          <w:tcPr>
            <w:tcW w:w="220" w:type="dxa"/>
            <w:vAlign w:val="bottom"/>
            <w:tcBorders>
              <w:bottom w:val="single" w:sz="8" w:color="0000EE"/>
            </w:tcBorders>
            <w:gridSpan w:val="2"/>
          </w:tcPr>
          <w:p>
            <w:pPr>
              <w:ind w:left="20"/>
              <w:spacing w:after="0"/>
              <w:rPr>
                <w:rFonts w:ascii="Times New Roman" w:cs="Times New Roman" w:eastAsia="Times New Roman" w:hAnsi="Times New Roman"/>
                <w:sz w:val="15"/>
                <w:szCs w:val="15"/>
                <w:color w:val="0000EE"/>
                <w:w w:val="72"/>
              </w:rPr>
            </w:pPr>
            <w:hyperlink w:anchor="page89">
              <w:r>
                <w:rPr>
                  <w:rFonts w:ascii="Times New Roman" w:cs="Times New Roman" w:eastAsia="Times New Roman" w:hAnsi="Times New Roman"/>
                  <w:sz w:val="15"/>
                  <w:szCs w:val="15"/>
                  <w:color w:val="0000EE"/>
                  <w:w w:val="72"/>
                </w:rPr>
                <w:t>7A.</w:t>
              </w:r>
            </w:hyperlink>
          </w:p>
        </w:tc>
        <w:tc>
          <w:tcPr>
            <w:tcW w:w="420" w:type="dxa"/>
            <w:vAlign w:val="bottom"/>
          </w:tcPr>
          <w:p>
            <w:pPr>
              <w:spacing w:after="0"/>
              <w:rPr>
                <w:sz w:val="17"/>
                <w:szCs w:val="17"/>
                <w:color w:val="auto"/>
              </w:rPr>
            </w:pPr>
          </w:p>
        </w:tc>
        <w:tc>
          <w:tcPr>
            <w:tcW w:w="42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89">
              <w:r>
                <w:rPr>
                  <w:rFonts w:ascii="Times New Roman" w:cs="Times New Roman" w:eastAsia="Times New Roman" w:hAnsi="Times New Roman"/>
                  <w:sz w:val="18"/>
                  <w:szCs w:val="18"/>
                  <w:color w:val="0000EE"/>
                  <w:w w:val="97"/>
                </w:rPr>
                <w:t>Quantitative and Qualitative Disclosures About Market Risk</w:t>
              </w:r>
            </w:hyperlink>
          </w:p>
        </w:tc>
        <w:tc>
          <w:tcPr>
            <w:tcW w:w="312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84</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Item</w:t>
              </w:r>
            </w:hyperlink>
          </w:p>
        </w:tc>
        <w:tc>
          <w:tcPr>
            <w:tcW w:w="140" w:type="dxa"/>
            <w:vAlign w:val="bottom"/>
            <w:tcBorders>
              <w:bottom w:val="single" w:sz="8" w:color="0000EE"/>
            </w:tcBorders>
          </w:tcPr>
          <w:p>
            <w:pPr>
              <w:ind w:left="20"/>
              <w:spacing w:after="0" w:line="196" w:lineRule="exact"/>
              <w:rPr>
                <w:rFonts w:ascii="Times New Roman" w:cs="Times New Roman" w:eastAsia="Times New Roman" w:hAnsi="Times New Roman"/>
                <w:sz w:val="18"/>
                <w:szCs w:val="18"/>
                <w:color w:val="0000EE"/>
                <w:w w:val="73"/>
              </w:rPr>
            </w:pPr>
            <w:hyperlink w:anchor="page90">
              <w:r>
                <w:rPr>
                  <w:rFonts w:ascii="Times New Roman" w:cs="Times New Roman" w:eastAsia="Times New Roman" w:hAnsi="Times New Roman"/>
                  <w:sz w:val="18"/>
                  <w:szCs w:val="18"/>
                  <w:color w:val="0000EE"/>
                  <w:w w:val="73"/>
                </w:rPr>
                <w:t>8.</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90">
              <w:r>
                <w:rPr>
                  <w:rFonts w:ascii="Times New Roman" w:cs="Times New Roman" w:eastAsia="Times New Roman" w:hAnsi="Times New Roman"/>
                  <w:sz w:val="18"/>
                  <w:szCs w:val="18"/>
                  <w:color w:val="0000EE"/>
                  <w:w w:val="97"/>
                </w:rPr>
                <w:t>Financial Statements and Supplementary Data</w:t>
              </w:r>
            </w:hyperlink>
          </w:p>
        </w:tc>
        <w:tc>
          <w:tcPr>
            <w:tcW w:w="4120" w:type="dxa"/>
            <w:vAlign w:val="bottom"/>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90">
              <w:r>
                <w:rPr>
                  <w:rFonts w:ascii="Times New Roman" w:cs="Times New Roman" w:eastAsia="Times New Roman" w:hAnsi="Times New Roman"/>
                  <w:sz w:val="18"/>
                  <w:szCs w:val="18"/>
                  <w:color w:val="0000EE"/>
                  <w:w w:val="88"/>
                </w:rPr>
                <w:t>85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Item</w:t>
              </w:r>
            </w:hyperlink>
          </w:p>
        </w:tc>
        <w:tc>
          <w:tcPr>
            <w:tcW w:w="140" w:type="dxa"/>
            <w:vAlign w:val="bottom"/>
          </w:tcPr>
          <w:p>
            <w:pPr>
              <w:ind w:left="20"/>
              <w:spacing w:after="0" w:line="196" w:lineRule="exact"/>
              <w:rPr>
                <w:rFonts w:ascii="Times New Roman" w:cs="Times New Roman" w:eastAsia="Times New Roman" w:hAnsi="Times New Roman"/>
                <w:sz w:val="18"/>
                <w:szCs w:val="18"/>
                <w:color w:val="0000EE"/>
                <w:w w:val="73"/>
              </w:rPr>
            </w:pPr>
            <w:hyperlink w:anchor="page124">
              <w:r>
                <w:rPr>
                  <w:rFonts w:ascii="Times New Roman" w:cs="Times New Roman" w:eastAsia="Times New Roman" w:hAnsi="Times New Roman"/>
                  <w:sz w:val="18"/>
                  <w:szCs w:val="18"/>
                  <w:color w:val="0000EE"/>
                  <w:w w:val="73"/>
                </w:rPr>
                <w:t>9.</w:t>
              </w:r>
            </w:hyperlink>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60" w:type="dxa"/>
            <w:vAlign w:val="bottom"/>
            <w:gridSpan w:val="19"/>
          </w:tcPr>
          <w:p>
            <w:pPr>
              <w:spacing w:after="0" w:line="196" w:lineRule="exact"/>
              <w:rPr>
                <w:rFonts w:ascii="Times New Roman" w:cs="Times New Roman" w:eastAsia="Times New Roman" w:hAnsi="Times New Roman"/>
                <w:sz w:val="18"/>
                <w:szCs w:val="18"/>
                <w:color w:val="0000EE"/>
                <w:w w:val="97"/>
              </w:rPr>
            </w:pPr>
            <w:hyperlink w:anchor="page124">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102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rPr>
                <w:rFonts w:ascii="Times New Roman" w:cs="Times New Roman" w:eastAsia="Times New Roman" w:hAnsi="Times New Roman"/>
                <w:sz w:val="15"/>
                <w:szCs w:val="15"/>
                <w:color w:val="0000EE"/>
                <w:w w:val="72"/>
              </w:rPr>
            </w:pPr>
            <w:hyperlink w:anchor="page124">
              <w:r>
                <w:rPr>
                  <w:rFonts w:ascii="Times New Roman" w:cs="Times New Roman" w:eastAsia="Times New Roman" w:hAnsi="Times New Roman"/>
                  <w:sz w:val="15"/>
                  <w:szCs w:val="15"/>
                  <w:color w:val="0000EE"/>
                  <w:w w:val="72"/>
                </w:rPr>
                <w:t>9A.</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Times New Roman" w:cs="Times New Roman" w:eastAsia="Times New Roman" w:hAnsi="Times New Roman"/>
                <w:sz w:val="18"/>
                <w:szCs w:val="18"/>
                <w:color w:val="0000EE"/>
                <w:w w:val="97"/>
              </w:rPr>
            </w:pPr>
            <w:hyperlink w:anchor="page124">
              <w:r>
                <w:rPr>
                  <w:rFonts w:ascii="Times New Roman" w:cs="Times New Roman" w:eastAsia="Times New Roman" w:hAnsi="Times New Roman"/>
                  <w:sz w:val="18"/>
                  <w:szCs w:val="18"/>
                  <w:color w:val="0000EE"/>
                  <w:w w:val="97"/>
                </w:rPr>
                <w:t>Controls and Procedures</w:t>
              </w:r>
            </w:hyperlink>
          </w:p>
        </w:tc>
        <w:tc>
          <w:tcPr>
            <w:tcW w:w="564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4">
              <w:r>
                <w:rPr>
                  <w:rFonts w:ascii="Times New Roman" w:cs="Times New Roman" w:eastAsia="Times New Roman" w:hAnsi="Times New Roman"/>
                  <w:sz w:val="18"/>
                  <w:szCs w:val="18"/>
                  <w:color w:val="0000EE"/>
                </w:rPr>
                <w:t>119</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rPr>
                <w:rFonts w:ascii="Times New Roman" w:cs="Times New Roman" w:eastAsia="Times New Roman" w:hAnsi="Times New Roman"/>
                <w:sz w:val="16"/>
                <w:szCs w:val="16"/>
                <w:color w:val="0000EE"/>
                <w:w w:val="70"/>
              </w:rPr>
            </w:pPr>
            <w:hyperlink w:anchor="page125">
              <w:r>
                <w:rPr>
                  <w:rFonts w:ascii="Times New Roman" w:cs="Times New Roman" w:eastAsia="Times New Roman" w:hAnsi="Times New Roman"/>
                  <w:sz w:val="16"/>
                  <w:szCs w:val="16"/>
                  <w:color w:val="0000EE"/>
                  <w:w w:val="70"/>
                </w:rPr>
                <w:t>9B.</w:t>
              </w:r>
            </w:hyperlink>
          </w:p>
        </w:tc>
        <w:tc>
          <w:tcPr>
            <w:tcW w:w="420" w:type="dxa"/>
            <w:vAlign w:val="bottom"/>
          </w:tcPr>
          <w:p>
            <w:pPr>
              <w:spacing w:after="0"/>
              <w:rPr>
                <w:sz w:val="17"/>
                <w:szCs w:val="17"/>
                <w:color w:val="auto"/>
              </w:rPr>
            </w:pPr>
          </w:p>
        </w:tc>
        <w:tc>
          <w:tcPr>
            <w:tcW w:w="1740" w:type="dxa"/>
            <w:vAlign w:val="bottom"/>
            <w:gridSpan w:val="9"/>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Other Information</w:t>
              </w:r>
            </w:hyperlink>
          </w:p>
        </w:tc>
        <w:tc>
          <w:tcPr>
            <w:tcW w:w="5640" w:type="dxa"/>
            <w:vAlign w:val="bottom"/>
            <w:gridSpan w:val="13"/>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Part III</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5">
              <w:r>
                <w:rPr>
                  <w:rFonts w:ascii="Times New Roman" w:cs="Times New Roman" w:eastAsia="Times New Roman" w:hAnsi="Times New Roman"/>
                  <w:sz w:val="18"/>
                  <w:szCs w:val="18"/>
                  <w:color w:val="0000EE"/>
                  <w:w w:val="70"/>
                </w:rPr>
                <w:t>10.</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Directors, Executive Officers and Corporate Governance</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5">
              <w:r>
                <w:rPr>
                  <w:rFonts w:ascii="Times New Roman" w:cs="Times New Roman" w:eastAsia="Times New Roman" w:hAnsi="Times New Roman"/>
                  <w:sz w:val="18"/>
                  <w:szCs w:val="18"/>
                  <w:color w:val="0000EE"/>
                  <w:w w:val="70"/>
                </w:rPr>
                <w:t>11.</w:t>
              </w:r>
            </w:hyperlink>
          </w:p>
        </w:tc>
        <w:tc>
          <w:tcPr>
            <w:tcW w:w="420" w:type="dxa"/>
            <w:vAlign w:val="bottom"/>
          </w:tcPr>
          <w:p>
            <w:pPr>
              <w:spacing w:after="0"/>
              <w:rPr>
                <w:sz w:val="17"/>
                <w:szCs w:val="17"/>
                <w:color w:val="auto"/>
              </w:rPr>
            </w:pPr>
          </w:p>
        </w:tc>
        <w:tc>
          <w:tcPr>
            <w:tcW w:w="4000" w:type="dxa"/>
            <w:vAlign w:val="bottom"/>
            <w:gridSpan w:val="15"/>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Executive Compensation</w:t>
              </w:r>
            </w:hyperlink>
          </w:p>
        </w:tc>
        <w:tc>
          <w:tcPr>
            <w:tcW w:w="338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5">
              <w:r>
                <w:rPr>
                  <w:rFonts w:ascii="Times New Roman" w:cs="Times New Roman" w:eastAsia="Times New Roman" w:hAnsi="Times New Roman"/>
                  <w:sz w:val="18"/>
                  <w:szCs w:val="18"/>
                  <w:color w:val="0000EE"/>
                  <w:w w:val="70"/>
                </w:rPr>
                <w:t>12.</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Times New Roman" w:cs="Times New Roman" w:eastAsia="Times New Roman" w:hAnsi="Times New Roman"/>
                <w:sz w:val="18"/>
                <w:szCs w:val="18"/>
                <w:color w:val="0000EE"/>
                <w:w w:val="97"/>
              </w:rPr>
            </w:pPr>
            <w:hyperlink w:anchor="page125">
              <w:r>
                <w:rPr>
                  <w:rFonts w:ascii="Times New Roman" w:cs="Times New Roman" w:eastAsia="Times New Roman" w:hAnsi="Times New Roman"/>
                  <w:sz w:val="18"/>
                  <w:szCs w:val="18"/>
                  <w:color w:val="0000EE"/>
                  <w:w w:val="97"/>
                </w:rPr>
                <w:t>Security Ownership of Certain Beneficial Owners and Management and Related Stockholder Matters</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5">
              <w:r>
                <w:rPr>
                  <w:rFonts w:ascii="Times New Roman" w:cs="Times New Roman" w:eastAsia="Times New Roman" w:hAnsi="Times New Roman"/>
                  <w:sz w:val="18"/>
                  <w:szCs w:val="18"/>
                  <w:color w:val="0000EE"/>
                  <w:w w:val="70"/>
                </w:rPr>
                <w:t>13.</w:t>
              </w:r>
            </w:hyperlink>
          </w:p>
        </w:tc>
        <w:tc>
          <w:tcPr>
            <w:tcW w:w="420" w:type="dxa"/>
            <w:vAlign w:val="bottom"/>
          </w:tcPr>
          <w:p>
            <w:pPr>
              <w:spacing w:after="0"/>
              <w:rPr>
                <w:sz w:val="17"/>
                <w:szCs w:val="17"/>
                <w:color w:val="auto"/>
              </w:rPr>
            </w:pPr>
          </w:p>
        </w:tc>
        <w:tc>
          <w:tcPr>
            <w:tcW w:w="7120" w:type="dxa"/>
            <w:vAlign w:val="bottom"/>
            <w:gridSpan w:val="20"/>
          </w:tcPr>
          <w:p>
            <w:pPr>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Certain Relationships and Related Transactions, and Director Independence</w:t>
              </w:r>
            </w:hyperlink>
          </w:p>
        </w:tc>
        <w:tc>
          <w:tcPr>
            <w:tcW w:w="26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5">
              <w:r>
                <w:rPr>
                  <w:rFonts w:ascii="Times New Roman" w:cs="Times New Roman" w:eastAsia="Times New Roman" w:hAnsi="Times New Roman"/>
                  <w:sz w:val="18"/>
                  <w:szCs w:val="18"/>
                  <w:color w:val="0000EE"/>
                </w:rPr>
                <w:t>120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6">
              <w:r>
                <w:rPr>
                  <w:rFonts w:ascii="Times New Roman" w:cs="Times New Roman" w:eastAsia="Times New Roman" w:hAnsi="Times New Roman"/>
                  <w:sz w:val="18"/>
                  <w:szCs w:val="18"/>
                  <w:color w:val="0000EE"/>
                  <w:w w:val="70"/>
                </w:rPr>
                <w:t>14.</w:t>
              </w:r>
            </w:hyperlink>
          </w:p>
        </w:tc>
        <w:tc>
          <w:tcPr>
            <w:tcW w:w="420" w:type="dxa"/>
            <w:vAlign w:val="bottom"/>
          </w:tcPr>
          <w:p>
            <w:pPr>
              <w:spacing w:after="0"/>
              <w:rPr>
                <w:sz w:val="17"/>
                <w:szCs w:val="17"/>
                <w:color w:val="auto"/>
              </w:rPr>
            </w:pPr>
          </w:p>
        </w:tc>
        <w:tc>
          <w:tcPr>
            <w:tcW w:w="2800" w:type="dxa"/>
            <w:vAlign w:val="bottom"/>
            <w:gridSpan w:val="12"/>
          </w:tcPr>
          <w:p>
            <w:pPr>
              <w:spacing w:after="0" w:line="196" w:lineRule="exact"/>
              <w:rPr>
                <w:rFonts w:ascii="Times New Roman" w:cs="Times New Roman" w:eastAsia="Times New Roman" w:hAnsi="Times New Roman"/>
                <w:sz w:val="18"/>
                <w:szCs w:val="18"/>
                <w:color w:val="0000EE"/>
                <w:w w:val="97"/>
              </w:rPr>
            </w:pPr>
            <w:hyperlink w:anchor="page126">
              <w:r>
                <w:rPr>
                  <w:rFonts w:ascii="Times New Roman" w:cs="Times New Roman" w:eastAsia="Times New Roman" w:hAnsi="Times New Roman"/>
                  <w:sz w:val="18"/>
                  <w:szCs w:val="18"/>
                  <w:color w:val="0000EE"/>
                  <w:w w:val="97"/>
                </w:rPr>
                <w:t>Principal Accountant Fees and Services</w:t>
              </w:r>
            </w:hyperlink>
          </w:p>
        </w:tc>
        <w:tc>
          <w:tcPr>
            <w:tcW w:w="2520" w:type="dxa"/>
            <w:vAlign w:val="bottom"/>
            <w:gridSpan w:val="5"/>
          </w:tcPr>
          <w:p>
            <w:pPr>
              <w:spacing w:after="0"/>
              <w:rPr>
                <w:sz w:val="17"/>
                <w:szCs w:val="17"/>
                <w:color w:val="auto"/>
              </w:rPr>
            </w:pPr>
          </w:p>
        </w:tc>
        <w:tc>
          <w:tcPr>
            <w:tcW w:w="206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6">
              <w:r>
                <w:rPr>
                  <w:rFonts w:ascii="Times New Roman" w:cs="Times New Roman" w:eastAsia="Times New Roman" w:hAnsi="Times New Roman"/>
                  <w:sz w:val="18"/>
                  <w:szCs w:val="18"/>
                  <w:color w:val="0000EE"/>
                </w:rPr>
                <w:t>121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5"/>
          </w:tcPr>
          <w:p>
            <w:pPr>
              <w:spacing w:after="0" w:line="196" w:lineRule="exact"/>
              <w:rPr>
                <w:rFonts w:ascii="Times New Roman" w:cs="Times New Roman" w:eastAsia="Times New Roman" w:hAnsi="Times New Roman"/>
                <w:sz w:val="18"/>
                <w:szCs w:val="18"/>
                <w:color w:val="0000EE"/>
                <w:w w:val="98"/>
              </w:rPr>
            </w:pPr>
            <w:hyperlink w:anchor="page127">
              <w:r>
                <w:rPr>
                  <w:rFonts w:ascii="Times New Roman" w:cs="Times New Roman" w:eastAsia="Times New Roman" w:hAnsi="Times New Roman"/>
                  <w:sz w:val="18"/>
                  <w:szCs w:val="18"/>
                  <w:color w:val="0000EE"/>
                  <w:w w:val="98"/>
                </w:rPr>
                <w:t>Part IV</w:t>
              </w:r>
            </w:hyperlink>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27">
              <w:r>
                <w:rPr>
                  <w:rFonts w:ascii="Times New Roman" w:cs="Times New Roman" w:eastAsia="Times New Roman" w:hAnsi="Times New Roman"/>
                  <w:sz w:val="18"/>
                  <w:szCs w:val="18"/>
                  <w:color w:val="0000EE"/>
                  <w:w w:val="96"/>
                </w:rPr>
                <w:t>Item</w:t>
              </w:r>
            </w:hyperlink>
          </w:p>
        </w:tc>
        <w:tc>
          <w:tcPr>
            <w:tcW w:w="20" w:type="dxa"/>
            <w:vAlign w:val="bottom"/>
          </w:tcPr>
          <w:p>
            <w:pPr>
              <w:spacing w:after="0"/>
              <w:rPr>
                <w:sz w:val="17"/>
                <w:szCs w:val="17"/>
                <w:color w:val="auto"/>
              </w:rPr>
            </w:pPr>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27">
              <w:r>
                <w:rPr>
                  <w:rFonts w:ascii="Times New Roman" w:cs="Times New Roman" w:eastAsia="Times New Roman" w:hAnsi="Times New Roman"/>
                  <w:sz w:val="18"/>
                  <w:szCs w:val="18"/>
                  <w:color w:val="0000EE"/>
                  <w:w w:val="70"/>
                </w:rPr>
                <w:t>15.</w:t>
              </w:r>
            </w:hyperlink>
          </w:p>
        </w:tc>
        <w:tc>
          <w:tcPr>
            <w:tcW w:w="420" w:type="dxa"/>
            <w:vAlign w:val="bottom"/>
          </w:tcPr>
          <w:p>
            <w:pPr>
              <w:spacing w:after="0"/>
              <w:rPr>
                <w:sz w:val="17"/>
                <w:szCs w:val="17"/>
                <w:color w:val="auto"/>
              </w:rPr>
            </w:pPr>
          </w:p>
        </w:tc>
        <w:tc>
          <w:tcPr>
            <w:tcW w:w="2840" w:type="dxa"/>
            <w:vAlign w:val="bottom"/>
            <w:gridSpan w:val="13"/>
          </w:tcPr>
          <w:p>
            <w:pPr>
              <w:spacing w:after="0" w:line="196" w:lineRule="exact"/>
              <w:rPr>
                <w:rFonts w:ascii="Times New Roman" w:cs="Times New Roman" w:eastAsia="Times New Roman" w:hAnsi="Times New Roman"/>
                <w:sz w:val="18"/>
                <w:szCs w:val="18"/>
                <w:color w:val="0000EE"/>
                <w:w w:val="97"/>
              </w:rPr>
            </w:pPr>
            <w:hyperlink w:anchor="page127">
              <w:r>
                <w:rPr>
                  <w:rFonts w:ascii="Times New Roman" w:cs="Times New Roman" w:eastAsia="Times New Roman" w:hAnsi="Times New Roman"/>
                  <w:sz w:val="18"/>
                  <w:szCs w:val="18"/>
                  <w:color w:val="0000EE"/>
                  <w:w w:val="97"/>
                </w:rPr>
                <w:t>Exhibits, Financial Statement Schedules</w:t>
              </w:r>
            </w:hyperlink>
          </w:p>
        </w:tc>
        <w:tc>
          <w:tcPr>
            <w:tcW w:w="454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122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540" w:type="dxa"/>
            <w:vAlign w:val="bottom"/>
            <w:gridSpan w:val="9"/>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 w:type="dxa"/>
            <w:vAlign w:val="bottom"/>
            <w:gridSpan w:val="4"/>
          </w:tcPr>
          <w:p>
            <w:pPr>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Item</w:t>
              </w:r>
            </w:hyperlink>
          </w:p>
        </w:tc>
        <w:tc>
          <w:tcPr>
            <w:tcW w:w="220" w:type="dxa"/>
            <w:vAlign w:val="bottom"/>
            <w:gridSpan w:val="2"/>
          </w:tcPr>
          <w:p>
            <w:pPr>
              <w:ind w:left="20"/>
              <w:spacing w:after="0" w:line="196" w:lineRule="exact"/>
              <w:rPr>
                <w:rFonts w:ascii="Times New Roman" w:cs="Times New Roman" w:eastAsia="Times New Roman" w:hAnsi="Times New Roman"/>
                <w:sz w:val="18"/>
                <w:szCs w:val="18"/>
                <w:color w:val="0000EE"/>
                <w:w w:val="70"/>
              </w:rPr>
            </w:pPr>
            <w:hyperlink w:anchor="page131">
              <w:r>
                <w:rPr>
                  <w:rFonts w:ascii="Times New Roman" w:cs="Times New Roman" w:eastAsia="Times New Roman" w:hAnsi="Times New Roman"/>
                  <w:sz w:val="18"/>
                  <w:szCs w:val="18"/>
                  <w:color w:val="0000EE"/>
                  <w:w w:val="70"/>
                </w:rPr>
                <w:t>16.</w:t>
              </w:r>
            </w:hyperlink>
          </w:p>
        </w:tc>
        <w:tc>
          <w:tcPr>
            <w:tcW w:w="420" w:type="dxa"/>
            <w:vAlign w:val="bottom"/>
          </w:tcPr>
          <w:p>
            <w:pPr>
              <w:spacing w:after="0"/>
              <w:rPr>
                <w:sz w:val="17"/>
                <w:szCs w:val="17"/>
                <w:color w:val="auto"/>
              </w:rPr>
            </w:pPr>
          </w:p>
        </w:tc>
        <w:tc>
          <w:tcPr>
            <w:tcW w:w="1520" w:type="dxa"/>
            <w:vAlign w:val="bottom"/>
            <w:gridSpan w:val="7"/>
          </w:tcPr>
          <w:p>
            <w:pPr>
              <w:spacing w:after="0" w:line="196" w:lineRule="exact"/>
              <w:rPr>
                <w:rFonts w:ascii="Times New Roman" w:cs="Times New Roman" w:eastAsia="Times New Roman" w:hAnsi="Times New Roman"/>
                <w:sz w:val="18"/>
                <w:szCs w:val="18"/>
                <w:color w:val="0000EE"/>
                <w:w w:val="96"/>
              </w:rPr>
            </w:pPr>
            <w:hyperlink w:anchor="page131">
              <w:r>
                <w:rPr>
                  <w:rFonts w:ascii="Times New Roman" w:cs="Times New Roman" w:eastAsia="Times New Roman" w:hAnsi="Times New Roman"/>
                  <w:sz w:val="18"/>
                  <w:szCs w:val="18"/>
                  <w:color w:val="0000EE"/>
                  <w:w w:val="96"/>
                </w:rPr>
                <w:t>Form 10-K Summary</w:t>
              </w:r>
            </w:hyperlink>
          </w:p>
        </w:tc>
        <w:tc>
          <w:tcPr>
            <w:tcW w:w="1320" w:type="dxa"/>
            <w:vAlign w:val="bottom"/>
            <w:gridSpan w:val="6"/>
          </w:tcPr>
          <w:p>
            <w:pPr>
              <w:spacing w:after="0"/>
              <w:rPr>
                <w:sz w:val="17"/>
                <w:szCs w:val="17"/>
                <w:color w:val="auto"/>
              </w:rPr>
            </w:pPr>
          </w:p>
        </w:tc>
        <w:tc>
          <w:tcPr>
            <w:tcW w:w="454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31">
              <w:r>
                <w:rPr>
                  <w:rFonts w:ascii="Times New Roman" w:cs="Times New Roman" w:eastAsia="Times New Roman" w:hAnsi="Times New Roman"/>
                  <w:sz w:val="18"/>
                  <w:szCs w:val="18"/>
                  <w:color w:val="0000EE"/>
                </w:rPr>
                <w:t>126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7"/>
          </w:tcPr>
          <w:p>
            <w:pPr>
              <w:spacing w:after="0" w:line="196" w:lineRule="exact"/>
              <w:rPr>
                <w:rFonts w:ascii="Times New Roman" w:cs="Times New Roman" w:eastAsia="Times New Roman" w:hAnsi="Times New Roman"/>
                <w:sz w:val="18"/>
                <w:szCs w:val="18"/>
                <w:color w:val="0000EE"/>
                <w:w w:val="94"/>
              </w:rPr>
            </w:pPr>
            <w:hyperlink w:anchor="page132">
              <w:r>
                <w:rPr>
                  <w:rFonts w:ascii="Times New Roman" w:cs="Times New Roman" w:eastAsia="Times New Roman" w:hAnsi="Times New Roman"/>
                  <w:sz w:val="18"/>
                  <w:szCs w:val="18"/>
                  <w:color w:val="0000EE"/>
                  <w:w w:val="94"/>
                </w:rPr>
                <w:t>Signatures</w:t>
              </w:r>
            </w:hyperlink>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132">
              <w:r>
                <w:rPr>
                  <w:rFonts w:ascii="Times New Roman" w:cs="Times New Roman" w:eastAsia="Times New Roman" w:hAnsi="Times New Roman"/>
                  <w:sz w:val="18"/>
                  <w:szCs w:val="18"/>
                  <w:color w:val="0000EE"/>
                </w:rPr>
                <w:t>127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Annual Report on Form 10-K contains forward-looking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93"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87" w:lineRule="exact"/>
        <w:rPr>
          <w:sz w:val="20"/>
          <w:szCs w:val="20"/>
          <w:color w:val="auto"/>
        </w:rPr>
      </w:pPr>
    </w:p>
    <w:p>
      <w:pPr>
        <w:ind w:left="1080" w:right="40" w:hanging="532"/>
        <w:spacing w:after="0" w:line="26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animal, preclinical and clinical studies, and, if we obtain regulatory approval, commercialization of glembatumumab vedotin (also referred to as CDX-011) and other drug candidates and the growth of the markets for those drug candidates;</w:t>
      </w:r>
    </w:p>
    <w:p>
      <w:pPr>
        <w:spacing w:after="0" w:line="213"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203"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from our stockholders to issue additional shares of our common stock to Kolltan's former stockholders if any contingent milestones are achieved;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programs, which may include, glembatumumab vedotin;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our and Kolltan's businesses and to operate the combined business efficiently;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from the acquisition of Kolltan;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safety and efficacy trials of glembatumumab vedotin, and other preclinical and clinical testing;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252" w:lineRule="exact"/>
        <w:rPr>
          <w:rFonts w:ascii="Times New Roman" w:cs="Times New Roman" w:eastAsia="Times New Roman" w:hAnsi="Times New Roman"/>
          <w:sz w:val="18"/>
          <w:szCs w:val="18"/>
          <w:color w:val="auto"/>
        </w:rPr>
      </w:pPr>
    </w:p>
    <w:p>
      <w:pPr>
        <w:ind w:left="1080" w:right="1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 who may be the sole source of supply;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252" w:lineRule="exact"/>
        <w:rPr>
          <w:rFonts w:ascii="Times New Roman" w:cs="Times New Roman" w:eastAsia="Times New Roman" w:hAnsi="Times New Roman"/>
          <w:sz w:val="18"/>
          <w:szCs w:val="18"/>
          <w:color w:val="auto"/>
        </w:rPr>
      </w:pPr>
    </w:p>
    <w:p>
      <w:pPr>
        <w:ind w:left="1080" w:right="340" w:hanging="532"/>
        <w:spacing w:after="0" w:line="339" w:lineRule="auto"/>
        <w:tabs>
          <w:tab w:leader="none" w:pos="10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41" w:lineRule="exact"/>
        <w:rPr>
          <w:rFonts w:ascii="Times New Roman" w:cs="Times New Roman" w:eastAsia="Times New Roman" w:hAnsi="Times New Roman"/>
          <w:sz w:val="16"/>
          <w:szCs w:val="16"/>
          <w:color w:val="auto"/>
        </w:rPr>
      </w:pPr>
    </w:p>
    <w:p>
      <w:pPr>
        <w:ind w:left="1080" w:right="2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proprietary antibody-targeted technology, or APC Targeting Technology™, to develop new, safe and effective therapeutics for oncology and infectious disease indications;</w:t>
      </w:r>
    </w:p>
    <w:p>
      <w:pPr>
        <w:spacing w:after="0" w:line="187"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including the ability to successfully defend patent oppositions filed against a European patent related to technology we use in varlilumab, and our ability to avoid intellectual property litigation, which can be costly and divert management time and attention;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listed under "Risk Factors" in this Annual Report on Form 10-K.</w:t>
      </w:r>
    </w:p>
    <w:p>
      <w:pPr>
        <w:spacing w:after="0" w:line="225" w:lineRule="exact"/>
        <w:rPr>
          <w:sz w:val="20"/>
          <w:szCs w:val="20"/>
          <w:color w:val="auto"/>
        </w:rPr>
      </w:pPr>
    </w:p>
    <w:p>
      <w:pPr>
        <w:ind w:right="80" w:firstLine="341"/>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Celldex Therapeutics, Inc., which we refer to as "Celldex," "we," "us," "our" or the "Company," is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90" w:lineRule="exact"/>
        <w:rPr>
          <w:sz w:val="20"/>
          <w:szCs w:val="20"/>
          <w:color w:val="auto"/>
        </w:rPr>
      </w:pPr>
    </w:p>
    <w:p>
      <w:pPr>
        <w:ind w:right="100" w:firstLine="351"/>
        <w:spacing w:after="0" w:line="287" w:lineRule="auto"/>
        <w:rPr>
          <w:sz w:val="20"/>
          <w:szCs w:val="20"/>
          <w:color w:val="auto"/>
        </w:rPr>
      </w:pPr>
      <w:r>
        <w:rPr>
          <w:rFonts w:ascii="Times New Roman" w:cs="Times New Roman" w:eastAsia="Times New Roman" w:hAnsi="Times New Roman"/>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principal in a Phase 1 study with varlilumab, which supported the initiation of several combination studies in various indications. We also have a number of earlier stage drug candidates in clinical development, including CDX-1401, a targeted immunotherapeutic aimed at antigen presenting cells, or APCs, for cancer indications; CDX-301, an immune cell mobilizing agent and dendritic cell growth factor; and CDX-014, an antibody-drug conjugate targeting renal and ovarian cancers. In November 2016, we completed the acquisition of Kolltan Pharmaceuticals, Inc. (Kolltan), a privately held company focused on the discovery and development of novel, antibody-based drugs targeting receptor tyrosine kinases (RTKs). This acquisition added the following drug candidates to our clinical pipeline: CDX-0158 (formerly KTN0158), a humanized monoclonal antibody (mAb) currently in a Phase 1 dose escalation study in refractory gastrointestinal stromal tumors (GIST) and other KIT positive tumors; and, CDX-3379 (formerly KTN3379; MEDI3379), a human monoclonal antibody which recently completed a Phase 1b study in patients with solid tumors. We also acquired the TAM program, a broad antibody discovery effort to generate antibodies that modulate the TAM family of RTKs, comprised of Tyro3, AXL and MerTK, which are expressed on tumor-infiltrating macrophages, dendritic cells and some tumors. Our drug candidates address market opportunities for which we believe current cancer therapies are inadequate or non-existent.</w:t>
      </w:r>
    </w:p>
    <w:p>
      <w:pPr>
        <w:spacing w:after="0" w:line="38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reflects Celldex-sponsored clinical studies that we are actively pursuing at this time. All programs are currently fully-owned by Celldex.</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2060" w:type="dxa"/>
            <w:vAlign w:val="bottom"/>
          </w:tcPr>
          <w:p>
            <w:pPr>
              <w:spacing w:after="0"/>
              <w:rPr>
                <w:sz w:val="14"/>
                <w:szCs w:val="14"/>
                <w:color w:val="auto"/>
              </w:rPr>
            </w:pPr>
          </w:p>
        </w:tc>
        <w:tc>
          <w:tcPr>
            <w:tcW w:w="35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80" w:type="dxa"/>
            <w:vAlign w:val="bottom"/>
          </w:tcPr>
          <w:p>
            <w:pPr>
              <w:spacing w:after="0"/>
              <w:rPr>
                <w:sz w:val="14"/>
                <w:szCs w:val="14"/>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55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Triple negative breast cancer</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Phase 2b</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5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Metastatic melanoma (with varlilumab or CPI*)</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Varlilumab</w:t>
            </w:r>
          </w:p>
        </w:tc>
        <w:tc>
          <w:tcPr>
            <w:tcW w:w="55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Multiple solid tumors (with nivolumab)</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CDX-0158</w:t>
            </w:r>
          </w:p>
        </w:tc>
        <w:tc>
          <w:tcPr>
            <w:tcW w:w="5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Gastrointestinal and other KIT-postive tumors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Phase 1</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CDX-3379</w:t>
            </w:r>
          </w:p>
        </w:tc>
        <w:tc>
          <w:tcPr>
            <w:tcW w:w="5580" w:type="dxa"/>
            <w:vAlign w:val="bottom"/>
            <w:gridSpan w:val="2"/>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Multiple solid tumors (in combination regimens)</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Phase 1</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CDX-014</w:t>
            </w:r>
          </w:p>
        </w:tc>
        <w:tc>
          <w:tcPr>
            <w:tcW w:w="558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Renal cell carcinoma</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Phase 1</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checkpoint inhibitor</w:t>
      </w:r>
    </w:p>
    <w:p>
      <w:pPr>
        <w:spacing w:after="0" w:line="252" w:lineRule="exact"/>
        <w:rPr>
          <w:sz w:val="20"/>
          <w:szCs w:val="20"/>
          <w:color w:val="auto"/>
        </w:rPr>
      </w:pPr>
    </w:p>
    <w:p>
      <w:pPr>
        <w:ind w:left="1680" w:hanging="531"/>
        <w:spacing w:after="0"/>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BMS collaboration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348"/>
        <w:spacing w:after="0" w:line="262" w:lineRule="auto"/>
        <w:rPr>
          <w:sz w:val="20"/>
          <w:szCs w:val="20"/>
          <w:color w:val="auto"/>
        </w:rPr>
      </w:pPr>
      <w:r>
        <w:rPr>
          <w:rFonts w:ascii="Times New Roman" w:cs="Times New Roman" w:eastAsia="Times New Roman" w:hAnsi="Times New Roman"/>
          <w:sz w:val="18"/>
          <w:szCs w:val="18"/>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 Investigator Initiated Research (IIR) program with seven studies ongoing with our drug candidates and additional studies currently under consideration.</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158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6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36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Uveal melanoma</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1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36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Squamous cell lung cancer</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PrECOG,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CDX-1401/CDX-301</w:t>
            </w:r>
          </w:p>
        </w:tc>
        <w:tc>
          <w:tcPr>
            <w:tcW w:w="36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Multiple solid tumors</w:t>
            </w:r>
          </w:p>
        </w:tc>
        <w:tc>
          <w:tcPr>
            <w:tcW w:w="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Phase 2</w:t>
            </w:r>
          </w:p>
        </w:tc>
        <w:tc>
          <w:tcPr>
            <w:tcW w:w="1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CITN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Our future success depends upon many factors, including our ability, and that of any licensees and collaborators that we may have, to successfully develop, obtain regulatory approval for and commercialize our drug candidates, as well as any related companion diagnostic tests.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As previously disclosed, it is our intention to integrate Kolltan without increasing our planned cash burn for 2017. Following the addition of the Kolltan programs, we undertook a full review of our pipeline and associated programs to identify priority areas that we believe have the highest probability of potentially impacting disease while also identifying areas for improved efficiency and cost savings. The adjustments are reflected in the following clinical pipeline program update.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Glembatumumab Vedotin</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67" w:lineRule="exact"/>
        <w:rPr>
          <w:sz w:val="20"/>
          <w:szCs w:val="20"/>
          <w:color w:val="auto"/>
        </w:rPr>
      </w:pPr>
    </w:p>
    <w:p>
      <w:pPr>
        <w:ind w:right="40" w:firstLine="3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Treatment of Metastatic Breast Cancer: </w:t>
      </w:r>
      <w:r>
        <w:rPr>
          <w:rFonts w:ascii="Times New Roman" w:cs="Times New Roman" w:eastAsia="Times New Roman" w:hAnsi="Times New Roman"/>
          <w:sz w:val="18"/>
          <w:szCs w:val="18"/>
          <w:color w:val="auto"/>
        </w:rPr>
        <w:t>The Phase 1/2 study of glembatumumab vedotin administered intravenously once every three weeks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patients with locally advanced or metastatic breast cancer (MBC) who had received prior therapy (median of seven prior regimens). Results were published in the </w:t>
      </w:r>
      <w:r>
        <w:rPr>
          <w:rFonts w:ascii="Times New Roman" w:cs="Times New Roman" w:eastAsia="Times New Roman" w:hAnsi="Times New Roman"/>
          <w:sz w:val="18"/>
          <w:szCs w:val="18"/>
          <w:i w:val="1"/>
          <w:iCs w:val="1"/>
          <w:color w:val="auto"/>
        </w:rPr>
        <w:t xml:space="preserve">Journal of Clinical Oncology </w:t>
      </w:r>
      <w:r>
        <w:rPr>
          <w:rFonts w:ascii="Times New Roman" w:cs="Times New Roman" w:eastAsia="Times New Roman" w:hAnsi="Times New Roman"/>
          <w:sz w:val="18"/>
          <w:szCs w:val="18"/>
          <w:color w:val="auto"/>
        </w:rPr>
        <w:t>in September 2014. The study began with a bridging phase to confirm the maximum tolerated dose, or MTD, and then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Phase 2 open-label, multi-center study. The study supported an acceptable safety profile of glembatumumab</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vedotin at the pre-defined maximum dose level (1.88 mg/kg) in 6 patients. An additional 28 patients with MBC were enrolled in an expanded Phase 2 cohort (for a total of 34 treated patients at 1.88 mg/kg, the Phase 2 dose) to evaluate the progression-free survival (PFS) rate at 12 weeks. The 1.88 mg/kg dose exhibited an acceptable safety profile in this patient population with the most common adverse events being rash, neuropathy and fatigue. The primary anti-cancer activity endpoint, which called for at least 5 of 25 (20%) patients in the Phase 2 study portion to be progression-free at 12 weeks, was met as 9 of 27 (33%) evaluable patients were progression-free at 12 weeks. For all patients treated at the Phase 2 dose, median PFS was 9.1 weeks.</w:t>
      </w:r>
    </w:p>
    <w:p>
      <w:pPr>
        <w:spacing w:after="0" w:line="193"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 subset of 10 patients had "triple negative disease," a more aggressive metastatic breast cancer subtype that carries a high risk of relapse and reduced survival as well as limited therapeutic options. In these patients, the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90"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 xml:space="preserve">The subsequent EMERGE study was a randomized, multi-center Phase 2b study of glembatumumab vedotin in 124 patients with heavily pre-treated, advanced, gpNMB-positive breast cancer. Results from EMERGE were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in April 2015.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EMERGE: Overall Response Rate and Disease Control Data (Intent-to-Treat Population)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Triple Negative and</w:t>
            </w:r>
          </w:p>
        </w:tc>
      </w:t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High gpNMB Expression</w:t>
            </w:r>
          </w:p>
        </w:tc>
        <w:tc>
          <w:tcPr>
            <w:tcW w:w="24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gpNMB Over-Expression</w:t>
            </w:r>
          </w:p>
        </w:tc>
      </w:tr>
      <w:tr>
        <w:trPr>
          <w:trHeight w:val="12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Investigator's</w:t>
            </w:r>
          </w:p>
        </w:tc>
        <w:tc>
          <w:tcPr>
            <w:tcW w:w="1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9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Investigator's</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Choice</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2"/>
              </w:rPr>
              <w:t>Choice</w:t>
            </w: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(n=23)</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(n=11)</w:t>
            </w:r>
          </w:p>
        </w:tc>
        <w:tc>
          <w:tcPr>
            <w:tcW w:w="16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(n=10)</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(n=6)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Response Rate</w:t>
            </w:r>
          </w:p>
        </w:tc>
        <w:tc>
          <w:tcPr>
            <w:tcW w:w="1340" w:type="dxa"/>
            <w:vAlign w:val="bottom"/>
            <w:gridSpan w:val="2"/>
            <w:shd w:val="clear" w:color="auto" w:fill="CCEEFF"/>
          </w:tcPr>
          <w:p>
            <w:pPr>
              <w:jc w:val="center"/>
              <w:ind w:left="906"/>
              <w:spacing w:after="0"/>
              <w:rPr>
                <w:sz w:val="20"/>
                <w:szCs w:val="20"/>
                <w:color w:val="auto"/>
              </w:rPr>
            </w:pPr>
            <w:r>
              <w:rPr>
                <w:rFonts w:ascii="Times New Roman" w:cs="Times New Roman" w:eastAsia="Times New Roman" w:hAnsi="Times New Roman"/>
                <w:sz w:val="18"/>
                <w:szCs w:val="18"/>
                <w:color w:val="auto"/>
                <w:w w:val="96"/>
              </w:rPr>
              <w:t>30%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shd w:val="clear" w:color="auto" w:fill="CCEEFF"/>
          </w:tcPr>
          <w:p>
            <w:pPr>
              <w:jc w:val="center"/>
              <w:ind w:left="907"/>
              <w:spacing w:after="0"/>
              <w:rPr>
                <w:sz w:val="20"/>
                <w:szCs w:val="20"/>
                <w:color w:val="auto"/>
              </w:rPr>
            </w:pPr>
            <w:r>
              <w:rPr>
                <w:rFonts w:ascii="Times New Roman" w:cs="Times New Roman" w:eastAsia="Times New Roman" w:hAnsi="Times New Roman"/>
                <w:sz w:val="18"/>
                <w:szCs w:val="18"/>
                <w:color w:val="auto"/>
                <w:w w:val="96"/>
              </w:rPr>
              <w:t>40%</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Disease Control Rate</w:t>
            </w:r>
          </w:p>
        </w:tc>
        <w:tc>
          <w:tcPr>
            <w:tcW w:w="1340" w:type="dxa"/>
            <w:vAlign w:val="bottom"/>
            <w:gridSpan w:val="2"/>
          </w:tcPr>
          <w:p>
            <w:pPr>
              <w:jc w:val="center"/>
              <w:ind w:left="906"/>
              <w:spacing w:after="0"/>
              <w:rPr>
                <w:sz w:val="20"/>
                <w:szCs w:val="20"/>
                <w:color w:val="auto"/>
              </w:rPr>
            </w:pPr>
            <w:r>
              <w:rPr>
                <w:rFonts w:ascii="Times New Roman" w:cs="Times New Roman" w:eastAsia="Times New Roman" w:hAnsi="Times New Roman"/>
                <w:sz w:val="18"/>
                <w:szCs w:val="18"/>
                <w:color w:val="auto"/>
                <w:w w:val="96"/>
              </w:rPr>
              <w:t>65%</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gridSpan w:val="2"/>
          </w:tcPr>
          <w:p>
            <w:pPr>
              <w:jc w:val="center"/>
              <w:ind w:left="907"/>
              <w:spacing w:after="0"/>
              <w:rPr>
                <w:sz w:val="20"/>
                <w:szCs w:val="20"/>
                <w:color w:val="auto"/>
              </w:rPr>
            </w:pPr>
            <w:r>
              <w:rPr>
                <w:rFonts w:ascii="Times New Roman" w:cs="Times New Roman" w:eastAsia="Times New Roman" w:hAnsi="Times New Roman"/>
                <w:sz w:val="18"/>
                <w:szCs w:val="18"/>
                <w:color w:val="auto"/>
                <w:w w:val="96"/>
              </w:rPr>
              <w:t>90%</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96"/>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Tumor response assessed by RECIST 1.1, inclusive of response observed at a single time point.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EMERGE: Progression Free Survival (PFS) and Overall Survival (OS)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500" w:type="dxa"/>
            <w:vAlign w:val="bottom"/>
            <w:gridSpan w:val="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6"/>
              </w:rPr>
              <w:t>Triple Negative and gpNMB</w:t>
            </w:r>
          </w:p>
        </w:tc>
      </w:tr>
      <w:tr>
        <w:trPr>
          <w:trHeight w:val="165"/>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High gpNMB Expression</w:t>
            </w:r>
          </w:p>
        </w:tc>
        <w:tc>
          <w:tcPr>
            <w:tcW w:w="160" w:type="dxa"/>
            <w:vAlign w:val="bottom"/>
          </w:tcPr>
          <w:p>
            <w:pPr>
              <w:spacing w:after="0"/>
              <w:rPr>
                <w:sz w:val="14"/>
                <w:szCs w:val="14"/>
                <w:color w:val="auto"/>
              </w:rPr>
            </w:pPr>
          </w:p>
        </w:tc>
        <w:tc>
          <w:tcPr>
            <w:tcW w:w="3500" w:type="dxa"/>
            <w:vAlign w:val="bottom"/>
            <w:gridSpan w:val="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4"/>
              </w:rPr>
              <w:t>Over-Expression</w:t>
            </w:r>
          </w:p>
        </w:tc>
      </w:tr>
      <w:tr>
        <w:trPr>
          <w:trHeight w:val="125"/>
        </w:trPr>
        <w:tc>
          <w:tcPr>
            <w:tcW w:w="11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rPr>
              <w:t>Investigator's</w:t>
            </w:r>
          </w:p>
        </w:tc>
        <w:tc>
          <w:tcPr>
            <w:tcW w:w="16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rPr>
              <w:t>Investigator's</w:t>
            </w:r>
          </w:p>
        </w:tc>
        <w:tc>
          <w:tcPr>
            <w:tcW w:w="1300" w:type="dxa"/>
            <w:vAlign w:val="bottom"/>
            <w:gridSpan w:val="2"/>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30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PFS (months)</w:t>
            </w:r>
          </w:p>
        </w:tc>
        <w:tc>
          <w:tcPr>
            <w:tcW w:w="12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p=0.18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p=0.0017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18"/>
        </w:trPr>
        <w:tc>
          <w:tcPr>
            <w:tcW w:w="5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Median OS (months)</w:t>
            </w:r>
          </w:p>
        </w:tc>
        <w:tc>
          <w:tcPr>
            <w:tcW w:w="12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p=0.31</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p=0.003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60" w:type="dxa"/>
            <w:vAlign w:val="bottom"/>
            <w:gridSpan w:val="2"/>
          </w:tcPr>
          <w:p>
            <w:pPr>
              <w:jc w:val="right"/>
              <w:ind w:right="824"/>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In December 2013, we initiated METRIC, a randomized, controlled Phase 2b study of glembatumumab vedotin in patients with triple negative breast cancer that over-expresses gpNMB. Clinical trial study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 Based on consistent improvements in enrollment trends to the METRIC study over the last several months, we anticipate that study enrollment will be completed by the end of September 2017. Efforts to ensure delivery of manufactured drug that is ready for commercialization and a companion diagnostic, including partnering with a diagnostic company, are underway.</w:t>
      </w:r>
    </w:p>
    <w:p>
      <w:pPr>
        <w:spacing w:after="0" w:line="199"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Treatment of Metastatic Melanoma: </w:t>
      </w:r>
      <w:r>
        <w:rPr>
          <w:rFonts w:ascii="Times New Roman" w:cs="Times New Roman" w:eastAsia="Times New Roman" w:hAnsi="Times New Roman"/>
          <w:sz w:val="16"/>
          <w:szCs w:val="16"/>
          <w:color w:val="auto"/>
        </w:rPr>
        <w:t>The Phase 1/2 open-label, multi-center, dose escalation study evaluated the safety, tolerability and pharmacokinetics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glembatumumab vedotin in 117 patients with unresectable stage III or IV melanoma who had failed no more than one prior line of cytotoxic therapy. The MTD and resulting Phase 2 dose was determined to be 1.88 mg/kg administered intravenously once every three weeks. The study achieved its primary activity objective with an overall response rate (ORR) in the Phase 2 cohort of 15% (5/34). Median PFS was 3.3 months for patients treated with the Phase 2 dose.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Glembatumumab vedotin was generally well tolerated, with the most frequent treatment-related adverse events being rash, fatigue, alopecia, pruritus, diarrhea and nausea. The development of rash, which may be associated with the presence of gpNMB in the skin, also seemed to correlate with greater PFS.</w:t>
      </w:r>
    </w:p>
    <w:p>
      <w:pPr>
        <w:spacing w:after="0" w:line="186"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December 2014, we initiated a single arm, single-agent, open-label Phase 2 study of glembatumumab vedotin in patients with unresectable stage III or IV melanoma (n=60) and enrollment has been completed. In May 2016, we amended the protocol to add a second cohort of patients to a glembatumumab vedotin and varlilumab combination arm to assess the potential clinical benefit of the combination and to explore varlilumab's potential biologic and immunologic effect when combined with an ADC. In November 2016, we amended the protocol again to add a third cohort of patients evaluating glembatumumab vedotin in combination with an approved checkpoint inhibitor (i.e., nivolumab or pembrolizumab) following progression on the checkpoint inhibitor alone. Both additional cohorts are open to enrollment. The primary endpoint for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regimens.</w:t>
      </w:r>
    </w:p>
    <w:p>
      <w:pPr>
        <w:spacing w:after="0" w:line="192" w:lineRule="exact"/>
        <w:rPr>
          <w:sz w:val="20"/>
          <w:szCs w:val="20"/>
          <w:color w:val="auto"/>
        </w:rPr>
      </w:pPr>
    </w:p>
    <w:p>
      <w:pPr>
        <w:ind w:right="200" w:firstLine="348"/>
        <w:spacing w:after="0" w:line="296" w:lineRule="auto"/>
        <w:rPr>
          <w:sz w:val="20"/>
          <w:szCs w:val="20"/>
          <w:color w:val="auto"/>
        </w:rPr>
      </w:pPr>
      <w:r>
        <w:rPr>
          <w:rFonts w:ascii="Times New Roman" w:cs="Times New Roman" w:eastAsia="Times New Roman" w:hAnsi="Times New Roman"/>
          <w:sz w:val="16"/>
          <w:szCs w:val="16"/>
          <w:color w:val="auto"/>
        </w:rPr>
        <w:t>We presented data from the single-agent cohort at the European Society for Medical Oncology (ESMO) Congress in October 2016. The cohort enrolled 62 evaluable patients with unresectable stage III (n=1; 2%) or stage IV (n=61; 98%) melanoma. All patients had progressed after checkpoint inhibitor therapy, and almost all patients had received both ipilimumab (n=58; 94%) and anti-PD-1/anti-PDL-1 (n=58; 94%) therapy. Twelve patients presented with BRAF mutation, and eleven had prior treatment with BRAF or BRAF/MEK targeted agents. The primary endpoint of the cohort (6 or more objective responses in the first 52 patients enrolled) was exceeded. Seven of 62 (11%) patients experienced a confirmed response, and an additional three patients also experienced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single timepoint responses. The median duration of response was 6.0 months. A 52% disease control rate (patients without progression for greater than three months) was demonstrated and median PFS for all patients was 4.4 months. In addition, patients who experienced rash in the first cycle of treatment had a 20% confirmed response rate and a more prolonged PFS of 5.5 months [p=0.054; hazard rating=0.52 (0.27, 1.02)]. We also intend to conduct exploratory analyses of pre-entry skin biopsies in future patients to investigate potential predictors of response to glembatumumab vedotin, given the potential association of rash and outcome.</w:t>
      </w:r>
    </w:p>
    <w:p>
      <w:pPr>
        <w:spacing w:after="0" w:line="191" w:lineRule="exact"/>
        <w:rPr>
          <w:sz w:val="20"/>
          <w:szCs w:val="20"/>
          <w:color w:val="auto"/>
        </w:rPr>
      </w:pPr>
    </w:p>
    <w:p>
      <w:pPr>
        <w:ind w:right="20" w:firstLine="348"/>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Treatment of Other Indications: </w:t>
      </w:r>
      <w:r>
        <w:rPr>
          <w:rFonts w:ascii="Times New Roman" w:cs="Times New Roman" w:eastAsia="Times New Roman" w:hAnsi="Times New Roman"/>
          <w:sz w:val="16"/>
          <w:szCs w:val="16"/>
          <w:color w:val="auto"/>
        </w:rPr>
        <w:t>We have entered into a collaborative relationship with PrECOG, LLC, which represents a research network established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The study includes a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69" w:lineRule="exact"/>
        <w:rPr>
          <w:sz w:val="20"/>
          <w:szCs w:val="20"/>
          <w:color w:val="auto"/>
        </w:rPr>
      </w:pPr>
    </w:p>
    <w:p>
      <w:pPr>
        <w:ind w:right="20" w:firstLine="348"/>
        <w:spacing w:after="0" w:line="287" w:lineRule="auto"/>
        <w:rPr>
          <w:sz w:val="20"/>
          <w:szCs w:val="20"/>
          <w:color w:val="auto"/>
        </w:rPr>
      </w:pPr>
      <w:r>
        <w:rPr>
          <w:rFonts w:ascii="Times New Roman" w:cs="Times New Roman" w:eastAsia="Times New Roman" w:hAnsi="Times New Roman"/>
          <w:sz w:val="16"/>
          <w:szCs w:val="16"/>
          <w:color w:val="auto"/>
        </w:rPr>
        <w:t>We have also entered into a Cooperative Research and Development Agreement, or CRADA, with the National Cancer Institute, or NCI, under which NCI is sponsoring two studies of glembatumumab vedotin—one in uveal melanoma and one in osteosarcoma. The uveal melanoma study is a single-arm, open-label study in patients with locally recurrent or metastatic uveal melanoma and is currently open to enrollment. The primary outcome measure is ORR. Secondary outcome measures include change in gpNMB expression on tumor tissue via immunohistochemistry, safety, OS and PFS. We expect data from this study will be presented at a future medical meeting in the first half of 2017. The osteosarcoma study is a single-arm, open-label, evaluation of adolescent and adult patients with recurrent or refractory osteosarcoma. The co-primary objectives are to determine whether glembatumumab vedotin therapy either increases the disease control rate at 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 The study had a two stage design with a pre-specified activity threshold necessary in the first stage to progress enrollment to the second stage. The study did not meet the activity threshold for progressing to stage 2 and therefore no additional patients will be enrolled. We expect data from this study will be presented at a future medical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Varlilumab</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Times New Roman" w:cs="Times New Roman" w:eastAsia="Times New Roman" w:hAnsi="Times New Roman"/>
          <w:sz w:val="18"/>
          <w:szCs w:val="18"/>
          <w:i w:val="1"/>
          <w:iCs w:val="1"/>
          <w:color w:val="auto"/>
        </w:rPr>
        <w:t>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models. We have entered into license agreements with</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University of Southampton, UK for intellectual property to use anti-CD27 antibodies and with 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is also being explored in combination studies, including with glembatumumab vedotin, and in ongoing and planned investigator-sponsored studies.</w:t>
      </w:r>
    </w:p>
    <w:p>
      <w:pPr>
        <w:spacing w:after="0" w:line="191"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Single-Agent Phase 1 Study: </w:t>
      </w:r>
      <w:r>
        <w:rPr>
          <w:rFonts w:ascii="Times New Roman" w:cs="Times New Roman" w:eastAsia="Times New Roman" w:hAnsi="Times New Roman"/>
          <w:sz w:val="18"/>
          <w:szCs w:val="18"/>
          <w:color w:val="auto"/>
        </w:rPr>
        <w:t>Data from the completed, open-label Phase 1 study of varlilumab in patients with selected malignant solid tumors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hematologic cancers were presented in November 2014. Varlilumab to date has shown an acceptable safety profile and induced immunologic activity in patients that is consistent with both its proposed mechanism of action and data in preclinical models. A total of 90 patients were dosed in the study at multiple clinical sites in the U.S. of which 56 patients were dosed in dose escalation cohorts (various solid and hematologic B-cell tumors), and 34 patients were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to date. Two patients experienced significant objective responses including a complete response in Hodgkin lymphoma (continued at 33.1+ months as of September 2016; patient no longer on study) and a partial response in renal cell carcinoma of 27.7+ months (as of September 2016). Thirteen patients experienced stable disease with a range of 3-47.3+ months (as of September 2016). As of December 2016, there are two patients continuing in long term follow-up.</w:t>
      </w:r>
    </w:p>
    <w:p>
      <w:pPr>
        <w:spacing w:after="0" w:line="19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Phase 1/2 Varlilumab/Opdivo® Combination Study: </w:t>
      </w:r>
      <w:r>
        <w:rPr>
          <w:rFonts w:ascii="Times New Roman" w:cs="Times New Roman" w:eastAsia="Times New Roman" w:hAnsi="Times New Roman"/>
          <w:sz w:val="18"/>
          <w:szCs w:val="18"/>
          <w:color w:val="auto"/>
        </w:rPr>
        <w:t>In May 2014, we entered into a clinical trial collaboration with Bristol-Myers Squibb to evaluate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94"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90"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Data were presented from the Phase 1 portion of the varlilumab and Opdivo study in a poster at the American Association for Cancer Research (AACR) Annual Meeting in April 2016. The primary objective of the Phase 1 portion of the study was to evaluate the safety and tolerability of the combination. The combination showed acceptable tolerability and safety across all dose levels without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were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 of the combination therapy showed an acceptable tolerability and safety profile, without identification of a maximum tolerated dose. In the Phase 2 portion of the study, varlilumab is administered at 3 mg/kg in the majority of cohorts, based upon cumulative data across multiple studies.</w:t>
      </w:r>
    </w:p>
    <w:p>
      <w:pPr>
        <w:spacing w:after="0" w:line="167"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Phase 2 portion of the study opened to enrollment in April 2016 and includes cohorts in colorectal cancer (n=18), ovarian cancer (n=54), head and neck squamous cell carcinoma (n=54), renal cell carcinoma (n=25) and glioblastoma (n=20). Based on a recent protocol amendments, additional dosing schedules are being explored in ovarian cancer (versus renal cell carcinoma) and, as previously disclosed, in head and neck squamous cell carcinoma, increasing the overall size of the study compared to the original study design. The primary objective of the Phase 2 cohorts is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 We plan to complete enrollment across all cohorts in the Phase 2 portion of the study in the first quarter of 2018 and will work with BMS to present data from the study at a future medical meeting.</w:t>
      </w:r>
    </w:p>
    <w:p>
      <w:pPr>
        <w:spacing w:after="0" w:line="165" w:lineRule="exact"/>
        <w:rPr>
          <w:sz w:val="20"/>
          <w:szCs w:val="20"/>
          <w:color w:val="auto"/>
        </w:rPr>
      </w:pPr>
    </w:p>
    <w:p>
      <w:pPr>
        <w:ind w:right="200" w:firstLine="35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Phase 1/2 Varlilumab/Tecentriq® Combination Study: </w:t>
      </w:r>
      <w:r>
        <w:rPr>
          <w:rFonts w:ascii="Times New Roman" w:cs="Times New Roman" w:eastAsia="Times New Roman" w:hAnsi="Times New Roman"/>
          <w:sz w:val="18"/>
          <w:szCs w:val="18"/>
          <w:color w:val="auto"/>
        </w:rPr>
        <w:t>In March 2015, we entered into a clinical trial collaboration with Roche to evaluate the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tolerability and preliminary efficacy of varlilumab and Tecentriq (anti-PDL1), Roche's cancer immunotherapy, in a Phase 1/2 study. Under the terms of this agreement, Roche is providing study drug, and we are responsible for conducting and funding the study. The Phase 1 portion of the study is being conducted in bladder cancer and renal cell carcinoma, and the primary outcome is safety and tolerability. The Phase 1 portion of the study completed enrollment in the third quarter of 2016. Patients continue to be followed, and we expect data from this study will be presented at a future medical meeting. Given the advancement of varlilumab into a broad Phase 2 study in combination with Opdivo and our efforts to identify areas for cost-containment, we will not be advancing the varlilumab/Tecentriq study to Phase 2.</w:t>
      </w:r>
    </w:p>
    <w:p>
      <w:pPr>
        <w:spacing w:after="0" w:line="189"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Phase 1/2 Varlilumab/Sutent® Combination Study: </w:t>
      </w:r>
      <w:r>
        <w:rPr>
          <w:rFonts w:ascii="Times New Roman" w:cs="Times New Roman" w:eastAsia="Times New Roman" w:hAnsi="Times New Roman"/>
          <w:sz w:val="18"/>
          <w:szCs w:val="18"/>
          <w:color w:val="auto"/>
        </w:rPr>
        <w:t>In May 2015, we initiated a Phase 1/2 safety and tolerability study examining the combination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varlilumab and Sutent in patients with metastatic clear cell renal cell carcinoma. The Phase 1 portion of the study assesses the safety and tolerability of varlilumab at varying doses when administered with Sutent. The Phase 1 portion of the study completed enrollment in the fourth quarter of 2016. Patients continue to be followed, and data from this study will be presented at a future medical meeting. Given the advancement of varlilumab into a broad Phase 2 study in combination with Opdivo and our efforts to identify areas for cost-containment, we will not be advancing the varlilumab/Sutent study to Phase 2.</w:t>
      </w:r>
    </w:p>
    <w:p>
      <w:pPr>
        <w:spacing w:after="0" w:line="188" w:lineRule="exact"/>
        <w:rPr>
          <w:sz w:val="20"/>
          <w:szCs w:val="20"/>
          <w:color w:val="auto"/>
        </w:rPr>
      </w:pPr>
    </w:p>
    <w:p>
      <w:pPr>
        <w:ind w:right="1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Phase 1/2 Varlilumab/Yervoy® +/- CDX-1401 Combination Study: </w:t>
      </w:r>
      <w:r>
        <w:rPr>
          <w:rFonts w:ascii="Times New Roman" w:cs="Times New Roman" w:eastAsia="Times New Roman" w:hAnsi="Times New Roman"/>
          <w:sz w:val="18"/>
          <w:szCs w:val="18"/>
          <w:color w:val="auto"/>
        </w:rPr>
        <w:t>In April 2015, we initiated a Phase 1/2 safety pilot and expansion study examining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combination of varlilumab and Yervoy in patients with stage III or IV metastatic melanoma. Since initiating the study, the standard of care has evolved, and there has been increasing physician reluctance to use Yervoy in this setting. As such, given the broad development strategy in place for varlilumab, as previously disclosed, this study was closed to enrollment in the third quarter of 2016.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CDX-0158</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CDX-0158 (formerly KTN0158), is a humanized monoclonal antibody designed to inhibit KIT activation in tumor cells and mast cells. KIT is expressed in many tumor types including gastrointestinal stromal tumors (or GIST), sarcomas, small cell lung cancer, melanoma, acute myeloid leukemia (AML) and mast cell leukemia. It has also been implicated in asthma and neurofibromatosis. We are currently developing CDX-0158 for the treatment of GIST. Small molecule drugs currently approved to treat GIST inhibit mutant KIT, but acquired resistance develops via secondary, drug-resistant KIT mutations in the majority of patients over time. CDX-0158 is designed to uniquely prevent KIT activation by inhibiting both receptor dimerization and ligand binding. CDX-0158 has demonstrated preclinical activity versus the most common c-KIT mutations in human GIST, including treatment of mastocytoma in a canine model.</w:t>
      </w:r>
    </w:p>
    <w:p>
      <w:pPr>
        <w:spacing w:after="0" w:line="193" w:lineRule="exact"/>
        <w:rPr>
          <w:sz w:val="20"/>
          <w:szCs w:val="20"/>
          <w:color w:val="auto"/>
        </w:rPr>
      </w:pPr>
    </w:p>
    <w:p>
      <w:pPr>
        <w:ind w:right="440" w:firstLine="341"/>
        <w:spacing w:after="0" w:line="310" w:lineRule="auto"/>
        <w:rPr>
          <w:sz w:val="20"/>
          <w:szCs w:val="20"/>
          <w:color w:val="auto"/>
        </w:rPr>
      </w:pPr>
      <w:r>
        <w:rPr>
          <w:rFonts w:ascii="Times New Roman" w:cs="Times New Roman" w:eastAsia="Times New Roman" w:hAnsi="Times New Roman"/>
          <w:sz w:val="16"/>
          <w:szCs w:val="16"/>
          <w:color w:val="auto"/>
        </w:rPr>
        <w:t>A Phase 1 dose escalation study in patients with advanced refractory GIST and other KIT positive tumors opened to enrollment in December 2015 to determine the maximum tolerated dose, recommend a dose for further study and characterize the safety profile. Enrollment is ongoing. Upon completion of Phase 1 assuming a successful outcome, we plan to develop CDX-0158 in patients with refractory GIST given the significant unmet need for these patients.</w:t>
      </w:r>
    </w:p>
    <w:p>
      <w:pPr>
        <w:spacing w:after="0" w:line="149" w:lineRule="exact"/>
        <w:rPr>
          <w:sz w:val="20"/>
          <w:szCs w:val="20"/>
          <w:color w:val="auto"/>
        </w:rPr>
      </w:pPr>
    </w:p>
    <w:p>
      <w:pPr>
        <w:jc w:val="both"/>
        <w:ind w:right="4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Preclinical data published in </w:t>
      </w:r>
      <w:r>
        <w:rPr>
          <w:rFonts w:ascii="Times New Roman" w:cs="Times New Roman" w:eastAsia="Times New Roman" w:hAnsi="Times New Roman"/>
          <w:sz w:val="18"/>
          <w:szCs w:val="18"/>
          <w:i w:val="1"/>
          <w:iCs w:val="1"/>
          <w:color w:val="auto"/>
        </w:rPr>
        <w:t>Molecular Cancer Therapeutics</w:t>
      </w:r>
      <w:r>
        <w:rPr>
          <w:rFonts w:ascii="Times New Roman" w:cs="Times New Roman" w:eastAsia="Times New Roman" w:hAnsi="Times New Roman"/>
          <w:sz w:val="18"/>
          <w:szCs w:val="18"/>
          <w:color w:val="auto"/>
        </w:rPr>
        <w:t xml:space="preserve"> in January 2017 demonstrate that KIT inhibition in certain immune cells with CDX-0158 enhances the activity of checkpoint blockade, providing additional opportunities for combination therapy. This mechanism may also be effective with other immunotherapies, in particular with our CD27 agonist, varlilumab.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CDX-3379</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CDX-3379 (formerly KTN3379 and MEDI3379)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 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1"/>
        <w:spacing w:after="0" w:line="253" w:lineRule="auto"/>
        <w:rPr>
          <w:sz w:val="20"/>
          <w:szCs w:val="20"/>
          <w:color w:val="auto"/>
        </w:rPr>
      </w:pPr>
      <w:r>
        <w:rPr>
          <w:rFonts w:ascii="Times New Roman" w:cs="Times New Roman" w:eastAsia="Times New Roman" w:hAnsi="Times New Roman"/>
          <w:sz w:val="18"/>
          <w:szCs w:val="18"/>
          <w:color w:val="auto"/>
        </w:rPr>
        <w:t>A Phase 1a/1b study was conducted, including a single-agent dose-escalation portion and combination expansion cohorts. Data from the dose-escalation portion, which completed enrollment in September 2015, and initial data from the expansion cohorts (enrollment ongoing at the time) were presented at the American Society of Clinical Oncology Annual Meeting in June 2016.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 (n=16), Tarceva® (n=8), Zelboraf® (n=4)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We are currently exploring plans for advancement into Phase 2 study.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CDX-1401</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elicits potent, broad, anti-tumor immune responses across populations with different genetic backgrounds. In humans, NY-ESO-1 has been detected in 20% to 30% of melanoma, lung, esophageal, liver, gastric, ovarian and bladder cancers, and up to 70% of synovial sarcomas, thus representing a broad opportunity. We are developing CDX-1401 for the treatment of malignant melanoma and a variety of solid tumors which express the cancer antigen NY-ESO-1, which we licensed from the Ludwig Institute for Cancer Research in 2006. Preclinical studies have shown that CDX-1401 treatment results in activation of human T cell responses against NY-ESO-1.</w:t>
      </w:r>
    </w:p>
    <w:p>
      <w:pPr>
        <w:spacing w:after="0" w:line="16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Translational Medicine </w:t>
      </w:r>
      <w:r>
        <w:rPr>
          <w:rFonts w:ascii="Times New Roman" w:cs="Times New Roman" w:eastAsia="Times New Roman" w:hAnsi="Times New Roman"/>
          <w:sz w:val="18"/>
          <w:szCs w:val="18"/>
          <w:color w:val="auto"/>
        </w:rPr>
        <w:t>in April 2014. Sixty percent of patients had confirmed NY-ESO expression in archived tumor samples. Thirteen patients maintained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for up to 13.4 months with a median of 6.7 months. Treatment indicates an acceptable safety profile to date, and there were no dose limiting toxicities. A variety of immune activation parameters were observed.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 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Together with Roche, we are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supporting an investigator initiated study of CDX-1401 in combination with Tecentriq® in patients with lung cancer.</w:t>
      </w:r>
    </w:p>
    <w:p>
      <w:pPr>
        <w:spacing w:after="0" w:line="225"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CDX-1401's potential activity is being explored in investigator sponsored and collaborative studies. A Phase 2 study of CDX-1401 in combination with CDX-301 is being conducted in metastatic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in June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 Other studies are being considered through investigator-sponsored and collaborative agreements.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93" w:lineRule="exact"/>
        <w:rPr>
          <w:sz w:val="20"/>
          <w:szCs w:val="20"/>
          <w:color w:val="auto"/>
        </w:rPr>
      </w:pPr>
    </w:p>
    <w:p>
      <w:pPr>
        <w:ind w:right="80" w:firstLine="341"/>
        <w:spacing w:after="0" w:line="288" w:lineRule="auto"/>
        <w:rPr>
          <w:sz w:val="20"/>
          <w:szCs w:val="20"/>
          <w:color w:val="auto"/>
        </w:rPr>
      </w:pPr>
      <w:r>
        <w:rPr>
          <w:rFonts w:ascii="Times New Roman" w:cs="Times New Roman" w:eastAsia="Times New Roman" w:hAnsi="Times New Roman"/>
          <w:sz w:val="16"/>
          <w:szCs w:val="16"/>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Preliminary results from this Phase 2 study were presented at the annual meeting of the American Society for Blood and Marrow Transplantation in February 2016. These preliminary data from three donor/patient pairs showed that CDX-301 given as a single agent has an acceptable safety profile and mobilized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Given that hematopoietic stem cell transplantation is outside of our core focus, in an effort to prioritize human and capital resources, we announced in May 2016 that we decided not to advance CDX-301 in this particular indication at this time.</w:t>
      </w:r>
    </w:p>
    <w:p>
      <w:pPr>
        <w:spacing w:after="0" w:line="16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June, at the 2016 ASCO Annual Meeting, initial results from a Phase 2 study of CDX-1401 in combination with CDX-301 in metastatic melanoma were presented that further demonstrated the value of CDX-301 as a combination agent for enhancing tumor specific immune responses. The Phase 2 study was conducted by the Cancer Immunotherapy Trials Network, or CITN, under a CRADA with the Cancer Therapy Evaluation Program of the NCI. Based on these results the CITN is planning to enroll additional cohorts to investigate alternative regimens of CDX-301. Other studies are being considered through investigator-sponsored and collaborative agreements.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CDX-014</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 In July 2016, we announced that enrollment had opened in a Phase 1/2 study of CDX-014 to patients with both clear cell and papillary RCC. The Phase 1 dose-escalation portion of the study is evaluating cohorts of patients receiving increasing doses of CDX-014 to determine the maximum tolerated dose and a recommended dose for Phase 2 study. We anticipate the Phase 1 dose-escalation portion of the study will complete enrollment by year-end 2017. The Phase 2 portion of the study plans to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Rintega</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On March 7, 2016, we announced that our Phase 3 study of Rintega® in patients with newly diagnosed EGFRvIII-positive glioblastoma was being discontinued. This decision was made based on the outcome of a preplanned interim analysis conducted by an independent Data Safety and Monitoring Board (DSMB). The DSMB determined that continuation of the study would not result in reaching statistical significance for the primary endpoint of the study, overall survival in patients with minimal residual disease, as both the Rintega arm and the control arm were performing on par with each other. In the ACT IV study, Rintega performed consistently with prior Phase 2 studies but the control arm significantly outperformed expectations (Hazard ratio = 0.99; median OS: Rintega 20.4 months vs. control 21.1 months). Based on this recommendation, we discontinued the study. Data from the ACT IV study were presented at the Society for Neuro-Oncology Annual Meeting in November 2016. All patients on the Rintega arm of the ACT IV study, prior Phase 2 studies and existing compassionate use recipients have been offered ongoing access to Rintega on a compassionate use basis, and we continue to support new requests for compassionate use in recurrent glioblastoma on a limited basis. Study closure activities are complete, and we continue to anticipate that we will not incur substantial additional costs related to Rintega.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Immunotherapy Platform:</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 a new rationale for combining therapies that may lead to significant clinical benefit for patients with cancer.</w:t>
      </w:r>
    </w:p>
    <w:p>
      <w:pPr>
        <w:spacing w:after="0" w:line="193"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Our intent is to leverage this knowledge and the availability of good, tested products that may not have optimal clinical activity as a monotherapy, but which we believe may be very effective in combination approaches. Our goal is to design and develop targeted products that maximize the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90"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 regulatory proceedings and governmental approvals, adverse developments in patent or other proprietary rights, public concern about the safety of products developed by us and general economic and market conditions. See "Item 1A. Risk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Partnerships</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any of our programs where appropriate, including glembatumumab vedotin.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90"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businesses that we face. A delay or setback to a partner will, at a minimum, delay the commercialization of any affected drug candidates, and may ultimately prevent it. Moreover, any partner could breach its agreement with us or otherwise not use best efforts to promote our products. A partner may choose to pursue alternative technologies or products that compete with our technologies or drug candidates. In either case, if a partner failed to successfully develop one of our drug candidates, we would need to find another partner. Our ability to do so would depend upon our legal right to do so at the time and whether the product remained commercially viable.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License Agreements</w:t>
      </w:r>
    </w:p>
    <w:p>
      <w:pPr>
        <w:spacing w:after="0" w:line="227" w:lineRule="exact"/>
        <w:rPr>
          <w:sz w:val="20"/>
          <w:szCs w:val="20"/>
          <w:color w:val="auto"/>
        </w:rPr>
      </w:pPr>
    </w:p>
    <w:p>
      <w:pPr>
        <w:ind w:right="80" w:firstLine="348"/>
        <w:spacing w:after="0" w:line="301" w:lineRule="auto"/>
        <w:rPr>
          <w:sz w:val="20"/>
          <w:szCs w:val="20"/>
          <w:color w:val="auto"/>
        </w:rPr>
      </w:pPr>
      <w:r>
        <w:rPr>
          <w:rFonts w:ascii="Times New Roman" w:cs="Times New Roman" w:eastAsia="Times New Roman" w:hAnsi="Times New Roman"/>
          <w:sz w:val="16"/>
          <w:szCs w:val="16"/>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Summarized below are our significant research collaboration and license agreements for our later-stage drug candidates.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Medarex, Inc. (Medarex), which was acquired by Bristol-Myers Squibb Company</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We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we may be required to pay royalties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74"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and Medarex have also entered into a research and commercialization agreement, as amended, that provides that we may be required to pay Medarex milestones of up to $7.0 million upon obtaining first approval for commercial sale in a first indication of a product containing a licensed antibody and 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research and commercialization agreement, whereby we licensed from Medarex access to the UltiMab technology to develop and commercialize human antibodies to CD27, including varlilumab. In connection with the clinical trial collaboration we entered into with BMS in May 2014, we and BMS agreed to waive certain future milestone payments and to reduce future royalty rates that we may have owed Medarex in connection with any CD27 program.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Rockefeller University (Rockefeller)</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Southampton, UK (Southampton)</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November 2008, we entered into a license agreement with Southampton to develop human antibodies towards CD27, a potentially important target for immunotherapy of various cancers. We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 (Amgen)</w:t>
      </w:r>
    </w:p>
    <w:p>
      <w:pPr>
        <w:spacing w:after="0" w:line="227" w:lineRule="exact"/>
        <w:rPr>
          <w:sz w:val="20"/>
          <w:szCs w:val="20"/>
          <w:color w:val="auto"/>
        </w:rPr>
      </w:pPr>
    </w:p>
    <w:p>
      <w:pPr>
        <w:jc w:val="both"/>
        <w:ind w:right="280" w:firstLine="351"/>
        <w:spacing w:after="0" w:line="301" w:lineRule="auto"/>
        <w:rPr>
          <w:sz w:val="20"/>
          <w:szCs w:val="20"/>
          <w:color w:val="auto"/>
        </w:rPr>
      </w:pPr>
      <w:r>
        <w:rPr>
          <w:rFonts w:ascii="Times New Roman" w:cs="Times New Roman" w:eastAsia="Times New Roman" w:hAnsi="Times New Roman"/>
          <w:sz w:val="16"/>
          <w:szCs w:val="16"/>
          <w:color w:val="auto"/>
        </w:rPr>
        <w:t>In March 2009, we entered into a license agreement with Amgen to acquire the exclusive rights to CDX-301 and CD40 ligand, or CD40L. CDX-301 and CD40L are immune modulating molecules that increase the numbers and activity of immune cells that control immune responses. We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Fremont (formerly Abgenix)</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 of CuraGen Corporation in 2009, we assumed the license agreement between CuraGen and Amgen Fremont (successor in-interest to Abgenix) to develop fully-human monoclonal antibody therapeutics. In May 2009, an amendment to the license agreement was entered into related to CuraGen's exclusive rights to develop and commercialize glembatumumab vedotin, CDX-014 and antibodies to 10 other licensed antigens. Under the amendment, CuraGen and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Amgen Fremont agreed to modify the terms of their existing cross-license of antigens whereby our amended license is fully paid-up and royalty-free.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(Seattle Genetics)</w:t>
      </w:r>
    </w:p>
    <w:p>
      <w:pPr>
        <w:spacing w:after="0" w:line="227" w:lineRule="exact"/>
        <w:rPr>
          <w:sz w:val="20"/>
          <w:szCs w:val="20"/>
          <w:color w:val="auto"/>
        </w:rPr>
      </w:pPr>
    </w:p>
    <w:p>
      <w:pPr>
        <w:ind w:right="100" w:firstLine="351"/>
        <w:spacing w:after="0" w:line="285" w:lineRule="auto"/>
        <w:rPr>
          <w:sz w:val="20"/>
          <w:szCs w:val="20"/>
          <w:color w:val="auto"/>
        </w:rPr>
      </w:pPr>
      <w:r>
        <w:rPr>
          <w:rFonts w:ascii="Times New Roman" w:cs="Times New Roman" w:eastAsia="Times New Roman" w:hAnsi="Times New Roman"/>
          <w:sz w:val="16"/>
          <w:szCs w:val="16"/>
          <w:color w:val="auto"/>
        </w:rPr>
        <w:t>In connection with our acquisition of CuraGen, we assumed the license agreement between CuraGen and Seattle Genetics whereby CuraGen acquired the rights to proprietary ADC technology, with the right to sublicense, for use with its proprietary antibodies for the potential treatment of cancer. Under the terms of the agreement, we have the responsibility of using commercially reasonable efforts to develop, commercialize and market such treatment. In furtherance of these responsibilities, technical assistance from Seattle Genetics is available to us as necessary. We may be required to pay Seattle Genetics milestones of up to</w:t>
      </w:r>
    </w:p>
    <w:p>
      <w:pPr>
        <w:spacing w:after="0" w:line="3"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$5.0 million and $8.5 million for glembatumumab vedotin and CDX-014, respectively, upon obtaining first approval for commercial sale in a first indication and royalty payments in the mid-single digits on any net product sales with respect to development and commercialization of these drug candidates. The term of the</w:t>
      </w:r>
    </w:p>
    <w:p>
      <w:pPr>
        <w:spacing w:after="0" w:line="1" w:lineRule="exact"/>
        <w:rPr>
          <w:sz w:val="20"/>
          <w:szCs w:val="20"/>
          <w:color w:val="auto"/>
        </w:rPr>
      </w:pPr>
    </w:p>
    <w:p>
      <w:pPr>
        <w:ind w:right="60"/>
        <w:spacing w:after="0" w:line="221" w:lineRule="auto"/>
        <w:rPr>
          <w:sz w:val="20"/>
          <w:szCs w:val="20"/>
          <w:color w:val="auto"/>
        </w:rPr>
      </w:pPr>
      <w:r>
        <w:rPr>
          <w:rFonts w:ascii="Times New Roman" w:cs="Times New Roman" w:eastAsia="Times New Roman" w:hAnsi="Times New Roman"/>
          <w:sz w:val="18"/>
          <w:szCs w:val="18"/>
          <w:color w:val="auto"/>
        </w:rPr>
        <w:t>agreement varies country to country and may be until the later of the expiration of the last relevant patent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first commercial sale. The agreement allows us to terminate with prior written notice, with both parties being able to terminate the agreement for an uncured material breach or insolvency of the other party.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industry is intensely competitive and subject to rapid and significant technological change. Many of the products that we are attempting to develop and commercialize will be competing with existing therapies. Other companies are pursuing the development of new therapies that target the same diseases and conditions that we are targeting and may compete directly with our drug candidates. We face competition from companies, major universities and research institutions in the United States and abroad, including a number of large pharmaceutical companies, as well as firms specialized in the development and production of vaccines, adjuvants and immunotherapeutic delivery systems. Some of our competitors possess substantially greater financial, technical and human resources than we possess.</w:t>
      </w:r>
    </w:p>
    <w:p>
      <w:pPr>
        <w:spacing w:after="0" w:line="193" w:lineRule="exact"/>
        <w:rPr>
          <w:sz w:val="20"/>
          <w:szCs w:val="20"/>
          <w:color w:val="auto"/>
        </w:rPr>
      </w:pPr>
    </w:p>
    <w:p>
      <w:pPr>
        <w:jc w:val="both"/>
        <w:ind w:right="640" w:firstLine="351"/>
        <w:spacing w:after="0" w:line="262" w:lineRule="auto"/>
        <w:rPr>
          <w:sz w:val="20"/>
          <w:szCs w:val="20"/>
          <w:color w:val="auto"/>
        </w:rPr>
      </w:pPr>
      <w:r>
        <w:rPr>
          <w:rFonts w:ascii="Times New Roman" w:cs="Times New Roman" w:eastAsia="Times New Roman" w:hAnsi="Times New Roman"/>
          <w:sz w:val="18"/>
          <w:szCs w:val="18"/>
          <w:color w:val="auto"/>
        </w:rPr>
        <w:t>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Novartis, Pfizer, Roche, and Tesaro.</w:t>
      </w:r>
    </w:p>
    <w:p>
      <w:pPr>
        <w:spacing w:after="0" w:line="18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competitors may utilize discovery technologies and techniques or partner with collaborators in order to develop products more rapidly or successfully than us or our collaborators are able to. In addition, some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commence commercial sales of our drug candidates, we also will compete with respect to manufacturing efficiency and sales and marketing capabilities, areas in which we currently have limited experience.</w:t>
      </w:r>
    </w:p>
    <w:p>
      <w:pPr>
        <w:spacing w:after="0" w:line="193" w:lineRule="exact"/>
        <w:rPr>
          <w:sz w:val="20"/>
          <w:szCs w:val="20"/>
          <w:color w:val="auto"/>
        </w:rPr>
      </w:pPr>
    </w:p>
    <w:p>
      <w:pPr>
        <w:ind w:right="200" w:firstLine="351"/>
        <w:spacing w:after="0" w:line="256" w:lineRule="auto"/>
        <w:rPr>
          <w:sz w:val="20"/>
          <w:szCs w:val="20"/>
          <w:color w:val="auto"/>
        </w:rPr>
      </w:pPr>
      <w:r>
        <w:rPr>
          <w:rFonts w:ascii="Times New Roman" w:cs="Times New Roman" w:eastAsia="Times New Roman" w:hAnsi="Times New Roman"/>
          <w:sz w:val="18"/>
          <w:szCs w:val="18"/>
          <w:color w:val="auto"/>
        </w:rPr>
        <w:t>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with other biopharmaceutical companies to target the diseases on which we have focused both in the U.S. and outside of the U.S.</w:t>
      </w:r>
    </w:p>
    <w:p>
      <w:pPr>
        <w:spacing w:after="0" w:line="225" w:lineRule="exact"/>
        <w:rPr>
          <w:sz w:val="20"/>
          <w:szCs w:val="20"/>
          <w:color w:val="auto"/>
        </w:rPr>
      </w:pPr>
    </w:p>
    <w:p>
      <w:pPr>
        <w:ind w:right="720" w:firstLine="348"/>
        <w:spacing w:after="0" w:line="275" w:lineRule="auto"/>
        <w:rPr>
          <w:sz w:val="20"/>
          <w:szCs w:val="20"/>
          <w:color w:val="auto"/>
        </w:rPr>
      </w:pPr>
      <w:r>
        <w:rPr>
          <w:rFonts w:ascii="Times New Roman" w:cs="Times New Roman" w:eastAsia="Times New Roman" w:hAnsi="Times New Roman"/>
          <w:sz w:val="18"/>
          <w:szCs w:val="18"/>
          <w:color w:val="auto"/>
        </w:rPr>
        <w:t>We also face competition in recruiting and retaining highly qualified scientific personnel and consultants and in the development and acquisition of technologies.</w:t>
      </w:r>
    </w:p>
    <w:p>
      <w:pPr>
        <w:spacing w:after="0" w:line="174"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Our competitive position will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drug candidates, obtain the necessary regulatory approvals and successfully manufacture and market our drug candidates. In order to secure capital resources, we anticipate having to sell additional capital stock, which would dilute existing stockholders. We may also attempt to obtain funds through research grants and agreements with commercial collaborators. However, these types of funding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We have limited experience in commercial manufacturing. Our ability to conduct late-stage clinical trials, as well as manufacture and commercialize our drug candidates will depend on the ability of such third parties to manufacture our drug candidates on a large scale at a competitive cost and in accordance with current Good Manufacturing Practices, or cGMP, and U.S. and foreign regulatory requirements, if applicable. We rely on contract manufacturing organizations, or CMO, to manufacture mAb intermediate, drug substance, and drug candidate for our late-stage clinical study of glembatumumab vedotin as well as for potential future commercial supplies. We also rely on CMOs for packaging, labeling,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 We therefore work with CMOs under established manufacturing arrangements that comply with the FDA's requirements and other regulatory standards, although there is no assurance that the manufacturing will be successful.</w:t>
      </w:r>
    </w:p>
    <w:p>
      <w:pPr>
        <w:spacing w:after="0" w:line="197"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To date, we have utilized CMOs for the manufacture of clinical trial supplies of glembatumumab vedotin. In the second half of 2016, we established a relationship with Patheon Biologics in Brisbane, Australia to manufacture the glembatumumab vedotin mAb intermediate due to being informed by Lonza Biologics, our previous CMO, that the bioreactors used to manufacture glembatumumab vedotin will be decommissioned and would not be available for commercialization. We also have a relationship with Piramal Healthcare UK Ltd. to manufacture the antibody drug conjugate with the vcMMAE linker-toxin. The drug substance is then filled and packaged at Piramal Lexington or BSP Pharma. We rely on MilliporeSigma for supplying suitable quantities of vcMMAE. Any manufacturing failures or delays by our glembatumumab vedotin contract manufacturers or suppliers of materials could cause delays in our glembatumumab vedotin clinical studies, including the METRIC study and/or a BLA filing and, if regulatory approval is obtained, commercial launch of glembatumumab vedotin.</w:t>
      </w:r>
    </w:p>
    <w:p>
      <w:pPr>
        <w:spacing w:after="0" w:line="167" w:lineRule="exact"/>
        <w:rPr>
          <w:sz w:val="20"/>
          <w:szCs w:val="20"/>
          <w:color w:val="auto"/>
        </w:rPr>
      </w:pPr>
    </w:p>
    <w:p>
      <w:pPr>
        <w:ind w:right="280" w:firstLine="348"/>
        <w:spacing w:after="0" w:line="262" w:lineRule="auto"/>
        <w:rPr>
          <w:sz w:val="20"/>
          <w:szCs w:val="20"/>
          <w:color w:val="auto"/>
        </w:rPr>
      </w:pPr>
      <w:r>
        <w:rPr>
          <w:rFonts w:ascii="Times New Roman" w:cs="Times New Roman" w:eastAsia="Times New Roman" w:hAnsi="Times New Roman"/>
          <w:sz w:val="18"/>
          <w:szCs w:val="18"/>
          <w:color w:val="auto"/>
        </w:rPr>
        <w:t>We also utilize CMOs for the manufacture of varlilumab for global clinical trials and potential commercialization. We have established relationships with Patheon Biologics in St. Louis for the manufacture of varlilumab drug substance and Vetter Pharma for the manufacture of varlilumab drug product. Any manufacturing failures or delays by our varlilumab CMOs could cause delays in our varlilumab clinical studies.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early-stage clinical trials. We currently manufacture CDX-1401, CDX-301 and CDX-1140 drug substance and CDX-014 mAb intermediate in our Fall River facility for our current and planned Phase 1 and Phase 2 clinical trials. CDX-014, an antibody-drug conjugate, is then manufactured by Lonza (Visp). We expect that our existing clinical supplies of CDX-3379 and CDX-0158 will be sufficient to carry out our current planned clinical development. Additional manufacturing is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92" w:lineRule="exact"/>
        <w:rPr>
          <w:sz w:val="20"/>
          <w:szCs w:val="20"/>
          <w:color w:val="auto"/>
        </w:rPr>
      </w:pPr>
    </w:p>
    <w:p>
      <w:pPr>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manufacturing processes for our drug candidates and immunotherapeutic delivery systems utilize known technologies. We believe that the drug candidates we currently have under development can be scaled up to permit manufacture in commercial quantities. However, there can be no assurance that we will not encounter difficulties in scaling up the manufacturing processes.</w:t>
      </w:r>
    </w:p>
    <w:p>
      <w:pPr>
        <w:spacing w:after="0" w:line="186" w:lineRule="exact"/>
        <w:rPr>
          <w:sz w:val="20"/>
          <w:szCs w:val="20"/>
          <w:color w:val="auto"/>
        </w:rPr>
      </w:pPr>
    </w:p>
    <w:p>
      <w:pPr>
        <w:ind w:right="60" w:firstLine="348"/>
        <w:spacing w:after="0" w:line="255" w:lineRule="auto"/>
        <w:rPr>
          <w:sz w:val="20"/>
          <w:szCs w:val="20"/>
          <w:color w:val="auto"/>
        </w:rPr>
      </w:pPr>
      <w:r>
        <w:rPr>
          <w:rFonts w:ascii="Times New Roman" w:cs="Times New Roman" w:eastAsia="Times New Roman" w:hAnsi="Times New Roman"/>
          <w:sz w:val="18"/>
          <w:szCs w:val="18"/>
          <w:color w:val="auto"/>
        </w:rPr>
        <w:t>While we believe that there is currently sufficient capacity worldwide for the production of our potential products through CMOs, establishing long-term relationships with contract manufacturers and securing multiple sources for the necessary quantities of clinical and commercial materials required can be a challenge due to increasing industry demand for CMO services. Qualifying the initial source of clinical and ultimately commercial material is a time consuming and expensive process due to the highly regulated nature of the pharmaceutical/biotech industry. These costs may be mitigated by the economies of scale realized in commercial manufacture and product sales. The key difficulty in qualifying more than one source for each product is the duplicated time and expense in doing so without the potential to mitigate these costs if the secondary source is never utilized.</w:t>
      </w:r>
    </w:p>
    <w:p>
      <w:pPr>
        <w:spacing w:after="0" w:line="19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currently rely on sole suppliers for key components of our drug candidates, including vcMMAE for glembatumumab vedotin and Hiltonol® for CDX-1401.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93"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alternate third party manufacturers. It may not be possible to have multiple third party manufacturers ready to supply us with needed material at all or without incurring significant costs.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Organization</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have a focused commercial team with broad experience in marketing, sales, distribution and product reimbursement. We have also developed the capability to provide current and future market insights to our research and development organization regarding glembatumumab vedotin and our earlier-stage drug candidates. In the future, we may choose to expand our commercial team and build a full-scale commercial organization which we believe could provide us the opportunity to retain marketing rights to our drug candidates and commercialize such products ourselves where we deem</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appropriate or pursue strategic partnerships to develop, sell, market and distribute our drug candidates where we deem appropriate. We may also choose to enter into strategic partnerships to develop, sell, market and distribute our other drug candidates, including glembatumumab vedotin.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Proprietary Rights</w:t>
      </w:r>
    </w:p>
    <w:p>
      <w:pPr>
        <w:spacing w:after="0" w:line="227"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Patents</w:t>
      </w:r>
    </w:p>
    <w:p>
      <w:pPr>
        <w:spacing w:after="0" w:line="227" w:lineRule="exact"/>
        <w:rPr>
          <w:sz w:val="20"/>
          <w:szCs w:val="20"/>
          <w:color w:val="auto"/>
        </w:rPr>
      </w:pPr>
    </w:p>
    <w:p>
      <w:pPr>
        <w:ind w:right="140" w:firstLine="348"/>
        <w:spacing w:after="0" w:line="255" w:lineRule="auto"/>
        <w:rPr>
          <w:sz w:val="20"/>
          <w:szCs w:val="20"/>
          <w:color w:val="auto"/>
        </w:rPr>
      </w:pPr>
      <w:r>
        <w:rPr>
          <w:rFonts w:ascii="Times New Roman" w:cs="Times New Roman" w:eastAsia="Times New Roman" w:hAnsi="Times New Roman"/>
          <w:sz w:val="18"/>
          <w:szCs w:val="18"/>
          <w:color w:val="auto"/>
        </w:rPr>
        <w:t>The successful development and marketing of products by us will depend in part on our ability to create and maintain intellectual property, including patent rights. We are the owner or exclusive licensee to proprietary patent positions in the areas of immunotherapy technologies,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9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do not include any possible Patent Term Extensions (PTEs) or Supplementary Protection Certificates (SPCs), if these may be secured in due course):</w:t>
      </w:r>
    </w:p>
    <w:p>
      <w:pPr>
        <w:spacing w:after="0" w:line="204" w:lineRule="exact"/>
        <w:rPr>
          <w:sz w:val="20"/>
          <w:szCs w:val="20"/>
          <w:color w:val="auto"/>
        </w:rPr>
      </w:pPr>
    </w:p>
    <w:p>
      <w:pPr>
        <w:ind w:left="1080" w:hanging="532"/>
        <w:spacing w:after="0" w:line="25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portfolio for glembatumumab vedotin includes issued patents in the U.S., Europe, Japan, Australia and Canada. If maintained to full term in due course, these would have estimated patent expiry dates in 2025. In addition, patent rights relating to the toxin and conjugation technology used in glembatumumab vedotin have been licensed from Seattle Genetics. The patent rights from Seattle Genetics include issued patents and pending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220"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licensed rights from the University of Southampton under issued U.S., European and Japanese patents and under a pending patent application in Canada relating to the technology used in varlilumab. Further patent applications are also pending in the U.S., Europe and Japan. If and where issued and maintained to full term in due course, these would have estimated patent expiry dates in 2027.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 In September 2014, two European patent oppositions were filed against the University of Southampton European patent and at a hearing on November 23, 2016 the European Patent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line="255" w:lineRule="auto"/>
        <w:rPr>
          <w:sz w:val="20"/>
          <w:szCs w:val="20"/>
          <w:color w:val="auto"/>
        </w:rPr>
      </w:pPr>
      <w:r>
        <w:rPr>
          <w:rFonts w:ascii="Times New Roman" w:cs="Times New Roman" w:eastAsia="Times New Roman" w:hAnsi="Times New Roman"/>
          <w:sz w:val="18"/>
          <w:szCs w:val="18"/>
          <w:color w:val="auto"/>
        </w:rPr>
        <w:t>Office (EPO) revoked the European patent on the ground of lack of inventive step. We intend to appeal this decision and to defend the European patent vigorously in cooperation with the University of Southampton. This EPO decision does not affect the later filed Celldex patents and applications for varlilumab. We also have an issued U.S. patent which covers varlilumab as a composition of matter. If maintained to full term this patent would have an estimated patent expiry date in 2034 (including additional term due to Patent Term Adjustment). We also have corresponding patent applications in the major international territories which, if issued and maintained to full term in due course, would have estimated patent expiry dates in 2031.</w:t>
      </w:r>
    </w:p>
    <w:p>
      <w:pPr>
        <w:spacing w:after="0" w:line="207" w:lineRule="exact"/>
        <w:rPr>
          <w:sz w:val="20"/>
          <w:szCs w:val="20"/>
          <w:color w:val="auto"/>
        </w:rPr>
      </w:pPr>
    </w:p>
    <w:p>
      <w:pPr>
        <w:ind w:left="1080" w:right="60" w:hanging="532"/>
        <w:spacing w:after="0" w:line="25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issued U.S. patents relating to the technology used in CDX-1401 which have estimated patent expiry dates in at least 2028 (not including increases of term due to Patent Term Adjustment). We have a corresponding issued European patent and further patents and pending patent applications in other international territories (including Japan, Australia, Canada, China, India, Republic of Korea and certain other countries) relating to the technology used in CDX-1401 which, if and where issued and maintained to full term in due course, would have estimated patent expiry dates in 2028.</w:t>
      </w:r>
    </w:p>
    <w:p>
      <w:pPr>
        <w:spacing w:after="0" w:line="21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patent for the technology used in CDX-301 has an estimated expiration date in 2020.</w:t>
      </w:r>
    </w:p>
    <w:p>
      <w:pPr>
        <w:spacing w:after="0" w:line="238"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portfolio for CDX-014 includes rights under issued U.S., European and Canadian patents and pending patent applications in Australia and Japan. If and where issued and maintained to full term in due course, these filings would have estimated patent expiry dates in at least 2024 (not including increases of term due to Patent Term Adjustment in the U.S.). In addition, patent rights relating to toxin and conjugation technology have been licensed from Seattle Genetics. The patent rights from Seattle Genetics include issued patents and pending patent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208"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exclusively licensed a portfolio of patent applications relating to particular ErbB3 inhibitors from MedImmune. These patent applications include claims directed to particular anti-ErbB3 antibody compositions of matter, including CDX-3379 compositions of matter, and methods of using such antibodies. A U.S. Patent has been issued which has an estimated patent expiry date in 2032. Patent applications in this portfolio are pending in Europe, Japan, Australia, Canada, China, India, Republic of Korea and certain other countries, and any patents that may issue from these applications would also have estimated patent expiry dates in 2032. These are the estimated expirations if we continue to pay the maintenance fees and annuities when due, and do not include any possible additional terms for Patent Term Adjustments, Patent Term Extensions or SPCs if these may be secured in due course.</w:t>
      </w:r>
    </w:p>
    <w:p>
      <w:pPr>
        <w:spacing w:after="0" w:line="222" w:lineRule="exact"/>
        <w:rPr>
          <w:rFonts w:ascii="Times New Roman" w:cs="Times New Roman" w:eastAsia="Times New Roman" w:hAnsi="Times New Roman"/>
          <w:sz w:val="18"/>
          <w:szCs w:val="18"/>
          <w:color w:val="auto"/>
        </w:rPr>
      </w:pPr>
    </w:p>
    <w:p>
      <w:pPr>
        <w:ind w:left="1080" w:right="40" w:hanging="532"/>
        <w:spacing w:after="0" w:line="25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a family of patents and patent applications directed to anti-KIT receptor antibody compositions of matter, including CDX-0158 compositions of matter, and methods of using such antibodies. U.S. patents have been issued and foreign counterparts to patent applications in this family are pending in Europe, Japan, Australia, Canada, China, India, Republic of Korea and certain other countries. If and where issued the foregoing would have estimated patent expiry dates ranging from at least 2032 to 2033. We also have pending U.S. and European patent applications directed to use of anti-KIT receptor antibodies, including CDX-0158 antibodies, for treatment of particular eosinophil or mast cell related disorders, including neurofibromatosis. Any patents that issue based on these patent applications would have estimated patent expiry dates in 2035. These are the estimated expirations if we continue to pay the maintenance fees and annuities when due, and do not include any possible additional terms for Patent Term Adjustments, Patent Term Extensions or SPCs if these may be secured in due course.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54"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rights to a portfolio of patents and patent applications related to the "TAM family" of RTKs (comprised of Tyro3, AXL and MerTK) receptors which are in-licensed from, or co-owned with, the Salk Institute for Biological Studies. For example, we have an exclusive license to two issued U.S. patents directed to TAM receptor inhibition to treat infections, and to a U.S. patent application directed to methods for the modulation of the immune response via targeting TAM receptors. Foreign counterparts to these patents and this patent application are pending in Europe and Canada. If and where issued the foregoing would have estimated patent expiry dates in 2028. These are the estimated expirations if we continue to pay the maintenance fees and annuities when due, and do not include any possible additional terms for Patent Term Adjustments, Patent Term Extensions or SPCs if these may be secured in due course.</w:t>
      </w:r>
    </w:p>
    <w:p>
      <w:pPr>
        <w:spacing w:after="0" w:line="195"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 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93" w:lineRule="exact"/>
        <w:rPr>
          <w:sz w:val="20"/>
          <w:szCs w:val="20"/>
          <w:color w:val="auto"/>
        </w:rPr>
      </w:pPr>
    </w:p>
    <w:p>
      <w:pPr>
        <w:ind w:right="20" w:firstLine="341"/>
        <w:spacing w:after="0" w:line="293" w:lineRule="auto"/>
        <w:rPr>
          <w:sz w:val="20"/>
          <w:szCs w:val="20"/>
          <w:color w:val="auto"/>
        </w:rPr>
      </w:pPr>
      <w:r>
        <w:rPr>
          <w:rFonts w:ascii="Times New Roman" w:cs="Times New Roman" w:eastAsia="Times New Roman" w:hAnsi="Times New Roman"/>
          <w:sz w:val="16"/>
          <w:szCs w:val="16"/>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65"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0"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Third parties may have or may obtain valid and enforceable patents or proprietary rights that could block us from developing products using our technology, including:</w:t>
      </w:r>
    </w:p>
    <w:p>
      <w:pPr>
        <w:spacing w:after="0" w:line="201" w:lineRule="exact"/>
        <w:rPr>
          <w:sz w:val="20"/>
          <w:szCs w:val="20"/>
          <w:color w:val="auto"/>
        </w:rPr>
      </w:pPr>
    </w:p>
    <w:p>
      <w:pPr>
        <w:ind w:left="1080" w:right="30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applications in the United States and foreign countries covering particular antigens and antigenic fragments targeted by our current drug candidates, including CDX-1401;</w:t>
      </w:r>
    </w:p>
    <w:p>
      <w:pPr>
        <w:spacing w:after="0" w:line="187"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patent owned by Genentech, Inc., relating to the production of recombinant antibodies in host cells;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patents held by third parties relating to antibody expression in particular types of host cells;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patent and certain pending applications assigned to Aduro Biotech Holdings relating to anti-CD27 antibodies.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53"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aware of a third party European patent that relates to use of ErbB3 antibodies for treatment of hyperproliferative disorders, including cancer. Counterparts of this patent have also issued in Australia and Japan. As a result of an opposition proceeding, the European patent was revoked in its entirety. The owner of the European patent has appealed the decision in the opposition proceeding. We do not know if the appeal will succeed, or, if successful, whether the scope of claims, post-appeal, would be relevant to our activities. Should the appeal be successful and a license be necessary for our program that targets ErbB3, we cannot predict whether we would be able to obtain such a license, or, if a license were available, whether it would be available on commercially reasonable terms. If the appeal results in patents having a valid claim relevant to our use of ErbB3 antibodies and a license under the patents is unavailable on commercially relevant terms, or at all, our ability to commercialize CDX-3379 in Europe may be impaired or delayed. We would vigorously defend ourselves, but we cannot predict whether the patents would be found valid, enforceable or infringed. We also continue to monitor counterparts in other jurisdictions which may entail comparable risks to us in these other jurisdictions.</w:t>
      </w:r>
    </w:p>
    <w:p>
      <w:pPr>
        <w:spacing w:after="0" w:line="19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 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w:t>
      </w:r>
    </w:p>
    <w:p>
      <w:pPr>
        <w:spacing w:after="0" w:line="227"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Rights</w:t>
      </w:r>
    </w:p>
    <w:p>
      <w:pPr>
        <w:spacing w:after="0" w:line="227" w:lineRule="exact"/>
        <w:rPr>
          <w:sz w:val="20"/>
          <w:szCs w:val="20"/>
          <w:color w:val="auto"/>
        </w:rPr>
      </w:pPr>
    </w:p>
    <w:p>
      <w:pPr>
        <w:jc w:val="both"/>
        <w:ind w:right="80" w:firstLine="348"/>
        <w:spacing w:after="0" w:line="258" w:lineRule="auto"/>
        <w:rPr>
          <w:sz w:val="20"/>
          <w:szCs w:val="20"/>
          <w:color w:val="auto"/>
        </w:rPr>
      </w:pPr>
      <w:r>
        <w:rPr>
          <w:rFonts w:ascii="Times New Roman" w:cs="Times New Roman" w:eastAsia="Times New Roman" w:hAnsi="Times New Roman"/>
          <w:sz w:val="18"/>
          <w:szCs w:val="18"/>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from FDA and comparable authorities in other countries, as applicable, for our drug candidates before we can commercialize such drugs in the U.S. and foreign jurisdictions. Product development within this regulatory framework takes a number of years and involves the expenditure of substantial resources. Many drug candidates that initially appear promising ultimately do not reach the market because they are found to be unsafe or ineffective when tested. Our inability to commercialize a product would impair our ability to earn future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Approval Process</w:t>
      </w:r>
    </w:p>
    <w:p>
      <w:pPr>
        <w:spacing w:after="0" w:line="227"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drugs and biological products under the Federal Food, Drug, and Cosmetic Act, or FDCA, the Public Health Service Act, or PHSA, and implementing regulations. The process of obtaining regulatory approvals and the subsequent compliance with appropriate federal, state, local and foreign statutes and regulations requires the expenditure of substantial time and financial resources. Failure to comply with the applicable United States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untitled or warning letters, product recalls, product seizures, total or partial suspension of production or distribution injunctions, fines, refusals of government contracts, restitution, disgorgement of profits, civil penalties and criminal prosecution.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process required by the FDA before a drug or biological product may be marketed in the United States generally involves the following:</w:t>
      </w:r>
    </w:p>
    <w:p>
      <w:pPr>
        <w:spacing w:after="0" w:line="239" w:lineRule="exact"/>
        <w:rPr>
          <w:sz w:val="20"/>
          <w:szCs w:val="20"/>
          <w:color w:val="auto"/>
        </w:rPr>
      </w:pPr>
    </w:p>
    <w:p>
      <w:pPr>
        <w:ind w:left="1080" w:right="4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investigational new drug, or IND, application which must become effective before human clinical trials may begin;</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at each clinical site before each trial may be initiated;</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to establish the safety and efficacy of the proposed drug or biological product for each indication;</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or NDA, or a biologics license application, or BLA, as applicable;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 and</w:t>
      </w:r>
    </w:p>
    <w:p>
      <w:pPr>
        <w:spacing w:after="0" w:line="21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or BLA.</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that all of our clinical drug candidates will be subject to review as biological products under BLA standards.</w:t>
      </w:r>
    </w:p>
    <w:p>
      <w:pPr>
        <w:spacing w:after="0" w:line="225"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right="40" w:firstLine="348"/>
        <w:spacing w:after="0" w:line="293" w:lineRule="auto"/>
        <w:rPr>
          <w:sz w:val="20"/>
          <w:szCs w:val="20"/>
          <w:color w:val="auto"/>
        </w:rPr>
      </w:pPr>
      <w:r>
        <w:rPr>
          <w:rFonts w:ascii="Times New Roman" w:cs="Times New Roman" w:eastAsia="Times New Roman" w:hAnsi="Times New Roman"/>
          <w:sz w:val="16"/>
          <w:szCs w:val="16"/>
          <w:color w:val="auto"/>
        </w:rPr>
        <w:t>The FDA provides that human clinical trials may begin 30 days after receipt and review of an IND application, unless the FDA requests additional information or changes to the study protocol within that period. An IND must be sponsored and filed for each of our proposed drug candidates. Authorization to conduct a clinical trial in no way assures that the FDA will ultimately approve the product. Clinical trials are generally conducted in three sequential phases. In a Phase 1 trial, the product is given to a small number of patients to test for safety (adverse effects), determine a recommended Phase 2 dose(s) and evaluate any signals of efficacy.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w:t>
      </w:r>
    </w:p>
    <w:p>
      <w:pPr>
        <w:spacing w:after="0" w:line="165"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 The FDA or the sponsor may suspend or terminate a clinical trial at any time on various grounds, including a finding that the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Any such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227" w:lineRule="exact"/>
        <w:rPr>
          <w:sz w:val="20"/>
          <w:szCs w:val="20"/>
          <w:color w:val="auto"/>
        </w:rPr>
      </w:pPr>
    </w:p>
    <w:p>
      <w:pPr>
        <w:jc w:val="both"/>
        <w:ind w:right="60" w:firstLine="341"/>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and clinical studies, together with detailed information relating to the product's pharmacology, chemistry, manufacture, controls and proposed labeling, among other things, are submitted to the FDA as part of an NDA or BLA requesting approval to market the product for one or more indications. FDA approval of the NDA or BLA is required before marketing of the product may begin in the United States. Under federal law, the submission of most NDAs and BLAs is additionally subject to a substantial</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user fee and the sponsor of an approved NDA or BLA is also subject to annual product and establishment user fees.</w:t>
      </w:r>
    </w:p>
    <w:p>
      <w:pPr>
        <w:spacing w:after="0" w:line="22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receipt before accepting them for filing based on the agency's threshold determination that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and BLAs. Most such applications for non-priority products are reviewed within ten to twelve months after filing, and most applications for priority review products, that is, drugs and biologics that the FDA determines represent a significant improvement over existing therapy, are reviewed in six to eight months after filing. The review process may be extended by the FDA for three additional months to consider certain late-submitted information or clarification regarding information already provided in the submission. The FDA may also refer applications for novel drugs or biological products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93"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or BLA, the FDA will typically inspect one or more clinical sites to assure compliance with GCP and integrity of the clinical data submitted.</w:t>
      </w:r>
    </w:p>
    <w:p>
      <w:pPr>
        <w:spacing w:after="0" w:line="190"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each may take many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develop our drug candidates and secure necessary governmental approvals, which could delay or preclude us from marketing our products.</w:t>
      </w:r>
    </w:p>
    <w:p>
      <w:pPr>
        <w:spacing w:after="0" w:line="190" w:lineRule="exact"/>
        <w:rPr>
          <w:sz w:val="20"/>
          <w:szCs w:val="20"/>
          <w:color w:val="auto"/>
        </w:rPr>
      </w:pPr>
    </w:p>
    <w:p>
      <w:pPr>
        <w:ind w:firstLine="341"/>
        <w:spacing w:after="0" w:line="293" w:lineRule="auto"/>
        <w:rPr>
          <w:sz w:val="20"/>
          <w:szCs w:val="20"/>
          <w:color w:val="auto"/>
        </w:rPr>
      </w:pPr>
      <w:r>
        <w:rPr>
          <w:rFonts w:ascii="Times New Roman" w:cs="Times New Roman" w:eastAsia="Times New Roman" w:hAnsi="Times New Roman"/>
          <w:sz w:val="16"/>
          <w:szCs w:val="16"/>
          <w:color w:val="auto"/>
        </w:rPr>
        <w:t>After the FDA's evaluation of the NDA or BLA and inspection of the manufacturing facilities, the FDA may issue an approval letter or a complete response letter. An approval letter authorizes commercial marketing of the drug or biological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65" w:lineRule="exact"/>
        <w:rPr>
          <w:sz w:val="20"/>
          <w:szCs w:val="20"/>
          <w:color w:val="auto"/>
        </w:rPr>
      </w:pPr>
    </w:p>
    <w:p>
      <w:pPr>
        <w:jc w:val="both"/>
        <w:ind w:right="80" w:firstLine="351"/>
        <w:spacing w:after="0" w:line="256" w:lineRule="auto"/>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restrictions or other risk management mechanisms, which can materially affect the potential market and profitability of the product. The FDA may prevent or limit further marketing of a product based on the results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post-market studies or surveillance programs. After approval, some types of changes to the approved product, such as changes in indications, manufacturing changes and labeling, are subject to further testing requirements and FDA review and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Regulatory Procedures</w:t>
      </w:r>
    </w:p>
    <w:p>
      <w:pPr>
        <w:spacing w:after="0" w:line="225" w:lineRule="exact"/>
        <w:rPr>
          <w:sz w:val="20"/>
          <w:szCs w:val="20"/>
          <w:color w:val="auto"/>
        </w:rPr>
      </w:pPr>
    </w:p>
    <w:p>
      <w:pPr>
        <w:ind w:right="20" w:firstLine="351"/>
        <w:spacing w:after="0" w:line="287" w:lineRule="auto"/>
        <w:rPr>
          <w:sz w:val="20"/>
          <w:szCs w:val="20"/>
          <w:color w:val="auto"/>
        </w:rPr>
      </w:pPr>
      <w:r>
        <w:rPr>
          <w:rFonts w:ascii="Times New Roman" w:cs="Times New Roman" w:eastAsia="Times New Roman" w:hAnsi="Times New Roman"/>
          <w:sz w:val="16"/>
          <w:szCs w:val="16"/>
          <w:i w:val="1"/>
          <w:iCs w:val="1"/>
          <w:color w:val="auto"/>
        </w:rPr>
        <w:t>Fast track designation</w:t>
      </w:r>
      <w:r>
        <w:rPr>
          <w:rFonts w:ascii="Times New Roman" w:cs="Times New Roman" w:eastAsia="Times New Roman" w:hAnsi="Times New Roman"/>
          <w:sz w:val="16"/>
          <w:szCs w:val="16"/>
          <w:color w:val="auto"/>
        </w:rPr>
        <w:t>—The FDA is required to facilitate the development and expedite the review of drugs and biologics that are intended for the treatment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a serious or life-threatening disease or condition and which demonstrate the potential to address unmet medical needs for the condition. Under the fast track program, the sponsor of a new drug or biologic candidate may request the FDA to designate the product for a specific indication as a fast track product concurrent with or after the filing of the IND for the drug candidate. A drug that receives Fast Track designation is eligible for some or all of the following: (i) more frequent meetings with FDA to discuss the drug's development plan and ensure collection of appropriate data needed to support drug approval; (ii) more frequent written communication from FDA about such things as the design of the proposed clinical trials and use of biomarkers; (iii) eligibility for Accelerated Approval and Priority Review, if relevant criteria are met; and (iv) Rolling Review, which means that a drug company can submit completed sections of its BLA or NDA for review by FDA, rather than waiting until every section of the NDA or BLA is completed before the entire application can be reviewed.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or BLA is submitted. In addition, the fast track designation may be withdrawn by the FDA if the FDA believes that the designation is no longer supported by data emerging in the clinical trial process.</w:t>
      </w:r>
    </w:p>
    <w:p>
      <w:pPr>
        <w:spacing w:after="0" w:line="17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Priority review</w:t>
      </w:r>
      <w:r>
        <w:rPr>
          <w:rFonts w:ascii="Times New Roman" w:cs="Times New Roman" w:eastAsia="Times New Roman" w:hAnsi="Times New Roman"/>
          <w:sz w:val="18"/>
          <w:szCs w:val="18"/>
          <w:color w:val="auto"/>
        </w:rPr>
        <w:t>—Under FDA policies, a drug candidate may be eligible for priority review, or review within a six to eight month time frame from the time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application is accepted for filing. Products regulated by the FDA's Center for Drug Evaluation and Research, or CDER, are eligible for priority review if they provide a significant improvement compared to marketed products in the treatment, diagnosis or prevention of a disease. Products regulated by the FDA's Center for Biologics Evaluation and Research, or CBER, are eligible for priority review if they provide a significant improvement in the safety or effectiveness of the treatment, diagnosis or prevention of a serious or life-threatening disease. A fast track designated drug candidate could be eligible for priority review if supported by clinical data at the time of the BLA or NDA submission.</w:t>
      </w:r>
    </w:p>
    <w:p>
      <w:pPr>
        <w:spacing w:after="0" w:line="193" w:lineRule="exact"/>
        <w:rPr>
          <w:sz w:val="20"/>
          <w:szCs w:val="20"/>
          <w:color w:val="auto"/>
        </w:rPr>
      </w:pPr>
    </w:p>
    <w:p>
      <w:pPr>
        <w:ind w:firstLine="348"/>
        <w:spacing w:after="0" w:line="293" w:lineRule="auto"/>
        <w:rPr>
          <w:sz w:val="20"/>
          <w:szCs w:val="20"/>
          <w:color w:val="auto"/>
        </w:rPr>
      </w:pPr>
      <w:r>
        <w:rPr>
          <w:rFonts w:ascii="Times New Roman" w:cs="Times New Roman" w:eastAsia="Times New Roman" w:hAnsi="Times New Roman"/>
          <w:sz w:val="16"/>
          <w:szCs w:val="16"/>
          <w:i w:val="1"/>
          <w:iCs w:val="1"/>
          <w:color w:val="auto"/>
        </w:rPr>
        <w:t>Accelerated approval</w:t>
      </w:r>
      <w:r>
        <w:rPr>
          <w:rFonts w:ascii="Times New Roman" w:cs="Times New Roman" w:eastAsia="Times New Roman" w:hAnsi="Times New Roman"/>
          <w:sz w:val="16"/>
          <w:szCs w:val="16"/>
          <w:color w:val="auto"/>
        </w:rPr>
        <w:t>—Under the FDA's accelerated approval regulations, the FDA may approve a drug or biologic for a serious or life-threatening illness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provides meaningful therapeutic benefit to patients over existing treatments based on a surrogate endpoint that is reasonably likely to predict clinical benefit. Surrogate endpoints can often be measured more easily or more rapidly than clinical endpoints.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65" w:lineRule="exact"/>
        <w:rPr>
          <w:sz w:val="20"/>
          <w:szCs w:val="20"/>
          <w:color w:val="auto"/>
        </w:rPr>
      </w:pPr>
    </w:p>
    <w:p>
      <w:pPr>
        <w:ind w:right="22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Breakthrough therapy designation</w:t>
      </w:r>
      <w:r>
        <w:rPr>
          <w:rFonts w:ascii="Times New Roman" w:cs="Times New Roman" w:eastAsia="Times New Roman" w:hAnsi="Times New Roman"/>
          <w:sz w:val="18"/>
          <w:szCs w:val="18"/>
          <w:color w:val="auto"/>
        </w:rPr>
        <w:t>—The FDA is also required to expedite the development and review of the application for approval of drugs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treat a serious or life-threatening disease or condition where preliminary clinical evidence indicates that the drug candidate may demonstrate substantial improvement over existing therapies on one or more clinically significant endpoints. Under the breakthrough therapy program, the sponsor of a new drug candidate may request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that the FDA designate the drug candidate for a specific indication as a breakthrough therapy concurrent with, or after, the filing of the IND for the drug candidate.</w:t>
      </w:r>
    </w:p>
    <w:p>
      <w:pPr>
        <w:spacing w:after="0" w:line="172"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Orphan drug designation</w:t>
      </w:r>
      <w:r>
        <w:rPr>
          <w:rFonts w:ascii="Times New Roman" w:cs="Times New Roman" w:eastAsia="Times New Roman" w:hAnsi="Times New Roman"/>
          <w:sz w:val="18"/>
          <w:szCs w:val="18"/>
          <w:color w:val="auto"/>
        </w:rPr>
        <w:t>—Under the Orphan Drug Act, the FDA may grant orphan drug designation to drugs or biologics intended to treat a rare disease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which is generally defined as a disease or condition that affects fewer than 200,000 individuals in the United States. Orphan drug designation does not convey any advantage in, or shorten the duration of, the regulatory review and approval process. The first NDA or BLA applicant to receive FDA approval for a particular active ingredient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 for the same orphan indication, except in limited circumstances. Among the other benefits of orphan drug designation are tax credits for certain research and a waiver of the NDA or BLA application user fee.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227" w:lineRule="exact"/>
        <w:rPr>
          <w:sz w:val="20"/>
          <w:szCs w:val="20"/>
          <w:color w:val="auto"/>
        </w:rPr>
      </w:pPr>
    </w:p>
    <w:p>
      <w:pPr>
        <w:jc w:val="both"/>
        <w:ind w:right="160" w:firstLine="351"/>
        <w:spacing w:after="0" w:line="285" w:lineRule="auto"/>
        <w:rPr>
          <w:sz w:val="20"/>
          <w:szCs w:val="20"/>
          <w:color w:val="auto"/>
        </w:rPr>
      </w:pPr>
      <w:r>
        <w:rPr>
          <w:rFonts w:ascii="Times New Roman" w:cs="Times New Roman" w:eastAsia="Times New Roman" w:hAnsi="Times New Roman"/>
          <w:sz w:val="16"/>
          <w:szCs w:val="16"/>
          <w:color w:val="auto"/>
        </w:rPr>
        <w:t>Under the Pediatric Research Equity Act of 2003, an NDA, BLA or supplement to an NDA or BLA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3" w:lineRule="exact"/>
        <w:rPr>
          <w:sz w:val="20"/>
          <w:szCs w:val="20"/>
          <w:color w:val="auto"/>
        </w:rPr>
      </w:pPr>
    </w:p>
    <w:p>
      <w:pPr>
        <w:jc w:val="both"/>
        <w:ind w:right="420"/>
        <w:spacing w:after="0" w:line="255" w:lineRule="auto"/>
        <w:rPr>
          <w:sz w:val="20"/>
          <w:szCs w:val="20"/>
          <w:color w:val="auto"/>
        </w:rPr>
      </w:pPr>
      <w:r>
        <w:rPr>
          <w:rFonts w:ascii="Times New Roman" w:cs="Times New Roman" w:eastAsia="Times New Roman" w:hAnsi="Times New Roman"/>
          <w:sz w:val="18"/>
          <w:szCs w:val="18"/>
          <w:color w:val="auto"/>
        </w:rPr>
        <w:t>Under the Food and Drug Administration Safety and Innovation Act, or FDASIA, the FDA has additional authority to take action against manufacturers not adhering to pediatric study requirements. Unless otherwise required by regulation, the pediatric data requirements do not apply to products with orphan drug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 Approval</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Any drug or biological products manufactured or distributed by us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90"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drug or biologic.</w:t>
      </w:r>
    </w:p>
    <w:p>
      <w:pPr>
        <w:spacing w:after="0" w:line="19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In addition, drug and biologic manufacturers and other entities involved in the manufacture and distribution of approved drugs and biological products are required to register their establishments with the FDA and state agencies and are subject to periodic unannounced inspections by the FDA and these state agencies for compliance with cGMP requirements. The FDA was also granted new inspection authorities under FDASIA.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Risk Evaluation and Mitigation Strategy program. Other potential consequences include, among other things:</w:t>
      </w:r>
    </w:p>
    <w:p>
      <w:pPr>
        <w:spacing w:after="0" w:line="206"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post-approval clinical trials;</w:t>
      </w:r>
    </w:p>
    <w:p>
      <w:pPr>
        <w:spacing w:after="0" w:line="238"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prosecution.</w:t>
      </w:r>
    </w:p>
    <w:p>
      <w:pPr>
        <w:spacing w:after="0" w:line="225"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Biosimilars Law</w:t>
      </w:r>
    </w:p>
    <w:p>
      <w:pPr>
        <w:spacing w:after="0" w:line="227" w:lineRule="exact"/>
        <w:rPr>
          <w:sz w:val="20"/>
          <w:szCs w:val="20"/>
          <w:color w:val="auto"/>
        </w:rPr>
      </w:pPr>
    </w:p>
    <w:p>
      <w:pPr>
        <w:ind w:firstLine="348"/>
        <w:spacing w:after="0" w:line="285" w:lineRule="auto"/>
        <w:rPr>
          <w:sz w:val="20"/>
          <w:szCs w:val="20"/>
          <w:color w:val="auto"/>
        </w:rPr>
      </w:pPr>
      <w:r>
        <w:rPr>
          <w:rFonts w:ascii="Times New Roman" w:cs="Times New Roman" w:eastAsia="Times New Roman" w:hAnsi="Times New Roman"/>
          <w:sz w:val="16"/>
          <w:szCs w:val="16"/>
          <w:color w:val="auto"/>
        </w:rPr>
        <w:t>The Biologics Price Competition and Innovation Act of 2009, or BPCIA, amended the PHSA to provide for an abbreviated approval pathway for biological products that demonstrate biosimilarity to a previously-approved biological product. The BPCI Act establishes criteria for determining that a product is biosimilar to an already-licensed biologic, or reference product, and establishes a process by which an abbreviated BLA for a biosimilar product is submitted, reviewed and approved. The BPCI Act provides periods of exclusivity that protect a reference product from biosimilars competition. Under the BPCI Act, the FDA may not accept a biosimilar application for review until four years after the date of first licensure of the reference product, and the biosimilar may not be licensed until</w:t>
      </w:r>
    </w:p>
    <w:p>
      <w:pPr>
        <w:ind w:right="60"/>
        <w:spacing w:after="0" w:line="253" w:lineRule="auto"/>
        <w:rPr>
          <w:sz w:val="20"/>
          <w:szCs w:val="20"/>
          <w:color w:val="auto"/>
        </w:rPr>
      </w:pPr>
      <w:r>
        <w:rPr>
          <w:rFonts w:ascii="Times New Roman" w:cs="Times New Roman" w:eastAsia="Times New Roman" w:hAnsi="Times New Roman"/>
          <w:sz w:val="18"/>
          <w:szCs w:val="18"/>
          <w:color w:val="auto"/>
        </w:rPr>
        <w:t>12 years after the reference product's approval. Additionally, the BPCI Act establishes procedures by which the biosimilar applicant must provide information about its application and product to the reference product sponsor, and by which information about potentially relevant patents is shared and litigation over patents may proceed in advance of approval. The BPCI Act also provides a period of exclusivity for the first biosimilar to be determined by the FDA to be interchangeable with the reference product. The BPCIA may be applied to our drug candidates in the future and could be applied to allow approval of biosimilars to our products.</w:t>
      </w:r>
    </w:p>
    <w:p>
      <w:pPr>
        <w:spacing w:after="0" w:line="193" w:lineRule="exact"/>
        <w:rPr>
          <w:sz w:val="20"/>
          <w:szCs w:val="20"/>
          <w:color w:val="auto"/>
        </w:rPr>
      </w:pPr>
    </w:p>
    <w:p>
      <w:pPr>
        <w:ind w:right="120" w:firstLine="348"/>
        <w:spacing w:after="0" w:line="256" w:lineRule="auto"/>
        <w:rPr>
          <w:sz w:val="20"/>
          <w:szCs w:val="20"/>
          <w:color w:val="auto"/>
        </w:rPr>
      </w:pPr>
      <w:r>
        <w:rPr>
          <w:rFonts w:ascii="Times New Roman" w:cs="Times New Roman" w:eastAsia="Times New Roman" w:hAnsi="Times New Roman"/>
          <w:sz w:val="18"/>
          <w:szCs w:val="18"/>
          <w:color w:val="auto"/>
        </w:rPr>
        <w:t>The FDA has not yet issued proposed regulations setting forth its interpretation of the BPCIA's provisions but has issued guidance documents related to BPCIA implementation. Because the BPCI Act is a relatively new law, we anticipate that its contours will be defined as the statute is implemented over a period of years. This likely will be accomplished by a variety of means, including FDA issuance of guidance documents, proposed regulations and decisions in the course of considering specific applications. Such evolution may significantly affect the impact of the BPCI Act on both reference product and biosimilar sponsors.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21st Century Cures Act</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On December 13, 2016, Congress passed the 21st Century Cures Act, or the Cures Act. The Cures Act is designed to modernize and personalize healthcare, spur innovation and research, and streamline the discovery and development of new therapies through increased federal funding of particular programs. It authorizes increased funding for FDA to spend on innovation projects, including for certain oncology-directed research. The new law also amends the Public Health Service Act to reauthorize and expand funding for the National Institutes of Health.</w:t>
      </w:r>
    </w:p>
    <w:p>
      <w:pPr>
        <w:spacing w:after="0" w:line="19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Because the Cures Act has only recently been enacted, its potential effect on our business remains unclear with the exception of a provision requiring that we post our policies on the availability of expanded access programs for individuals. In addition, the Cures Act includes provisions that may be beneficial to us in the future, including a requirement that the FDA assess and publish guidance on the use of novel clinical trial designs, the use of real world evidence in applications, the availability of summary level review for supplemental applications for certain indications, and the qualification of drug development tools. Because these provisions allow FDA several years to develop these policies, their effects on us, if any, could be delayed.</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Cures Act also authorizes funding for the "Cancer Moonshot" initiative. The Cancer Moonshot initiative's strategic goals encourage inter-agency cooperation and fund research and innovation to catalyze new scientific breakthroughs, bring new therapies to patients, and strengthen prevention and diagnosis. This initiative aims to stimulate drug development through the creation of a public-private partnership with 20 to 30 pharmaceutical and biotechnology companies to expedite cancer researchers' access to investigational agents and approved drugs. This partnership is designed to permit researchers to obtain drugs and other technologies from a preapproved "formulary" list without having to negotiate with each company for individual research projects. We will continue to monitor these developments to assess their potential impacts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Companion Diagnostic Review and Approval</w:t>
      </w:r>
    </w:p>
    <w:p>
      <w:pPr>
        <w:spacing w:after="0" w:line="227" w:lineRule="exact"/>
        <w:rPr>
          <w:sz w:val="20"/>
          <w:szCs w:val="20"/>
          <w:color w:val="auto"/>
        </w:rPr>
      </w:pPr>
    </w:p>
    <w:p>
      <w:pPr>
        <w:ind w:right="120" w:firstLine="348"/>
        <w:spacing w:after="0" w:line="255" w:lineRule="auto"/>
        <w:rPr>
          <w:sz w:val="20"/>
          <w:szCs w:val="20"/>
          <w:color w:val="auto"/>
        </w:rPr>
      </w:pPr>
      <w:r>
        <w:rPr>
          <w:rFonts w:ascii="Times New Roman" w:cs="Times New Roman" w:eastAsia="Times New Roman" w:hAnsi="Times New Roman"/>
          <w:sz w:val="18"/>
          <w:szCs w:val="18"/>
          <w:color w:val="auto"/>
        </w:rPr>
        <w:t xml:space="preserve">We expect that some of our drug candidates, including glembatumumab vedotin, will rely on the use of a companion diagnostic. Companion diagnostics are subject to regulation by the FDA and comparable foreign regulatory authorities as medical devices and require separate clearance or approval prior to their commercialization. Based on recent FDA guidance documents and the FDA's past treatment of companion diagnostics, we believe that the FDA will likely require one or more of our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to obtain Premarket Approval Application, or PMA, in conjunction with approval of the related drug candidate. The receipt and timing of PMA approval may have a significant effect on the receipt and timing of commercial approval for such drug candidates. Currently we rely on third party collaborators to develop companion diagnostics for our drug candidates.</w:t>
      </w:r>
    </w:p>
    <w:p>
      <w:pPr>
        <w:spacing w:after="0" w:line="19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PMA process is costly, lengthy and uncertain. 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approvable. The FDA may also determine that additional clinical trials are necessary, in which case the PMA approval may be delayed while the trials are conducted and then the data submitted in an amendment to the PMA.</w:t>
      </w:r>
    </w:p>
    <w:p>
      <w:pPr>
        <w:spacing w:after="0" w:line="17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Furthermore, even after PMA approval is obtained, numerous regulatory requirements apply to the manufacturer of the companion diagnostic. The FDA enforces these requirements by inspection and market surveillance. These requirements include: the QSR, labeling regulations, the FDA's general prohibition against promoting products for unapproved or "off label" uses, the medical device reporting regulation, and the reports of corrections and removals regulation. If the FDA finds a violation, it can institute a wide variety of enforcement actions, ranging from a public warning letter to more severe sanctions such as: fines, injunctions and civil penalties; recall or seizure of products; operating restrictions, partial suspension or total shutdown of production; refusing requests for PMA of new products; and withdrawing PMAs already granted.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and State Fraud and Abuse, Data Privacy and Security and Transparency Laws</w:t>
      </w:r>
    </w:p>
    <w:p>
      <w:pPr>
        <w:spacing w:after="0" w:line="227"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addition to FDA restrictions on marketing and promotion of pharmaceutical products, several other types of federal and state laws have been applied to restrict certain marketing business practices in the biopharmaceutical and medical device industries in recent years. These laws include, without limitation, state and federal anti-kickback statutes and false claims statutes and false claims laws, data privacy and security laws, as well as transparency laws regarding payments or other items of value provided to healthcare providers. Applicable state law may be broader in scope than federal law and may apply regardless of payor, in addition to items and services reimbursed under Medicaid and other state programs. If our operations are found to be in violation of any of the health regulatory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are sold in a foreign country, we may be subject to similar foreign laws,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93"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In addition, the United States Foreign Corrupt Practices Act, or FCPA, prohibits corporations and individuals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 In many countries, the healthcare professionals we may interact with may meet the FCPA's definition of a foreign government official.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order to market any therapeutic or diagnostic product outside of the United States, we need to comply with numerous and varying regulatory requirements of other countries regarding safety and efficacy and governing, among other things, clinical trials, marketing authorization, commercial sales and distribution of our products. Whether or not we obtain FDA approval for a product, we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74"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Under the EU regulatory system, we will submit most of our marketing authorization applications under the centralized procedure. The centralized procedure is compulsory for medicines produced by biotechnology, or are for the treatment of cancer, or officially designated as 'orphan medicines'. The centralized procedure provides for the grant of a single marketing authorization that is valid for all EU member states. As in the United States, we may apply for designation of our products as orphan drug for the treatment of a specific indication in the EU before the application for marketing authorization is made. The EMA grants orphan medicinal product designation to promote the development of products that may offer therapeutic benefits for life-threatening or chronically debilitating conditions affecting not more than five in 10,000 people in the EU.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Regulatory Processes</w:t>
      </w:r>
    </w:p>
    <w:p>
      <w:pPr>
        <w:spacing w:after="0" w:line="227"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and marketing of products regulated by the FDA.</w:t>
      </w:r>
    </w:p>
    <w:p>
      <w:pPr>
        <w:spacing w:after="0" w:line="174"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change or what the effect of such changes, if any, may be.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Payor Coverage and Reimbursement</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obtain regulatory approval. Sales of any of our drug candidates, if approved, will depend, in part, on the extent to which the costs of the drugs will be covered by third-party payors, including government health programs such as Medicare and Medicaid, as well as commercial health insurers, such as managed care organizations. The process for determining reimbursement rates is separate from the payor coverage decision. Therefore, despite obtaining coverage, reimbursement rates may be lower than expected, which can result in larger out-of-pocket payments for the patient.</w:t>
      </w:r>
    </w:p>
    <w:p>
      <w:pPr>
        <w:spacing w:after="0" w:line="193"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In order to secure coverage and reimbursement for any drug that might be approved for sale, we need to conduct analyses and pharmaco-economic studies in order to demonstrate the incremental medical benefit over and above the generally-accepted standard of care and cost-effectiveness of the drug. Our drug candidates may not be considered medically necessary, provide insufficient incremental medical benefit, or may not be deemed cost-effective. A payor's decision to provide coverage for a drug product does not imply that an adequate reimbursement rate will be approved.</w:t>
      </w:r>
    </w:p>
    <w:p>
      <w:pPr>
        <w:spacing w:after="0" w:line="190"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drugs to be cost-effective compared to other available therapies, they may not cover our drugs after approval as a benefit under their plans or, if they do, the level of reimbursement and/or restrictions in formulary placement may be such that they would significantly limit projected sales volumes. In addition to third party payors, we will also need to negotiate formulary placement with hospitals, health systems and certain independent delivery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networks. Such negotiations may be more protracted than anticipated and may be compromised because of similar considerations, relating to insufficient incremental medical benefit and/or cost-effectiveness.</w:t>
      </w:r>
    </w:p>
    <w:p>
      <w:pPr>
        <w:spacing w:after="0" w:line="174" w:lineRule="exact"/>
        <w:rPr>
          <w:sz w:val="20"/>
          <w:szCs w:val="20"/>
          <w:color w:val="auto"/>
        </w:rPr>
      </w:pPr>
    </w:p>
    <w:p>
      <w:pPr>
        <w:ind w:right="40" w:firstLine="351"/>
        <w:spacing w:after="0" w:line="290" w:lineRule="auto"/>
        <w:rPr>
          <w:sz w:val="20"/>
          <w:szCs w:val="20"/>
          <w:color w:val="auto"/>
        </w:rPr>
      </w:pPr>
      <w:r>
        <w:rPr>
          <w:rFonts w:ascii="Times New Roman" w:cs="Times New Roman" w:eastAsia="Times New Roman" w:hAnsi="Times New Roman"/>
          <w:sz w:val="16"/>
          <w:szCs w:val="16"/>
          <w:color w:val="auto"/>
        </w:rPr>
        <w:t>Pricing and reimbursement schemes vary widely from country to country. For example, certain EU member states may approve a specific price and volume for a drug product after which incremental revenues or profits need to be paid back by way of rebates. They may also institutionalize utilization restrictions, curb physicians' drug budgets, provide conditional reimbursement schemes that require additional evidence to be generated post-marketing authorization, etc. The downward pressure on healthcare costs in general, particularly prescription drugs, has been particularly evident in EU markets, for some time, with evidence pointing to increasing pressures on the horizon. As a result, increasingly high barriers are being erected to the pricing and reimbursement of new drugs, despite regulatory efforts to bring drugs to market sooner. In addition, cross-border trade has existed for some time in the EU, allowing pharmacies in one country to import, at a lower price, drug from another country, further exerting pricing pressures across the EU. There can be no assurance that any country that has price controls or reimbursement limitations for drug products will allow favorable reimbursement and pricing arrangements for any of our drugs.</w:t>
      </w:r>
    </w:p>
    <w:p>
      <w:pPr>
        <w:spacing w:after="0" w:line="166"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marketability of any drugs for which we receive regulatory approval for commercial sale may suffer if third-party payors and/or hospital administrators fail to provide adequate coverage, reimbursement or formulary placement. Coverage policies, third-party reimbursement rates and drug pricing regulations may change in the future. In particular, uncertainty within, and over the long-term, of the Patient Protection and Affordable Care Act, or PPACA, in the U.S., may mean that coverage, reimbursement and pricing structures available today may be different in the future. In addition, the States may continue to consider legislation of their own which could further restrict the ability to freely price drugs and/or curb utilization in the U.S. Even if favorable coverage and reimbursement status is attained for one or more drugs for which we receive regulatory approval, less favorable coverage policies and reimbursement rates may be implemented in the future.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jc w:val="both"/>
        <w:ind w:right="22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2016, we employed 210 employees (205 full-time, 2 part-time and 3 interns), 40 of whom have Ph.D. and/or M.D. degrees. Of these employees, 177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have dedicated a significant portion of our resources to our efforts to develop our drug candidates. We incurred research and development expenses of $102.7 million, $100.2 million and $104.4 million during the years ended December 31, 2016, 2015 and 2014, respectively. We anticipate that a significant portion of our operating expenses will continue to be related to research and development in 2017 as we continue to advance our drug candidates through clinical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Available Information</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are incorporated in Delaware. In February 2016, we formed a wholly-owned subsidiary, Celldex Therapeutics Europe GmbH, in Zug, Switzerland. We are in the process of liquidating Celldex Therapeutics Europe GmbH. In July 2016, we formed a wholly-owned subsidiary, Celldex Australia Pty Ltd in Brisbane, Australia.</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351"/>
        <w:spacing w:after="0" w:line="259"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i w:val="1"/>
          <w:iCs w:val="1"/>
          <w:color w:val="auto"/>
        </w:rPr>
        <w:t>http://www.celldex.com.</w:t>
      </w:r>
      <w:r>
        <w:rPr>
          <w:rFonts w:ascii="Times New Roman" w:cs="Times New Roman" w:eastAsia="Times New Roman" w:hAnsi="Times New Roman"/>
          <w:sz w:val="18"/>
          <w:szCs w:val="18"/>
          <w:color w:val="auto"/>
        </w:rPr>
        <w:t xml:space="preserve"> On our website, investors can obtain, free of charge, a copy of our Annual Report on Form 10-K, Quarterly Reports on Form 10-Q, Current Reports on Form 8-K, other reports and any amendments thereto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w:t>
      </w:r>
    </w:p>
    <w:p>
      <w:pPr>
        <w:spacing w:after="0" w:line="1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7" w:lineRule="exact"/>
        <w:rPr>
          <w:sz w:val="20"/>
          <w:szCs w:val="20"/>
          <w:color w:val="auto"/>
        </w:rPr>
      </w:pPr>
    </w:p>
    <w:p>
      <w:pPr>
        <w:ind w:right="160" w:firstLine="345"/>
        <w:spacing w:after="0" w:line="275" w:lineRule="auto"/>
        <w:rPr>
          <w:sz w:val="20"/>
          <w:szCs w:val="20"/>
          <w:color w:val="auto"/>
        </w:rPr>
      </w:pPr>
      <w:r>
        <w:rPr>
          <w:rFonts w:ascii="Times New Roman" w:cs="Times New Roman" w:eastAsia="Times New Roman" w:hAnsi="Times New Roman"/>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74" w:lineRule="exact"/>
        <w:rPr>
          <w:sz w:val="20"/>
          <w:szCs w:val="20"/>
          <w:color w:val="auto"/>
        </w:rPr>
      </w:pPr>
    </w:p>
    <w:p>
      <w:pPr>
        <w:jc w:val="both"/>
        <w:ind w:right="220" w:firstLine="348"/>
        <w:spacing w:after="0" w:line="262" w:lineRule="auto"/>
        <w:rPr>
          <w:sz w:val="20"/>
          <w:szCs w:val="20"/>
          <w:color w:val="auto"/>
        </w:rPr>
      </w:pPr>
      <w:r>
        <w:rPr>
          <w:rFonts w:ascii="Times New Roman" w:cs="Times New Roman" w:eastAsia="Times New Roman" w:hAnsi="Times New Roman"/>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product revenue and will need to raise capital to operate our business.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date, we have generated no product revenue and cannot predict when and if we will generate product revenue. We had an accumulated deficit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$719.5 million as of December 31, 2016. Until, and unless, we complete clinical trials and further development, and receive approval from the FDA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regulatory authorities, for our drug candidates, we cannot sell our drugs and will not have product revenue. We expect to spend substantial funds to continue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development and testing of our products that are in the preclinical and clinical testing stages of development and to prepare to commercialize products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anticipation of FDA approval. Therefore, for the foreseeable future, we will have to fund all of our operations and development expenditures from cash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hand, equity or debt financings, licensing fees and grants. Additional financing will be required to meet our liquidity needs. If we do not succeed in raising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funds on acceptable terms, we might not be able to complete planned preclinical and clinical trials or obtain approval of any drug candidates from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FDA and other regulatory authorities. In addition, we could be forced to discontinue product development, reduce or forego sales and marketing efforts, forego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attractive business opportunities or curtail operations. Any additional sources of financing could involve the issuance of our equity securities, which would have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dilutive effect on our stockholders. No assurance can be given that additional financing will be available to us when needed on acceptable terms, or at all.</w:t>
      </w:r>
    </w:p>
    <w:p>
      <w:pPr>
        <w:spacing w:after="0" w:line="213"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incur future losses and we may never become profitable.</w:t>
      </w:r>
    </w:p>
    <w:p>
      <w:pPr>
        <w:spacing w:after="0" w:line="229"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We have incurred operating losses of $132.9 million, $129.5 million and $122.4 million during 2016, 2015 and 2014, respectively, and expect to incur an operating loss in 2017 and beyond. We believe that operating losses will continue in 2017 and beyond because we are planning to incur significant costs associated with the clinical development of our drug candidates and manufacturing of commercial supply to prepare for the potential commercial launch of glembatumumab vedotin if regulatory approval is obtained. During the years ended December 31, 2016, 2015 and 2014, we incurred $24.9 million, $36.3 million, and $45.6 million in clinical trial expense and $18.3 million, $14.8 million, and $21.2 million in contract manufacturing expense. We anticipate clinical trial expense to remain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relatively consistent over the next twelve months as decreases in Rintega costs are offset by increases in the CDX-0158 and CDX-3379 programs, although there may be fluctuations on a quarterly basis. We anticipate contract manufacturing expense to decrease over the next twelve months as decreases in Rintega costs are only partially offset by increases in the CDX-0158 and CDX-3379 programs.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189" w:lineRule="exact"/>
        <w:rPr>
          <w:sz w:val="20"/>
          <w:szCs w:val="20"/>
          <w:color w:val="auto"/>
        </w:rPr>
      </w:pPr>
    </w:p>
    <w:p>
      <w:pPr>
        <w:ind w:right="14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23" w:lineRule="exact"/>
        <w:rPr>
          <w:sz w:val="20"/>
          <w:szCs w:val="20"/>
          <w:color w:val="auto"/>
        </w:rPr>
      </w:pPr>
    </w:p>
    <w:p>
      <w:pPr>
        <w:ind w:right="20" w:firstLine="348"/>
        <w:spacing w:after="0" w:line="301" w:lineRule="auto"/>
        <w:rPr>
          <w:sz w:val="20"/>
          <w:szCs w:val="20"/>
          <w:color w:val="auto"/>
        </w:rPr>
      </w:pPr>
      <w:r>
        <w:rPr>
          <w:rFonts w:ascii="Times New Roman" w:cs="Times New Roman" w:eastAsia="Times New Roman" w:hAnsi="Times New Roman"/>
          <w:sz w:val="16"/>
          <w:szCs w:val="16"/>
          <w:color w:val="auto"/>
        </w:rPr>
        <w:t>We expect to incur significant costs as we develop our drug candidates. In particular, the continuing development and commercialization of glembatumumab vedotin, varlilumab, CDX-0158, CDX-3379 and our other drug candidates requires additional capital beyond our current resources. As of December 31, 2016, we had cash, cash equivalents and marketable securities of $189.8 million. During the next twelve months and beyond, we will take further steps to raise additional capital to fund our liquidity needs. Our capital raising activities may include, but may not be limited to, one or more of the following:</w:t>
      </w:r>
    </w:p>
    <w:p>
      <w:pPr>
        <w:spacing w:after="0" w:line="171"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drug candidates with existing or new collaborative partners;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business combinations;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debt;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common stock or other securities via private placements or public offerings.</w:t>
      </w:r>
    </w:p>
    <w:p>
      <w:pPr>
        <w:spacing w:after="0" w:line="225" w:lineRule="exact"/>
        <w:rPr>
          <w:sz w:val="20"/>
          <w:szCs w:val="20"/>
          <w:color w:val="auto"/>
        </w:rPr>
      </w:pPr>
    </w:p>
    <w:p>
      <w:pPr>
        <w:ind w:right="100" w:firstLine="348"/>
        <w:spacing w:after="0" w:line="254" w:lineRule="auto"/>
        <w:rPr>
          <w:sz w:val="20"/>
          <w:szCs w:val="20"/>
          <w:color w:val="auto"/>
        </w:rPr>
      </w:pPr>
      <w:r>
        <w:rPr>
          <w:rFonts w:ascii="Times New Roman" w:cs="Times New Roman" w:eastAsia="Times New Roman" w:hAnsi="Times New Roman"/>
          <w:sz w:val="18"/>
          <w:szCs w:val="18"/>
          <w:color w:val="auto"/>
        </w:rPr>
        <w:t>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the build-out of our commercial infrastructure and our commercial planning and preparation activities, discontinue or delay ongoing or anticipated clinical trials, license out programs earlier than expected, raise funds at significant discount or on other unfavorable terms, if at all, or sell all or part of our business.</w:t>
      </w:r>
    </w:p>
    <w:p>
      <w:pPr>
        <w:spacing w:after="0" w:line="188" w:lineRule="exact"/>
        <w:rPr>
          <w:sz w:val="20"/>
          <w:szCs w:val="20"/>
          <w:color w:val="auto"/>
        </w:rPr>
      </w:pPr>
    </w:p>
    <w:p>
      <w:pPr>
        <w:ind w:right="18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We may pay future milestone consideration to the former Kolltan stockholders. If we are unsuccessful in obtaining stockholder approval for the issuance of common stock, we would pay the milestone consideration to former Kolltan stockholders in cash, in which case we may need to raise additional capital.</w:t>
      </w:r>
    </w:p>
    <w:p>
      <w:pPr>
        <w:spacing w:after="0" w:line="123"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merger agreement between us and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former stockholders milestone payments of up to $172.5 million, which milestone payments may be made, at our sole election, in cash, in shares of our common stock or a combination of both (except with respect to non-accredited former shareholders of Kolltan to whom we will pay cash). Pursuant to applicable NASDAQ listing rules, we are required to</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obtain stockholder approval of such issuances of our common stock to the extent that such issuances exceed 19.9% of our common stock outstanding prior to the merger. We plan to seek stockholder approval of such common stock issuances at our 2017 annual meeting. If we do not obtain stockholder approval of such common stock issuances, we may elect to pay the milestone consideration in cash to maintain compliance with applicable NASDAQ listing standards. We may still decide to pay cash even if we obtain stockholder approval although it is required to maintain a certain percentage of the overall consideration paid in Celldex common stock to satisfy certain tax requirements under the Merger Agreement. We may require additional capital to fund any milestone payments in cash, depending on the facts and circumstances at the time such payments become due.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Regulatory Approval of Drug Candidates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long term success depends heavily on our ability to fund and complete the research and development activities and obtain regulatory approval for our program assets, including our lead drug candidate, glembatumumab vedotin.</w:t>
      </w:r>
    </w:p>
    <w:p>
      <w:pPr>
        <w:spacing w:after="0" w:line="169"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color w:val="auto"/>
        </w:rPr>
        <w:t>We are particularly dependent on the future success of glembatumumab vedotin because it is our most advanced drug candidate. Only a small minority of all research and development programs ultimately result in commercially successful drugs. Clinical failure can occur at any stage of clinical development. For example, in March 2016, we decided to discontinue ACT IV, a randomized Phase 3 clinical study of Rintega in patients with newly diagnosed EGFRvIII-positive glioblastoma, based on the determination by the independent Data Safety and Monitoring Board that continuation of the ACT IV study would not reach statistical significance for overall survival in patients with minimal residual disease, the primary endpoint of the study, because both the Rintega arm and the control arm were performing on par with each other.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and early clinical trials does not ensure that later clinical trials will generate the same results or otherwise provide adequate data to demonstrate the efficacy and safety of a drug candidate.</w:t>
      </w:r>
    </w:p>
    <w:p>
      <w:pPr>
        <w:spacing w:after="0" w:line="167" w:lineRule="exact"/>
        <w:rPr>
          <w:sz w:val="20"/>
          <w:szCs w:val="20"/>
          <w:color w:val="auto"/>
        </w:rPr>
      </w:pPr>
    </w:p>
    <w:p>
      <w:pPr>
        <w:ind w:right="160" w:firstLine="348"/>
        <w:spacing w:after="0" w:line="255" w:lineRule="auto"/>
        <w:rPr>
          <w:sz w:val="20"/>
          <w:szCs w:val="20"/>
          <w:color w:val="auto"/>
        </w:rPr>
      </w:pPr>
      <w:r>
        <w:rPr>
          <w:rFonts w:ascii="Times New Roman" w:cs="Times New Roman" w:eastAsia="Times New Roman" w:hAnsi="Times New Roman"/>
          <w:sz w:val="18"/>
          <w:szCs w:val="18"/>
          <w:color w:val="auto"/>
        </w:rPr>
        <w:t>We will need substantial additional financing to complete the development of glembatumumab vedotin, varlilumab, CDX-0158, CDX-3379 and our other drug candidates. Further, even if we complete the development of glembatumumab vedotin or any of our other drug candidates and gain marketing approvals from the FDA and comparable foreign regulatory authorities in a timely manner, we cannot be sure that such drug candidate will be commercially successful in the pharmaceutical market. If the results of clinical trials, the anticipated or actual timing of marketing approvals, or the market acceptance of glembatumumab vedotin or any other drug candidate, if approved, do not meet the expectations of investors or public market analysts, the market price of our common stock would likely decline.</w:t>
      </w:r>
    </w:p>
    <w:p>
      <w:pPr>
        <w:spacing w:after="0" w:line="18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8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may enter into co-development and commercialization partnerships for our drug candidates where appropriate, including glembatumumab vedotin.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or at all. Furthermore some of those agreements may give substantial responsibility over our drug candidates to the collaborator. Some collaborators may be unable or unwilling to devote sufficient resources to develop our drug candidates as their</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5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are subject to extensive regulatory scrutiny.</w:t>
      </w:r>
    </w:p>
    <w:p>
      <w:pPr>
        <w:spacing w:after="0" w:line="229" w:lineRule="exact"/>
        <w:rPr>
          <w:sz w:val="20"/>
          <w:szCs w:val="20"/>
          <w:color w:val="auto"/>
        </w:rPr>
      </w:pPr>
    </w:p>
    <w:p>
      <w:pPr>
        <w:ind w:right="20" w:firstLine="341"/>
        <w:spacing w:after="0" w:line="253" w:lineRule="auto"/>
        <w:rPr>
          <w:sz w:val="20"/>
          <w:szCs w:val="20"/>
          <w:color w:val="auto"/>
        </w:rPr>
      </w:pPr>
      <w:r>
        <w:rPr>
          <w:rFonts w:ascii="Times New Roman" w:cs="Times New Roman" w:eastAsia="Times New Roman" w:hAnsi="Times New Roman"/>
          <w:sz w:val="18"/>
          <w:szCs w:val="18"/>
          <w:color w:val="auto"/>
        </w:rPr>
        <w:t>All of our drug candidates are at various stages of development and our activities and drug candidates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any of our drug candidates.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9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do not pass required tests for safety and effectiveness, we will not be able to obtain regulatory approval and derive commercial revenue from them.</w:t>
      </w:r>
    </w:p>
    <w:p>
      <w:pPr>
        <w:spacing w:after="0" w:line="169"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In order to succeed, we will need to obtain regulatory approval for our drug candidates. The FDA has not approved any of our drug candidates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BLA or NDA is filed with the FDA, it may take more than a year to receive FDA approval.</w:t>
      </w:r>
    </w:p>
    <w:p>
      <w:pPr>
        <w:spacing w:after="0" w:line="192" w:lineRule="exact"/>
        <w:rPr>
          <w:sz w:val="20"/>
          <w:szCs w:val="20"/>
          <w:color w:val="auto"/>
        </w:rPr>
      </w:pPr>
    </w:p>
    <w:p>
      <w:pPr>
        <w:jc w:val="both"/>
        <w:ind w:right="180" w:firstLine="351"/>
        <w:spacing w:after="0" w:line="258" w:lineRule="auto"/>
        <w:rPr>
          <w:sz w:val="20"/>
          <w:szCs w:val="20"/>
          <w:color w:val="auto"/>
        </w:rPr>
      </w:pPr>
      <w:r>
        <w:rPr>
          <w:rFonts w:ascii="Times New Roman" w:cs="Times New Roman" w:eastAsia="Times New Roman" w:hAnsi="Times New Roman"/>
          <w:sz w:val="18"/>
          <w:szCs w:val="18"/>
          <w:color w:val="auto"/>
        </w:rPr>
        <w:t>In all cases we must show that a drug candidate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multiple late stage clinical trials for a variety of drug candidates simultaneously.</w:t>
      </w:r>
    </w:p>
    <w:p>
      <w:pPr>
        <w:spacing w:after="0" w:line="229" w:lineRule="exact"/>
        <w:rPr>
          <w:sz w:val="20"/>
          <w:szCs w:val="20"/>
          <w:color w:val="auto"/>
        </w:rPr>
      </w:pPr>
    </w:p>
    <w:p>
      <w:pPr>
        <w:ind w:right="80" w:firstLine="341"/>
        <w:spacing w:after="0" w:line="253" w:lineRule="auto"/>
        <w:rPr>
          <w:sz w:val="20"/>
          <w:szCs w:val="20"/>
          <w:color w:val="auto"/>
        </w:rPr>
      </w:pPr>
      <w:r>
        <w:rPr>
          <w:rFonts w:ascii="Times New Roman" w:cs="Times New Roman" w:eastAsia="Times New Roman" w:hAnsi="Times New Roman"/>
          <w:sz w:val="18"/>
          <w:szCs w:val="18"/>
          <w:color w:val="auto"/>
        </w:rPr>
        <w:t>As our current clinical trials progress, we may need to manage multiple late stage clinical trials simultaneously in order to continue developing all of our current products. The management of late stage clinical trials is more complex and time consuming than early stage trials. Typically, early stage trials involve several hundred patients in no more than 10 to 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testing is critical to the success of our products but subject to delay or cancellation if we have difficulty enrolling patients.</w:t>
      </w:r>
    </w:p>
    <w:p>
      <w:pPr>
        <w:spacing w:after="0" w:line="229"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our portfolio of drug candidates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04"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clinical test;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receive a placebo or less effective treatment on the control arm of a clinical study;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distance between patients and clinical test sites;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we cannot enroll patients as needed, our costs may increase or we may be forced to delay or terminate testing for a product.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delays in completing our clinical trials and we may not complete them at all.</w:t>
      </w:r>
    </w:p>
    <w:p>
      <w:pPr>
        <w:spacing w:after="0" w:line="229"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We have not completed the clinical trials necessary to obtain FDA approval to market glembatumumab vedotin or any of our other drug candidates in development. Clinical trials for glembatumumab vedotin or any of our other products in development may be delayed or terminated as a result of many factors, including the following:</w:t>
      </w:r>
    </w:p>
    <w:p>
      <w:pPr>
        <w:spacing w:after="0" w:line="200"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enrolling patients in our clinical trials;</w:t>
      </w:r>
    </w:p>
    <w:p>
      <w:pPr>
        <w:spacing w:after="0" w:line="238" w:lineRule="exact"/>
        <w:rPr>
          <w:rFonts w:ascii="Times New Roman" w:cs="Times New Roman" w:eastAsia="Times New Roman" w:hAnsi="Times New Roman"/>
          <w:sz w:val="18"/>
          <w:szCs w:val="18"/>
          <w:color w:val="auto"/>
        </w:rPr>
      </w:pPr>
    </w:p>
    <w:p>
      <w:pPr>
        <w:ind w:left="5620" w:right="2500" w:hanging="5072"/>
        <w:spacing w:after="0" w:line="525" w:lineRule="auto"/>
        <w:tabs>
          <w:tab w:leader="none" w:pos="10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failing to complete clinical trials due to dissatisfaction with the treatment, side effects or other reasons;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regulators to authorize us to commence a clinical trial;</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by regulators of clinical research for many reasons, including concerns about patient safety or failure of our contract manufacturers to comply with cGMP requirements;</w:t>
      </w:r>
    </w:p>
    <w:p>
      <w:pPr>
        <w:spacing w:after="0" w:line="187"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to obtain clinical supply for our products necessary to conduct clinical trials from contract manufacturers, including commercial grade clinical supply for our Phase 3 clinical trials;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candidates demonstrating a lack of efficacy during clinical trials;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continue to fund clinical trials or to find a partner to fund the clinical trials;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ongoing clinical trials and scheduling conflicts with participating clinicians;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data collection and analysis for clinical trials.</w:t>
      </w:r>
    </w:p>
    <w:p>
      <w:pPr>
        <w:spacing w:after="0" w:line="225" w:lineRule="exact"/>
        <w:rPr>
          <w:sz w:val="20"/>
          <w:szCs w:val="20"/>
          <w:color w:val="auto"/>
        </w:rPr>
      </w:pPr>
    </w:p>
    <w:p>
      <w:pPr>
        <w:ind w:right="120" w:firstLine="341"/>
        <w:spacing w:after="0" w:line="275" w:lineRule="auto"/>
        <w:rPr>
          <w:sz w:val="20"/>
          <w:szCs w:val="20"/>
          <w:color w:val="auto"/>
        </w:rPr>
      </w:pPr>
      <w:r>
        <w:rPr>
          <w:rFonts w:ascii="Times New Roman" w:cs="Times New Roman" w:eastAsia="Times New Roman" w:hAnsi="Times New Roman"/>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70" w:lineRule="exact"/>
        <w:rPr>
          <w:sz w:val="20"/>
          <w:szCs w:val="20"/>
          <w:color w:val="auto"/>
        </w:rPr>
      </w:pPr>
    </w:p>
    <w:p>
      <w:pPr>
        <w:ind w:right="9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or unacceptable side effects are identified during the development of our drug candidates, we may need to abandon or limit our development of some of our drug candidates.</w:t>
      </w:r>
    </w:p>
    <w:p>
      <w:pPr>
        <w:spacing w:after="0" w:line="16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If our drug candidates are associated with serious adverse events or undesirable side effects in clinical trials or have characteristics that are unexpected,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drugs that initially show promise in early stage testing for treating cancer are later found to cause side effects that prevent further development of the drug. Currently marketed therapies for the treatment of cancer are generally limited to some extent by their toxicity. In addition some of our drug candidates would be chronic therapies or be used in pediatric populations, for which safety concerns may be particularly important. Use of our drug candidates as monotherapies may also result in adverse events consistent in nature with other marketed therapies. In addition, when used in combination with other marketed therapies, our drug candidates may exacerbate adverse events associated with the marketed therapy.</w:t>
      </w:r>
    </w:p>
    <w:p>
      <w:pPr>
        <w:spacing w:after="0" w:line="18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validate, develop and obtain regulatory approval for companion diagnostics for certain of our drug candidates, including our lead drug candidate glembatumumab vedotin, could harm our drug development strategy and operational results.</w:t>
      </w:r>
    </w:p>
    <w:p>
      <w:pPr>
        <w:spacing w:after="0" w:line="169" w:lineRule="exact"/>
        <w:rPr>
          <w:sz w:val="20"/>
          <w:szCs w:val="20"/>
          <w:color w:val="auto"/>
        </w:rPr>
      </w:pPr>
    </w:p>
    <w:p>
      <w:pPr>
        <w:ind w:right="20" w:firstLine="341"/>
        <w:spacing w:after="0" w:line="253" w:lineRule="auto"/>
        <w:rPr>
          <w:sz w:val="20"/>
          <w:szCs w:val="20"/>
          <w:color w:val="auto"/>
        </w:rPr>
      </w:pPr>
      <w:r>
        <w:rPr>
          <w:rFonts w:ascii="Times New Roman" w:cs="Times New Roman" w:eastAsia="Times New Roman" w:hAnsi="Times New Roman"/>
          <w:sz w:val="18"/>
          <w:szCs w:val="18"/>
          <w:color w:val="auto"/>
        </w:rPr>
        <w:t>As an element of our clinical development approach, we may seek to screen and identify subsets of patients that express a certain biomarker or that have a certain genetic alteration who may derive meaningful benefit from our development drug candidates. To achieve this, one or more of our drug development programs may be dependent on the development and commercialization of a companion diagnostic by us or by third party collaborators. For example, we have engaged third party collaborators to develop a commercially suitable companion diagnostic test to identify patients that over express gpNMB for use in certain indications with glembatumumab vedotin and such companion diagnostic may encounter technical hurdles to development and would require separate approval by the FDA, for which we must rely on our third party collaborator to obtain. Companion diagnostics are developed in conjunction with clinical programs for the associated drug candidate. Companion diagnostics are subject to regulation as medical devices and must themselves be approved for marketing by the FDA or certain other foreign regulatory agencies before the related drug candidate may be commercialized. The approval of a companion diagnostic as part of the product label will limit the use of the drug candidate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to only those patients who express the specific biomarker it was developed to detect. We or our third party collaborators may also experience delays in developing a sustainable, reproducible and scalable manufacturing process or transferring that process to commercial partners or negotiating insurance reimbursement for such companion diagnostic, all of which may prevent us from completing our clinical trials or commercializing our drugs on a timely or profitable basis, if at all.</w:t>
      </w:r>
    </w:p>
    <w:p>
      <w:pPr>
        <w:spacing w:after="0" w:line="151"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To date, the FDA has required premarket approval of all companion diagnostics for cancer therapies. We and our third-party collaborators may encounter difficulties in developing and obtaining approval for these companion diagnostics. Any delay or failure by us or third-party collaborators to develop or obtain regulatory approval of a companion diagnostic could delay or prevent approval of our related drug candidates or, if regulatory approval is obtained, delay or limit our ability to commercialize our related drug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 in obtaining regulatory approval would have an adverse impact on our ability to earn future revenues.</w:t>
      </w:r>
    </w:p>
    <w:p>
      <w:pPr>
        <w:spacing w:after="0" w:line="229"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Glembatumumab vedotin has been granted Fast Track designation by the FDA. Fast Track designation does not change the standards for approval, guarantee a faster review time as compared to other drugs or ensure that the drug will ultimately obtain marketing approval. In addition, the FDA may withdraw these designations at any time. Any delay or failure in obtaining required approvals could have a material adverse effect on our ability to generate revenues from the particular drug candidate including, but not limited 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Novartis, Pfizer, Roche, and Tesaro.</w:t>
      </w:r>
    </w:p>
    <w:p>
      <w:pPr>
        <w:spacing w:after="0" w:line="193"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fast track designation or grant of priority review status by the FDA may not actually lead to a faster development or regulatory review or approval process.</w:t>
      </w:r>
    </w:p>
    <w:p>
      <w:pPr>
        <w:spacing w:after="0" w:line="252"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 the United States, glembatumumab vedotin has received fast track designation and may be eligible for priority review status. If a drug is intended for the treatment of a serious or life-threatening disease or condition and the drug demonstrates the potential to address unmet medical needs for this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disease or condition, the drug sponsor may apply for FDA fast track designation. If a drug offers major advances in treatment, the drug sponsor may apply for FDA priority review status. The FDA has broad discretion whether or not to grant fast track designation or priority review status, so even if we believe a particular drug candidate is eligible for such designation or status, the FDA could decide not to grant it. Even though glembatumumab vedotin has received fast track designation and may be eligible for priority review status, we may not experience a faster development process, review or approval compared to conventional FDA procedures. Furthermore, the FDA may withdraw fast track designation if it believes that the designation is no longer supported by data from our clinical development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many competitors in our field and they may develop technologies that make ours obsolete.</w:t>
      </w:r>
    </w:p>
    <w:p>
      <w:pPr>
        <w:spacing w:after="0" w:line="229"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Biotechnology, pharmaceuticals and therapeutics are rapidly evolving fields in which scientific and technological developments are expected to continue at a rapid pace. We have many competitors in the U.S. and abroad. Competitors that we are aware of that have initiated a pivotal study or have obtained marketing approval for a potential competitive drug/device for glembatumumab vedotin in the treatment of breast cancer include AbbVie, Astellas, AstraZeneca, Bristol-Myers Squibb, Immunomedics, Merck, Nektar, Novartis, Pfizer, Roche, and Tesaro.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78"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technologies and products that are more effective than ours, making ours obsolete or otherwise noncompetitive;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products more rapidly or effectively than us;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protection or other intellectual property rights that would block our ability to develop competitive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3" w:lineRule="exact"/>
        <w:rPr>
          <w:sz w:val="20"/>
          <w:szCs w:val="20"/>
          <w:color w:val="auto"/>
        </w:rPr>
      </w:pPr>
    </w:p>
    <w:p>
      <w:pPr>
        <w:ind w:right="7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face delays, difficulties or unanticipated costs in establishing sales, marketing and distribution capabilities or seeking a partnership for the commercialization of our drug candidates, even if regulatory approval is obtained.</w:t>
      </w:r>
    </w:p>
    <w:p>
      <w:pPr>
        <w:spacing w:after="0" w:line="169" w:lineRule="exact"/>
        <w:rPr>
          <w:sz w:val="20"/>
          <w:szCs w:val="20"/>
          <w:color w:val="auto"/>
        </w:rPr>
      </w:pPr>
    </w:p>
    <w:p>
      <w:pPr>
        <w:ind w:right="80" w:firstLine="348"/>
        <w:spacing w:after="0" w:line="288" w:lineRule="auto"/>
        <w:rPr>
          <w:sz w:val="20"/>
          <w:szCs w:val="20"/>
          <w:color w:val="auto"/>
        </w:rPr>
      </w:pPr>
      <w:r>
        <w:rPr>
          <w:rFonts w:ascii="Times New Roman" w:cs="Times New Roman" w:eastAsia="Times New Roman" w:hAnsi="Times New Roman"/>
          <w:sz w:val="16"/>
          <w:szCs w:val="16"/>
          <w:color w:val="auto"/>
        </w:rPr>
        <w:t>We may choose to build a commercial organization which we believe could provide us with the strategic options to either retain full economic rights to our drug candidates or seek favorable economic terms through advantageous commercial partnerships. As a result, we may have full responsibility for commercialization of one or more of our drug candidates if and when they are approved for sale. We currently lack sufficient marketing, sales and distribution capabilities to carry out this strategy. If any of our drug candidates are approved by the FDA, we will need a drug sales force with technical expertise prior to the commercialization of any of our drug candidates. We may not succeed in developing such sales and distribution capabilities, the cost of establishing such sales and distribution capabilities may exceed any product revenue, or our direct marketing and sales efforts may be unsuccessful. We may find it necessary to enter into strategic partnerships, co-promotion or other licensing arrangements and to the extent we enter into such strategic partnerships, co-promotion or other licensing arrangements, our product revenues are likely to be lower than if we directly marketed and sold such drugs, and some or all of the revenues we receive will depend upon the efforts of third parties, which may not be successful and may not be within our control. If we are unable to enter into such strategic partnerships, co-promotion or other licensing arrangements on acceptable terms or at all, we may not be able to successfully commercialize our existing and future drug candidates. If we are not successful in commercializing any drug candidates, for which we obtain regulatory approval, either on</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our own or through collaborations with one or more third parties, our future product revenue will suffer and we may never achieve profitability or become unable to continue the operation of our business.</w:t>
      </w:r>
    </w:p>
    <w:p>
      <w:pPr>
        <w:spacing w:after="0" w:line="17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drug candidates for which we obtain regulatory approval do not achieve broad acceptance from physicians, patients and third-party payors, we may be unable to generate significant revenues, if any.</w:t>
      </w:r>
    </w:p>
    <w:p>
      <w:pPr>
        <w:spacing w:after="0" w:line="169" w:lineRule="exact"/>
        <w:rPr>
          <w:sz w:val="20"/>
          <w:szCs w:val="20"/>
          <w:color w:val="auto"/>
        </w:rPr>
      </w:pPr>
    </w:p>
    <w:p>
      <w:pPr>
        <w:jc w:val="both"/>
        <w:ind w:right="320" w:firstLine="351"/>
        <w:spacing w:after="0" w:line="262" w:lineRule="auto"/>
        <w:rPr>
          <w:sz w:val="20"/>
          <w:szCs w:val="20"/>
          <w:color w:val="auto"/>
        </w:rPr>
      </w:pPr>
      <w:r>
        <w:rPr>
          <w:rFonts w:ascii="Times New Roman" w:cs="Times New Roman" w:eastAsia="Times New Roman" w:hAnsi="Times New Roman"/>
          <w:sz w:val="18"/>
          <w:szCs w:val="18"/>
          <w:color w:val="auto"/>
        </w:rPr>
        <w:t>Even if we obtain regulatory approval for our drug candidates, our approved drugs may not gain market acceptance among physicians and patients. We believe that effectively marketing our drug candidates, if any of them are approved, will require substantial efforts, both prior to commercial launch and after approval. Physicians may elect not to prescribe our drugs, and patients may elect not to request or take them, for a variety of reasons including:</w:t>
      </w:r>
    </w:p>
    <w:p>
      <w:pPr>
        <w:spacing w:after="0" w:line="200"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drug's FDA-approved labeling;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or the availability of alternative drugs for the targeted indications for any of our drug candidates;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indications for our drug candidates;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availability, market acceptance and reimbursement for the companion diagnostic, where applicable;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drugs;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side effects;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education, sales, marketing and distribution support;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drugs;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drug candidates or favorable publicity about competitive drugs;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drug candidates;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third-party payors to reimburse for the cost of our drug candidates.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our future drugs fail to achieve market acceptance, we will not be able to generate significant revenues and may never achieve profitability.</w:t>
      </w:r>
    </w:p>
    <w:p>
      <w:pPr>
        <w:spacing w:after="0" w:line="221" w:lineRule="exact"/>
        <w:rPr>
          <w:sz w:val="20"/>
          <w:szCs w:val="20"/>
          <w:color w:val="auto"/>
        </w:rPr>
      </w:pPr>
    </w:p>
    <w:p>
      <w:pPr>
        <w:ind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FDA approval, the terms of the approval may limit such drug's commercial potential. Additionally, even after receipt of FDA approval, such drug would be subject to substantial, ongoing regulatory requirements.</w:t>
      </w:r>
    </w:p>
    <w:p>
      <w:pPr>
        <w:spacing w:after="0" w:line="169"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FDA has complete discretion over the approval of our drug candidates. If the FDA grants approval, the scope of the approval may limit our ability to commercialize such drug, and in turn, limit our ability to generate substantial product revenue. For example, the FDA may grant approval contingent on the performance of costly post-approval clinical trials or subject to warnings or contraindications. Additionally, even after granting approval, the manufacturing processes, labeling, packaging, distribution, adverse event reporting, storage, advertising, promotion and recordkeeping for such drug will be subject to extensive and ongoing regulatory requirements. In addition, manufacturers of our drug candidates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candidates, and these facilities are subject to continual review and periodic inspections by the FDA and other regulatory authorities for compliance</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with cGMP regulations. If we or a third party discover previously unknown problems with a drug, such as adverse events of unanticipated severity or frequency, or problems with the facility where the drug is manufactured, a regulatory authority may impose restrictions on that product, the manufacturer or us, including requiring withdrawal of the drug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206"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 in the United States or in other countries. If we are not able to maintain regulatory compliance, we may not be permitted to market our future products and our business may suffer.</w:t>
      </w:r>
    </w:p>
    <w:p>
      <w:pPr>
        <w:spacing w:after="0" w:line="186"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Reimbursement decisions by third-party payors may have an adverse effect on pricing and market acceptance of any of our drug candidates. If there is not sufficient reimbursement for our future drugs, it is less likely that such drugs will be widely used.</w:t>
      </w:r>
    </w:p>
    <w:p>
      <w:pPr>
        <w:spacing w:after="0" w:line="169"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Market acceptance and sales of any of our drug candidates for which we obtain regulatory approval will depend on reimbursement policies and may be affected by future healthcare reform measures in both the United States and foreign jurisdictions. Government authorities and third-party payors, such as private health insurers and health maintenance organizations, decide which drugs they will cover and establish payment levels. In addition, government authorities and these third-party payors are increasingly attempting to contain health care costs by demanding price discounts or rebates and limiting both the types and variety of drugs that they will cover and the amounts that they will pay for these drugs. In addition, we might need to conduct post-marketing studies in order to demonstrate the cost-effectiveness of any future drugs to such payors' satisfaction. Such studies might require us to commit a significant amount of management time and financial and other resources.</w:t>
      </w:r>
    </w:p>
    <w:p>
      <w:pPr>
        <w:spacing w:after="0" w:line="19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Reimbursement rates may vary according to the use of the drug and the clinical setting in which it is used, may be based on payments allowed for lower-cost products that are already reimbursed, may be incorporated into existing payments for other products or services, and may reflect budgetary constraints and/or imperfections in Medicare or Medicaid data used to calculate these rates. Net prices for drugs may be reduced by mandatory discounts or rebates required by government health care programs. Such legislation, or similar regulatory changes or relaxation of laws that restrict imports of drugs from other countries, could reduce the net price we receive for any future marketed drugs. As a result, our future drugs might not ultimately be considered cost-effective.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00" w:firstLine="348"/>
        <w:spacing w:after="0" w:line="262" w:lineRule="auto"/>
        <w:rPr>
          <w:sz w:val="20"/>
          <w:szCs w:val="20"/>
          <w:color w:val="auto"/>
        </w:rPr>
      </w:pPr>
      <w:r>
        <w:rPr>
          <w:rFonts w:ascii="Times New Roman" w:cs="Times New Roman" w:eastAsia="Times New Roman" w:hAnsi="Times New Roman"/>
          <w:sz w:val="18"/>
          <w:szCs w:val="18"/>
          <w:color w:val="auto"/>
        </w:rPr>
        <w:t>We cannot be certain that reimbursement will be available for any drug candidates that we develop. Also, we cannot be certain that reimbursement policies will not reduce the demand for, or the price paid for, any future drugs. If reimbursement is not available or is available on a limited basis, we may not be able to successfully commercialize any drug candidates that we develop.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could affect the demand for and sales and profitability of any drug candidates that we may commercialize in the future.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general, other factors that could affect the demand for and sales and profitability of our future drugs include, but are not limited to:</w:t>
      </w:r>
    </w:p>
    <w:p>
      <w:pPr>
        <w:spacing w:after="0" w:line="239"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 if any, of competitive drugs;</w:t>
      </w:r>
    </w:p>
    <w:p>
      <w:pPr>
        <w:spacing w:after="0" w:line="252" w:lineRule="exact"/>
        <w:rPr>
          <w:rFonts w:ascii="Times New Roman" w:cs="Times New Roman" w:eastAsia="Times New Roman" w:hAnsi="Times New Roman"/>
          <w:sz w:val="18"/>
          <w:szCs w:val="18"/>
          <w:color w:val="auto"/>
        </w:rPr>
      </w:pPr>
    </w:p>
    <w:p>
      <w:pPr>
        <w:ind w:left="1080" w:right="16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other of our partners' pricing decisions, as applicable, including a decision to increase or decrease the price of a drug, and the pricing decisions of our competitors;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third-party payor reimbursement and coverage decisions that affect the utilization of our future drugs and competing drugs;</w:t>
      </w:r>
    </w:p>
    <w:p>
      <w:pPr>
        <w:spacing w:after="0" w:line="238"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safety or efficacy data from new clinical studies conducted either in the U.S. or internationally by any party could cause the sales of our future drugs to decrease or a future drug to be recalled;</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patent protection afforded our future drugs by patents granted to or licensed by us and by the outcome of litigation involving our or any of our licensor's patents;</w:t>
      </w:r>
    </w:p>
    <w:p>
      <w:pPr>
        <w:spacing w:after="0" w:line="187"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patents of other companies concerning our future drugs or processes related to production and formulation of those drugs or uses of those drugs;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use and development of alternate therapies;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market penetration by competing drugs;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could have a material adverse effect on the sales of any drug candidates that we may commercialize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will prevent us from marketing our products internationally.</w:t>
      </w:r>
    </w:p>
    <w:p>
      <w:pPr>
        <w:spacing w:after="0" w:line="22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plan to seek approval for glembatumumab vedotin in Europe and may seek approval of our other drug candidates outside the United States and may market future products in international markets. In order to market our future products in the European Economic Area, or EEA, and many other foreign jurisdictions, we must obtain separate regulatory approvals. Specifically, in the EEA, medicinal products can only be commercialized after obtaining a Marketing Authorization, or MA.</w:t>
      </w:r>
    </w:p>
    <w:p>
      <w:pPr>
        <w:spacing w:after="0" w:line="190" w:lineRule="exact"/>
        <w:rPr>
          <w:sz w:val="20"/>
          <w:szCs w:val="20"/>
          <w:color w:val="auto"/>
        </w:rPr>
      </w:pPr>
    </w:p>
    <w:p>
      <w:pPr>
        <w:ind w:right="280" w:firstLine="351"/>
        <w:spacing w:after="0" w:line="275" w:lineRule="auto"/>
        <w:rPr>
          <w:sz w:val="20"/>
          <w:szCs w:val="20"/>
          <w:color w:val="auto"/>
        </w:rPr>
      </w:pPr>
      <w:r>
        <w:rPr>
          <w:rFonts w:ascii="Times New Roman" w:cs="Times New Roman" w:eastAsia="Times New Roman" w:hAnsi="Times New Roman"/>
          <w:sz w:val="18"/>
          <w:szCs w:val="18"/>
          <w:color w:val="auto"/>
        </w:rPr>
        <w:t>Before granting the MA, the European Medicines Agency or the competent authorities of the member states of the EEA make an assessment of the risk-benefit balance of the product on the basis of scientific criteria concerning its quality, safety and efficacy.</w:t>
      </w:r>
    </w:p>
    <w:p>
      <w:pPr>
        <w:spacing w:after="0" w:line="174" w:lineRule="exact"/>
        <w:rPr>
          <w:sz w:val="20"/>
          <w:szCs w:val="20"/>
          <w:color w:val="auto"/>
        </w:rPr>
      </w:pPr>
    </w:p>
    <w:p>
      <w:pPr>
        <w:ind w:right="140" w:firstLine="348"/>
        <w:spacing w:after="0" w:line="256"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studies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w:t>
      </w:r>
    </w:p>
    <w:p>
      <w:pPr>
        <w:spacing w:after="0" w:line="1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any approved products outside of the United States, a variety of risks associated with international operations could materially adversely affect our business.</w:t>
      </w:r>
    </w:p>
    <w:p>
      <w:pPr>
        <w:spacing w:after="0" w:line="169" w:lineRule="exact"/>
        <w:rPr>
          <w:sz w:val="20"/>
          <w:szCs w:val="20"/>
          <w:color w:val="auto"/>
        </w:rPr>
      </w:pPr>
    </w:p>
    <w:p>
      <w:pPr>
        <w:ind w:right="440" w:firstLine="351"/>
        <w:spacing w:after="0" w:line="275" w:lineRule="auto"/>
        <w:rPr>
          <w:sz w:val="20"/>
          <w:szCs w:val="20"/>
          <w:color w:val="auto"/>
        </w:rPr>
      </w:pPr>
      <w:r>
        <w:rPr>
          <w:rFonts w:ascii="Times New Roman" w:cs="Times New Roman" w:eastAsia="Times New Roman" w:hAnsi="Times New Roman"/>
          <w:sz w:val="18"/>
          <w:szCs w:val="18"/>
          <w:color w:val="auto"/>
        </w:rPr>
        <w:t>If our drug candidates are approved for commercialization outside of the United States, we expect that we will be subject to additional risks related to international operations and entering into international business relationships, including:</w:t>
      </w:r>
    </w:p>
    <w:p>
      <w:pPr>
        <w:spacing w:after="0" w:line="18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 secret and patent rights;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38" w:lineRule="exact"/>
        <w:rPr>
          <w:rFonts w:ascii="Times New Roman" w:cs="Times New Roman" w:eastAsia="Times New Roman" w:hAnsi="Times New Roman"/>
          <w:sz w:val="18"/>
          <w:szCs w:val="18"/>
          <w:color w:val="auto"/>
        </w:rPr>
      </w:pPr>
    </w:p>
    <w:p>
      <w:pPr>
        <w:ind w:left="1080" w:right="14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workforce uncertainty in countries where employment regulations are different than, and labor unrest is more common than, in the United States;</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38"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hurricanes, floods and fires;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importing and exporting clinical trial materials and study samples.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3" w:lineRule="exact"/>
        <w:rPr>
          <w:sz w:val="20"/>
          <w:szCs w:val="20"/>
          <w:color w:val="auto"/>
        </w:rPr>
      </w:pPr>
    </w:p>
    <w:p>
      <w:pPr>
        <w:ind w:right="8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69"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86"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The significant third parties who we currently rely on for clinical development activities include PPD Development, LLC for clinical studies including our METRIC study. If any of these third parties, including PPD Development, is unable to perform in a quality and timely manner, and at a feasible cost, our clinical studies will face delays. Further, if any of these third parties fails to perform as we expect or if their work fails to meet regulatory standards, our testing could be delayed, cancelled or rendered ineffective.</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 manufacturers over whom we have limited control. Should the cost, delivery and quality of clinical and commercial grade materials manufactured by us in our Fall River facility or supplied by contract manufacturers vary to our disadvantage, our business operations could suffer significant harm.</w:t>
      </w:r>
    </w:p>
    <w:p>
      <w:pPr>
        <w:spacing w:after="0" w:line="183"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limited experience in commercial manufacturing. We rely on CMOs, to manufacture drug substance and drug product for our late-stage clinical studies of glembatumumab vedotin as well as for future commercial supplies. Our ability to conduct late-stage clinical trials, manufacture and commercialize our drug candidates, if regulatory approval is obtained, depends on the ability of such third parties to manufacture our drug candidates on a large scale at a competitive cost and in accordance with cGMP and foreign regulatory requirements, if applicable.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extensive cGMP regulations applicable to such a facility. The commercial manufacturing facility would also need to be licensed for the production of our drug candidates by the FDA.</w:t>
      </w:r>
    </w:p>
    <w:p>
      <w:pPr>
        <w:spacing w:after="0" w:line="195"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For our most advanced programs, we are working with CMOs under established manufacturing arrangements that comply with the FDA's requirements and other regulatory standards, although there is no assurance that the manufacturing will be successful. Prior to approval of any drug candidate, the FDA must review and approve validation studies for drug product. 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 Significant scale-up of manufacturing may result in unanticipated technical challenges and may require additional validation studies that the FDA must review and approve. CMOs may encounter difficulties in scaling up production, including problems involving raw material suppliers, production yields, technical difficulties, scaled-up product characteristics, quality control and assurance, shortage of qualified personnel, capacity constraints, changing priorities within the CMOs, compliance with FDA and foreign regulations, environmental compliance, production costs and development of advanced manufacturing techniques and process controls. Any of these difficulties, if they occur, and are not overcome to the satisfaction of the FDA or other regulatory agency, could lead to significant delays and possibly the termination of the development program for such drug candidate. These risks become more acute as we scale up for commercial quantities, where a reliable source of drug product becomes critical to commercial success. The commercial viability of any of our drug candidates, if approved, will depend on the ability of our contract manufacturers to produce drug product on a large scale. Failure to achieve this level of supply can jeopardize and prevent the successful commercialization of the drug.</w:t>
      </w:r>
    </w:p>
    <w:p>
      <w:pPr>
        <w:spacing w:after="0" w:line="199" w:lineRule="exact"/>
        <w:rPr>
          <w:sz w:val="20"/>
          <w:szCs w:val="20"/>
          <w:color w:val="auto"/>
        </w:rPr>
      </w:pPr>
    </w:p>
    <w:p>
      <w:pPr>
        <w:ind w:right="40" w:firstLine="348"/>
        <w:spacing w:after="0" w:line="291" w:lineRule="auto"/>
        <w:rPr>
          <w:sz w:val="20"/>
          <w:szCs w:val="20"/>
          <w:color w:val="auto"/>
        </w:rPr>
      </w:pPr>
      <w:r>
        <w:rPr>
          <w:rFonts w:ascii="Times New Roman" w:cs="Times New Roman" w:eastAsia="Times New Roman" w:hAnsi="Times New Roman"/>
          <w:sz w:val="16"/>
          <w:szCs w:val="16"/>
          <w:color w:val="auto"/>
        </w:rPr>
        <w:t>To date, we have utilized CMOs for the manufacture of clinical trial supplies of glembatumumab vedotin. In the second half of 2016, we established a relationship with Patheon Biologics in Brisbane to manufacture the glembatumumab vedotin mAb intermediate due to being informed by Lonza Biologics, our previous CMO, that the bioreactors used to manufacture glembatumumab vedotin will be decommissioned and would not be available for commercialization. We also have a relationship with Piramal Healthcare UK Ltd. to manufacture the antibody drug conjugate with the vcMMAE linker-toxin. The drug substance is then filled and packaged at Piramal Lexington or BSP Pharma. We rely on MilliporeSigma for supplying suitable quantities of vcMMAE. Any manufacturing failures or delays by our glembatumumab vedotin contract manufacturers or suppliers of materials could cause delays in our glembatumumab vedotin clinical studies including the METRIC study and/or a BLA filing and, if regulatory approval is obtained, commercial launch of glembatumumab vedotin.</w:t>
      </w:r>
    </w:p>
    <w:p>
      <w:pPr>
        <w:spacing w:after="0" w:line="167"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We also utilize CMOs for the manufacture of varlilumab for global clinical trials and potential commercialization. We have established relationships with Patheon Biologics in St. Louis for the manufacture of varlilumab drug substance and Vetter Pharma for the manufacture of varlilumab drug</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Any manufacturing failures or delays by our varlilumab CMOs could cause delays in our varlilumab clinical studies.</w:t>
      </w:r>
    </w:p>
    <w:p>
      <w:pPr>
        <w:spacing w:after="0" w:line="225"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operate our own cGMP manufacturing facility in Fall River, Massachusetts, to produce drug substance for our current and planned early-stage clinical trials. Our Fall River manufacturing facility has 250L and 1000L bioreactor capacity and is able to manufacture in compliance with FDA regulations, allowing us to distribute potential products to clinical sites in the U.S. for early clinical trials. We currently manufacture CDX-1401, CDX-301, and CDX-1140 drug substance and CDX-014 mAb intermediate in our Fall River facility for our current and planned Phase 1 and Phase 2 clinical trials. CDX-014, an antibody-drug conjugate, is then manufactured by Lonza (Visp). We expect our existing clinical supplies of CDX-3379 and CDX-0158 will be sufficient to carry out our current planned clinical development. Additional manufacturing is under review and may involve utilization of the Fall River facility and/or a CMO. All products are then filled and packaged at contract manufacturers. Any manufacturing failures or compliance issues at contract manufacturers could cause delays in our Phase 1 and Phase 2 clinical studies for these drug candidates.</w:t>
      </w:r>
    </w:p>
    <w:p>
      <w:pPr>
        <w:spacing w:after="0" w:line="192" w:lineRule="exact"/>
        <w:rPr>
          <w:sz w:val="20"/>
          <w:szCs w:val="20"/>
          <w:color w:val="auto"/>
        </w:rPr>
      </w:pPr>
    </w:p>
    <w:p>
      <w:pPr>
        <w:ind w:right="160" w:firstLine="351"/>
        <w:spacing w:after="0" w:line="255" w:lineRule="auto"/>
        <w:rPr>
          <w:sz w:val="20"/>
          <w:szCs w:val="20"/>
          <w:color w:val="auto"/>
        </w:rPr>
      </w:pPr>
      <w:r>
        <w:rPr>
          <w:rFonts w:ascii="Times New Roman" w:cs="Times New Roman" w:eastAsia="Times New Roman" w:hAnsi="Times New Roman"/>
          <w:sz w:val="18"/>
          <w:szCs w:val="18"/>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 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manufacture, sell and deliver products on a timely and competitive basis.</w:t>
      </w:r>
    </w:p>
    <w:p>
      <w:pPr>
        <w:spacing w:after="0" w:line="18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sole suppliers for key components of our drug candidates. Any production problems with our suppliers or other disruptions in the supply of such components could adversely affect us</w:t>
      </w:r>
    </w:p>
    <w:p>
      <w:pPr>
        <w:spacing w:after="0" w:line="169"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currently rely on sole suppliers for key components of our drug candidates, including vcMMAE for glembatumumab vedotin and Hiltonol for CDX-1401. While we work with the suppliers of these key components to ensure continuity of supply, no assurance can be given that these efforts will be successful. In addition, due to regulatory requirements relating to the qualification of suppliers, we may not be able to establish additional or replacement sources on a timely basis or without excessive cost. If our suppliers were to terminate our arrangements or fail to meet our supply needs we might be forced to delay our development programs or we could face disruptions in the distribution and sale of any drugs for which we obtain regulatory approval.</w:t>
      </w:r>
    </w:p>
    <w:p>
      <w:pPr>
        <w:spacing w:after="0" w:line="18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party collaborators to develop and commercialize companion diagnostic tests for certain of our drug candidates, including our lead drug candidate glembatumumab vedotin.</w:t>
      </w:r>
    </w:p>
    <w:p>
      <w:pPr>
        <w:spacing w:after="0" w:line="169"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We do not have experience or capabilities in developing, administering, obtaining regulatory approval for, or commercializing companion diagnostic tests and will need to rely in large part on third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party collaborators to perform these functions. Companion diagnostic tests are subject to regulation by the FDA and similar regulatory authorities outside of the United States as medical devices and require separate regulatory approval prior to commercialization. We are dependent on such third party collaborators to obtain regulatory approval and commercialize such companion diagnostic tests. Such third party collaborators:</w:t>
      </w:r>
    </w:p>
    <w:p>
      <w:pPr>
        <w:spacing w:after="0" w:line="200"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its obligations as expected or as required under our collaboration agreement;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encounter production difficulties that could constrain the supply of the companion diagnostic test;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difficulties gaining acceptance of the use of the companion diagnostic test in the clinical community;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the companion diagnostic test even if they receive any required regulatory approvals;</w:t>
      </w:r>
    </w:p>
    <w:p>
      <w:pPr>
        <w:spacing w:after="0" w:line="252" w:lineRule="exact"/>
        <w:rPr>
          <w:rFonts w:ascii="Times New Roman" w:cs="Times New Roman" w:eastAsia="Times New Roman" w:hAnsi="Times New Roman"/>
          <w:sz w:val="18"/>
          <w:szCs w:val="18"/>
          <w:color w:val="auto"/>
        </w:rPr>
      </w:pPr>
    </w:p>
    <w:p>
      <w:pPr>
        <w:ind w:left="1080" w:right="22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or commercialization of the companion diagnostic test based on changes in the third parties' strategic focus or available funding, or external factors such as an acquisition, that divert resources or create competing priorities;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the companion diagnostic test;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25"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If such third party collaborators fail to develop, obtain regulatory approval or commercialize the companion diagnostic test,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drug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w:t>
      </w:r>
    </w:p>
    <w:p>
      <w:pPr>
        <w:spacing w:after="0" w:line="229"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22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greatly on the intellectual capabilities and experience of our key executives, commercial personnel and scientists and the loss of any of them could affect our ability to develop our products.</w:t>
      </w:r>
    </w:p>
    <w:p>
      <w:pPr>
        <w:spacing w:after="0" w:line="169" w:lineRule="exact"/>
        <w:rPr>
          <w:sz w:val="20"/>
          <w:szCs w:val="20"/>
          <w:color w:val="auto"/>
        </w:rPr>
      </w:pPr>
    </w:p>
    <w:p>
      <w:pPr>
        <w:ind w:right="20" w:firstLine="348"/>
        <w:spacing w:after="0" w:line="252" w:lineRule="auto"/>
        <w:rPr>
          <w:sz w:val="20"/>
          <w:szCs w:val="20"/>
          <w:color w:val="auto"/>
        </w:rPr>
      </w:pPr>
      <w:r>
        <w:rPr>
          <w:rFonts w:ascii="Times New Roman" w:cs="Times New Roman" w:eastAsia="Times New Roman" w:hAnsi="Times New Roman"/>
          <w:sz w:val="18"/>
          <w:szCs w:val="18"/>
          <w:color w:val="auto"/>
        </w:rPr>
        <w:t>The loss of Anthony S. Marucci, our President and Chief Executive Officer, or other executive officers or key members of our staff, including Avery W. Catlin, our Chief Financial Officer, Dr. Thomas Davis, our Chief Medical Officer, Dr. Tibor Keler, our Chief Scientific Officer, Dr. Ronald Pepin, our Chief Business Officer, Dr. Richard Wright, our Chief Commercial Officer, Elizabeth Crowley, our Chief Product Development Officer and Theresa LaVallee, our Senior Vice President, Regulatory and Precision Medicine, could harm us. We entered into employment agreements with Mr. Marucci and each of our executive officers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97"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regulatory and sales and marketing capabilities, and as a result, we may encounter difficulties in managing our growth, which could disrupt our operations.</w:t>
      </w:r>
    </w:p>
    <w:p>
      <w:pPr>
        <w:spacing w:after="0" w:line="169"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expect that if our drug candidates continue to progress in development, we may require significant additional investment in personnel, management systems and resources, particularly in the build out of our commercial capabilities. To date we have hired a core commercial team to plan for potential commercial launches if any of our drug candidates are approved. Over the next several years, we may experience significant growth in the number of our employees and the scope of our operations, particularly in the areas of drug development, regulatory affairs and sales and marketing. To manage this potential future growth, we may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Kolltan's organization is expected to be costly and may divert management's attention away from our operations.</w:t>
      </w:r>
    </w:p>
    <w:p>
      <w:pPr>
        <w:spacing w:after="0" w:line="229"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We are in the process of integrating Kolltan's organization and while we plan such integration to be cash neutral, we expect to incur significant costs integrating Kolltan's operations, facility, products and personnel. Furthermore, successful integration of Kolltan's preclinical and clinical programs, operations, and personnel may place a significant burden on our management and internal resources. The costs of integrating Kolltan's operations with ours and the diversion of management's attention and any difficulties encountered in the transition and integration process could result in delays in the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preclinical and clinical trial programs of Kolltan and/or Celldex and could otherwise harm our business, financial condition and operating results.</w:t>
      </w:r>
    </w:p>
    <w:p>
      <w:pPr>
        <w:spacing w:after="0" w:line="221"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integrate Kolltan's organization, we may not operate efficiently or realize the anticipated benefits of our acquisition of Kolltan.</w:t>
      </w:r>
    </w:p>
    <w:p>
      <w:pPr>
        <w:spacing w:after="0" w:line="169"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the combined company's ability to operate efficiently and to achieve its business objectives, including the successful development of its drug candidates. Achieving the benefits of the merger will depend in part on the successful integration of Kolltan's preclinical and clinical programs, operations and personnel in a timely and efficient manner. If we cannot successfully integrate Kolltan's preclinical and clinical programs, operations and personnel, we may not realize the expected benefits of the merger. The integration process may result in the disruption of each company's ongoing business, an adverse impact on the value of our assets, or inconsistencies in standards, controls, procedures or policies that could adversely affect our ability to comply with reporting obligations as a public company, to satisfy our obligations to third parties or to achieve the anticipated benefits of the merger.</w:t>
      </w:r>
    </w:p>
    <w:p>
      <w:pPr>
        <w:spacing w:after="0" w:line="195" w:lineRule="exact"/>
        <w:rPr>
          <w:sz w:val="20"/>
          <w:szCs w:val="20"/>
          <w:color w:val="auto"/>
        </w:rPr>
      </w:pPr>
    </w:p>
    <w:p>
      <w:pPr>
        <w:ind w:right="320" w:firstLine="341"/>
        <w:spacing w:after="0" w:line="275" w:lineRule="auto"/>
        <w:rPr>
          <w:sz w:val="20"/>
          <w:szCs w:val="20"/>
          <w:color w:val="auto"/>
        </w:rPr>
      </w:pPr>
      <w:r>
        <w:rPr>
          <w:rFonts w:ascii="Times New Roman" w:cs="Times New Roman" w:eastAsia="Times New Roman" w:hAnsi="Times New Roman"/>
          <w:sz w:val="18"/>
          <w:szCs w:val="18"/>
          <w:color w:val="auto"/>
        </w:rPr>
        <w:t>Any delays in the integration process or inability to operate efficiently or to realize the full extent of the anticipated benefits of the merger could have an adverse effect on our business prospects and results of operations.</w:t>
      </w:r>
    </w:p>
    <w:p>
      <w:pPr>
        <w:spacing w:after="0" w:line="170"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have a material adverse effect on our business.</w:t>
      </w:r>
    </w:p>
    <w:p>
      <w:pPr>
        <w:spacing w:after="0" w:line="16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provide accurate information to the FDA, comply with applicable privacy laws,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and launched a Health Care Compliance program,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effect on our business and results of operations, including the imposition of significant fines or other sanctions.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229"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including acquisitions of companies, such as our acquisition of Kolltan in the fourth quarter of 2016, asset purchases and out-licensing or in-licensing of products, drug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could adversely affect our operations and financial results. For example, these transactions may entail numerous operational and financial risks, including:</w:t>
      </w:r>
    </w:p>
    <w:p>
      <w:pPr>
        <w:spacing w:after="0" w:line="262"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52" w:lineRule="exact"/>
        <w:rPr>
          <w:rFonts w:ascii="Times New Roman" w:cs="Times New Roman" w:eastAsia="Times New Roman" w:hAnsi="Times New Roman"/>
          <w:sz w:val="18"/>
          <w:szCs w:val="18"/>
          <w:color w:val="auto"/>
        </w:rPr>
      </w:pPr>
    </w:p>
    <w:p>
      <w:pPr>
        <w:ind w:left="1080" w:right="64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drug candidates or technologies;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ind w:right="640" w:firstLine="341"/>
        <w:spacing w:after="0" w:line="275"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our existing technology or to modify our technologies to create new immunotherapeutic drugs.</w:t>
      </w:r>
    </w:p>
    <w:p>
      <w:pPr>
        <w:spacing w:after="0" w:line="229"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If we are able to integrate our acquired assets, such as Kolltan's drug development programs and TAM technology, and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93"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believe that our immunotherapy technology portfolio may offer opportunities to develop immunotherapeutic drugs that treat a variety of oncology, inflammatory and infectious diseases by stimulating a patient's immune system against those disease organisms. If our immunotherapy technology portfolio cannot be used to create effective immunotherapeutic drugs against a variety of disease organisms, we may lose all or portions of our investment in development efforts for new drug candidates.</w:t>
      </w:r>
    </w:p>
    <w:p>
      <w:pPr>
        <w:spacing w:after="0" w:line="18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CROs, CMOs, or other contractors or consultants, may fail or suffer security breaches, which could result in a material disruption of our drug development programs.</w:t>
      </w:r>
    </w:p>
    <w:p>
      <w:pPr>
        <w:spacing w:after="0" w:line="169"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CMOs and other contractors and consultants are vulnerable to damage from cyberattacks, malicious intrusion, computer viruses, unauthorized access, loss of data privacy, natural disasters, terrorism, war and telecommunication, electrical failures or other significant disruption. If such an event were to occur and cause interruptions in our operations, it could result in a material disruption of our drug development programs and commercialization efforts. For example, the loss of clinical study data from completed or ongoing clinical studies for any of our drug candidates could result in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or commercialization of our drug candidates could be delayed.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requires us to use hazardous materials, which increases our exposure to dangerous and costly accidents.</w:t>
      </w:r>
    </w:p>
    <w:p>
      <w:pPr>
        <w:spacing w:after="0" w:line="22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the risk of product liability claims, which could exceed our insurance coverage, and produce recalls, each of which could deplete our cash resources.</w:t>
      </w:r>
    </w:p>
    <w:p>
      <w:pPr>
        <w:spacing w:after="0" w:line="252"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development of our drug candidates and, if approval is obtained, commercialization of our future drugs.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3"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license technology from other companies to develop products, and those companies could influence research and development or restrict our use of it. In addition, if we fail to comply with our obligations in our intellectual property licenses with third parties, we could lose license rights that are important to our business.</w:t>
      </w:r>
    </w:p>
    <w:p>
      <w:pPr>
        <w:spacing w:after="0" w:line="183" w:lineRule="exact"/>
        <w:rPr>
          <w:sz w:val="20"/>
          <w:szCs w:val="20"/>
          <w:color w:val="auto"/>
        </w:rPr>
      </w:pPr>
    </w:p>
    <w:p>
      <w:pPr>
        <w:ind w:right="140" w:firstLine="351"/>
        <w:spacing w:after="0" w:line="258" w:lineRule="auto"/>
        <w:rPr>
          <w:sz w:val="20"/>
          <w:szCs w:val="20"/>
          <w:color w:val="auto"/>
        </w:rPr>
      </w:pPr>
      <w:r>
        <w:rPr>
          <w:rFonts w:ascii="Times New Roman" w:cs="Times New Roman" w:eastAsia="Times New Roman" w:hAnsi="Times New Roman"/>
          <w:sz w:val="18"/>
          <w:szCs w:val="18"/>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Termination of these licenses or reduction or elimination of our licensed rights may result in our having to negotiate new or reinstated licenses with less favorable terms. Moreover, we may lose our right to market and sell any products based on the licensed technology. The occurrence of such events could materially harm our business.</w:t>
      </w:r>
    </w:p>
    <w:p>
      <w:pPr>
        <w:spacing w:after="0" w:line="189"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develop and, if regulatory approval is obtained, commercialize our drug candidates may be materially adversely affected if we are unable to obtain and maintain effective intellectual property rights for our drug candidates and technologies.</w:t>
      </w:r>
    </w:p>
    <w:p>
      <w:pPr>
        <w:spacing w:after="0" w:line="169" w:lineRule="exact"/>
        <w:rPr>
          <w:sz w:val="20"/>
          <w:szCs w:val="20"/>
          <w:color w:val="auto"/>
        </w:rPr>
      </w:pPr>
    </w:p>
    <w:p>
      <w:pPr>
        <w:ind w:right="300" w:firstLine="351"/>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and other intellectual property protection for our drug candidates and proprietary technology. We have sought to protect our proprietary position by filing patent applications in the United States and abroad related to our drug candidates and technology that are important to our business. This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Our existing patents and any future patents we obtain may not be sufficiently broad to prevent others from using our technologies or from developing competing drugs and technologies.</w:t>
      </w:r>
    </w:p>
    <w:p>
      <w:pPr>
        <w:spacing w:after="0" w:line="193"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or our licensors seek will issue. If such patents are issued,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 For example, in September 2014, two European patent oppositions were filed against the University of Southampton European patent and at a hearing on November 23, 2016 the European Patent Office (EPO) revoked the European patent on the ground of lack of inventive step. We intend to appeal this decision and to defend the European patent vigorously in cooperation with the University of Southampton. This EPO decision does not affect the later filed Celldex patents and applications for varlilumab. We also have an issued U.S. patent which covers varlilumab as a composition of matter.</w:t>
      </w:r>
    </w:p>
    <w:p>
      <w:pPr>
        <w:spacing w:after="0" w:line="193"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86"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69" w:lineRule="exact"/>
        <w:rPr>
          <w:sz w:val="20"/>
          <w:szCs w:val="20"/>
          <w:color w:val="auto"/>
        </w:rPr>
      </w:pPr>
    </w:p>
    <w:p>
      <w:pPr>
        <w:ind w:right="300" w:firstLine="341"/>
        <w:spacing w:after="0" w:line="27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186"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are aware of a third party European patent that relates to use of ErbB3 antibodies for treatment of hyperproliferative disorders, including cancer. A counterpart of this patent has also issued in Japan and Australia. As a result of an opposition proceeding, the European patent was revoked in its entirety. The owner of the European patent has appealed the decision in the opposition proceeding. We do not know if the appeal will succeed, or, if successful, whether the scope of claims, post-appeal, would be relevant to our activities. Should the appeal be successful and a license be necessary for our program that targets ErbB3, we cannot predict whether we would be able to obtain such a license, or, if a license were available, whether it would be available on commercially reasonable terms. If the appeal results in such third party's patents having a valid claim relevant to our use of ErbB3 antibodies and a license under the patents is unavailable on commercially relevant terms, or at all, our ability to commercialize CDX-3379 in Europe may be impaired or delayed. We would vigorously defend ourselves, but we cannot predict whether the patents would be found valid, enforceable or infringed. We continue to monitor counterpart patent applications pending in other jurisdictions, including the United States. While we cannot predict whether claims will issue in these other jurisdictions or whether the scope of such claims would be relevant to our activities, these applications entail comparable risks to us in these other jurisdictions.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protect the confidentiality of our trade secrets, thus harming our business and competitive position.</w:t>
      </w:r>
    </w:p>
    <w:p>
      <w:pPr>
        <w:spacing w:after="0" w:line="229" w:lineRule="exact"/>
        <w:rPr>
          <w:sz w:val="20"/>
          <w:szCs w:val="20"/>
          <w:color w:val="auto"/>
        </w:rPr>
      </w:pPr>
    </w:p>
    <w:p>
      <w:pPr>
        <w:ind w:right="40" w:firstLine="348"/>
        <w:spacing w:after="0" w:line="290" w:lineRule="auto"/>
        <w:rPr>
          <w:sz w:val="20"/>
          <w:szCs w:val="20"/>
          <w:color w:val="auto"/>
        </w:rPr>
      </w:pPr>
      <w:r>
        <w:rPr>
          <w:rFonts w:ascii="Times New Roman" w:cs="Times New Roman" w:eastAsia="Times New Roman" w:hAnsi="Times New Roman"/>
          <w:sz w:val="16"/>
          <w:szCs w:val="16"/>
          <w:color w:val="auto"/>
        </w:rPr>
        <w:t>We rely upon trade secrets, including unpatented know-how, technology and other proprietary information to develop and maintain our competitive position, which we seek to protect, in part, by confidentiality agreements with our employees and our collaborators and consultants. We also have agreements with our employees that obligate them to assign their inventions to us. However, it is possible that technology relevant to our business will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our intellectual property to the same extent as the laws of the United States. If our trade secrets are disclosed or misappropriated, it would harm our ability to protect our rights and have a material adverse effect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which could be expensive, time-consuming and unsuccessful.</w:t>
      </w:r>
    </w:p>
    <w:p>
      <w:pPr>
        <w:spacing w:after="0" w:line="229"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To counter infringement or unauthorized use, we may be required to file infringement claims, which can be expensive and time-consuming. In addition, in an infringement proceeding, a court may decide that a patent of ours is invalid or unenforceable, or may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69"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drug candidates and technology. Third parties may assert infringement claims against us based on existing patents or patents that may be granted in the future. If we are found to infringe a third-party's intellectual property rights, we could be required to obtain a license from such third-party to continue developing our drug candidates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developing the infringing technology or product. In addition, we could be found liable for monetary damages. Claims that we have misappropriated the confidential information or trade secrets of third parties can have a similar negative impact on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229" w:lineRule="exact"/>
        <w:rPr>
          <w:sz w:val="20"/>
          <w:szCs w:val="20"/>
          <w:color w:val="auto"/>
        </w:rPr>
      </w:pPr>
    </w:p>
    <w:p>
      <w:pPr>
        <w:ind w:right="140" w:firstLine="348"/>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diagnostic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3"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processes and systems are not compliant with regulatory requirements, we could be subject to delays in submitting BLAs, NDAs or restrictions on marketing of drugs after they have been approved.</w:t>
      </w:r>
    </w:p>
    <w:p>
      <w:pPr>
        <w:spacing w:after="0" w:line="16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currently are developing drug candidates for regulatory approval and are in the process of implementing regulated processes and systems required to obtain and maintain regulatory approval for our drug candidates. Certain of these processes and systems for conducting clinical trials and manufacturing material must be compliant with regulatory requirements before we can apply for regulatory approval for our drug candidates. These processes and systems will be subject to continual review and periodic inspection by the FDA and other regulatory bodies. If we are unable to achieve compliance in a timely fashion, or if compliance issues are identified at any point in the development and approval process, we may experience delays in filing for regulatory approval for our drug candidates, or delays in obtaining regulatory approval after filing. In addition, any later discovery of previously unknown problems or safety issues with approved drugs or manufacturing processes, or failure to comply with regulatory requirements, may result in restrictions on such drugs or manufacturing processes, withdrawal of drugs from the market, the imposition of civil or criminal penalties or a refusal by the FDA and/or other regulatory bodies to approve pending applications for marketing approval of new drugs or supplements to approved applications, any of which could have a material adverse effect on our business. In addition, we are a party to agreements that transfer</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responsibility for complying with specified regulatory requirements, such as filing and maintenance of marketing authorizations and safety reporting or compliance with manufacturing requirements, to our collaborators and third-party manufacturers. If our collaborators or third-party manufacturers do not fulfill these regulatory obligations, any drugs for which we or they obtain approval may be subject to later restrictions on manufacturing or sale, or may even risk withdrawal, which could have a material adverse effect on our business.</w:t>
      </w:r>
    </w:p>
    <w:p>
      <w:pPr>
        <w:spacing w:after="0" w:line="18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drug candidate, we will be subject to ongoing regulatory obligations and continued regulatory review, which may result in significant additional expense and subject us to penalties if we fail to comply with applicable regulatory requirements.</w:t>
      </w:r>
    </w:p>
    <w:p>
      <w:pPr>
        <w:spacing w:after="0" w:line="169"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Once regulatory approval has been granted, the approved product and its manufacturer are subject to continual review by the FDA and/or non-U.S. regulatory authorities. Any regulatory approval that we or our collaboration partners receive for our drug candidates may be subject to limitations on the indicated uses for which the product may be marketed or contain requirements for potentially costly post-marketing follow-up studies to monitor the safety and efficacy of the product. In addition, if the FDA and/or non-U.S. regulatory authorities approve any of our drug candidates, we will be subject to extensive and ongoing regulatory requirements by the FDA and other regulatory authorities with regard to the labeling, packaging, adverse event reporting, storage, advertising, promotion and recordkeeping for our products. In addition, manufacturers of our drug products are required to comply with cGMP regulations, which include requirements related to quality control and quality assurance as well as the corresponding maintenance of records and documentation. Further, regulatory authorities must inspect and approve these manufacturing facilities before they can be used to manufacture our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 If we, our drug candidates or the manufacturing facilities for our drug candidates fail to comply with regulatory requirements of the FDA and/or other non-U.S. regulatory authorities, we could be subject to administrative or judicially imposed sanctions, including the following:</w:t>
      </w:r>
    </w:p>
    <w:p>
      <w:pPr>
        <w:spacing w:after="0" w:line="212"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drugs or import bans.</w:t>
      </w:r>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The regulatory requirements and policies may change and additional government regulations may be enacted for which we may also be required to comply. We cannot predict the likelihood, nature or extent of government regulation that may arise from future legislation or administrative action, either</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in the United States or in other countries. If we are not able to maintain regulatory compliance, we may not be permitted to market our future products and our business may suffer.</w:t>
      </w:r>
    </w:p>
    <w:p>
      <w:pPr>
        <w:spacing w:after="0" w:line="17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6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If we obtain FDA approval for any of our drug candidates and begin commercializing those products in the United States, our operations may be directly, or indirectly through our customers, subject to various federal and state fraud and abuse laws, including, without limitation, the federal Anti-Kickback Statute and the federal False Claims Act. These laws may affect,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06" w:lineRule="exact"/>
        <w:rPr>
          <w:sz w:val="20"/>
          <w:szCs w:val="20"/>
          <w:color w:val="auto"/>
        </w:rPr>
      </w:pPr>
    </w:p>
    <w:p>
      <w:pPr>
        <w:ind w:left="108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213" w:lineRule="exact"/>
        <w:rPr>
          <w:rFonts w:ascii="Times New Roman" w:cs="Times New Roman" w:eastAsia="Times New Roman" w:hAnsi="Times New Roman"/>
          <w:sz w:val="18"/>
          <w:szCs w:val="18"/>
          <w:color w:val="auto"/>
        </w:rPr>
      </w:pPr>
    </w:p>
    <w:p>
      <w:pPr>
        <w:jc w:val="both"/>
        <w:ind w:left="1080" w:right="38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99" w:lineRule="exact"/>
        <w:rPr>
          <w:rFonts w:ascii="Times New Roman" w:cs="Times New Roman" w:eastAsia="Times New Roman" w:hAnsi="Times New Roman"/>
          <w:sz w:val="18"/>
          <w:szCs w:val="18"/>
          <w:color w:val="auto"/>
        </w:rPr>
      </w:pPr>
    </w:p>
    <w:p>
      <w:pPr>
        <w:ind w:left="1080" w:right="360" w:hanging="532"/>
        <w:spacing w:after="0" w:line="275"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187" w:lineRule="exact"/>
        <w:rPr>
          <w:rFonts w:ascii="Times New Roman" w:cs="Times New Roman" w:eastAsia="Times New Roman" w:hAnsi="Times New Roman"/>
          <w:sz w:val="18"/>
          <w:szCs w:val="18"/>
          <w:color w:val="auto"/>
        </w:rPr>
      </w:pPr>
    </w:p>
    <w:p>
      <w:pPr>
        <w:ind w:left="1080" w:right="60" w:hanging="532"/>
        <w:spacing w:after="0" w:line="339" w:lineRule="auto"/>
        <w:tabs>
          <w:tab w:leader="none" w:pos="10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w:t>
      </w:r>
    </w:p>
    <w:p>
      <w:pPr>
        <w:spacing w:after="0" w:line="155" w:lineRule="exact"/>
        <w:rPr>
          <w:rFonts w:ascii="Times New Roman" w:cs="Times New Roman" w:eastAsia="Times New Roman" w:hAnsi="Times New Roman"/>
          <w:sz w:val="16"/>
          <w:szCs w:val="16"/>
          <w:color w:val="auto"/>
        </w:rPr>
      </w:pPr>
    </w:p>
    <w:p>
      <w:pPr>
        <w:ind w:left="1080" w:right="200" w:hanging="532"/>
        <w:spacing w:after="0" w:line="26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99"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and foreign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190" w:lineRule="exact"/>
        <w:rPr>
          <w:sz w:val="20"/>
          <w:szCs w:val="20"/>
          <w:color w:val="auto"/>
        </w:rPr>
      </w:pPr>
    </w:p>
    <w:p>
      <w:pPr>
        <w:ind w:right="60" w:firstLine="341"/>
        <w:spacing w:after="0" w:line="256"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the risks cannot be entirely eliminated. 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of which could adversely affect our ability to operate our business and our results of operations. Moreover, achieving and sustaining compliance with applicable federal and state privacy, security and fraud laws may prove costly.</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Compliance with laws and regulations pertaining to the privacy and security of health information may be time consuming, difficult and costly, particularly in light of increased focus on privacy issues in countries around the world, including the U.S. and the EU.</w:t>
      </w:r>
    </w:p>
    <w:p>
      <w:pPr>
        <w:spacing w:after="0" w:line="169" w:lineRule="exact"/>
        <w:rPr>
          <w:sz w:val="20"/>
          <w:szCs w:val="20"/>
          <w:color w:val="auto"/>
        </w:rPr>
      </w:pPr>
    </w:p>
    <w:p>
      <w:pPr>
        <w:ind w:right="80" w:firstLine="348"/>
        <w:spacing w:after="0" w:line="253" w:lineRule="auto"/>
        <w:rPr>
          <w:sz w:val="20"/>
          <w:szCs w:val="20"/>
          <w:color w:val="auto"/>
        </w:rPr>
      </w:pPr>
      <w:r>
        <w:rPr>
          <w:rFonts w:ascii="Times New Roman" w:cs="Times New Roman" w:eastAsia="Times New Roman" w:hAnsi="Times New Roman"/>
          <w:sz w:val="18"/>
          <w:szCs w:val="18"/>
          <w:color w:val="auto"/>
        </w:rPr>
        <w:t>We are subject to various domestic and international privacy and security regulations. The confidentiality, collection, use and disclosure of personal data, including clinical trial patient-specific information, are subject to governmental regulation generally in the country that the personal data were collected or used. In the United States were are subject to various state and federal privacy and data security regulations, including but not limited to HIPAA, and as amended in 2014 by the HITECH Act. HIPAA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In the EU personal data includes any information that relates to an identified or identifiable natural person with health information carrying additional obligations, including obtaining the explicit consent from the individual for collection, use or disclosure of the information. In addition, we are subject to EU rules with respect to cross-border transfers of such data out of the EU. Furthermore, the legislative and regulatory landscape for privacy and data protection continues to evolve, and there has been an increasing amount of focus on privacy and data protection issues. The United States and the EU and its member states continue to issue new privacy and data protection rules and regulations that relate to personal data and health information.</w:t>
      </w:r>
    </w:p>
    <w:p>
      <w:pPr>
        <w:spacing w:after="0" w:line="193" w:lineRule="exact"/>
        <w:rPr>
          <w:sz w:val="20"/>
          <w:szCs w:val="20"/>
          <w:color w:val="auto"/>
        </w:rPr>
      </w:pPr>
    </w:p>
    <w:p>
      <w:pPr>
        <w:jc w:val="both"/>
        <w:ind w:right="100" w:firstLine="351"/>
        <w:spacing w:after="0" w:line="262" w:lineRule="auto"/>
        <w:rPr>
          <w:sz w:val="20"/>
          <w:szCs w:val="20"/>
          <w:color w:val="auto"/>
        </w:rPr>
      </w:pPr>
      <w:r>
        <w:rPr>
          <w:rFonts w:ascii="Times New Roman" w:cs="Times New Roman" w:eastAsia="Times New Roman" w:hAnsi="Times New Roman"/>
          <w:sz w:val="18"/>
          <w:szCs w:val="18"/>
          <w:color w:val="auto"/>
        </w:rPr>
        <w:t>Compliance with these laws may be time consuming, difficult and costly. If we fail to comply with applicable laws, regulations or duties relating to the use, privacy or security of personal data we could be subject to the imposition of significant civil and criminal penalties, be forced to alter our business practices and suffer reputational harm.</w:t>
      </w:r>
    </w:p>
    <w:p>
      <w:pPr>
        <w:spacing w:after="0" w:line="18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including government restrictions on pricing and reimbursement, as well as healthcare policy and other healthcare payor cost-containment initiatives, may have a material adverse effect on us.</w:t>
      </w:r>
    </w:p>
    <w:p>
      <w:pPr>
        <w:spacing w:after="0" w:line="16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of 2010, as amended by the Health Care and Education Reconciliation Act of 2010, or collectively PPACA, became law in the United States. PPACA substantially changed the way healthcare is financed by both governmental and private insurers and significantly affects the pharmaceutical industry. PPACA aims to, among other things, expand coverage for the uninsured while at the same time containing overall healthcare costs. Many provisions of PPACA may impact the biopharmaceutical industry, including that in order for a biopharmaceutical product to receive federal reimbursement under the Medicare Part B and Medicaid programs or to be sold directly to U.S. government agencies, the manufacturer must extend discounts to entities eligible to participate in the drug pricing program under the Public Health Services Act, or PHS. The required PHS discount on a given product is calculated based on the Average Manufacturers Price, or AMP, and Medicaid rebate amounts reported by the manufacturer. PPACA expanded the types of entities eligible to receive discounted PHS pricing, although, under the current state of the law, with the exception of children's hospitals, these newly eligible entities will not be eligible to receive discounted PHS pricing on orphan drugs when used for the orphan indication. In addition, as PHS drug pricing is determined based on AMP and Medicaid rebate data, revisions, including the recently published AMP rule, to the Medicaid rebate formula and AMP definition described above could cause the required PHS discount to increase.</w:t>
      </w:r>
    </w:p>
    <w:p>
      <w:pPr>
        <w:spacing w:after="0" w:line="193"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PPACA. In January 2017, Congress voted to adopt a budget resolution for fiscal year 2017, or the Budget Resolution, that authorizes the implementation of legislation that would repeal portions of PPACA. The Budget Resolution is not a law; however, it is widely viewed as the first step toward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passage of legislation that would repeal certain aspects of PPACA. Further, on January 20, 2017, President Trump signed an Executive Order directing federal agencies with authorities and responsibilities under PPACA to waive, defer, grant exemptions from, or delay the implementation of any provision of PPACA that would impose a fiscal or regulatory burden on states, individuals, healthcare providers, health insurers, or manufacturers of pharmaceuticals or medical devices. Congress also could consider subsequent legislation to replace elements of PPACA that are repealed. Because of the continued uncertainty about the implementation of PPACA, including the potential for further legal challenges or repeal of PPACA, we cannot quantify or predict with any certainty the likely impact of the PPACA or its repeal on our business, prospects, financial condition or results of operations.</w:t>
      </w:r>
    </w:p>
    <w:p>
      <w:pPr>
        <w:spacing w:after="0" w:line="193"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also been proposed and adopted since PPACA was enacted. The Budget Control Act of 2011,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includes a 2% reduction in Medicare provider payments paid under Medicare Part B to physicians for physician-administered drugs, which went into effect in April 2013 and, following passage of the Bipartisan Budget Act of 2015, will remain in effect through 2025 unless additional congressional action is taken. The American Taxpayer Relief Act of 2012, among other things, reduced Medicare payments to several providers and increased the statute of limitations period for the government to recover overpayments to providers from three to five years. In addition, legislation has been proposed to shorten the period of biologic data and market exclusivity granted by the FDA.</w:t>
      </w:r>
    </w:p>
    <w:p>
      <w:pPr>
        <w:spacing w:after="0" w:line="192"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We also expect ongoing initiatives to increase pressure on drug pricing. For example, President Trump has indicated support for possible new measures related to drug pricing. We cannot assure you as to the ultimate content, timing, or effect of changes, nor is it possible at this time to estimate the impact of any such potential legislation; however, such changes or the ultimate impact of changes could negatively affect our revenue or sales of any drug candidates for which we obtain approval in the future.</w:t>
      </w:r>
    </w:p>
    <w:p>
      <w:pPr>
        <w:spacing w:after="0" w:line="190"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We cannot be sure whether additional legislative changes will be enacted, or whether FDA regulations, guidance or interpretations will be changed, or what the impact of such changes (or in some instances current regulations, guidance or interpretations) on the marketing approvals of our product candidates, if any, may be.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history of losses and uncertainty of future profitability make our common stock a highly speculative investment.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have had no commercial revenue to date from sales of our drug candidates. We had an accumulated deficit of $719.5 million as of December 31, 2016.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spend substantial funds to continue the research and development testing of our drug candidates.</w:t>
      </w:r>
    </w:p>
    <w:p>
      <w:pPr>
        <w:spacing w:after="0" w:line="213" w:lineRule="exact"/>
        <w:rPr>
          <w:sz w:val="20"/>
          <w:szCs w:val="20"/>
          <w:color w:val="auto"/>
        </w:rPr>
      </w:pPr>
    </w:p>
    <w:p>
      <w:pPr>
        <w:ind w:right="320" w:firstLine="351"/>
        <w:spacing w:after="0" w:line="258" w:lineRule="auto"/>
        <w:rPr>
          <w:sz w:val="20"/>
          <w:szCs w:val="20"/>
          <w:color w:val="auto"/>
        </w:rPr>
      </w:pPr>
      <w:r>
        <w:rPr>
          <w:rFonts w:ascii="Times New Roman" w:cs="Times New Roman" w:eastAsia="Times New Roman" w:hAnsi="Times New Roman"/>
          <w:sz w:val="18"/>
          <w:szCs w:val="18"/>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drug candidates receive FDA approval. We cannot predict how quickly our lead drug candidates will progress through the regulatory approval process. As a result, we may continue to lose money for several years.</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and could remain volatile.</w:t>
      </w:r>
    </w:p>
    <w:p>
      <w:pPr>
        <w:spacing w:after="0" w:line="229"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market price of our common stock has historically experienced and may continue to experience significant volatility. From January 2016 through December 2016, the market price of our common stock has fluctuated from a high of $15.61 per share in the first quarter of 2016, to a low of $2.85 per share in the fourth quarter of 2016.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 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Adverse changes to the price of our common stock could result in an impairment to the amount recorded to goodwill on our balance sheet.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197"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certain preclinical and clinical milestones are achieved, our stockholders may experience significant dilution as a result of milestone payments to former Kolltan stockholders.</w:t>
      </w:r>
    </w:p>
    <w:p>
      <w:pPr>
        <w:spacing w:after="0" w:line="169"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color w:val="auto"/>
        </w:rPr>
        <w:t>The merger agreement pursuant to which we acquired Kolltan provides that, in the event that certain specified preclinical and clinical development milestones related to Kolltan's development programs and/or Celldex's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NASDAQ listing requirements and provisions of the merger Agreement. The number of shares of our common stock issuable in connection with a milestone payment, if any, will be determined based on the average closing price per share of our common stock for the five trading day period ending three calendar days prior to the achievement of such milestone. Pursuant to applicable NASDAQ listing rules, we are required to obtain stockholder approval of such issuances of our common stock to the extent that such issuances exceed 19.9% of its common stock outstanding prior to the merger. If we elect to issue additional shares of our common stock, in lieu of paying cash, for such milestone payments, our stockholders may experience significant dilution.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will be subject to limitation and, under certain circumstances, may be eliminated.</w:t>
      </w:r>
    </w:p>
    <w:p>
      <w:pPr>
        <w:spacing w:after="0" w:line="229" w:lineRule="exact"/>
        <w:rPr>
          <w:sz w:val="20"/>
          <w:szCs w:val="20"/>
          <w:color w:val="auto"/>
        </w:rPr>
      </w:pPr>
    </w:p>
    <w:p>
      <w:pPr>
        <w:ind w:right="80" w:firstLine="351"/>
        <w:spacing w:after="0" w:line="258" w:lineRule="auto"/>
        <w:rPr>
          <w:sz w:val="20"/>
          <w:szCs w:val="20"/>
          <w:color w:val="auto"/>
        </w:rPr>
      </w:pPr>
      <w:r>
        <w:rPr>
          <w:rFonts w:ascii="Times New Roman" w:cs="Times New Roman" w:eastAsia="Times New Roman" w:hAnsi="Times New Roman"/>
          <w:sz w:val="18"/>
          <w:szCs w:val="18"/>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October 2007, June 2009, December 2009 and December 2013,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these ownership changes, utilization of our Federal net operating loss carryforwards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92"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have not undertaken a study to assess whether an ownership change or multiple ownership changes has occurred for (i) AVANT, CuraGen or Kolltan prior to our acquisitions, (ii) the Company on the state level, (iii) the Company since March 2015,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 to Note 15, "Income Taxes," in the accompanying notes to the financial statements for additional discussion on income taxes.</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2016 our significant leased properties are described below.</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Property Location</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60" w:type="dxa"/>
            <w:vAlign w:val="bottom"/>
          </w:tcPr>
          <w:p>
            <w:pPr>
              <w:spacing w:after="0"/>
              <w:rPr>
                <w:sz w:val="14"/>
                <w:szCs w:val="14"/>
                <w:color w:val="auto"/>
              </w:rPr>
            </w:pPr>
          </w:p>
        </w:tc>
        <w:tc>
          <w:tcPr>
            <w:tcW w:w="284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Hampton, New Jersey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49,600</w:t>
            </w:r>
          </w:p>
        </w:tc>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Headquarters, Office and Laboratory</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Needham, Massachusetts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46,700</w:t>
            </w:r>
          </w:p>
        </w:tc>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Office and Laboratory</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July 2020(2)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Fall River, Massachusetts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Facility</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July 2020(3)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Haven, Connecticut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Office and Laboratory</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April 2019(4)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Branford, Connecticut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w:t>
            </w:r>
          </w:p>
        </w:tc>
        <w:tc>
          <w:tcPr>
            <w:tcW w:w="3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Office</w:t>
            </w:r>
          </w:p>
        </w:tc>
        <w:tc>
          <w:tcPr>
            <w:tcW w:w="1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2019(5)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two renewal options of five years each.</w:t>
      </w:r>
    </w:p>
    <w:p>
      <w:pPr>
        <w:spacing w:after="0" w:line="25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two renewal options of five years each.</w:t>
      </w:r>
    </w:p>
    <w:p>
      <w:pPr>
        <w:spacing w:after="0" w:line="238"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two renewal options of five years each.</w:t>
      </w:r>
    </w:p>
    <w:p>
      <w:pPr>
        <w:spacing w:after="0" w:line="238"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one renewal option of two years.</w:t>
      </w:r>
    </w:p>
    <w:p>
      <w:pPr>
        <w:spacing w:after="0" w:line="25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includes two renewal options of three years. Lease also includes provision for early termination with 12 months notice.</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2"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right="40" w:firstLine="341"/>
        <w:spacing w:after="0" w:line="262" w:lineRule="auto"/>
        <w:rPr>
          <w:sz w:val="20"/>
          <w:szCs w:val="20"/>
          <w:color w:val="auto"/>
        </w:rPr>
      </w:pPr>
      <w:r>
        <w:rPr>
          <w:rFonts w:ascii="Times New Roman" w:cs="Times New Roman" w:eastAsia="Times New Roman" w:hAnsi="Times New Roman"/>
          <w:sz w:val="18"/>
          <w:szCs w:val="18"/>
          <w:color w:val="auto"/>
        </w:rPr>
        <w:t>As of March 6, 2017, there were approximately 356 shareholders of record of our common stock. On March 6, 2017 the closing price of our common stock, as reported by NASDAQ, was $3.81 per share. We have not paid any dividends on our common stock since our inception and do not intend to pay any dividends in the foreseeable future.</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THEAPEUTICS, INC., NASDAQ MARKET INDEX—U.S. AND</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PEER GROUP INDICES</w:t>
      </w:r>
    </w:p>
    <w:p>
      <w:pPr>
        <w:spacing w:after="0" w:line="213"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common stock for the period from December 31, 2011 through December 31, 2016, with the cumulative return on (i) NASDAQ U.S. Benchmark TR Index and (ii) NASDAQ Pharmaceutical (Subsector) Index. The comparison assumes investment of $100 on December 31, 2011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130175</wp:posOffset>
            </wp:positionV>
            <wp:extent cx="4244975" cy="28301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4497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85"/>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Celldex Therapeutics, Inc.</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Pharmaceutical (Subsector) Index</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7" w:lineRule="exact"/>
        <w:rPr>
          <w:sz w:val="20"/>
          <w:szCs w:val="20"/>
          <w:color w:val="auto"/>
        </w:rPr>
      </w:pPr>
    </w:p>
    <w:p>
      <w:pPr>
        <w:ind w:right="180" w:firstLine="341"/>
        <w:spacing w:after="0" w:line="296" w:lineRule="auto"/>
        <w:rPr>
          <w:sz w:val="20"/>
          <w:szCs w:val="20"/>
          <w:color w:val="auto"/>
        </w:rPr>
      </w:pPr>
      <w:r>
        <w:rPr>
          <w:rFonts w:ascii="Times New Roman" w:cs="Times New Roman" w:eastAsia="Times New Roman" w:hAnsi="Times New Roman"/>
          <w:sz w:val="16"/>
          <w:szCs w:val="16"/>
          <w:color w:val="auto"/>
        </w:rPr>
        <w:t>As more fully discussed in Note 17 to the Financial Statements and Supplementary Data in Item 8 of this Annual Report, effective November 29, 2016, the Company acquired Kolltan in accordance with the Agreement and Plan of Merger dated as of November 1, 2016 (the "Merger Agreement"). Under the terms of the Merger Agreement, Kolltan's investors received, in exchange for their share and debt interests in Kolltan, an aggregate of 18,257,996 shares of Celldex's common stock. All of the preceding shares were issued in reliance upon an exemption from the registration requirements of the Securities Act of 1933, as amended, provided by Section 4(a)(2) thereof or Regulation D thereunder because the issuance did not involve a public offering.</w:t>
      </w:r>
    </w:p>
    <w:p>
      <w:pPr>
        <w:spacing w:after="0" w:line="1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7" w:lineRule="exact"/>
        <w:rPr>
          <w:sz w:val="20"/>
          <w:szCs w:val="20"/>
          <w:color w:val="auto"/>
        </w:rPr>
      </w:pPr>
    </w:p>
    <w:p>
      <w:pPr>
        <w:ind w:right="200" w:firstLine="348"/>
        <w:spacing w:after="0" w:line="258" w:lineRule="auto"/>
        <w:rPr>
          <w:sz w:val="20"/>
          <w:szCs w:val="20"/>
          <w:color w:val="auto"/>
        </w:rPr>
      </w:pPr>
      <w:r>
        <w:rPr>
          <w:rFonts w:ascii="Times New Roman" w:cs="Times New Roman" w:eastAsia="Times New Roman" w:hAnsi="Times New Roman"/>
          <w:sz w:val="18"/>
          <w:szCs w:val="18"/>
          <w:color w:val="auto"/>
        </w:rPr>
        <w:t>The following selected financial data are derived from our financial statements. The statement of operations data for the years ended December 31, 2016, 2015 and 2014 and the balance sheet data as of December 31, 2016 and 2015 have been derived from our audited financial statements included in Item 8 of this Annual Report on Form 10-K. This data should be read in conjunction with our audited financial statements and related notes which are included elsewhere in this Annual Report 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and "Management's Discussion and Analysis of Financial Condition and Results of Operations" included in Item 7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STATEMENTS OF OPERATIONS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Product Royalties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Royalty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34,850</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Operating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139,702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135,021</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126,016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85,553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69,279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(129,541)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(58,077)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(1,576)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(128,530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120" w:type="dxa"/>
            <w:vAlign w:val="bottom"/>
          </w:tcPr>
          <w:p>
            <w:pPr>
              <w:jc w:val="right"/>
              <w:ind w:right="27"/>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(81,550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(59,123</w:t>
            </w:r>
          </w:p>
        </w:tc>
        <w:tc>
          <w:tcPr>
            <w:tcW w:w="160" w:type="dxa"/>
            <w:vAlign w:val="bottom"/>
          </w:tcPr>
          <w:p>
            <w:pPr>
              <w:jc w:val="right"/>
              <w:ind w:right="82"/>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8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shd w:val="clear" w:color="auto" w:fill="CCEEFF"/>
          </w:tcPr>
          <w:p>
            <w:pPr>
              <w:jc w:val="right"/>
              <w:ind w:right="27"/>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2"/>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ind w:left="1140"/>
              <w:spacing w:after="0"/>
              <w:rPr>
                <w:sz w:val="20"/>
                <w:szCs w:val="20"/>
                <w:color w:val="auto"/>
              </w:rPr>
            </w:pPr>
            <w:r>
              <w:rPr>
                <w:rFonts w:ascii="Times New Roman" w:cs="Times New Roman" w:eastAsia="Times New Roman" w:hAnsi="Times New Roman"/>
                <w:sz w:val="18"/>
                <w:szCs w:val="18"/>
                <w:color w:val="auto"/>
                <w:w w:val="99"/>
              </w:rPr>
              <w:t>Shares Used in Calculating Basic and Diluted Net Loss</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 Common Share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101,529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97,051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89,399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57,713</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1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160,346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264,696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180,494</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284,839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383,358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337,584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248,014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347,095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(719,486)</w:t>
            </w:r>
          </w:p>
        </w:tc>
        <w:tc>
          <w:tcPr>
            <w:tcW w:w="1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(590,956)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(463,759)</w:t>
            </w:r>
          </w:p>
        </w:tc>
        <w:tc>
          <w:tcPr>
            <w:tcW w:w="1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(345,679)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w w:val="99"/>
              </w:rPr>
              <w:t>(264,129)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265,431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290,105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211,660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319,795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95,774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7"/>
        </w:trPr>
        <w:tc>
          <w:tcPr>
            <w:tcW w:w="12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current assets less total current liabilities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several immunotherapy technologies and other cancer-targeting biologics. Our drug candidates, including antibodies, antibody-drug conjugates and other protein-based therapeutics, are derived from a broad set of complementary technologies which have the ability to engage the human immune system and/or directly inhibit tumors to treat specific types of cancer or other diseases.</w:t>
      </w:r>
    </w:p>
    <w:p>
      <w:pPr>
        <w:spacing w:after="0" w:line="190" w:lineRule="exact"/>
        <w:rPr>
          <w:sz w:val="20"/>
          <w:szCs w:val="20"/>
          <w:color w:val="auto"/>
        </w:rPr>
      </w:pPr>
    </w:p>
    <w:p>
      <w:pPr>
        <w:ind w:right="100" w:firstLine="351"/>
        <w:spacing w:after="0" w:line="287" w:lineRule="auto"/>
        <w:rPr>
          <w:sz w:val="20"/>
          <w:szCs w:val="20"/>
          <w:color w:val="auto"/>
        </w:rPr>
      </w:pPr>
      <w:r>
        <w:rPr>
          <w:rFonts w:ascii="Times New Roman" w:cs="Times New Roman" w:eastAsia="Times New Roman" w:hAnsi="Times New Roman"/>
          <w:sz w:val="16"/>
          <w:szCs w:val="16"/>
          <w:color w:val="auto"/>
        </w:rPr>
        <w:t>Our latest stage drug candidate, glembatumumab vedotin (also referred to as CDX-011) is a targeted antibody-drug conjugate in a randomized, Phase 2b study for the treatment of triple negative breast cancer and a Phase 2 study for the treatment of metastatic melanoma. Varlilumab (also referred to as CDX-1127) is an immune modulating antibody that is designed to enhance a patient's immune response against cancer. We established proof of principal in a Phase 1 study with varlilumab, which supported the initiation of several combination studies in various indications. We also have a number of earlier stage drug candidates in clinical development, including CDX-1401, a targeted immunotherapeutic aimed at antigen presenting cells, or APCs, for cancer indications; CDX-301, an immune cell mobilizing agent and dendritic cell growth factor; and CDX-014, an antibody-drug conjugate targeting renal and ovarian cancers. In November 2016, we completed the acquisition of Kolltan Pharmaceuticals, Inc. (Kolltan), a privately held company focused on the discovery and development of novel, antibody-based drugs targeting receptor tyrosine kinases (RTKs). This acquisition added the following drug candidates to our clinical pipeline: CDX-0158 (formerly KTN0158), a humanized monoclonal antibody (mAb) currently in a Phase 1 dose escalation study in refractory gastrointestinal stromal tumors (GIST) and other KIT positive tumors; and, CDX-3379 (formerly KTN3379; MEDI3379), a human monoclonal antibody which recently completed a Phase 1b study in patients with solid tumors. We also acquired the TAM program, a broad antibody discovery effort to generate antibodies that modulate the TAM family of RTKs, comprised of Tyro3, AXL and MerTK, which are expressed on tumor-infiltrating macrophages, dendritic cells and some tumors. Our drug candidates address market opportunities for which we believe current cancer therapies are inadequate or non-existent.</w:t>
      </w:r>
    </w:p>
    <w:p>
      <w:pPr>
        <w:spacing w:after="0" w:line="385"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reflects Celldex-sponsored clinical studies that we are actively pursuing at this time. All programs are currently fully-owned by Celldex.</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240" w:type="dxa"/>
            <w:vAlign w:val="bottom"/>
          </w:tcPr>
          <w:p>
            <w:pPr>
              <w:spacing w:after="0"/>
              <w:rPr>
                <w:sz w:val="14"/>
                <w:szCs w:val="14"/>
                <w:color w:val="auto"/>
              </w:rPr>
            </w:pPr>
          </w:p>
        </w:tc>
        <w:tc>
          <w:tcPr>
            <w:tcW w:w="402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160" w:type="dxa"/>
            <w:vAlign w:val="bottom"/>
          </w:tcPr>
          <w:p>
            <w:pPr>
              <w:spacing w:after="0"/>
              <w:rPr>
                <w:sz w:val="14"/>
                <w:szCs w:val="14"/>
                <w:color w:val="auto"/>
              </w:rPr>
            </w:pPr>
          </w:p>
        </w:tc>
        <w:tc>
          <w:tcPr>
            <w:tcW w:w="18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Triple negative breast cancer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Phase 2b</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Metastatic melanoma (with varlilumab or CPI*)</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Varlilumab</w:t>
            </w: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Multiple solid tumors (with nivolumab)</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CDX-0158</w:t>
            </w:r>
          </w:p>
        </w:tc>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Gastrointestinal and other KIT-postive tumors</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Phase 1</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CDX-3379</w:t>
            </w:r>
          </w:p>
        </w:tc>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Multiple solid tumors (in combination regimens)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1</w:t>
            </w:r>
          </w:p>
        </w:tc>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CDX-014</w:t>
            </w:r>
          </w:p>
        </w:tc>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Renal cell carcinoma</w:t>
            </w: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Phase 1</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Celldex</w:t>
            </w: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1"/>
        <w:spacing w:after="0"/>
        <w:tabs>
          <w:tab w:leader="none" w:pos="1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checkpoint inhibitor</w:t>
      </w:r>
    </w:p>
    <w:p>
      <w:pPr>
        <w:spacing w:after="0" w:line="254" w:lineRule="exact"/>
        <w:rPr>
          <w:sz w:val="20"/>
          <w:szCs w:val="20"/>
          <w:color w:val="auto"/>
        </w:rPr>
      </w:pPr>
    </w:p>
    <w:p>
      <w:pPr>
        <w:ind w:left="1680" w:hanging="531"/>
        <w:spacing w:after="0"/>
        <w:tabs>
          <w:tab w:leader="none" w:pos="1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BMS collaboration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We also routinely work with external parties, such as government agencies, to collaboratively advance our drug candidates. The following pipeline reflects clinical trials of our drug candidates being actively pursued by outside organizations. In addition to the studies listed below, we also have an Investigator Initiated Research (IIR) program with seven studies ongoing with our drug candidates and additional studies currently under consideration.</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3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Product (generic)</w:t>
            </w:r>
          </w:p>
        </w:tc>
        <w:tc>
          <w:tcPr>
            <w:tcW w:w="1580" w:type="dxa"/>
            <w:vAlign w:val="bottom"/>
          </w:tcPr>
          <w:p>
            <w:pPr>
              <w:spacing w:after="0"/>
              <w:rPr>
                <w:sz w:val="14"/>
                <w:szCs w:val="14"/>
                <w:color w:val="auto"/>
              </w:rPr>
            </w:pPr>
          </w:p>
        </w:tc>
        <w:tc>
          <w:tcPr>
            <w:tcW w:w="206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Indication/Field</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Status</w:t>
            </w:r>
          </w:p>
        </w:tc>
        <w:tc>
          <w:tcPr>
            <w:tcW w:w="16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Sponsor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36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Uveal melanoma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1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NCI (CRADA)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Glembatumumab vedotin</w:t>
            </w:r>
          </w:p>
        </w:tc>
        <w:tc>
          <w:tcPr>
            <w:tcW w:w="36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Squamous cell lung cancer</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PrECOG,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CDX-1401/CDX-301</w:t>
            </w:r>
          </w:p>
        </w:tc>
        <w:tc>
          <w:tcPr>
            <w:tcW w:w="364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Multiple solid tumors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Phase 2</w:t>
            </w:r>
          </w:p>
        </w:tc>
        <w:tc>
          <w:tcPr>
            <w:tcW w:w="1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CITN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Estimated</w:t>
            </w:r>
          </w:p>
        </w:tc>
      </w:tr>
      <w:tr>
        <w:trPr>
          <w:trHeight w:val="149"/>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Completion</w:t>
            </w:r>
          </w:p>
        </w:tc>
      </w:tr>
      <w:tr>
        <w:trPr>
          <w:trHeight w:val="165"/>
        </w:trPr>
        <w:tc>
          <w:tcPr>
            <w:tcW w:w="7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Period</w:t>
            </w:r>
          </w:p>
        </w:tc>
      </w:tr>
      <w:tr>
        <w:trPr>
          <w:trHeight w:val="210"/>
        </w:trPr>
        <w:tc>
          <w:tcPr>
            <w:tcW w:w="20" w:type="dxa"/>
            <w:vAlign w:val="bottom"/>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63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1 - 2 Years</w:t>
            </w: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1 - 5 Years</w:t>
            </w: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1 - 5 Years</w:t>
            </w:r>
          </w:p>
        </w:tc>
      </w:tr>
    </w:tbl>
    <w:p>
      <w:pPr>
        <w:spacing w:after="0" w:line="202"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87"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6" w:lineRule="exact"/>
        <w:rPr>
          <w:sz w:val="20"/>
          <w:szCs w:val="20"/>
          <w:color w:val="auto"/>
        </w:rPr>
      </w:pPr>
    </w:p>
    <w:p>
      <w:pPr>
        <w:ind w:right="380" w:firstLine="341"/>
        <w:spacing w:after="0" w:line="262" w:lineRule="auto"/>
        <w:rPr>
          <w:sz w:val="20"/>
          <w:szCs w:val="20"/>
          <w:color w:val="auto"/>
        </w:rPr>
      </w:pPr>
      <w:r>
        <w:rPr>
          <w:rFonts w:ascii="Times New Roman" w:cs="Times New Roman" w:eastAsia="Times New Roman" w:hAnsi="Times New Roman"/>
          <w:sz w:val="18"/>
          <w:szCs w:val="18"/>
          <w:color w:val="auto"/>
        </w:rPr>
        <w:t>An element of our business strategy is to pursue the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51"/>
        <w:spacing w:after="0" w:line="255"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3" w:lineRule="exact"/>
        <w:rPr>
          <w:sz w:val="20"/>
          <w:szCs w:val="20"/>
          <w:color w:val="auto"/>
        </w:rPr>
      </w:pPr>
    </w:p>
    <w:p>
      <w:pPr>
        <w:ind w:right="20" w:firstLine="341"/>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3" w:lineRule="exact"/>
        <w:rPr>
          <w:sz w:val="20"/>
          <w:szCs w:val="20"/>
          <w:color w:val="auto"/>
        </w:rPr>
      </w:pPr>
    </w:p>
    <w:p>
      <w:pPr>
        <w:jc w:val="both"/>
        <w:ind w:right="200" w:firstLine="351"/>
        <w:spacing w:after="0" w:line="258" w:lineRule="auto"/>
        <w:rPr>
          <w:sz w:val="20"/>
          <w:szCs w:val="20"/>
          <w:color w:val="auto"/>
        </w:rPr>
      </w:pPr>
      <w:r>
        <w:rPr>
          <w:rFonts w:ascii="Times New Roman" w:cs="Times New Roman" w:eastAsia="Times New Roman" w:hAnsi="Times New Roman"/>
          <w:sz w:val="18"/>
          <w:szCs w:val="18"/>
          <w:color w:val="auto"/>
        </w:rPr>
        <w:t>During the past five years through December 31, 2016, we incurred an aggregate of $422.1 million in research and development expenses. The following table indicates the amount incurred for each of our significant research programs and for other identified research and development activities during the years ended December 31, 2016, 2015 and 2014. The amounts disclosed in the following table reflect direct research and development costs, license fees associated with the underlying technology and an allocation of indirect research and development costs to each program.</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5"/>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3"/>
              </w:rPr>
              <w:t>December 31, 2014</w:t>
            </w:r>
          </w:p>
        </w:tc>
      </w:tr>
      <w:tr>
        <w:trPr>
          <w:trHeight w:val="142"/>
        </w:trPr>
        <w:tc>
          <w:tcPr>
            <w:tcW w:w="3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Glembatumumab vedotin</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26,907</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Varlilumab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9,459</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CDX-3379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CDX-014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3,722</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CDX-1401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4,144</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CDX-301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CDX-1140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Rintega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52,861</w:t>
            </w:r>
          </w:p>
        </w:tc>
      </w:tr>
      <w:tr>
        <w:trPr>
          <w:trHeight w:val="216"/>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Programs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6,050</w:t>
            </w: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100,171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104,381</w:t>
            </w:r>
          </w:p>
        </w:tc>
        <w:tc>
          <w:tcPr>
            <w:tcW w:w="1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previously disclosed, it is our intention to integrate Kolltan without increasing our planned cash burn for 2017. Following the addition of the Kolltan programs, we undertook a full review of our pipeline and associated programs to identify priority areas that we believe have the highest probability of potentially impacting disease while also identifying areas for improved efficiency and cost savings. The adjustments are reflected in the following clinical pipeline program update.</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Glembatumumab Vedotin</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Glembatumumab vedotin is an antibody-drug conjugate, or ADC, that consists of a fully human monoclonal antibody, CR011, linked to a potent cell-killing drug, monomethyl auristatin E, or MMAE. The CR011 antibody specifically targets glycoprotein NMB, referred to as gpNMB that is over-expressed in a variety of cancers including breast cancer, melanoma, non-small cell lung cancer, uveal melanoma and osteosarcoma, among others.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Glembatumumab vedotin is being studied across multiple indications in company-sponsored trials and in collaborative studies with external parties. The Food and Drug Administration, or FDA, has granted Fast Track designation to glembatumumab vedotin for the treatment of advanced, refractory/resistant gpNMB-expressing breast cancer. A companion diagnostic is in development for certain indications, and we expect that, if necessary, such a companion diagnostic must be approved by the FDA or certain other foreign regulatory agencies before glembatumumab vedotin may be commercialized in those indications.</w:t>
      </w:r>
    </w:p>
    <w:p>
      <w:pPr>
        <w:spacing w:after="0" w:line="167" w:lineRule="exact"/>
        <w:rPr>
          <w:sz w:val="20"/>
          <w:szCs w:val="20"/>
          <w:color w:val="auto"/>
        </w:rPr>
      </w:pPr>
    </w:p>
    <w:p>
      <w:pPr>
        <w:ind w:right="20" w:firstLine="3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Treatment of Metastatic Breast Cancer: </w:t>
      </w:r>
      <w:r>
        <w:rPr>
          <w:rFonts w:ascii="Times New Roman" w:cs="Times New Roman" w:eastAsia="Times New Roman" w:hAnsi="Times New Roman"/>
          <w:sz w:val="18"/>
          <w:szCs w:val="18"/>
          <w:color w:val="auto"/>
        </w:rPr>
        <w:t>The Phase 1/2 study of glembatumumab vedotin administered intravenously once every three weeks evaluated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patients with locally advanced or metastatic breast cancer (MBC) who had received prior therapy (median of seven prior regimens). Results were published in the </w:t>
      </w:r>
      <w:r>
        <w:rPr>
          <w:rFonts w:ascii="Times New Roman" w:cs="Times New Roman" w:eastAsia="Times New Roman" w:hAnsi="Times New Roman"/>
          <w:sz w:val="18"/>
          <w:szCs w:val="18"/>
          <w:i w:val="1"/>
          <w:iCs w:val="1"/>
          <w:color w:val="auto"/>
        </w:rPr>
        <w:t xml:space="preserve">Journal of Clinical Oncology </w:t>
      </w:r>
      <w:r>
        <w:rPr>
          <w:rFonts w:ascii="Times New Roman" w:cs="Times New Roman" w:eastAsia="Times New Roman" w:hAnsi="Times New Roman"/>
          <w:sz w:val="18"/>
          <w:szCs w:val="18"/>
          <w:color w:val="auto"/>
        </w:rPr>
        <w:t>in September 2014. The study began with a bridging phase to confirm the maximum tolerated dose, or MTD, and then expanded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 Phase 2 open-label, multi-center study. The study supported an acceptable safety profile of glembatumumab vedotin at the pre-defined maximum dose level (1.88 mg/kg) in 6 patients. An additional 28 patients with MBC were enrolled in an expanded Phase 2 cohort (for a total of 34 treated patients at 1.88 mg/kg, the Phase 2 dose) to evaluate the progression-free survival (PFS) rate at 12 weeks. The 1.88 mg/kg dose exhibited an acceptable safety profile in this patient population with the most common adverse events being rash, neuropathy and fatigue. The primary anti-cancer activity endpoint, which called for at least 5 of 25 (20%) patients in the Phase 2 study portion to be progression-free at 12 weeks, was met as 9 of 27 (33%) evaluable patients were progression-free at 12 weeks. For all patients treated at the Phase 2 dose, median PFS was 9.1 weeks.</w:t>
      </w:r>
    </w:p>
    <w:p>
      <w:pPr>
        <w:spacing w:after="0" w:line="199" w:lineRule="exact"/>
        <w:rPr>
          <w:sz w:val="20"/>
          <w:szCs w:val="20"/>
          <w:color w:val="auto"/>
        </w:rPr>
      </w:pPr>
    </w:p>
    <w:p>
      <w:pPr>
        <w:ind w:right="120" w:firstLine="341"/>
        <w:spacing w:after="0" w:line="258" w:lineRule="auto"/>
        <w:rPr>
          <w:sz w:val="20"/>
          <w:szCs w:val="20"/>
          <w:color w:val="auto"/>
        </w:rPr>
      </w:pPr>
      <w:r>
        <w:rPr>
          <w:rFonts w:ascii="Times New Roman" w:cs="Times New Roman" w:eastAsia="Times New Roman" w:hAnsi="Times New Roman"/>
          <w:sz w:val="18"/>
          <w:szCs w:val="18"/>
          <w:color w:val="auto"/>
        </w:rPr>
        <w:t>A subset of 10 patients had "triple negative disease," a more aggressive metastatic breast cancer subtype that carries a high risk of relapse and reduced survival as well as limited therapeutic options. In these patients, the 12-week PFS rate was 60% (6/10), and median PFS was 17.9 weeks. Tumor samples from a subset of patients across all dose groups were analyzed for gpNMB expression. The tumor samples from most patients showed evidence of stromal and/or tumor cell expression of gpNMB.</w:t>
      </w:r>
    </w:p>
    <w:p>
      <w:pPr>
        <w:spacing w:after="0" w:line="190"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 xml:space="preserve">The subsequent EMERGE study was a randomized, multi-center Phase 2b study of glembatumumab vedotin in 124 patients with heavily pre-treated, advanced, gpNMB-positive breast cancer. Results from EMERGE were published in the </w:t>
      </w:r>
      <w:r>
        <w:rPr>
          <w:rFonts w:ascii="Times New Roman" w:cs="Times New Roman" w:eastAsia="Times New Roman" w:hAnsi="Times New Roman"/>
          <w:sz w:val="18"/>
          <w:szCs w:val="18"/>
          <w:i w:val="1"/>
          <w:iCs w:val="1"/>
          <w:color w:val="auto"/>
        </w:rPr>
        <w:t>Journal of Clinical Oncology</w:t>
      </w:r>
      <w:r>
        <w:rPr>
          <w:rFonts w:ascii="Times New Roman" w:cs="Times New Roman" w:eastAsia="Times New Roman" w:hAnsi="Times New Roman"/>
          <w:sz w:val="18"/>
          <w:szCs w:val="18"/>
          <w:color w:val="auto"/>
        </w:rPr>
        <w:t xml:space="preserve"> in April 2015. Patients were randomized (2:1) to receive either glembatumumab vedotin or single-agent Investigator's Choice chemotherapy. Patients randomized to receive Investigator's Choice were allowed to cross over to receive glembatumumab vedotin following disease progression. Activity endpoints included response rate, PFS and overall survival (OS). The final study results, as shown below, suggested that glembatumumab vedotin induced significant response rates compared to currently available therapies in patient subsets with advanced, refractory breast cancers with high gpNMB expression (expression in at least 25% of tumor cells) and in patients with triple negative breast cancer. The OS and PFS of patients treated with glembatumumab vedotin were also observed to be greatest in patients with high gpNMB expression and, in particular, in patients with triple negative breast cancer who also had high gpNMB expression.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EMERGE: Overall Response Rate and Disease Control Data (Intent-to-Treat Population)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Triple Negative</w:t>
            </w: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and gpNMB</w:t>
            </w: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High gpNMB Expression</w:t>
            </w:r>
          </w:p>
        </w:tc>
        <w:tc>
          <w:tcPr>
            <w:tcW w:w="2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Over-Expression</w:t>
            </w:r>
          </w:p>
        </w:tc>
      </w:tr>
      <w:tr>
        <w:trPr>
          <w:trHeight w:val="12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9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Investigator's</w:t>
            </w:r>
          </w:p>
        </w:tc>
        <w:tc>
          <w:tcPr>
            <w:tcW w:w="24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94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Investigator's</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Choice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Choice</w:t>
            </w: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(n=23)</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1"/>
              </w:rPr>
              <w:t>(n=11)</w:t>
            </w:r>
          </w:p>
        </w:tc>
        <w:tc>
          <w:tcPr>
            <w:tcW w:w="24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(n=10)</w:t>
            </w:r>
          </w:p>
        </w:tc>
        <w:tc>
          <w:tcPr>
            <w:tcW w:w="2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(n=6)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Response Rate</w:t>
            </w:r>
          </w:p>
        </w:tc>
        <w:tc>
          <w:tcPr>
            <w:tcW w:w="1440" w:type="dxa"/>
            <w:vAlign w:val="bottom"/>
            <w:gridSpan w:val="2"/>
            <w:shd w:val="clear" w:color="auto" w:fill="CCEEFF"/>
          </w:tcPr>
          <w:p>
            <w:pPr>
              <w:jc w:val="center"/>
              <w:ind w:left="846"/>
              <w:spacing w:after="0"/>
              <w:rPr>
                <w:sz w:val="20"/>
                <w:szCs w:val="20"/>
                <w:color w:val="auto"/>
              </w:rPr>
            </w:pPr>
            <w:r>
              <w:rPr>
                <w:rFonts w:ascii="Times New Roman" w:cs="Times New Roman" w:eastAsia="Times New Roman" w:hAnsi="Times New Roman"/>
                <w:sz w:val="18"/>
                <w:szCs w:val="18"/>
                <w:color w:val="auto"/>
                <w:w w:val="96"/>
              </w:rPr>
              <w:t>30%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center"/>
              <w:ind w:left="847"/>
              <w:spacing w:after="0"/>
              <w:rPr>
                <w:sz w:val="20"/>
                <w:szCs w:val="20"/>
                <w:color w:val="auto"/>
              </w:rPr>
            </w:pPr>
            <w:r>
              <w:rPr>
                <w:rFonts w:ascii="Times New Roman" w:cs="Times New Roman" w:eastAsia="Times New Roman" w:hAnsi="Times New Roman"/>
                <w:sz w:val="18"/>
                <w:szCs w:val="18"/>
                <w:color w:val="auto"/>
                <w:w w:val="96"/>
              </w:rPr>
              <w:t>40%</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28"/>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Disease Control Rate</w:t>
            </w:r>
          </w:p>
        </w:tc>
        <w:tc>
          <w:tcPr>
            <w:tcW w:w="1440" w:type="dxa"/>
            <w:vAlign w:val="bottom"/>
            <w:gridSpan w:val="2"/>
          </w:tcPr>
          <w:p>
            <w:pPr>
              <w:jc w:val="center"/>
              <w:ind w:left="846"/>
              <w:spacing w:after="0"/>
              <w:rPr>
                <w:sz w:val="20"/>
                <w:szCs w:val="20"/>
                <w:color w:val="auto"/>
              </w:rPr>
            </w:pPr>
            <w:r>
              <w:rPr>
                <w:rFonts w:ascii="Times New Roman" w:cs="Times New Roman" w:eastAsia="Times New Roman" w:hAnsi="Times New Roman"/>
                <w:sz w:val="18"/>
                <w:szCs w:val="18"/>
                <w:color w:val="auto"/>
                <w:w w:val="96"/>
              </w:rPr>
              <w:t>65%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gridSpan w:val="2"/>
          </w:tcPr>
          <w:p>
            <w:pPr>
              <w:jc w:val="center"/>
              <w:ind w:left="847"/>
              <w:spacing w:after="0"/>
              <w:rPr>
                <w:sz w:val="20"/>
                <w:szCs w:val="20"/>
                <w:color w:val="auto"/>
              </w:rPr>
            </w:pPr>
            <w:r>
              <w:rPr>
                <w:rFonts w:ascii="Times New Roman" w:cs="Times New Roman" w:eastAsia="Times New Roman" w:hAnsi="Times New Roman"/>
                <w:sz w:val="18"/>
                <w:szCs w:val="18"/>
                <w:color w:val="auto"/>
                <w:w w:val="96"/>
              </w:rPr>
              <w:t>90%</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96"/>
        </w:trPr>
        <w:tc>
          <w:tcPr>
            <w:tcW w:w="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i w:val="1"/>
          <w:iCs w:val="1"/>
          <w:color w:val="auto"/>
        </w:rPr>
        <w:t>Tumor response assessed by RECIST 1.1, inclusive of response observed at a single time point.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EMERGE: Progression Free Survival (PFS) and Overall Survival (OS) Data</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Triple Negative</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 gpNMB</w:t>
            </w:r>
          </w:p>
        </w:tc>
      </w:tr>
      <w:tr>
        <w:trPr>
          <w:trHeight w:val="165"/>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80" w:type="dxa"/>
            <w:vAlign w:val="bottom"/>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High gpNMB Expression</w:t>
            </w:r>
          </w:p>
        </w:tc>
        <w:tc>
          <w:tcPr>
            <w:tcW w:w="240" w:type="dxa"/>
            <w:vAlign w:val="bottom"/>
          </w:tcPr>
          <w:p>
            <w:pPr>
              <w:spacing w:after="0"/>
              <w:rPr>
                <w:sz w:val="14"/>
                <w:szCs w:val="14"/>
                <w:color w:val="auto"/>
              </w:rPr>
            </w:pPr>
          </w:p>
        </w:tc>
        <w:tc>
          <w:tcPr>
            <w:tcW w:w="24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Over-Expression</w:t>
            </w:r>
          </w:p>
        </w:tc>
      </w:tr>
      <w:tr>
        <w:trPr>
          <w:trHeight w:val="125"/>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rPr>
              <w:t>Investigator's</w:t>
            </w:r>
          </w:p>
        </w:tc>
        <w:tc>
          <w:tcPr>
            <w:tcW w:w="2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Glembatumumab</w:t>
            </w: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2"/>
              <w:spacing w:after="0" w:line="125" w:lineRule="exact"/>
              <w:rPr>
                <w:sz w:val="20"/>
                <w:szCs w:val="20"/>
                <w:color w:val="auto"/>
              </w:rPr>
            </w:pPr>
            <w:r>
              <w:rPr>
                <w:rFonts w:ascii="Times New Roman" w:cs="Times New Roman" w:eastAsia="Times New Roman" w:hAnsi="Times New Roman"/>
                <w:sz w:val="14"/>
                <w:szCs w:val="14"/>
                <w:b w:val="1"/>
                <w:bCs w:val="1"/>
                <w:color w:val="auto"/>
              </w:rPr>
              <w:t>Investigator's</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Vedotin</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Vedotin</w:t>
            </w:r>
          </w:p>
        </w:tc>
        <w:tc>
          <w:tcPr>
            <w:tcW w:w="240" w:type="dxa"/>
            <w:vAlign w:val="bottom"/>
          </w:tcPr>
          <w:p>
            <w:pPr>
              <w:spacing w:after="0"/>
              <w:rPr>
                <w:sz w:val="14"/>
                <w:szCs w:val="14"/>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Choice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PFS (months)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7"/>
              </w:rPr>
              <w:t>3.5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p=0.18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p=0.0017</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OS (months)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5"/>
              </w:rPr>
              <w:t>10.0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p=0.31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p=0.003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89" w:lineRule="exact"/>
        <w:rPr>
          <w:sz w:val="20"/>
          <w:szCs w:val="20"/>
          <w:color w:val="auto"/>
        </w:rPr>
      </w:pPr>
    </w:p>
    <w:p>
      <w:pPr>
        <w:ind w:right="60" w:firstLine="351"/>
        <w:spacing w:after="0" w:line="252" w:lineRule="auto"/>
        <w:rPr>
          <w:sz w:val="20"/>
          <w:szCs w:val="20"/>
          <w:color w:val="auto"/>
        </w:rPr>
      </w:pPr>
      <w:r>
        <w:rPr>
          <w:rFonts w:ascii="Times New Roman" w:cs="Times New Roman" w:eastAsia="Times New Roman" w:hAnsi="Times New Roman"/>
          <w:sz w:val="18"/>
          <w:szCs w:val="18"/>
          <w:color w:val="auto"/>
        </w:rPr>
        <w:t>In December 2013, we initiated METRIC, a randomized, controlled Phase 2b study of glembatumumab vedotin in patients with triple negative breast cancer that over-expresses gpNMB. Clinical trial study sites are open to enrollment across the U.S., Canada, Australia and the European Union. The METRIC protocol was amended in late 2014 based on feedback from clinical investigators conducting the study that the eligibility criteria for study entry were limiting their ability to enroll patients they felt were clinically appropriate. In addition, we had spoken to country-specific members of the European Medicines Agency, or EMA, and believed an opportunity existed to expand the study into the EU. The amendment expanded patient entry criteria to position it for the possibility of full marketing approval with global regulators, including the EMA, and to support improved enrollment in the study. The primary endpoint of the study is PFS as PFS is an established endpoint for full approval registration studies in this patient population in both the U.S. and the EU. The sample size (n=300) and the secondary endpoint of OS remained unchanged. Since implementation of these changes, both the FDA and central European regulatory authorities have reviewed the protocol design, and we believe the METRIC study could potentially support marketing approval in both the U.S. and Europe dependent upon data results and review. Based on consistent improvements in enrollment trends to the METRIC study over the last several months, we anticipate that study enrollment will be completed by the end of September 2017. Efforts to ensure delivery of manufactured drug that is ready for commercialization and a companion diagnostic, including partnering with a diagnostic company, are underway.</w:t>
      </w:r>
    </w:p>
    <w:p>
      <w:pPr>
        <w:spacing w:after="0" w:line="199" w:lineRule="exact"/>
        <w:rPr>
          <w:sz w:val="20"/>
          <w:szCs w:val="20"/>
          <w:color w:val="auto"/>
        </w:rPr>
      </w:pPr>
    </w:p>
    <w:p>
      <w:pPr>
        <w:jc w:val="both"/>
        <w:ind w:firstLine="348"/>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Treatment of Metastatic Melanoma: </w:t>
      </w:r>
      <w:r>
        <w:rPr>
          <w:rFonts w:ascii="Times New Roman" w:cs="Times New Roman" w:eastAsia="Times New Roman" w:hAnsi="Times New Roman"/>
          <w:sz w:val="16"/>
          <w:szCs w:val="16"/>
          <w:color w:val="auto"/>
        </w:rPr>
        <w:t>The Phase 1/2 open-label, multi-center, dose escalation study evaluated the safety, tolerability and pharmacokinetics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glembatumumab vedotin in 117 patients with unresectable stage III or IV melanoma who had failed no more than one prior line of cytotoxic therapy. The MTD and resulting Phase 2 dose was determined to be 1.88 mg/kg administered intravenously once every three weeks. The study achieved its primary activity objective with an overall response rate (ORR) in the Phase 2 cohort of 15% (5/34). Median PFS was 3.3 months for patients treated with the Phase 2 dose.</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Glembatumumab vedotin was generally well tolerated, with the most frequent treatment-related adverse events being rash, fatigue, alopecia, pruritus, diarrhea and nausea.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development of rash, which may be associated with the presence of gpNMB in the skin, also seemed to correlate with greater PFS.</w:t>
      </w:r>
    </w:p>
    <w:p>
      <w:pPr>
        <w:spacing w:after="0" w:line="225"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In December 2014, we initiated a single arm, single-agent, open-label Phase 2 study of glembatumumab vedotin in patients with unresectable stage III or IV melanoma (n=60) and enrollment has been completed. In May 2016, we amended the protocol to add a second cohort of patients to a glembatumumab vedotin and varlilumab combination arm to assess the potential clinical benefit of the combination and to explore varlilumab's potential biologic and immunologic effect when combined with an ADC. In November 2016, we amended the protocol again to add a third cohort of patients evaluating glembatumumab vedotin in combination with an approved checkpoint inhibitor (i.e., nivolumab or pembrolizumab) following progression on the checkpoint inhibitor alone. Both additional cohorts are open to enrollment. The primary endpoint for each cohort is ORR. Secondary endpoints include analyses of PFS, duration of response, OS, retrospective investigation of whether the anti-cancer activity of glembatumumab vedotin is dependent upon the degree of gpNMB expression in tumor tissue and safety of both the monotherapy and combination regimens.</w:t>
      </w:r>
    </w:p>
    <w:p>
      <w:pPr>
        <w:spacing w:after="0" w:line="192" w:lineRule="exact"/>
        <w:rPr>
          <w:sz w:val="20"/>
          <w:szCs w:val="20"/>
          <w:color w:val="auto"/>
        </w:rPr>
      </w:pPr>
    </w:p>
    <w:p>
      <w:pPr>
        <w:ind w:right="40" w:firstLine="348"/>
        <w:spacing w:after="0" w:line="289" w:lineRule="auto"/>
        <w:rPr>
          <w:sz w:val="20"/>
          <w:szCs w:val="20"/>
          <w:color w:val="auto"/>
        </w:rPr>
      </w:pPr>
      <w:r>
        <w:rPr>
          <w:rFonts w:ascii="Times New Roman" w:cs="Times New Roman" w:eastAsia="Times New Roman" w:hAnsi="Times New Roman"/>
          <w:sz w:val="16"/>
          <w:szCs w:val="16"/>
          <w:color w:val="auto"/>
        </w:rPr>
        <w:t>We presented data from the single-agent cohort at the European Society for Medical Oncology (ESMO) Congress in October 2016. The cohort enrolled 62 evaluable patients with unresectable stage III (n=1; 2%) or stage IV (n=61; 98%) melanoma. All patients had progressed after checkpoint inhibitor therapy, and almost all patients had received both ipilimumab (n=58; 94%) and anti-PD-1/anti-PDL-1 (n=58; 94%) therapy. Twelve patients presented with BRAF mutation, and eleven had prior treatment with BRAF or BRAF/MEK targeted agents. The primary endpoint of the cohort (6 or more objective responses in the first 52 patients enrolled) was exceeded. Seven of 62 (11%) patients experienced a confirmed response, and an additional three patients also experienced single timepoint responses. The median duration of response was 6.0 months. A 52% disease control rate (patients without progression for greater than three months) was demonstrated and median PFS for all patients was 4.4 months. In addition, patients who experienced rash in the first cycle of treatment had a 20% confirmed response rate and a more prolonged PFS of 5.5 months [p=0.054; hazard rating=0.52 (0.27, 1.02)]. We also intend to conduct exploratory analyses of pre-entry skin biopsies in future patients to investigate potential predictors of response to glembatumumab vedotin, given the potential association of rash and outcome.</w:t>
      </w:r>
    </w:p>
    <w:p>
      <w:pPr>
        <w:spacing w:after="0" w:line="165" w:lineRule="exact"/>
        <w:rPr>
          <w:sz w:val="20"/>
          <w:szCs w:val="20"/>
          <w:color w:val="auto"/>
        </w:rPr>
      </w:pPr>
    </w:p>
    <w:p>
      <w:pPr>
        <w:ind w:firstLine="348"/>
        <w:spacing w:after="0" w:line="289" w:lineRule="auto"/>
        <w:rPr>
          <w:sz w:val="20"/>
          <w:szCs w:val="20"/>
          <w:color w:val="auto"/>
        </w:rPr>
      </w:pPr>
      <w:r>
        <w:rPr>
          <w:rFonts w:ascii="Times New Roman" w:cs="Times New Roman" w:eastAsia="Times New Roman" w:hAnsi="Times New Roman"/>
          <w:sz w:val="16"/>
          <w:szCs w:val="16"/>
          <w:b w:val="1"/>
          <w:bCs w:val="1"/>
          <w:color w:val="auto"/>
        </w:rPr>
        <w:t xml:space="preserve">Treatment of Other Indications: </w:t>
      </w:r>
      <w:r>
        <w:rPr>
          <w:rFonts w:ascii="Times New Roman" w:cs="Times New Roman" w:eastAsia="Times New Roman" w:hAnsi="Times New Roman"/>
          <w:sz w:val="16"/>
          <w:szCs w:val="16"/>
          <w:color w:val="auto"/>
        </w:rPr>
        <w:t>We have entered into a collaborative relationship with PrECOG, LLC, which represents a research network established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Eastern Cooperative Oncology Group (ECOG), under which PrECOG, LLC, is conducting an open-label Phase 1/2 study in patients with unresectable stage IIIB or IV, gpNMB-expressing, advanced or metastatic squamous cell carcinoma (SCC) of the lung, who have progressed on prior platinum-based chemotherapy. This study opened to enrollment in April 2016. The study includes a dose-escalation phase followed by a two-stage Phase 2 portion (Simon two-stage design). The Phase 1, dose-escalation portion of the study will assess the safety and tolerability of glembatumumab vedotin at the current dose of 1.9 mg/kg and then 2.2 mg/kg in order to determine whether higher dosing is feasible in this population. The first stage of the Phase 2 portion plans to enroll approximately 20 patients, and if at least two patients achieve a partial response or complete response, a second stage may enroll an additional 15 patients. The primary objective of the Phase 2 portion of the study is to assess the anti-tumor activity of glembatumumab vedotin in squamous cell lung cancer as measured by ORR. Secondary objectives of the study include analyses of safety and tolerability and further assessment of anti-tumor activity across a broad range of endpoints.</w:t>
      </w:r>
    </w:p>
    <w:p>
      <w:pPr>
        <w:spacing w:after="0" w:line="169"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have also entered into a Cooperative Research and Development Agreement, or CRADA, with the National Cancer Institute, or NCI, under which NCI is sponsoring two studies of glembatumumab vedotin—one in uveal melanoma and one in osteosarcoma. The uveal melanoma study is a single-arm, open-label study in patients with locally recurrent or metastatic uveal melanoma and is currently open to enrollment. The primary outcome measure is ORR. Secondary outcome measures include change in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gpNMB expression on tumor tissue via immunohistochemistry, safety, OS and PFS. We expect data from this study will be presented at a future medical meeting in the first half of 2017. The osteosarcoma study is a single-arm, open-label, evaluation of adolescent and adult patients with recurrent or refractory osteosarcoma. The co-primary objectives are to determine whether glembatumumab vedotin therapy either increases the disease control rate at 4 months in patients with recurrent measurable osteosarcoma as compared to historical experience and/or whether glembatumumab vedotin therapy produces an objective response rate greater than 20% in patients without previous eribulin (eribulin mesylate) treatment. Secondary outcome measures include safety, pharmacokinetics and the relation of gpNMB expression as measured by immunohistochemistry to clinical response. The study had a two stage design with a pre-specified activity threshold necessary in the first stage to progress enrollment to the second stage. The study did not meet the activity threshold for progressing to stage 2 and therefore no additional patients will be enrolled. We expect data from this study will be presented at a future medical meeting.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Varlilumab</w:t>
      </w:r>
    </w:p>
    <w:p>
      <w:pPr>
        <w:spacing w:after="0" w:line="227"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 xml:space="preserve">Varlilumab is a fully human monoclonal agonist antibody that binds to and activates CD27, a critical co-stimulatory molecule in the immune activation cascade. We believe varlilumab works primarily by stimulating T cells, an important component of a person's immune system, to attack cancer cells. Restricted expression and regulation of CD27 enables varlilumab specifically to activate T cells, resulting in an enhanced immune response with the potential for a favorable safety profile. In preclinical studies, varlilumab has been shown to directly kill or inhibit the growth of CD27 expressing lymphomas and leukemias in </w:t>
      </w:r>
      <w:r>
        <w:rPr>
          <w:rFonts w:ascii="Times New Roman" w:cs="Times New Roman" w:eastAsia="Times New Roman" w:hAnsi="Times New Roman"/>
          <w:sz w:val="16"/>
          <w:szCs w:val="16"/>
          <w:i w:val="1"/>
          <w:iCs w:val="1"/>
          <w:color w:val="auto"/>
        </w:rPr>
        <w:t>vitro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vivo </w:t>
      </w:r>
      <w:r>
        <w:rPr>
          <w:rFonts w:ascii="Times New Roman" w:cs="Times New Roman" w:eastAsia="Times New Roman" w:hAnsi="Times New Roman"/>
          <w:sz w:val="16"/>
          <w:szCs w:val="16"/>
          <w:color w:val="auto"/>
        </w:rPr>
        <w:t>models. We have entered into license agreements with the University of Southampton, UK for intellectual property to use anti-CD27 antibodies and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Medarex (acquired by Bristol-Myers Squibb Company, or BMS) for access to the UltiMab technology to develop and commercialize human antibodies to CD27. Varlilumab was initially studied as a single-agent to establish a safety profile and assess immunologic and clinical activity in patients with cancer, but we believe the greatest opportunity for varlilumab is as an immune activator in combination with other agents. Currently, we are focusing our efforts on a Phase 1/2 clinical trial being conducted in collaboration with BMS and their PD-1 immune checkpoint inhibitor, Opdivo. Varlilumab is also being explored in combination studies, including with glembatumumab vedotin, and in ongoing and planned investigator-sponsored studies.</w:t>
      </w:r>
    </w:p>
    <w:p>
      <w:pPr>
        <w:spacing w:after="0" w:line="388"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Single-Agent Phase 1 Study: </w:t>
      </w:r>
      <w:r>
        <w:rPr>
          <w:rFonts w:ascii="Times New Roman" w:cs="Times New Roman" w:eastAsia="Times New Roman" w:hAnsi="Times New Roman"/>
          <w:sz w:val="18"/>
          <w:szCs w:val="18"/>
          <w:color w:val="auto"/>
        </w:rPr>
        <w:t>Data from the completed, open-label Phase 1 study of varlilumab in patients with selected malignant solid tumors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hematologic cancers were presented in November 2014. Varlilumab to date has shown an acceptable safety profile and induced immunologic activity in patients that is consistent with both its proposed mechanism of action and data in preclinical models. A total of 90 patients were dosed in the study at multiple clinical sites in the U.S. of which 56 patients were dosed in dose escalation cohorts (various solid and hematologic B-cell tumors), and 34 patients were dosed in the expansion cohorts (melanoma and RCC) at 3 mg/kg. In both the solid tumor and hematologic dose-escalations, the pre-specified maximum dose level (10 mg/kg) was reached without identification of a maximum tolerated dose. The majority of adverse events, or AEs, related to treatment have been mild to moderate (Grade 1/2) in severity, with only three serious AEs related to treatment reported. No significant immune-mediated adverse events (colitis, hepatitis, etc.) typically associated with checkpoint blockade have been observed to date. Two patients experienced significant objective responses including a complete response in Hodgkin lymphoma (continued at 33.1+ months as of September 2016; patient no longer on study) and a partial response in renal cell carcinoma of 27.7+ months (as of September 2016). Thirteen patients experienced stable disease with a range of 3-47.3+ months (as of September 2016). As of December 2016, there are two patients continuing in long term follow-up.</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Phase 1/2 Varlilumab/Opdivo® Combination Study: </w:t>
      </w:r>
      <w:r>
        <w:rPr>
          <w:rFonts w:ascii="Times New Roman" w:cs="Times New Roman" w:eastAsia="Times New Roman" w:hAnsi="Times New Roman"/>
          <w:sz w:val="18"/>
          <w:szCs w:val="18"/>
          <w:color w:val="auto"/>
        </w:rPr>
        <w:t>In May 2014, we entered into a clinical trial collaboration with Bristol-Myers Squibb to evaluate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safety, tolerability and preliminary efficacy of varlilumab and Opdivo, Bristol-Myers Squibb's PD-1 immune checkpoint inhibitor, in a Phase 1/2 study. Under the terms of this clinical trial collaboration, Bristol-Myers Squibb made a one-time payment to us of $5.0 million, and the companies amended the terms of our existing license agreement with Medarex (acquired by Bristol-Myers Squibb) related to our CD27 program whereby certain future milestone payments were waived and future royalty rates were reduced that may have been due from us to Medarex. In return, Bristol-Myers Squibb was granted a time-limited right of first negotiation if we wish to out-license varlilumab. The companies also agreed to work exclusively with each other to explore anti-PD-1 antagonist antibody and anti-CD27 agonist antibody combination regimens. The clinical trial collaboration provides that the companies will share development costs and that we will be responsible for conducting the Phase 1/2 study.</w:t>
      </w:r>
    </w:p>
    <w:p>
      <w:pPr>
        <w:spacing w:after="0" w:line="194"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Phase 1/2 study was initiated in January 2015 and is being conducted in adult patients with multiple solid tumors to assess the safety and tolerability of varlilumab at varying doses when administered with Opdivo followed by a Phase 2 expansion to evaluate the activity of the combination in disease specific cohorts. The Phase 1 dose escalation portion of the study, conducted in patients with solid tumors, has completed enrollment (n=36) and primarily enrolled patients with colorectal and ovarian cancer.</w:t>
      </w:r>
    </w:p>
    <w:p>
      <w:pPr>
        <w:spacing w:after="0" w:line="190"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Data were presented from the Phase 1 portion of the varlilumab and Opdivo study in a poster at the American Association for Cancer Research (AACR) Annual Meeting in April 2016. The primary objective of the Phase 1 portion of the study was to evaluate the safety and tolerability of the combination. The combination showed acceptable tolerability and safety across all dose levels without any evidence of increased autoimmunity or inappropriate immune activation. Marked changes in the tumor microenvironment including increased infiltrating CD8+ T cells and increased PD-L1 expression, which have been shown to correlate with a greater magnitude of treatment effect from checkpoint inhibitors in other clinical studies were observed. Additional evidence of immune activity, such as increase in inflammatory chemokines and decrease in T regulatory cells, were also noted. In a subset of patients (n=17) on study who had both pre- and post-tumor biopsies available, preliminary evidence suggest a correlation between biomarker data and stable disease or better in seven of these patients (4 ovarian cancer, 2 colorectal cancer, 1 squamous cell carcinoma of the head and neck). All dose levels of the combination therapy showed an acceptable tolerability and safety profile, without identification of a maximum tolerated dose. In the Phase 2 portion of the study, varlilumab is administered at 3 mg/kg in the majority of cohorts, based upon cumulative data across multiple studies.</w:t>
      </w:r>
    </w:p>
    <w:p>
      <w:pPr>
        <w:spacing w:after="0" w:line="195" w:lineRule="exact"/>
        <w:rPr>
          <w:sz w:val="20"/>
          <w:szCs w:val="20"/>
          <w:color w:val="auto"/>
        </w:rPr>
      </w:pPr>
    </w:p>
    <w:p>
      <w:pPr>
        <w:ind w:firstLine="348"/>
        <w:spacing w:after="0" w:line="291" w:lineRule="auto"/>
        <w:rPr>
          <w:sz w:val="20"/>
          <w:szCs w:val="20"/>
          <w:color w:val="auto"/>
        </w:rPr>
      </w:pPr>
      <w:r>
        <w:rPr>
          <w:rFonts w:ascii="Times New Roman" w:cs="Times New Roman" w:eastAsia="Times New Roman" w:hAnsi="Times New Roman"/>
          <w:sz w:val="16"/>
          <w:szCs w:val="16"/>
          <w:color w:val="auto"/>
        </w:rPr>
        <w:t>The Phase 2 portion of the study opened to enrollment in April 2016 and includes cohorts in colorectal cancer (n=18), ovarian cancer (n=54), head and neck squamous cell carcinoma (n=54), renal cell carcinoma (n=25) and glioblastoma (n=20). Based on a recent protocol amendments, additional dosing schedules are being explored in ovarian cancer (versus renal cell carcinoma) and, as previously disclosed, in head and neck squamous cell carcinoma, increasing the overall size of the study compared to the original study design. The primary objective of the Phase 2 cohorts is ORR, except glioblastoma, where the primary objective is the rate of 12-month overall survival. Secondary objectives include pharmacokinetics assessments, determining the immunogenicity of varlilumab when given in combination with Opdivo and further assessing the anti-tumor activity of combination treatment. We plan to complete enrollment across all cohorts in the Phase 2 portion of the study in the first quarter of 2018 and will work with BMS to present data from the study at a future medical meeting.</w:t>
      </w:r>
    </w:p>
    <w:p>
      <w:pPr>
        <w:spacing w:after="0" w:line="165" w:lineRule="exact"/>
        <w:rPr>
          <w:sz w:val="20"/>
          <w:szCs w:val="20"/>
          <w:color w:val="auto"/>
        </w:rPr>
      </w:pPr>
    </w:p>
    <w:p>
      <w:pPr>
        <w:ind w:right="20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Phase 1/2 Varlilumab/Tecentriq® Combination Study: </w:t>
      </w:r>
      <w:r>
        <w:rPr>
          <w:rFonts w:ascii="Times New Roman" w:cs="Times New Roman" w:eastAsia="Times New Roman" w:hAnsi="Times New Roman"/>
          <w:sz w:val="18"/>
          <w:szCs w:val="18"/>
          <w:color w:val="auto"/>
        </w:rPr>
        <w:t>In March 2015, we entered into a clinical trial collaboration with Roche to evaluate the safety,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tolerability and preliminary efficacy of varlilumab and Tecentriq (anti-PDL1), Roche's cancer immunotherapy, in a Phase 1/2 study. Under the terms of this agreement, Roche is providing study drug, and we are responsible for conducting and funding the study. The Phase 1 portion of the study is being conducted in bladder cancer and renal cell carcinoma,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6"/>
          <w:szCs w:val="16"/>
          <w:color w:val="auto"/>
        </w:rPr>
        <w:t>and the primary outcome is safety and tolerability. The Phase 1 portion of the study completed enrollment in the third quarter of 2016. Patients continue to be followed, and we expect data from this study will be presented at a future medical meeting. Given the advancement of varlilumab into a broad Phase 2 study in combination with Opdivo and our efforts to identify areas for cost-containment, we will not be advancing the varlilumab/Tecentriq study to Phase 2.</w:t>
      </w:r>
    </w:p>
    <w:p>
      <w:pPr>
        <w:spacing w:after="0" w:line="149" w:lineRule="exact"/>
        <w:rPr>
          <w:sz w:val="20"/>
          <w:szCs w:val="20"/>
          <w:color w:val="auto"/>
        </w:rPr>
      </w:pPr>
    </w:p>
    <w:p>
      <w:pPr>
        <w:ind w:firstLine="35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Phase 1/2 Varlilumab/Sutent® Combination Study: </w:t>
      </w:r>
      <w:r>
        <w:rPr>
          <w:rFonts w:ascii="Times New Roman" w:cs="Times New Roman" w:eastAsia="Times New Roman" w:hAnsi="Times New Roman"/>
          <w:sz w:val="18"/>
          <w:szCs w:val="18"/>
          <w:color w:val="auto"/>
        </w:rPr>
        <w:t>In May 2015, we initiated a Phase 1/2 safety and tolerability study examining the combination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varlilumab and Sutent in patients with metastatic clear cell renal cell carcinoma. The Phase 1 portion of the study assesses the safety and tolerability of varlilumab at varying doses when administered with Sutent. The Phase 1 portion of the study completed enrollment in the fourth quarter of 2016. Patients continue to be followed, and data from this study will be presented at a future medical meeting. Given the advancement of varlilumab into a broad Phase 2 study in combination with Opdivo and our efforts to identify areas for cost-containment, we will not be advancing the varlilumab/Sutent study to Phase 2.</w:t>
      </w:r>
    </w:p>
    <w:p>
      <w:pPr>
        <w:spacing w:after="0" w:line="188" w:lineRule="exact"/>
        <w:rPr>
          <w:sz w:val="20"/>
          <w:szCs w:val="20"/>
          <w:color w:val="auto"/>
        </w:rPr>
      </w:pPr>
    </w:p>
    <w:p>
      <w:pPr>
        <w:ind w:right="40" w:firstLine="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Phase 1/2 Varlilumab/Yervoy® +/– CDX–1401 Combination Study: </w:t>
      </w:r>
      <w:r>
        <w:rPr>
          <w:rFonts w:ascii="Times New Roman" w:cs="Times New Roman" w:eastAsia="Times New Roman" w:hAnsi="Times New Roman"/>
          <w:sz w:val="18"/>
          <w:szCs w:val="18"/>
          <w:color w:val="auto"/>
        </w:rPr>
        <w:t>In April 2015, we initiated a Phase 1/2 safety pilot and expansion study examining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combination of varlilumab and Yervoy in patients with stage III or IV metastatic melanoma. Since initiating the study, the standard of care has evolved, and there has been increasing physician reluctance to use Yervoy in this setting. As such, given the broad development strategy in place for varlilumab, as previously disclosed, this study was closed to enrollment in the third quarter of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CDX-0158</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CDX-0158 (formerly KTN0158), is a humanized monoclonal antibody designed to inhibit KIT activation in tumor cells and mast cells. KIT is expressed in many tumor types including gastrointestinal stromal tumors (or GIST), sarcomas, small cell lung cancer, melanoma, acute myeloid leukemia (AML) and mast cell leukemia. It has also been implicated in asthma and neurofibromatosis. We are currently developing CDX-0158 for the treatment of GIST. Small molecule drugs currently approved to treat GIST inhibit mutant KIT, but acquired resistance develops via secondary, drug-resistant KIT mutations in the majority of patients over time. CDX-0158 is designed to uniquely prevent KIT activation by inhibiting both receptor dimerization and ligand binding. CDX-0158 has demonstrated preclinical activity versus the most common c-KIT mutations in human GIST, including treatment of mastocytoma in a canine model.</w:t>
      </w:r>
    </w:p>
    <w:p>
      <w:pPr>
        <w:spacing w:after="0" w:line="193" w:lineRule="exact"/>
        <w:rPr>
          <w:sz w:val="20"/>
          <w:szCs w:val="20"/>
          <w:color w:val="auto"/>
        </w:rPr>
      </w:pPr>
    </w:p>
    <w:p>
      <w:pPr>
        <w:ind w:right="440" w:firstLine="341"/>
        <w:spacing w:after="0" w:line="310" w:lineRule="auto"/>
        <w:rPr>
          <w:sz w:val="20"/>
          <w:szCs w:val="20"/>
          <w:color w:val="auto"/>
        </w:rPr>
      </w:pPr>
      <w:r>
        <w:rPr>
          <w:rFonts w:ascii="Times New Roman" w:cs="Times New Roman" w:eastAsia="Times New Roman" w:hAnsi="Times New Roman"/>
          <w:sz w:val="16"/>
          <w:szCs w:val="16"/>
          <w:color w:val="auto"/>
        </w:rPr>
        <w:t>A Phase 1 dose escalation study in patients with advanced refractory GIST and other KIT positive tumors opened to enrollment in December 2015 to determine the maximum tolerated dose, recommend a dose for further study and characterize the safety profile. Enrollment is ongoing. Upon completion of Phase 1 assuming a successful outcome, we plan to develop CDX-0158 in patients with refractory GIST given the significant unmet need for these patients.</w:t>
      </w:r>
    </w:p>
    <w:p>
      <w:pPr>
        <w:spacing w:after="0" w:line="149" w:lineRule="exact"/>
        <w:rPr>
          <w:sz w:val="20"/>
          <w:szCs w:val="20"/>
          <w:color w:val="auto"/>
        </w:rPr>
      </w:pPr>
    </w:p>
    <w:p>
      <w:pPr>
        <w:jc w:val="both"/>
        <w:ind w:right="440" w:firstLine="351"/>
        <w:spacing w:after="0" w:line="264" w:lineRule="auto"/>
        <w:rPr>
          <w:sz w:val="20"/>
          <w:szCs w:val="20"/>
          <w:color w:val="auto"/>
        </w:rPr>
      </w:pPr>
      <w:r>
        <w:rPr>
          <w:rFonts w:ascii="Times New Roman" w:cs="Times New Roman" w:eastAsia="Times New Roman" w:hAnsi="Times New Roman"/>
          <w:sz w:val="18"/>
          <w:szCs w:val="18"/>
          <w:color w:val="auto"/>
        </w:rPr>
        <w:t xml:space="preserve">Preclinical data published in </w:t>
      </w:r>
      <w:r>
        <w:rPr>
          <w:rFonts w:ascii="Times New Roman" w:cs="Times New Roman" w:eastAsia="Times New Roman" w:hAnsi="Times New Roman"/>
          <w:sz w:val="18"/>
          <w:szCs w:val="18"/>
          <w:i w:val="1"/>
          <w:iCs w:val="1"/>
          <w:color w:val="auto"/>
        </w:rPr>
        <w:t>Molecular Cancer Therapeutics</w:t>
      </w:r>
      <w:r>
        <w:rPr>
          <w:rFonts w:ascii="Times New Roman" w:cs="Times New Roman" w:eastAsia="Times New Roman" w:hAnsi="Times New Roman"/>
          <w:sz w:val="18"/>
          <w:szCs w:val="18"/>
          <w:color w:val="auto"/>
        </w:rPr>
        <w:t xml:space="preserve"> in January 2017 demonstrate that KIT inhibition in certain immune cells with CDX-0158 enhances the activity of checkpoint blockade, providing additional opportunities for combination therapy. This mechanism may also be effective with other immunotherapies, in particular with our CD27 agonist, varlilumab.</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CDX-3379</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CDX-3379 (formerly KTN3379 and MEDI3379) is a human monoclonal antibody with half-life extension designed to block the activity of ErbB3 (HER3). We believe ErbB3 may be an important receptor regulating cancer cell growth and survival as well as resistance to targeted therapies and is expressed in many cancers, including head and neck, thyroid, breast, lung and gastric cancers, as well as melanoma. We believe the proposed mechanism of action for CDX-3379 sets it apart from other drugs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development in this class due to its ability to block both ligand-independent and ligand-dependent ErbB3 signaling by binding to a unique epitope. It has a favorable pharmacologic profile, including a longer half-life and slower clearance relative to other drug candidates in this class. CDX-3379 also has potential to enhance anti-tumor activity and/or overcome resistance in combination with other targeted and cytotoxic therapies to directly kill tumor cells. Tumor cell death and the ensuing release of new tumor antigens has the potential to serve as a focus for combination therapy with immuno-oncology approaches, even in refractory patients.</w:t>
      </w:r>
    </w:p>
    <w:p>
      <w:pPr>
        <w:spacing w:after="0" w:line="193" w:lineRule="exact"/>
        <w:rPr>
          <w:sz w:val="20"/>
          <w:szCs w:val="20"/>
          <w:color w:val="auto"/>
        </w:rPr>
      </w:pPr>
    </w:p>
    <w:p>
      <w:pPr>
        <w:ind w:right="20" w:firstLine="341"/>
        <w:spacing w:after="0" w:line="253" w:lineRule="auto"/>
        <w:rPr>
          <w:sz w:val="20"/>
          <w:szCs w:val="20"/>
          <w:color w:val="auto"/>
        </w:rPr>
      </w:pPr>
      <w:r>
        <w:rPr>
          <w:rFonts w:ascii="Times New Roman" w:cs="Times New Roman" w:eastAsia="Times New Roman" w:hAnsi="Times New Roman"/>
          <w:sz w:val="18"/>
          <w:szCs w:val="18"/>
          <w:color w:val="auto"/>
        </w:rPr>
        <w:t>A Phase 1a/1b study was conducted, including a single-agent dose-escalation portion and combination expansion cohorts. Data from the dose-escalation portion, which completed enrollment in September 2015, and initial data from the expansion cohorts (enrollment ongoing at the time) were presented at the American Society of Clinical Oncology Annual Meeting in June 2016. The single-agent dose-escalation portion of the study did not identify an MTD, and there were no dose limiting toxicities. The most common adverse events included rash and diarrhea and were predominantly grade 1 or 2. Four combination arms across multiple tumor types were added to evaluate CDX-3379 with several drugs that target EGFR, HER2 or BRAF. They include combinations with Erbitux® (n=16), Tarceva® (n=8), Zelboraf® (n=4) and Herceptin® (n=10). Patients had advanced disease and were generally heavily pretreated. Across the combination arms, the most frequent adverse events were diarrhea, nausea, rash and fatigue. Objective responses were observed in the Erbitux and Zelboraf combination arms. In the Erbitux arm, there was one complete response in a patient with head and neck cancer, who had been previously treated with Erbitux and was refractory. In the Zelboraf arm, there were two partial responses in patients who had lung cancer, one of whom had been previously treated with Tafinlar® and was considered refractory. We are currently exploring plans for advancement into Phase 2 study.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CDX-1401</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 xml:space="preserve">CDX-1401, developed from our APC Targeting Technology, is an NY-ESO-1-antibody fusion protein for immunotherapy in multiple solid tumors. CDX-1401, which is administered with an adjuvant, is composed of the cancer-specific antigen NY-ESO-1 fused to a fully human antibody that binds to DEC-205 for efficient delivery to dendritic cells. Delivery of tumor-specific proteins directly to dendritic cells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elicits potent, broad, anti-tumor immune responses across populations with different genetic backgrounds. In humans, NY-ESO-1 has been detected in 20% to 30% of melanoma, lung, esophageal, liver, gastric, ovarian and bladder cancers, and up to 70% of synovial sarcomas, thus representing a broad opportunity. We are developing CDX-1401 for the treatment of malignant melanoma and a variety of solid tumors which express the cancer antigen NY-ESO-1, which we licensed from the Ludwig Institute for Cancer Research in 2006. Preclinical studies have shown that CDX-1401 treatment results in activation of human T cell responses against NY-ESO-1.</w:t>
      </w:r>
    </w:p>
    <w:p>
      <w:pPr>
        <w:spacing w:after="0" w:line="16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 xml:space="preserve">We have completed a Phase 1 study of CDX-1401 which assessed the safety, immunogenicity and clinical activity of escalating doses of CDX-1401 with TLR agonists (resiquimod and/or poly-ICLC) in 45 patients with advanced malignancies refractory to all available therapies. Results were published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Translational Medicine </w:t>
      </w:r>
      <w:r>
        <w:rPr>
          <w:rFonts w:ascii="Times New Roman" w:cs="Times New Roman" w:eastAsia="Times New Roman" w:hAnsi="Times New Roman"/>
          <w:sz w:val="18"/>
          <w:szCs w:val="18"/>
          <w:color w:val="auto"/>
        </w:rPr>
        <w:t>in April 2014. Sixty percent of patients had confirmed NY-ESO expression in archived tumor samples. Thirteen patients maintained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for up to 13.4 months with a median of 6.7 months. Treatment indicates an acceptable safety profile to date, and there were no dose limiting toxicities. A variety of immune activation parameters were observed. Humoral responses were elicited in both NY-ESO-1 positive and negative patients. NY-ESO-1-specific T cell responses were absent or low at baseline, but increased post-vaccination in 56% of evaluable patients, including both CD4 and/or CD8 T cell responses. Robust immune responses were observed with CDX-1401 with resiquimod and poly-ICLC alone and in combination. Long-term patient follow up suggested that treatment with CDX-1401 may predispose patients to better outcomes on subsequent therapy with checkpoint inhibitors. Of the 45 patients in the Phase 1 study, eight went on to receive</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subsequent therapy of either Yervoy or an investigational checkpoint inhibitor, and six of these patients had objective tumor regression. Six patients with melanoma received Yervoy within three months of treatment with CDX-1401, and four (67%) had objective tumor responses, including one complete response, which compares favorably to the overall response rate of 11% previously reported in metastatic melanoma patients treated with single-agent Yervoy. In addition, two patients with non-small cell lung cancer received an investigational checkpoint blockade within two months of completing treatment with CDX-1401, and both achieved partial responses. Together with Roche, we are supporting an investigator initiated study of CDX-1401 in combination with Tecentriq® in patients with lung cancer.</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CDX-1401's potential activity is being explored in investigator sponsored and collaborative studies. A Phase 2 study of CDX-1401 in combination with CDX-301 is being conducted in metastatic melanoma by the Cancer Immunotherapy Trials Network (CITN) under a CRADA with the Cancer Therapy Evaluation Program of the NCI. This study was designed to determine the activity of CDX-1401 with or without CDX-301 in melanoma. The primary outcome measure of the study is immune response to NY-ESO-1. Secondary outcome measures include analysis and characterization of peripheral blood mononuclear cells (dendritic cells, T cells, natural killer cells, etc.), additional immune monitoring, safety and clinical outcomes (survival and time to tumor recurrence). Enrollment is complete and initial results were presented in June at the 2016 American Society of Clinical Oncology (ASCO) Annual Meeting. The data confirmed that CDX-1401 is capable of driving NY-ESO-1 immunity and further demonstrated the potential of CDX-301 as a combination agent for enhancing tumor specific immune responses. The NCI and CITN are planning to enroll additional cohorts to investigate alternative regimens of CDX-301. Other studies are being considered through investigator-sponsored and collaborative agreements.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CDX-301</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CDX-301, a recombinant FMS-like tyrosine kinase 3 ligand, or Flt3L, is a hematopoietic cytokine that uniquely expands dendritic cells and hematopoietic stem cells in combination with other agents to potentiate the anti-tumor response. Depending on the setting, cells expanded by CDX-301 promote either enhanced or permissive immunity. CDX-301 is in clinical development for multiple cancers, in combination with vaccines, adjuvants and other treatments that release tumor antigens. We licensed CDX-301 from Amgen Inc. in March 2009 and believe CDX-301 may hold significant opportunity for synergistic development in combination with other proprietary molecules in our portfolio.</w:t>
      </w:r>
    </w:p>
    <w:p>
      <w:pPr>
        <w:spacing w:after="0" w:line="193" w:lineRule="exact"/>
        <w:rPr>
          <w:sz w:val="20"/>
          <w:szCs w:val="20"/>
          <w:color w:val="auto"/>
        </w:rPr>
      </w:pPr>
    </w:p>
    <w:p>
      <w:pPr>
        <w:ind w:right="80" w:firstLine="341"/>
        <w:spacing w:after="0" w:line="288" w:lineRule="auto"/>
        <w:rPr>
          <w:sz w:val="20"/>
          <w:szCs w:val="20"/>
          <w:color w:val="auto"/>
        </w:rPr>
      </w:pPr>
      <w:r>
        <w:rPr>
          <w:rFonts w:ascii="Times New Roman" w:cs="Times New Roman" w:eastAsia="Times New Roman" w:hAnsi="Times New Roman"/>
          <w:sz w:val="16"/>
          <w:szCs w:val="16"/>
          <w:color w:val="auto"/>
        </w:rPr>
        <w:t>A Phase 1 study of CDX-301 evaluated seven different dosing regimens of CDX-301 to determine the appropriate dose for further development based on safety, tolerability and biological activity. The data from the study were consistent with previous clinical experience and demonstrated that CDX-301 has an acceptable safety profile to date and can mobilize hematopoietic stem cell (HSC) populations in healthy volunteers. Based on the safety profile and the clinical and preclinical data to date, we initiated a pilot clinical study of CDX-301 for the mobilization and transplantation of allogeneic hematopoietic stem cells in patients with hematological malignancies undergoing hematopoietic stem cell transplantation. Preliminary results from this Phase 2 study were presented at the annual meeting of the American Society for Blood and Marrow Transplantation in February 2016. These preliminary data from three donor/patient pairs showed that CDX-301 given as a single agent has an acceptable safety profile and mobilized hematopoietic stem cells in healthy donors. The stem cell graft contained notable increases in naïve lymphocytes and plasmacytoid dendritic cells consistent with preclinical data suggesting a possible better outcome. Recipients experienced successful engraftment in an expected time frame. Given that hematopoietic stem cell transplantation is outside of our core focus, in an effort to prioritize human and capital resources, we announced in May 2016 that we decided not to advance CDX-301 in this particular indication at this time.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In June, at the 2016 ASCO Annual Meeting, initial results from a Phase 2 study of CDX-1401 in combination with CDX-301 in metastatic melanoma were presented that further demonstrated the value of CDX-301 as a combination agent for enhancing tumor specific immune responses. The Phase 2 study was conducted by the Cancer Immunotherapy Trials Network, or CITN, under a CRADA with the Cancer Therapy Evaluation Program of the NCI. Based on these results the CITN is planning to enroll additional cohorts to investigate alternative regimens of CDX-301. Other studies are being considered through investigator-sponsored and collaborative agreements.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CDX-014</w:t>
      </w:r>
    </w:p>
    <w:p>
      <w:pPr>
        <w:spacing w:after="0" w:line="227" w:lineRule="exact"/>
        <w:rPr>
          <w:sz w:val="20"/>
          <w:szCs w:val="20"/>
          <w:color w:val="auto"/>
        </w:rPr>
      </w:pPr>
    </w:p>
    <w:p>
      <w:pPr>
        <w:ind w:firstLine="351"/>
        <w:spacing w:after="0" w:line="288" w:lineRule="auto"/>
        <w:rPr>
          <w:sz w:val="20"/>
          <w:szCs w:val="20"/>
          <w:color w:val="auto"/>
        </w:rPr>
      </w:pPr>
      <w:r>
        <w:rPr>
          <w:rFonts w:ascii="Times New Roman" w:cs="Times New Roman" w:eastAsia="Times New Roman" w:hAnsi="Times New Roman"/>
          <w:sz w:val="16"/>
          <w:szCs w:val="16"/>
          <w:color w:val="auto"/>
        </w:rPr>
        <w:t>CDX-014 is a human monoclonal ADC that targets T cell immunoglobulin and mucin domain 1, or TIM-1. TIM-1 expression is upregulated in several cancers, most notably renal cell and ovarian carcinomas, and is associated with a more malignant phenotype of renal cell carcinoma (RCC) and tumor progression. TIM-1 has restricted expression in healthy tissues, making it potentially amenable to an ADC approach. The TIM-1 antibody is linked to MMAE using Seattle Genetics' proprietary technology. The ADC is designed to be stable in the bloodstream but to release MMAE upon internalization into TIM-1-expressing tumor cells, resulting in a targeted cell-killing effect. CDX-014 has shown anti-tumor activity in preclinical models of ovarian and renal cancer. In July 2016, we announced that enrollment had opened in a Phase 1/2 study of CDX-014 to patients with both clear cell and papillary RCC. The Phase 1 dose-escalation portion of the study is evaluating cohorts of patients receiving increasing doses of CDX-014 to determine the maximum tolerated dose and a recommended dose for Phase 2 study. We anticipate the Phase 1 dose-escalation portion of the study will complete enrollment by year-end 2017. The Phase 2 portion of the study plans to enroll approximately 25 patients to assess the anti-tumor activity of CDX-014 at the recommended dose in advanced renal cell carcinoma as measured by objective response rate. Secondary objectives include safety and tolerability, pharmacokinetics, immunogenicity and additional measures of anti-tumor activity.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Rintega</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On March 7, 2016, we announced that our Phase 3 study of Rintega® in patients with newly diagnosed EGFRvIII-positive glioblastoma was being discontinued. This decision was made based on the outcome of a preplanned interim analysis conducted by an independent Data Safety and Monitoring Board (DSMB). The DSMB determined that continuation of the study would not result in reaching statistical significance for the primary endpoint of the study, overall survival in patients with minimal residual disease, as both the Rintega arm and the control arm were performing on par with each other. In the ACT IV study, Rintega performed consistently with prior Phase 2 studies but the control arm significantly outperformed expectations (Hazard ratio = 0.99; median OS: Rintega 20.4 months vs. control 21.1 months). Based on this recommendation, we discontinued the study. Data from the ACT IV study were presented at the Society for Neuro-Oncology Annual Meeting in November 2016. All patients on the Rintega arm of the ACT IV study, prior Phase 2 studies and existing compassionate use recipients have been offered ongoing access to Rintega on a compassionate use basis, and we continue to support new requests for compassionate use in recurrent glioblastoma on a limited basis. Study closure activities are complete, and we continue to anticipate that we will not incur substantial additional costs related to Rintega.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the financial statements included in Item 8 of this Form 10-K. We believe our most critical accounting policies include accounting for business combinations, revenue recognition, intangible and long-lived assets, research and development expenses and stock-based compensation expense.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3" w:lineRule="auto"/>
        <w:rPr>
          <w:sz w:val="20"/>
          <w:szCs w:val="20"/>
          <w:color w:val="auto"/>
        </w:rPr>
      </w:pPr>
      <w:r>
        <w:rPr>
          <w:rFonts w:ascii="Times New Roman" w:cs="Times New Roman" w:eastAsia="Times New Roman" w:hAnsi="Times New Roman"/>
          <w:sz w:val="16"/>
          <w:szCs w:val="16"/>
          <w:color w:val="auto"/>
        </w:rPr>
        <w:t>The methods, estimates and judgments we use in applying our most critical accounting policies have a significant impact on the results we report in our financial statements. We evaluate our estimates and judgments on an on-going basis. We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66"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2016 and concluded that the goodwill asset was not impaired.</w:t>
      </w:r>
    </w:p>
    <w:p>
      <w:pPr>
        <w:spacing w:after="0" w:line="186"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We record contingent consideration resulting from a business combination at its fair value on the acquisition date. We determine the fair value of the contingent consideration based primarily on the following factors:</w:t>
      </w:r>
    </w:p>
    <w:p>
      <w:pPr>
        <w:spacing w:after="0" w:line="18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meeting clinical and commercial milestones;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ind w:right="200" w:firstLine="351"/>
        <w:spacing w:after="0" w:line="301" w:lineRule="auto"/>
        <w:rPr>
          <w:sz w:val="20"/>
          <w:szCs w:val="20"/>
          <w:color w:val="auto"/>
        </w:rPr>
      </w:pPr>
      <w:r>
        <w:rPr>
          <w:rFonts w:ascii="Times New Roman" w:cs="Times New Roman" w:eastAsia="Times New Roman" w:hAnsi="Times New Roman"/>
          <w:sz w:val="16"/>
          <w:szCs w:val="16"/>
          <w:color w:val="auto"/>
        </w:rPr>
        <w:t>Our contingent consideration liabilities arose in connection with our acquisition of Kolltan. On a quarterly basis, we revalue these obligations and record increases or decreases in their fair value as an adjustment to operating earnings. Changes to contingent consideration obligations can result from adjustments to discount rates, accretion of the discount rates due to the passage of time, changes in our estimates of the likelihood or timing of achieving development or commercial milestones, changes in the probability of certain clinical events or changes in the assumed probability associated with regulatory approval.</w:t>
      </w:r>
    </w:p>
    <w:p>
      <w:pPr>
        <w:spacing w:after="0" w:line="15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74"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entered into and in the future may enter into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relative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95"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period of the performance obligation.</w:t>
      </w:r>
    </w:p>
    <w:p>
      <w:pPr>
        <w:spacing w:after="0" w:line="190" w:lineRule="exact"/>
        <w:rPr>
          <w:sz w:val="20"/>
          <w:szCs w:val="20"/>
          <w:color w:val="auto"/>
        </w:rPr>
      </w:pPr>
    </w:p>
    <w:p>
      <w:pPr>
        <w:jc w:val="both"/>
        <w:ind w:right="200" w:firstLine="351"/>
        <w:spacing w:after="0" w:line="258" w:lineRule="auto"/>
        <w:rPr>
          <w:sz w:val="20"/>
          <w:szCs w:val="20"/>
          <w:color w:val="auto"/>
        </w:rPr>
      </w:pPr>
      <w:r>
        <w:rPr>
          <w:rFonts w:ascii="Times New Roman" w:cs="Times New Roman" w:eastAsia="Times New Roman" w:hAnsi="Times New Roman"/>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0"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and Long-Lived Assets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long-lived assets, including property and equipment, and finite-lived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0"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These assets are capitalized on our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Discounted cash flow models are typically used in these tests and the models require the use of significant estimates and assumptions including but not limited to:</w:t>
      </w:r>
    </w:p>
    <w:p>
      <w:pPr>
        <w:spacing w:after="0" w:line="262"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costs to complete the in-process projects;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probability of success of clinical events or regulatory approvals;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cash flows from product sales resulting from completed products and in-process projects;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w:t>
      </w:r>
    </w:p>
    <w:p>
      <w:pPr>
        <w:spacing w:after="0" w:line="225" w:lineRule="exact"/>
        <w:rPr>
          <w:sz w:val="20"/>
          <w:szCs w:val="20"/>
          <w:color w:val="auto"/>
        </w:rPr>
      </w:pPr>
    </w:p>
    <w:p>
      <w:pPr>
        <w:jc w:val="both"/>
        <w:ind w:right="80" w:firstLine="348"/>
        <w:spacing w:after="0" w:line="262" w:lineRule="auto"/>
        <w:rPr>
          <w:sz w:val="20"/>
          <w:szCs w:val="20"/>
          <w:color w:val="auto"/>
        </w:rPr>
      </w:pPr>
      <w:r>
        <w:rPr>
          <w:rFonts w:ascii="Times New Roman" w:cs="Times New Roman" w:eastAsia="Times New Roman" w:hAnsi="Times New Roman"/>
          <w:sz w:val="18"/>
          <w:szCs w:val="18"/>
          <w:color w:val="auto"/>
        </w:rPr>
        <w:t>We performed an annual impairment test of the IPR&amp;D assets as of July 1, 2016 and concluded that the IPR&amp;D assets were not impaired. 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2016 and concluded that goodwill was not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86" w:lineRule="exact"/>
        <w:rPr>
          <w:sz w:val="20"/>
          <w:szCs w:val="20"/>
          <w:color w:val="auto"/>
        </w:rPr>
      </w:pPr>
    </w:p>
    <w:p>
      <w:pPr>
        <w:ind w:right="180" w:firstLine="351"/>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We accrue the cost of services rendered in connection with CRO and CMO activities based on our estimate of costs incurred. We maintain regular communication with our CROs and CMOs to assess the reasonableness of our estimates. Differences between actual expenses and estimated expenses recorded have not been material and are adjusted for in the period in which they become known.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240" w:firstLine="348"/>
        <w:spacing w:after="0" w:line="255" w:lineRule="auto"/>
        <w:rPr>
          <w:sz w:val="20"/>
          <w:szCs w:val="20"/>
          <w:color w:val="auto"/>
        </w:rPr>
      </w:pPr>
      <w:r>
        <w:rPr>
          <w:rFonts w:ascii="Times New Roman" w:cs="Times New Roman" w:eastAsia="Times New Roman" w:hAnsi="Times New Roman"/>
          <w:sz w:val="18"/>
          <w:szCs w:val="18"/>
          <w:color w:val="auto"/>
        </w:rPr>
        <w:t>We record stock-based compensation expense for all stock-based awards made to employees and directors based on the estimated fair values of the stock-based awards expected to vest at the grant date and is adjusted, if necessary, to reflect actual forfeitures. Our estimates of employee stock option values rely on estimates of future uncertain events. Significant assumptions include the use of historical volatility to estimate the expected stock price volatility. We also estimate expected term based on historical exercise patterns. Actual volatility and lives of options may be significantly different from our estimates. Compensation expense for all stock-based awards to employees and directors is recognized using the straight-line method over the term of vesting or performance.</w:t>
      </w:r>
    </w:p>
    <w:p>
      <w:pPr>
        <w:spacing w:after="0" w:line="193"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2016 compared with Year Ended December 31, 2015</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gridSpan w:val="6"/>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Increase/</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6"/>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1,442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102,726</w:t>
            </w:r>
          </w:p>
        </w:tc>
        <w:tc>
          <w:tcPr>
            <w:tcW w:w="140" w:type="dxa"/>
            <w:vAlign w:val="bottom"/>
          </w:tcPr>
          <w:p>
            <w:pPr>
              <w:spacing w:after="0"/>
              <w:rPr>
                <w:sz w:val="18"/>
                <w:szCs w:val="18"/>
                <w:color w:val="auto"/>
              </w:rPr>
            </w:pP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100,171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2,555</w:t>
            </w: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35,979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33,837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139,702</w:t>
            </w:r>
          </w:p>
        </w:tc>
        <w:tc>
          <w:tcPr>
            <w:tcW w:w="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135,021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4,681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(132,916)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(129,541)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4,386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2,344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2,042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(128,530</w:t>
            </w:r>
          </w:p>
        </w:tc>
        <w:tc>
          <w:tcPr>
            <w:tcW w:w="160" w:type="dxa"/>
            <w:vAlign w:val="bottom"/>
            <w:gridSpan w:val="2"/>
          </w:tcPr>
          <w:p>
            <w:pPr>
              <w:jc w:val="right"/>
              <w:ind w:right="32"/>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The $1.3 million increase in net loss for the year ended December 31, 2016 compared to the year ended December 31, 2015 was primarily the result of an increase in research and development expenses and general and administrative expenses, offset by an increase in investment and other income and revenue.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0" w:firstLine="348"/>
        <w:spacing w:after="0" w:line="255" w:lineRule="auto"/>
        <w:rPr>
          <w:sz w:val="20"/>
          <w:szCs w:val="20"/>
          <w:color w:val="auto"/>
        </w:rPr>
      </w:pPr>
      <w:r>
        <w:rPr>
          <w:rFonts w:ascii="Times New Roman" w:cs="Times New Roman" w:eastAsia="Times New Roman" w:hAnsi="Times New Roman"/>
          <w:sz w:val="18"/>
          <w:szCs w:val="18"/>
          <w:color w:val="auto"/>
        </w:rPr>
        <w:t>The $0.7 million increase in product development and licensing agreements revenue for the year ended December 31, 2016 compared to the year ended December 31, 2015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$0.6 million increase in contracts and grants revenue for the year ended December 31, 2016 compared to the year ended December 31, 2015 was primarily related to an increase in grant revenue of $1.2 million, partially offset by a decrease of $0.7 million in revenue from our Rockefeller University agreement pursuant to which we perform research and development services for Rockefeller.</w:t>
      </w:r>
    </w:p>
    <w:p>
      <w:pPr>
        <w:spacing w:after="0" w:line="19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7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7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5"/>
        </w:trPr>
        <w:tc>
          <w:tcPr>
            <w:tcW w:w="440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4"/>
                <w:szCs w:val="14"/>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36,070</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29,774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3,697</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4,355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6,314</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5,756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1,614</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46,852</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2"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$6.3 million increase in personnel expenses for the year ended December 31, 2016 compared to the year ended December 31, 2015 was primarily due to Kolltan-related severance expense and higher stock-based compensation of $0.7 million and $1.6 million, respectively, and increased headcount. We expect personnel expenses, not including the Kolltan-related severance expenses, to remain relatively consistent over the next twelve months, although there may be fluctuations on a quarterly basis.</w:t>
      </w:r>
    </w:p>
    <w:p>
      <w:pPr>
        <w:spacing w:after="0" w:line="190"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Laboratory supply expenses include laboratory materials and supplies, services, and other related expenses incurred in the development of our technology. The $0.7 million decrease in laboratory supply expenses for the year ended December 31, 2016 compared to the year ended December 31, 2015 was primarily due to lower manufacturing supply purchases. We expect supply expenses to remain relatively consistent over the next twelve months, although there may be fluctuations on a quarterly basis.</w:t>
      </w:r>
    </w:p>
    <w:p>
      <w:pPr>
        <w:spacing w:after="0" w:line="190"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The $0.6 million increase in facility expenses for the year ended December 31, 2016 compared to the year ended December 31, 2015 was primarily due to an increase in rent. We expect facility expenses to remain relatively consistent over the next twelve months, although there may be fluctuations on a quarterly basis.</w:t>
      </w:r>
    </w:p>
    <w:p>
      <w:pPr>
        <w:spacing w:after="0" w:line="186"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License fee expenses include annual license maintenance fees and milestone payments due upon the achievement of certain development, regulatory and/or commercial milestones. The $0.7 million increase in license fee expenses for the year ended December 31, 2016 compared to the year ended December 31, 2015 was due to the timing of certain development and/or regulatory milestones achieved by our drug candidates. We expect license fee expense to remain relatively consistent over the next twelve months, although there may be fluctuations on a quarterly basis.</w:t>
      </w:r>
    </w:p>
    <w:p>
      <w:pPr>
        <w:spacing w:after="0" w:line="190"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$5.9 million decrease in product development expenses for the year ended December 31, 2016 compared to the year ended December 31, 2015 was primarily due to a $19.9 million decrease in Rintega program costs. That decrease was partially offset by increases in glembatumumab vedotin and varlilumab program costs of $4.6 million and $9.6 million, respectively. We expect product development expenses to decrease over the next twelve months as decreases in Rintega costs are only partially offset by increases in the CDX-0158 and CDX-3379 programs, although there may be fluctuations on a quarterly basis.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$2.1 million increase in general and administrative expenses for the year ended December 31, 2016 compared to the year ended December 31, 2015 was primarily due to Kolltan-related severance expense, restructuring expense related to our decision to not occupy our Needham, MA expansion space and higher stock-based compensation of $2.4 million, $1.2 million and $0.9 million, respectively. Those increases were partially offset by lower commercial planning costs of $2.8 million. We expect general and administrative expense, not including the Kolltan-related severance and restructuring expenses, to remain relatively consistent over the next twelve months, although there may be fluctuations on a quarterly basis.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right="380" w:firstLine="341"/>
        <w:spacing w:after="0" w:line="275" w:lineRule="auto"/>
        <w:rPr>
          <w:sz w:val="20"/>
          <w:szCs w:val="20"/>
          <w:color w:val="auto"/>
        </w:rPr>
      </w:pPr>
      <w:r>
        <w:rPr>
          <w:rFonts w:ascii="Times New Roman" w:cs="Times New Roman" w:eastAsia="Times New Roman" w:hAnsi="Times New Roman"/>
          <w:sz w:val="18"/>
          <w:szCs w:val="18"/>
          <w:color w:val="auto"/>
        </w:rPr>
        <w:t>Amortization expenses for the year ended December 31, 2016 were consistent compared to the year ended December 31, 2015. We expect amortization expense of acquired intangible assets to remain relatively consistent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jc w:val="both"/>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$2.0 million increase in investment and other income, net for the year ended December 31, 2016 compared to the year ended December 31, 2015 was primarily due to higher other income of $1.8 million related to our sale of New Jersey tax benefits. We anticipate investment income to decrease over the next twelve months.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2015 compared with Year Ended December 31, 2014</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7"/>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8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65"/>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7"/>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w w:val="94"/>
              </w:rPr>
              <w:t>December 31</w:t>
            </w:r>
          </w:p>
        </w:tc>
        <w:tc>
          <w:tcPr>
            <w:tcW w:w="160" w:type="dxa"/>
            <w:vAlign w:val="bottom"/>
          </w:tcPr>
          <w:p>
            <w:pPr>
              <w:spacing w:after="0"/>
              <w:rPr>
                <w:sz w:val="14"/>
                <w:szCs w:val="14"/>
                <w:color w:val="auto"/>
              </w:rPr>
            </w:pP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Contracts and Grants</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1,894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4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13,215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4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135,021</w:t>
            </w: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9,005</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(129,541)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(122,430)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7,111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60" w:type="dxa"/>
            <w:vAlign w:val="bottom"/>
            <w:gridSpan w:val="2"/>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9,117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The $9.1 million increase in net loss for the year ended December 31, 2015 compared to the year ended December 31, 2014 was primarily the result of an increase in general and administrative expenses, partially offset by a decrease in research and development expenses.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280" w:firstLine="348"/>
        <w:spacing w:after="0" w:line="255" w:lineRule="auto"/>
        <w:rPr>
          <w:sz w:val="20"/>
          <w:szCs w:val="20"/>
          <w:color w:val="auto"/>
        </w:rPr>
      </w:pPr>
      <w:r>
        <w:rPr>
          <w:rFonts w:ascii="Times New Roman" w:cs="Times New Roman" w:eastAsia="Times New Roman" w:hAnsi="Times New Roman"/>
          <w:sz w:val="18"/>
          <w:szCs w:val="18"/>
          <w:color w:val="auto"/>
        </w:rPr>
        <w:t>The $0.6 million increase in product development and licensing agreements revenue for the year ended December 31, 2015 compared to the year ended December 31, 2014 was primarily related to our BMS agreement. In May 2014, we entered into a clinical trial collaboration with BMS whereby BMS made a one-time payment to us of $5.0 million which we are recognizing as revenue along with BMS's 50% share of the clinical trial cost over our estimated performance period of five years. The $1.3 million increase in contracts and grants revenue for the year ended December 31, 2015 compared to the year ended December 31, 2014 was primarily related to our Rockefeller University agreement pursuant to which we perform research and development services for Rockefeller.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760" w:firstLine="351"/>
        <w:spacing w:after="0" w:line="275"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(iv) license fees and (v) product development expenses associated with our drug candidates as follows:</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8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5"/>
        </w:trPr>
        <w:tc>
          <w:tcPr>
            <w:tcW w:w="2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60" w:type="dxa"/>
            <w:vAlign w:val="bottom"/>
          </w:tcPr>
          <w:p>
            <w:pPr>
              <w:spacing w:after="0"/>
              <w:rPr>
                <w:sz w:val="14"/>
                <w:szCs w:val="14"/>
                <w:color w:val="auto"/>
              </w:rPr>
            </w:pPr>
          </w:p>
        </w:tc>
        <w:tc>
          <w:tcPr>
            <w:tcW w:w="8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8"/>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29,774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20,666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9,108</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w:t>
            </w:r>
          </w:p>
        </w:tc>
        <w:tc>
          <w:tcPr>
            <w:tcW w:w="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52,776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(14,429)</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2"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The $0.8 million increase in laboratory supply expenses for the year ended December 31, 2015 compared to the year ended December 31, 2014 was primarily due to higher manufacturing supply purchases.</w:t>
      </w:r>
    </w:p>
    <w:p>
      <w:pPr>
        <w:spacing w:after="0" w:line="174"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$0.7 million increase in facility expenses for the year ended December 31, 2015 compared to the year ended December 31, 2014 was primarily due to an increase in rent and depreciation and amortization expense.</w:t>
      </w:r>
    </w:p>
    <w:p>
      <w:pPr>
        <w:spacing w:after="0" w:line="174"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$2.3 million decrease in license fee expenses for the year ended December 31, 2015 compared to the year ended December 31, 2014 was primarily due to the one-time $2.5 million milestone incurred and paid to Seattle Genetics in 2014 as a result of the METRIC study initiation.</w:t>
      </w:r>
    </w:p>
    <w:p>
      <w:pPr>
        <w:spacing w:after="0" w:line="174" w:lineRule="exact"/>
        <w:rPr>
          <w:sz w:val="20"/>
          <w:szCs w:val="20"/>
          <w:color w:val="auto"/>
        </w:rPr>
      </w:pPr>
    </w:p>
    <w:p>
      <w:pPr>
        <w:ind w:right="300" w:firstLine="348"/>
        <w:spacing w:after="0" w:line="262" w:lineRule="auto"/>
        <w:rPr>
          <w:sz w:val="20"/>
          <w:szCs w:val="20"/>
          <w:color w:val="auto"/>
        </w:rPr>
      </w:pPr>
      <w:r>
        <w:rPr>
          <w:rFonts w:ascii="Times New Roman" w:cs="Times New Roman" w:eastAsia="Times New Roman" w:hAnsi="Times New Roman"/>
          <w:sz w:val="18"/>
          <w:szCs w:val="18"/>
          <w:color w:val="auto"/>
        </w:rPr>
        <w:t>The $14.4 million decrease in product development expenses for the year ended December 31, 2015 compared to the year ended December 31, 2014 was primarily due to a $13.5 million decrease in ACT IV costs. Increases in glembatumumab vedotin and varlilumab clinical trial costs of $2.4 million and $3.0 million, respectively, were offset by decreases in contract manufacturing costs of $6.4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$13.2 million increase in general and administrative expenses for the year ended December 31, 2015 compared to the year ended December 31, 2014 was primarily due to higher headcount, stock-based compensation of $3.2 million and a $6.5 million increase in Rintega and glembatumumab vedotin commercial planning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expenses for the year ended December 31, 2015 were consistent compared to the year ended December 31, 2014.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40" w:firstLine="348"/>
        <w:spacing w:after="0" w:line="262" w:lineRule="auto"/>
        <w:rPr>
          <w:sz w:val="20"/>
          <w:szCs w:val="20"/>
          <w:color w:val="auto"/>
        </w:rPr>
      </w:pPr>
      <w:r>
        <w:rPr>
          <w:rFonts w:ascii="Times New Roman" w:cs="Times New Roman" w:eastAsia="Times New Roman" w:hAnsi="Times New Roman"/>
          <w:sz w:val="18"/>
          <w:szCs w:val="18"/>
          <w:color w:val="auto"/>
        </w:rPr>
        <w:t>The $2.0 million decrease in investment and other income, net for the year ended December 31, 2015 compared to the year ended December 31, 2014 was primarily due to other income of $3.0 million received in 2014 in connection with our TopoTarget agreement. These payments are the last milestone payments we were owed from TopoTarget.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60" w:firstLine="351"/>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93"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93" w:lineRule="exact"/>
        <w:rPr>
          <w:sz w:val="20"/>
          <w:szCs w:val="20"/>
          <w:color w:val="auto"/>
        </w:rPr>
      </w:pPr>
    </w:p>
    <w:p>
      <w:pPr>
        <w:ind w:right="40" w:firstLine="341"/>
        <w:spacing w:after="0" w:line="256" w:lineRule="auto"/>
        <w:rPr>
          <w:sz w:val="20"/>
          <w:szCs w:val="20"/>
          <w:color w:val="auto"/>
        </w:rPr>
      </w:pPr>
      <w:r>
        <w:rPr>
          <w:rFonts w:ascii="Times New Roman" w:cs="Times New Roman" w:eastAsia="Times New Roman" w:hAnsi="Times New Roman"/>
          <w:sz w:val="18"/>
          <w:szCs w:val="18"/>
          <w:color w:val="auto"/>
        </w:rPr>
        <w:t>At December 31, 2016, our principal sources of liquidity consisted of cash, cash equivalents and marketable securities of $189.8 million. We have had recurring losses and incurred a loss of $128.5 million for the year ended December 31, 2016. Net cash used in operations for the year ended December 31, 2016 was $113.0 million. We believe that the cash, cash equivalents and marketable securities at December 31, 2016 combined with the anticipated proceeds from future sales of our common stock under the Cantor agreement, are sufficient to meet estimated working capital requirements and fund planned operations through 2018, however, this could be impacted if we elected to pay Kolltan contingent milestones, if any, in cash.</w:t>
      </w:r>
    </w:p>
    <w:p>
      <w:pPr>
        <w:spacing w:after="0" w:line="193"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the event that certain specified preclinical and clinical development milestones related to Kolltan's development programs and/or our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NASDAQ listing requirements and provisions of the merger agreement.</w:t>
      </w:r>
    </w:p>
    <w:p>
      <w:pPr>
        <w:spacing w:after="0" w:line="190"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During the next twelve months and beyond, we will take further steps to raise additional capital to meet our liquidity needs. Our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we may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Further, if we do not obtain shareholder approval to issue shares in lieu of cash payments, we would need to make those payments in cash in order to meet our NASDAQ listing requirements.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120" w:firstLine="351"/>
        <w:spacing w:after="0" w:line="310" w:lineRule="auto"/>
        <w:rPr>
          <w:sz w:val="20"/>
          <w:szCs w:val="20"/>
          <w:color w:val="auto"/>
        </w:rPr>
      </w:pPr>
      <w:r>
        <w:rPr>
          <w:rFonts w:ascii="Times New Roman" w:cs="Times New Roman" w:eastAsia="Times New Roman" w:hAnsi="Times New Roman"/>
          <w:sz w:val="16"/>
          <w:szCs w:val="16"/>
          <w:color w:val="auto"/>
        </w:rPr>
        <w:t>Net cash used in operating activities was $113.0 million for the year ended December 31, 2016 compared to $98.9 million for the year ended December 31, 2015. The increase in net cash used in operating activities was primarily due to an increase in net loss of $1.3 million and changes in working capital. We expect that cash used in operating activities will remain relatively consistent over the next twelve months, although there may be fluctuations on a quarterly basis.</w:t>
      </w:r>
    </w:p>
    <w:p>
      <w:pPr>
        <w:spacing w:after="0" w:line="151"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Net cash used in operating activities was $98.9 million for the year ended December 31, 2015 compared to $101.5 million for the year ended December 31, 2014. The decrease in net cash used in operating activities was primarily due to increases in accounts payable and other accrued expenses of $3.4 million and stock-based compensation expense of $5.9 million, offset by an increase in net loss of $9.1 million.</w:t>
      </w:r>
    </w:p>
    <w:p>
      <w:pPr>
        <w:spacing w:after="0" w:line="186"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and commercialization processes as well as to develop additional drug candidates. As our drug candidates progress through the clinical trial process, we may be obligated to make significant milestone payments.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Net cash provided by investing activities was $68.9 million for the year ended December 31, 2016 compared to net cash used by investing activities of $50.2 million for the year ended December 31, 2015. The increase in net cash provided by investing activities was primarily due to net sales and maturities of marketable securities for the year ended December 31, 2016 of $68.9 million as compared to net purchases of marketable securities of $45.3 million for the year ended December 31, 2015. We expect that cash provided by investing activities will increase over the next twelve months as we fund our operations through the net proceeds from the sale and maturity of marketable securities, cash provided by financing activities and/or new partnerships, although there may be significant fluctuations on a quarterly basis.</w:t>
      </w:r>
    </w:p>
    <w:p>
      <w:pPr>
        <w:spacing w:after="0" w:line="193"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$50.2 million for the year ended December 31, 2015 compared to $41.0 million for the year ended December 31, 2014. The increase in net cash used in investing activities was primarily due to net purchases of marketable securities for the year ended December 31, 2015 of $45.3 million as compared to $39.1 million for the year ended December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 was $14.5 million for the year ended December 31, 2016 compared to $193.2 million for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Net proceeds from stock issuances, including stock issued pursuant to employee benefit plans, were $14.5 million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2016 compared to $193.2 million for the year ended December 31, 2015.</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 was $193.2 million for the year ended December 31, 2015 compared to $1.2 million for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2014. Net proceeds from stock issuances, including stock issued pursuant to employee benefit plans, were $193.2 million during the year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2015 compared to $1.2 million for the year ended December 31,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Offerings</w:t>
      </w:r>
    </w:p>
    <w:p>
      <w:pPr>
        <w:spacing w:after="0" w:line="227"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In December 2013, we filed an automatic shelf registration statement with the Securities and Exchange Commission to register for sale any combination of the types of securities described in the shelf registration statement. In December 2016, we filed a new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w:t>
      </w:r>
    </w:p>
    <w:p>
      <w:pPr>
        <w:spacing w:after="0" w:line="190"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In May 2016, we entered into an agreement with Cantor Fitzgerald &amp; Co. (Cantor) to allow us to issue and sell shares of our common stock having an aggregate offering price of up to $60.0 million from time to time through Cantor, acting as agent. During the year ended December 31, 2016, we issued 3,303,800 shares of our common stock under this controlled equity offering sales agreement with Cantor resulting in net proceeds to us of $13.9 million, after deducting commission and offering expenses.</w:t>
      </w:r>
    </w:p>
    <w:p>
      <w:pPr>
        <w:spacing w:after="0" w:line="190"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2015, we issued 8,337,500 shares of our common stock in underwritten public offerings resulting in net proceeds to us of $188.8 million, after deducting underwriting fees and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 Because the achievement of these milestones had not occurred as of December 31, 2016 such contingencies have not been recorded in our financial statements. We expect to incur approximately $0.9 million of license and milestone payments in 2017.</w:t>
      </w:r>
    </w:p>
    <w:p>
      <w:pPr>
        <w:spacing w:after="0" w:line="193" w:lineRule="exact"/>
        <w:rPr>
          <w:sz w:val="20"/>
          <w:szCs w:val="20"/>
          <w:color w:val="auto"/>
        </w:rPr>
      </w:pPr>
    </w:p>
    <w:p>
      <w:pPr>
        <w:ind w:right="100"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(not including contingent royalty and milestone payments as described above) at December 31, 2016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2018 - 2019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4"/>
              </w:rPr>
              <w:t>2020 - 2021</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Operating lease obligations(1)</w:t>
            </w:r>
          </w:p>
        </w:tc>
        <w:tc>
          <w:tcPr>
            <w:tcW w:w="14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48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contractual obligations(2)(3)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5" w:lineRule="exact"/>
        <w:rPr>
          <w:sz w:val="20"/>
          <w:szCs w:val="20"/>
          <w:color w:val="auto"/>
        </w:rPr>
      </w:pPr>
    </w:p>
    <w:p>
      <w:pPr>
        <w:ind w:left="1680" w:right="140" w:hanging="531"/>
        <w:spacing w:after="0" w:line="275" w:lineRule="auto"/>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primarily consist of payments for our facility leases and do not assume the exercise of renewal terms or early termination provisions.</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258"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217" w:lineRule="exact"/>
        <w:rPr>
          <w:rFonts w:ascii="Times New Roman" w:cs="Times New Roman" w:eastAsia="Times New Roman" w:hAnsi="Times New Roman"/>
          <w:sz w:val="18"/>
          <w:szCs w:val="18"/>
          <w:color w:val="auto"/>
        </w:rPr>
      </w:pPr>
    </w:p>
    <w:p>
      <w:pPr>
        <w:ind w:left="1680" w:right="60" w:hanging="531"/>
        <w:spacing w:after="0" w:line="255"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certain specified preclinical and clinical development milestones related to Kolltan's development programs and/or our development programs and certain commercial milestones related to Kolltan's drug candidates are achieved, we will be required to pay Kolltan's stockholders milestone payments of up to $172.5 million, which milestone payments may be made, at our sole election, in cash, in shares of our common stock or a combination of both, subject to NASDAQ listing requirements and provisions of the merger agreement. Because the timing and certainty of these milestones being achieved is unknown, these potential future obligations are not included within the table.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in the accompanying notes to the financial statements for a discussion of recent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7" w:lineRule="exact"/>
        <w:rPr>
          <w:sz w:val="20"/>
          <w:szCs w:val="20"/>
          <w:color w:val="auto"/>
        </w:rPr>
      </w:pPr>
    </w:p>
    <w:p>
      <w:pPr>
        <w:ind w:right="20" w:firstLine="348"/>
        <w:spacing w:after="0" w:line="291" w:lineRule="auto"/>
        <w:rPr>
          <w:sz w:val="20"/>
          <w:szCs w:val="20"/>
          <w:color w:val="auto"/>
        </w:rPr>
      </w:pPr>
      <w:r>
        <w:rPr>
          <w:rFonts w:ascii="Times New Roman" w:cs="Times New Roman" w:eastAsia="Times New Roman" w:hAnsi="Times New Roman"/>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6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balance sheet of cash and cash equivalents, accounts receivables and accounts payable approximates fair value at December 31, 2016 due to the short-term maturities of these instruments.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Celldex Therapeutics, Inc.</w:t>
      </w:r>
    </w:p>
    <w:p>
      <w:pPr>
        <w:spacing w:after="0" w:line="225"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accompanying consolidated balance sheets and the related consolidated statements of operations and comprehensive loss, of stockholders' equity, and of cash flows present fairly, in all material respects, the financial position of Celldex Therapeutics,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ind w:right="120" w:firstLine="341"/>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2017</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337,584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Liabilities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(Notes 13 and 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at December 31, 2016 and 2015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61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w w:val="98"/>
              </w:rPr>
              <w:t>Common Stock, $.001 Par Value; 297,000,000 Shares Authorized; 120,516,654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98,685,595 Shares Issued and Outstanding at December 31, 2016 and 2015,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878,655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(719,486)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(590,956)</w:t>
            </w:r>
          </w:p>
        </w:tc>
      </w:tr>
      <w:tr>
        <w:trPr>
          <w:trHeight w:val="210"/>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290,105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337,584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101,529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97,051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89,399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(128,530)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(127,197)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Stock Par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60" w:type="dxa"/>
            <w:vAlign w:val="bottom"/>
          </w:tcPr>
          <w:p>
            <w:pPr>
              <w:spacing w:after="0"/>
              <w:rPr>
                <w:sz w:val="12"/>
                <w:szCs w:val="12"/>
                <w:color w:val="auto"/>
              </w:rPr>
            </w:pPr>
          </w:p>
        </w:tc>
        <w:tc>
          <w:tcPr>
            <w:tcW w:w="100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89,246,832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662,717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(345,679)</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319,795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Shares Issued under Stock Option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Employee Stock Purchase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Shares Issued in Connection with</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Supply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152,172</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Unrealized Losses on Marketable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(118,080)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w:t>
            </w: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89,592,779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672,739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(463,759)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211,660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Shares Issued under Stock Option</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Employee Stock Purchase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755,316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Shares Issued in Underwritten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Offering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Unrealized Losses on Marketable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98,685,595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878,655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(590,956)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Shares Issued under Stock Option</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Employee Stock Purchase</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Shares Issued in Connection with</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Cantor Agreement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3,303,800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Shares Issued in Connection with the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Kolltan Acquisition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18,257,996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Shares Issued in Connection with</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Kolltan Severance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Unrealized Gains on Marketable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(128,530)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Consolidated Balance at</w:t>
            </w: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120,516,654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982,255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(719,486)</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265,431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25" w:right="125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5"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(128,530)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(127,197)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Adjustments to Reconcile Net Loss to Net Cash Used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320"/>
              <w:spacing w:after="0" w:line="201" w:lineRule="exact"/>
              <w:rPr>
                <w:sz w:val="20"/>
                <w:szCs w:val="20"/>
                <w:color w:val="auto"/>
              </w:rPr>
            </w:pPr>
            <w:r>
              <w:rPr>
                <w:rFonts w:ascii="Times New Roman" w:cs="Times New Roman" w:eastAsia="Times New Roman" w:hAnsi="Times New Roman"/>
                <w:sz w:val="18"/>
                <w:szCs w:val="18"/>
                <w:color w:val="auto"/>
              </w:rPr>
              <w:t>Realized Gain on Sales and Maturities of Marketable</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(206,405)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Other</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Acquired in Kolltan Acquisition,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Proceeds from Issuance of Stock from Employee Benefit Plans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Effect of Exchange Rate Changes on Cash and Cash Equivalents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Non-cash Investing Activities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Supplemental Disclosure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Shares issued to former Kolltan executive for settlement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in connection with Kolltan Acquisition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OVERVIEW</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Celldex Therapeutics, Inc. (the "Company" or "Celldex") is a biopharmaceutical company focused on the development and commercialization of several immunotherapy technologies for the treatment of cancer and other difficult-to-treat diseases. The Company currently has seven drug candidates in clinical development including glembatumumab vedotin (also referred to as CDX-011), varlilumab (also referred to as CDX-1127), CDX-0158, CDX-3379, CDX-1401, CDX-301 and CDX-014.</w:t>
      </w:r>
    </w:p>
    <w:p>
      <w:pPr>
        <w:spacing w:after="0" w:line="190" w:lineRule="exact"/>
        <w:rPr>
          <w:sz w:val="20"/>
          <w:szCs w:val="20"/>
          <w:color w:val="auto"/>
        </w:rPr>
      </w:pPr>
    </w:p>
    <w:p>
      <w:pPr>
        <w:ind w:firstLine="341"/>
        <w:spacing w:after="0" w:line="252" w:lineRule="auto"/>
        <w:rPr>
          <w:sz w:val="20"/>
          <w:szCs w:val="20"/>
          <w:color w:val="auto"/>
        </w:rPr>
      </w:pPr>
      <w:r>
        <w:rPr>
          <w:rFonts w:ascii="Times New Roman" w:cs="Times New Roman" w:eastAsia="Times New Roman" w:hAnsi="Times New Roman"/>
          <w:sz w:val="18"/>
          <w:szCs w:val="18"/>
          <w:color w:val="auto"/>
        </w:rPr>
        <w:t>As more fully discussed in Note 17, on November 29, 2016, the Company acquired (the "Kolltan Acquisition") Kolltan Pharmaceuticals, Inc. ("Kolltan"), a privately held clinical-stage biotechnology company based in New Haven, Connecticut in accordance with the Agreement and Plan of Merger dated as of November 1, 2016 (the "Merger Agreement"). Under the terms of the Merger Agreement, Kolltan's investors received, in exchange for their share and debt interests in Kolltan, an aggregate of 18,257,996 shares of Celldex's common stock. In addition, following closing, certain officers of Kolltan will receive an aggregate of 437,901 shares of Celldex's common stock in lieu of cash severance obligations, less tax withholdings. In December 2016, the Company issued 111,111 shares of Celldex's common stock as partial payment of this obligation. In addition, in the event that certain specified preclinical and clinical development milestones related to Kolltan's development programs and/or Celldex's development programs and certain commercial milestones related to Kolltan's drug candidates are achieved, Celldex will be required to pay Kolltan's stockholders milestone payments of up to $172.5 million, which milestone payments may be made, at Celldex's sole election, in cash, in shares of Celldex's common stock or a combination of both, subject to NASDAQ listing requirements and provisions of the Merger Agreement. The number of shares of Celldex common stock issuable in connection with a milestone payment, if any, will be determined based on the average closing price per share of Celldex common stock for the five trading day period ending three calendar days prior to the achievement of such milestone. Pursuant to applicable NASDAQ listing rules, Celldex is required to obtain stockholder approval of such issuances of Celldex's common stock to the extent that such issuances exceed 19.9% of its common stock outstanding prior to the merger. If Celldex does not obtain stockholder approval of such common stock issuances, Celldex may elect to pay the milestone consideration in cash to maintain compliance with applicable NASDAQ listing standards. Celldex may still decide to pay cash even if Celldex obtains stockholder approval although it is required to maintain a certain percentage of the overall consideration paid in Celldex common stock to satisfy certain tax requirements under the Merger Agreement.</w:t>
      </w:r>
    </w:p>
    <w:p>
      <w:pPr>
        <w:spacing w:after="0" w:line="196" w:lineRule="exact"/>
        <w:rPr>
          <w:sz w:val="20"/>
          <w:szCs w:val="20"/>
          <w:color w:val="auto"/>
        </w:rPr>
      </w:pPr>
    </w:p>
    <w:p>
      <w:pPr>
        <w:ind w:right="140" w:firstLine="341"/>
        <w:spacing w:after="0" w:line="258" w:lineRule="auto"/>
        <w:rPr>
          <w:sz w:val="20"/>
          <w:szCs w:val="20"/>
          <w:color w:val="auto"/>
        </w:rPr>
      </w:pPr>
      <w:r>
        <w:rPr>
          <w:rFonts w:ascii="Times New Roman" w:cs="Times New Roman" w:eastAsia="Times New Roman" w:hAnsi="Times New Roman"/>
          <w:sz w:val="18"/>
          <w:szCs w:val="18"/>
          <w:color w:val="auto"/>
        </w:rPr>
        <w:t>At December 31, 2016, the Company had cash, cash equivalents and marketable securities of $189.8 million. The Company has had recurring losses and incurred a loss of $128.5 million for the year ended December 31, 2016. Net cash used in operations for the year ended December 31, 2016 was $113.0 million. The Company believes that the cash, cash equivalents and marketable securities at March 14, 2017 will be sufficient to meet estimated working capital requirements and fund planned operations for at least the next twelve months from the date of issuance of these financial statements.</w:t>
      </w:r>
    </w:p>
    <w:p>
      <w:pPr>
        <w:spacing w:after="0" w:line="190"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During the next twelve months and beyond, the Company will take further steps to raise additional capital to meet its liquidity needs. These capital raising activities may include, but may not be limited to, one or more of the following: the licensing of drug candidates with existing or new collaborative partners, possible business combinations, issuance of debt, or the issuance of common stock or other securities via private placements or public offerings. While the Company may seek capital through a number of means, there can be no assurance that additional financing will be available on acceptable terms, if at all, and the Company's negotiating position in capital-raising efforts may worsen as existing</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OVERVIEW (Continued)</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future contingent milestones from the Kolltan acquisition, in the event that the Company achieves the drug candidate milestones related to those payments. The Company may decide to pay those milestone payments in cash. Further, if the Company does not obtain shareholder approval to issue shares in lieu of cash payments, the Company would need to make those payments in cash in order to meet its NASDAQ listing requirements.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Following the Kolltan Acquisition, the consolidated financial statements reflect the financial position, results of operation and cash flows of the combined companies. Accordingly, this report reflects the financial condition as of December 31, 2016 and the results of operations and cash flows for the period from the Kolltan Acquisition on November 29, 2016 through December 31, 2016. On December 31, 2016, the Company completed the merger of Kolltan with and into Celldex pursuant to a short-form merger effected under Delaware law. As a result, the separate corporate existence of Kolltan has ceased and the Company has succeeded to all rights, privileges, powers and franchises of Kolltan.</w:t>
      </w:r>
    </w:p>
    <w:p>
      <w:pPr>
        <w:spacing w:after="0" w:line="193" w:lineRule="exact"/>
        <w:rPr>
          <w:sz w:val="20"/>
          <w:szCs w:val="20"/>
          <w:color w:val="auto"/>
        </w:rPr>
      </w:pPr>
    </w:p>
    <w:p>
      <w:pPr>
        <w:ind w:right="20" w:firstLine="351"/>
        <w:spacing w:after="0" w:line="255" w:lineRule="auto"/>
        <w:rPr>
          <w:sz w:val="20"/>
          <w:szCs w:val="20"/>
          <w:color w:val="auto"/>
        </w:rPr>
      </w:pPr>
      <w:r>
        <w:rPr>
          <w:rFonts w:ascii="Times New Roman" w:cs="Times New Roman" w:eastAsia="Times New Roman" w:hAnsi="Times New Roman"/>
          <w:sz w:val="18"/>
          <w:szCs w:val="18"/>
          <w:color w:val="auto"/>
        </w:rPr>
        <w:t>On December 31, 2014, the Company's wholly-owned subsidiary, Celldex Research Corporation, merged into Celldex Therapeutics, Inc. In February 2016, the Company formed a wholly-owned subsidiary, Celldex Therapeutics Europe GmbH, in Zug, Switzerland. In July 2016, we formed a wholly-owned subsidiary, Celldex Australia Pty Ltd, in Brisbane, Australia. The statements of operations and comprehensive loss, of stockholders' equity, and of cash flows, are consolidated for the years ended December 31, 2016 and 2014. These consolidated financial statements reflect the operations of the Company and its wholly-owned subsidiary prior to the merger. All intercompany balances and transactions have been eliminated in consolidation. The Company operates in one segment, which is the business of development, manufacturing and commercialization of novel therapeutics for human health care.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500" w:firstLine="348"/>
        <w:spacing w:after="0" w:line="275"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of America (U.S. GAAP) requires management to make estimates and use assumptions that affect the reported amounts of assets and liabilities and the disclosure of</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contingent assets and liabilities at the dates of the financial statements and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180" w:firstLine="348"/>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ind w:right="80" w:firstLine="348"/>
        <w:spacing w:after="0" w:line="293" w:lineRule="auto"/>
        <w:rPr>
          <w:sz w:val="20"/>
          <w:szCs w:val="20"/>
          <w:color w:val="auto"/>
        </w:rPr>
      </w:pPr>
      <w:r>
        <w:rPr>
          <w:rFonts w:ascii="Times New Roman" w:cs="Times New Roman" w:eastAsia="Times New Roman" w:hAnsi="Times New Roman"/>
          <w:sz w:val="16"/>
          <w:szCs w:val="16"/>
          <w:color w:val="auto"/>
        </w:rPr>
        <w:t>The Company invests its excess cash balances in marketable securities including municipal bond securities, U.S. government agency securities, and high-grade corporate bonds. The Company classifies all of its marketable securities as current assets on the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statements of operations. Realized gains and losses are determined on the specific identification method and are included in investment and other income, net.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of Significant Customers and Suppliers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3"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Revenue from Rockefeller and BMS represented 40% and 31% for the year ended December 31, 2016, 62% and 24% for the year ended December 31, 2015, and 75% and 20% for the year ended December 31, 2014, of total Company revenue, respectively.</w:t>
      </w:r>
    </w:p>
    <w:p>
      <w:pPr>
        <w:spacing w:after="0" w:line="174"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The Company relies on contract manufacturing organizations (CMO) to manufacture drug substance and drug product for its late-stage clinical study of glembatumumab vedotin as well as for future commercial supplies. The Company also relies on CMOs for supply of raw materials as well as filling, packaging, storage and shipping of drug product. These clinical studies would be adversely affected by a significant interruption in the supply of glembatumumab vedotin. The Company also relies on third-party collaborators to develop companion diagnostic tests for certain of its drug candidates, including glembatumumab vedotin.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620" w:firstLine="348"/>
        <w:spacing w:after="0" w:line="275" w:lineRule="auto"/>
        <w:rPr>
          <w:sz w:val="20"/>
          <w:szCs w:val="20"/>
          <w:color w:val="auto"/>
        </w:rPr>
      </w:pPr>
      <w:r>
        <w:rPr>
          <w:rFonts w:ascii="Times New Roman" w:cs="Times New Roman" w:eastAsia="Times New Roman" w:hAnsi="Times New Roman"/>
          <w:sz w:val="18"/>
          <w:szCs w:val="18"/>
          <w:color w:val="auto"/>
        </w:rPr>
        <w:t>The Company has certain assets and liabilities that are measured at fair value in the financial statements. The Company seeks to maximize the use of observable inputs (market data obtained from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86" w:lineRule="exact"/>
        <w:rPr>
          <w:sz w:val="20"/>
          <w:szCs w:val="20"/>
          <w:color w:val="auto"/>
        </w:rPr>
      </w:pPr>
    </w:p>
    <w:p>
      <w:pPr>
        <w:jc w:val="both"/>
        <w:ind w:left="540" w:right="400" w:firstLine="351"/>
        <w:spacing w:after="0" w:line="339" w:lineRule="auto"/>
        <w:rPr>
          <w:sz w:val="20"/>
          <w:szCs w:val="20"/>
          <w:color w:val="auto"/>
        </w:rPr>
      </w:pPr>
      <w:r>
        <w:rPr>
          <w:rFonts w:ascii="Times New Roman" w:cs="Times New Roman" w:eastAsia="Times New Roman" w:hAnsi="Times New Roman"/>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28" w:lineRule="exact"/>
        <w:rPr>
          <w:sz w:val="20"/>
          <w:szCs w:val="20"/>
          <w:color w:val="auto"/>
        </w:rPr>
      </w:pPr>
    </w:p>
    <w:p>
      <w:pPr>
        <w:ind w:left="540" w:right="360" w:firstLine="351"/>
        <w:spacing w:after="0" w:line="275"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74" w:lineRule="exact"/>
        <w:rPr>
          <w:sz w:val="20"/>
          <w:szCs w:val="20"/>
          <w:color w:val="auto"/>
        </w:rPr>
      </w:pPr>
    </w:p>
    <w:p>
      <w:pPr>
        <w:ind w:left="540" w:right="500" w:firstLine="351"/>
        <w:spacing w:after="0" w:line="275" w:lineRule="auto"/>
        <w:rPr>
          <w:sz w:val="20"/>
          <w:szCs w:val="20"/>
          <w:color w:val="auto"/>
        </w:rPr>
      </w:pPr>
      <w:r>
        <w:rPr>
          <w:rFonts w:ascii="Times New Roman" w:cs="Times New Roman" w:eastAsia="Times New Roman" w:hAnsi="Times New Roman"/>
          <w:sz w:val="18"/>
          <w:szCs w:val="18"/>
          <w:color w:val="auto"/>
        </w:rPr>
        <w:t>Level 3: Unobservable inputs based on the Company's assessment of the assumptions that market participants would use in pricing the asset or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20" w:firstLine="351"/>
        <w:spacing w:after="0" w:line="291" w:lineRule="auto"/>
        <w:rPr>
          <w:sz w:val="20"/>
          <w:szCs w:val="20"/>
          <w:color w:val="auto"/>
        </w:rPr>
      </w:pPr>
      <w:r>
        <w:rPr>
          <w:rFonts w:ascii="Times New Roman" w:cs="Times New Roman" w:eastAsia="Times New Roman" w:hAnsi="Times New Roman"/>
          <w:sz w:val="16"/>
          <w:szCs w:val="16"/>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statements of operations and comprehensive loss.</w:t>
      </w:r>
    </w:p>
    <w:p>
      <w:pPr>
        <w:spacing w:after="0" w:line="16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 value models. Each asset is measured at fair value from the perspective of a market participant. The method used to estimate the fair values of IPR&amp;D assets incorporates significant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93"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The Company records contingent consideration resulting from a business combination at its fair value on the acquisition date. The Company determines the fair value of the contingent consideration based primarily on the (i) timing and probability of success of clinical events or regulatory approvals; (ii) timing and probability of success of meeting clinical and commercial milestones; and (iii) discount rates. The Company's contingent consideration liabilities arose in connection with its acquisition of Kolltan. On a quarterly basis, the Company revalues these obligations and record increases or decreases in their fair value as an adjustment to operating earnings. Changes to contingent consideration obligations can result from adjustments to discount rates, accretion of the discount rates due to the passage of time, changes in the Company's estimates of the likelihood or timing of achieving development or commercial milestones, changes in the probability of certain clinical events or changes in the assumed probability associated with regulatory approval. The assumptions related to determining the value of contingent consideration include a significant amount of judgment, and any changes in the underlying estimates could have a material impact on the amount of contingent consideration expense recorded in any given period.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IPR&amp;D assets acquired in a business combination initially are recorded at fair value and accounted for as indefinite-lived intangible assets. These assets are capitalized on the Company's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93"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IPR&amp;D assets are tested for impairment on an annual basis during the third quarter, or earlier if impairment indicators are present. As part of the annual impairment test of the IPR&amp;D assets as of July 1, 2016, the Company performed a calculation of the fair value of the asset and concluded that the IPR&amp;D assets were not impaired.</w:t>
      </w:r>
    </w:p>
    <w:p>
      <w:pPr>
        <w:spacing w:after="0" w:line="186"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280" w:firstLine="348"/>
        <w:spacing w:after="0" w:line="339" w:lineRule="auto"/>
        <w:rPr>
          <w:sz w:val="20"/>
          <w:szCs w:val="20"/>
          <w:color w:val="auto"/>
        </w:rPr>
      </w:pPr>
      <w:r>
        <w:rPr>
          <w:rFonts w:ascii="Times New Roman" w:cs="Times New Roman" w:eastAsia="Times New Roman" w:hAnsi="Times New Roman"/>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option to assess qualitative factors to determine if it is more likely than not that goodwill might be impaired and whether it is necessary to perform the two-step goodwill impairment test required under U.S. GAAP. As part of its annual impairment test of the goodwill asset as of July 1, 2016, the Company bypassed the optional qualitative assessment and performed the two-step impairment test. The Company concluded that goodwill was not impaired.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and Long-Lived Assets</w:t>
      </w:r>
    </w:p>
    <w:p>
      <w:pPr>
        <w:spacing w:after="0" w:line="227"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74" w:lineRule="exact"/>
        <w:rPr>
          <w:sz w:val="20"/>
          <w:szCs w:val="20"/>
          <w:color w:val="auto"/>
        </w:rPr>
      </w:pPr>
    </w:p>
    <w:p>
      <w:pPr>
        <w:ind w:right="60" w:firstLine="348"/>
        <w:spacing w:after="0" w:line="291" w:lineRule="auto"/>
        <w:rPr>
          <w:sz w:val="20"/>
          <w:szCs w:val="20"/>
          <w:color w:val="auto"/>
        </w:rPr>
      </w:pPr>
      <w:r>
        <w:rPr>
          <w:rFonts w:ascii="Times New Roman" w:cs="Times New Roman" w:eastAsia="Times New Roman" w:hAnsi="Times New Roman"/>
          <w:sz w:val="16"/>
          <w:szCs w:val="16"/>
          <w:color w:val="auto"/>
        </w:rPr>
        <w:t>The Company has entered into and in the future may enter into biopharmaceutical product development agreements with collaborative partners for the research and development of therapeutic drug candidates.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relative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6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 commensurate to the Company's performance. If not considered substantive, milestones are initially deferred and recognized over the period of the remaining performance obligation.</w:t>
      </w:r>
    </w:p>
    <w:p>
      <w:pPr>
        <w:spacing w:after="0" w:line="190" w:lineRule="exact"/>
        <w:rPr>
          <w:sz w:val="20"/>
          <w:szCs w:val="20"/>
          <w:color w:val="auto"/>
        </w:rPr>
      </w:pPr>
    </w:p>
    <w:p>
      <w:pPr>
        <w:jc w:val="both"/>
        <w:ind w:right="220" w:firstLine="351"/>
        <w:spacing w:after="0" w:line="258" w:lineRule="auto"/>
        <w:rPr>
          <w:sz w:val="20"/>
          <w:szCs w:val="20"/>
          <w:color w:val="auto"/>
        </w:rPr>
      </w:pPr>
      <w:r>
        <w:rPr>
          <w:rFonts w:ascii="Times New Roman" w:cs="Times New Roman" w:eastAsia="Times New Roman" w:hAnsi="Times New Roman"/>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90"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Product royalty revenue consists of payments received from licensees for a portion of sales proceeds from products that utilize the Company's licensed technologies and are recognized when the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amount of and basis for such royalty payments are reported to the Company in accurate and appropriate form and in accordance with the related license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51"/>
        <w:spacing w:after="0" w:line="262" w:lineRule="auto"/>
        <w:rPr>
          <w:sz w:val="20"/>
          <w:szCs w:val="20"/>
          <w:color w:val="auto"/>
        </w:rPr>
      </w:pPr>
      <w:r>
        <w:rPr>
          <w:rFonts w:ascii="Times New Roman" w:cs="Times New Roman" w:eastAsia="Times New Roman" w:hAnsi="Times New Roman"/>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preclinical studies, personnel costs, depreciation, license fees and funding of outside contracted research.</w:t>
      </w:r>
    </w:p>
    <w:p>
      <w:pPr>
        <w:spacing w:after="0" w:line="186"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Clinical trial expenses include expenses associated with clinical research organizations, or CRO, services. Contract manufacturing expenses include expenses associated with contract manufacturing organizations, or CMO, services. The invoicing from CROs and CMOs for services rendered can lag several months. The Company accrues the cost of services rendered in connection with CRO and CMO activities based on our estimate of costs incurred. The Company maintains regular communication with our CROs and CMOs to assess the reasonableness of its estimates. Differences between actual expenses and estimated expenses recorded have not been material and are adjusted for in the period in which they become known.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Costs</w:t>
      </w:r>
    </w:p>
    <w:p>
      <w:pPr>
        <w:spacing w:after="0" w:line="227"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40" w:firstLine="348"/>
        <w:spacing w:after="0" w:line="262" w:lineRule="auto"/>
        <w:rPr>
          <w:sz w:val="20"/>
          <w:szCs w:val="20"/>
          <w:color w:val="auto"/>
        </w:rPr>
      </w:pPr>
      <w:r>
        <w:rPr>
          <w:rFonts w:ascii="Times New Roman" w:cs="Times New Roman" w:eastAsia="Times New Roman" w:hAnsi="Times New Roman"/>
          <w:sz w:val="18"/>
          <w:szCs w:val="18"/>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86"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The Company records stock-based compensation expense for stock options granted to non-employees based on the fair value of the stock options which is re-measured over the graded vesting term resulting in periodic adjustments to stock-based compensation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Net unrealized gains and losses resulting from foreign currency translation are included in other comprehensive income (loss). At December 31, 2016 and December 31, 2015, accumulated other comprehensive income includes a net unrealized gain related to foreign currency translation of $2.6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100" w:firstLine="348"/>
        <w:spacing w:after="0" w:line="275"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including the recognition of deferred tax assets and deferred tax liabilities for the anticipated future tax consequences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86" w:lineRule="exact"/>
        <w:rPr>
          <w:sz w:val="20"/>
          <w:szCs w:val="20"/>
          <w:color w:val="auto"/>
        </w:rPr>
      </w:pPr>
    </w:p>
    <w:p>
      <w:pPr>
        <w:ind w:right="360" w:firstLine="348"/>
        <w:spacing w:after="0" w:line="339" w:lineRule="auto"/>
        <w:rPr>
          <w:sz w:val="20"/>
          <w:szCs w:val="20"/>
          <w:color w:val="auto"/>
        </w:rPr>
      </w:pPr>
      <w:r>
        <w:rPr>
          <w:rFonts w:ascii="Times New Roman" w:cs="Times New Roman" w:eastAsia="Times New Roman" w:hAnsi="Times New Roman"/>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ind w:right="420" w:firstLine="351"/>
        <w:spacing w:after="0" w:line="262" w:lineRule="auto"/>
        <w:rPr>
          <w:sz w:val="20"/>
          <w:szCs w:val="20"/>
          <w:color w:val="auto"/>
        </w:rPr>
      </w:pPr>
      <w:r>
        <w:rPr>
          <w:rFonts w:ascii="Times New Roman" w:cs="Times New Roman" w:eastAsia="Times New Roman" w:hAnsi="Times New Roman"/>
          <w:sz w:val="18"/>
          <w:szCs w:val="18"/>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statements of operations and comprehensive loss reflect total comprehensive loss for the years ended December 31, 2016, 2015 and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227"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 have not been included in the net loss per common share calculations because the effect would have been anti-dilutive are as follows:</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222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4"/>
              </w:rPr>
              <w:t>Year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92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10,218,710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8,110,239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7,015,350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19,500</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w:t>
            </w:r>
          </w:p>
        </w:tc>
      </w:tr>
      <w:tr>
        <w:trPr>
          <w:trHeight w:val="20"/>
        </w:trPr>
        <w:tc>
          <w:tcPr>
            <w:tcW w:w="4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10,268,710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8,129,739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7,022,350</w:t>
            </w:r>
          </w:p>
        </w:tc>
      </w:tr>
      <w:tr>
        <w:trPr>
          <w:trHeight w:val="20"/>
        </w:trPr>
        <w:tc>
          <w:tcPr>
            <w:tcW w:w="49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ind w:firstLine="351"/>
        <w:spacing w:after="0" w:line="26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86"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In May 2014, the FASB issued a new U.S. GAAP accounting standard that creates modifications to various other revenue accounting standards for specialized transactions and industries. The new U.S. GAAP accounting standard requires a company to recognize revenue when it transfers goods or services to customers in an amount that reflects the consideration that the company expects to receive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7" w:lineRule="exact"/>
        <w:rPr>
          <w:sz w:val="20"/>
          <w:szCs w:val="20"/>
          <w:color w:val="auto"/>
        </w:rPr>
      </w:pPr>
    </w:p>
    <w:p>
      <w:pPr>
        <w:jc w:val="both"/>
        <w:ind w:right="140"/>
        <w:spacing w:after="0" w:line="310" w:lineRule="auto"/>
        <w:rPr>
          <w:sz w:val="20"/>
          <w:szCs w:val="20"/>
          <w:color w:val="auto"/>
        </w:rPr>
      </w:pPr>
      <w:r>
        <w:rPr>
          <w:rFonts w:ascii="Times New Roman" w:cs="Times New Roman" w:eastAsia="Times New Roman" w:hAnsi="Times New Roman"/>
          <w:sz w:val="16"/>
          <w:szCs w:val="16"/>
          <w:color w:val="auto"/>
        </w:rPr>
        <w:t>for those goods or services. In August 2015, the FASB deferred the effective date of the new standard from January 1, 2017 to January 1, 2018. The amendment allows for two methods of adoption, a full retrospective method or a modified retrospective approach with the cumulative effect recognized at the date of initial application. The Company will further study the implications of this standard in order to evaluate the expected impact on the financial statements.</w:t>
      </w:r>
    </w:p>
    <w:p>
      <w:pPr>
        <w:spacing w:after="0" w:line="151" w:lineRule="exact"/>
        <w:rPr>
          <w:sz w:val="20"/>
          <w:szCs w:val="20"/>
          <w:color w:val="auto"/>
        </w:rPr>
      </w:pPr>
    </w:p>
    <w:p>
      <w:pPr>
        <w:ind w:right="140" w:firstLine="351"/>
        <w:spacing w:after="0" w:line="310" w:lineRule="auto"/>
        <w:rPr>
          <w:sz w:val="20"/>
          <w:szCs w:val="20"/>
          <w:color w:val="auto"/>
        </w:rPr>
      </w:pPr>
      <w:r>
        <w:rPr>
          <w:rFonts w:ascii="Times New Roman" w:cs="Times New Roman" w:eastAsia="Times New Roman" w:hAnsi="Times New Roman"/>
          <w:sz w:val="16"/>
          <w:szCs w:val="16"/>
          <w:color w:val="auto"/>
        </w:rPr>
        <w:t>In February 2016, the FASB issued a new U.S. GAAP accounting standard which requires that all lessees recognize the assets and liabilities that arise from leases on the balance sheet and disclose qualitative and quantitative information about its leasing arrangements. The new standard will be effective for the Company on January 1, 2019. The Company is currently evaluating the potential impact that this standard may have on the Company's financial statements.</w:t>
      </w:r>
    </w:p>
    <w:p>
      <w:pPr>
        <w:spacing w:after="0" w:line="151" w:lineRule="exact"/>
        <w:rPr>
          <w:sz w:val="20"/>
          <w:szCs w:val="20"/>
          <w:color w:val="auto"/>
        </w:rPr>
      </w:pPr>
    </w:p>
    <w:p>
      <w:pPr>
        <w:ind w:right="160" w:firstLine="351"/>
        <w:spacing w:after="0" w:line="258" w:lineRule="auto"/>
        <w:rPr>
          <w:sz w:val="20"/>
          <w:szCs w:val="20"/>
          <w:color w:val="auto"/>
        </w:rPr>
      </w:pPr>
      <w:r>
        <w:rPr>
          <w:rFonts w:ascii="Times New Roman" w:cs="Times New Roman" w:eastAsia="Times New Roman" w:hAnsi="Times New Roman"/>
          <w:sz w:val="18"/>
          <w:szCs w:val="18"/>
          <w:color w:val="auto"/>
        </w:rPr>
        <w:t>In March 2016, the FASB issued a new U.S. GAAP accounting standard which involves several aspects of the accounting for share-based payment transactions, including the income tax consequences, classification of awards as either equity or liabilities and classification on the statement of cash flows. The new standard will be effective for the Company on January 1, 2017. The adoption of this standard is not expected to have a material impact on our financial statements.</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June 2016, the FASB issued a new U.S. GAAP accounting standard which changes the impairment model for most financial assets and certain other instruments. Under the new standard, entities holding financial assets and net investment in leases that are not accounted for at fair value through net income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adoption of this standard is not expected to have a material impact on the Company's financial statements.</w:t>
      </w:r>
    </w:p>
    <w:p>
      <w:pPr>
        <w:spacing w:after="0" w:line="193"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In August 2016, the FASB issued a new U.S. GAAP accounting standard which clarifies certain aspects of the statement of cash flows, including the classification of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distributions received from equity method investees and beneficial interests in securitization transactions. The new standard also clarifies that an entity should determine each separately identifiable source or use within the cash receipts and cash payments on the basis of the nature of the underlying cash flows.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new standard will be effective for us on January 1, 2018. The Company is currently evaluating the potential impact that this standard may have on the Company's financial statements.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COMPREHENSIVE LOSS</w:t>
      </w:r>
    </w:p>
    <w:p>
      <w:pPr>
        <w:spacing w:after="0" w:line="227" w:lineRule="exact"/>
        <w:rPr>
          <w:sz w:val="20"/>
          <w:szCs w:val="20"/>
          <w:color w:val="auto"/>
        </w:rPr>
      </w:pPr>
    </w:p>
    <w:p>
      <w:pPr>
        <w:ind w:right="420" w:firstLine="348"/>
        <w:spacing w:after="0" w:line="339" w:lineRule="auto"/>
        <w:rPr>
          <w:sz w:val="20"/>
          <w:szCs w:val="20"/>
          <w:color w:val="auto"/>
        </w:rPr>
      </w:pPr>
      <w:r>
        <w:rPr>
          <w:rFonts w:ascii="Times New Roman" w:cs="Times New Roman" w:eastAsia="Times New Roman" w:hAnsi="Times New Roman"/>
          <w:sz w:val="16"/>
          <w:szCs w:val="16"/>
          <w:color w:val="auto"/>
        </w:rPr>
        <w:t>The changes in accumulated other comprehensive income (loss) by component for the years ended December 31, 2016, 2015 and 2014 are summarized below. No amounts were reclassified out of accumulated other comprehensive income during the years ended December 31, 2016, 2015 and 2014.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Gain (Loss)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Marketable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w w:val="92"/>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2013</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2014</w:t>
            </w:r>
          </w:p>
        </w:tc>
        <w:tc>
          <w:tcPr>
            <w:tcW w:w="16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Other comprehensive (loss) gain before reclassifications</w:t>
            </w: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(298)</w:t>
            </w:r>
          </w:p>
        </w:tc>
        <w:tc>
          <w:tcPr>
            <w:tcW w:w="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(283)</w:t>
            </w:r>
          </w:p>
        </w:tc>
        <w:tc>
          <w:tcPr>
            <w:tcW w:w="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(loss) gain</w:t>
            </w:r>
          </w:p>
        </w:tc>
        <w:tc>
          <w:tcPr>
            <w:tcW w:w="16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2015</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(289)</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Other comprehensive gain before reclassifications</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current-period other comprehensive gain</w:t>
            </w:r>
          </w:p>
        </w:tc>
        <w:tc>
          <w:tcPr>
            <w:tcW w:w="16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w:t>
            </w:r>
          </w:p>
        </w:tc>
        <w:tc>
          <w:tcPr>
            <w:tcW w:w="30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80" w:type="dxa"/>
            <w:vAlign w:val="bottom"/>
            <w:vMerge w:val="restart"/>
          </w:tcPr>
          <w:p>
            <w:pPr>
              <w:jc w:val="right"/>
              <w:ind w:right="1152"/>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subject to fair value measurements: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December 31, 2015</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59,831</w:t>
            </w:r>
          </w:p>
        </w:tc>
        <w:tc>
          <w:tcPr>
            <w:tcW w:w="160" w:type="dxa"/>
            <w:vAlign w:val="bottom"/>
          </w:tcPr>
          <w:p>
            <w:pPr>
              <w:spacing w:after="0"/>
              <w:rPr>
                <w:sz w:val="18"/>
                <w:szCs w:val="18"/>
                <w:color w:val="auto"/>
              </w:rPr>
            </w:pPr>
          </w:p>
        </w:tc>
        <w:tc>
          <w:tcPr>
            <w:tcW w:w="580" w:type="dxa"/>
            <w:vAlign w:val="bottom"/>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277,612</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6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w w:val="92"/>
              </w:rPr>
              <w:t>Level 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60" w:type="dxa"/>
            <w:vAlign w:val="bottom"/>
          </w:tcPr>
          <w:p>
            <w:pPr>
              <w:spacing w:after="0"/>
              <w:rPr>
                <w:sz w:val="18"/>
                <w:szCs w:val="18"/>
                <w:color w:val="auto"/>
              </w:rPr>
            </w:pPr>
          </w:p>
        </w:tc>
        <w:tc>
          <w:tcPr>
            <w:tcW w:w="580" w:type="dxa"/>
            <w:vAlign w:val="bottom"/>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167,760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167,760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Kolltan acquisition contingent consideration</w:t>
            </w:r>
          </w:p>
        </w:tc>
        <w:tc>
          <w:tcPr>
            <w:tcW w:w="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60" w:type="dxa"/>
            <w:vAlign w:val="bottom"/>
          </w:tcPr>
          <w:p>
            <w:pPr>
              <w:spacing w:after="0"/>
              <w:rPr>
                <w:sz w:val="18"/>
                <w:szCs w:val="18"/>
                <w:color w:val="auto"/>
              </w:rPr>
            </w:pPr>
          </w:p>
        </w:tc>
        <w:tc>
          <w:tcPr>
            <w:tcW w:w="580" w:type="dxa"/>
            <w:vAlign w:val="bottom"/>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Contingent consideration liabilities related to acquisitions are classified as Level 3 within the valuation hierarchy and are valued based on various estimates, including probability of success, discount rates and amount of time until the conditions of the milestone payments are met. In connection with the Kolltan acquisition, we may be required to pay future consideration that is contingent upon the achievement of specified development, regulatory approvals or sales-based milestone events. We determine the fair value of these obligations on the acquisition date using various estimates that are not observable in the market and represent a Level 3 measurement within the fair value hierarchy. The following table represents a roll-forward of our acquisition-related contingent consideration (in thousands):</w:t>
      </w: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Milestone payments</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Kolltan acquisition contingent consideration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44,200</w:t>
            </w:r>
          </w:p>
        </w:tc>
      </w:tr>
      <w:tr>
        <w:trPr>
          <w:trHeight w:val="20"/>
        </w:trPr>
        <w:tc>
          <w:tcPr>
            <w:tcW w:w="6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44,200</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348"/>
        <w:spacing w:after="0" w:line="258"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(Continued)</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information, broker or dealer quotes, bids, offers or a combination of these data sources. Short-term accounts receivable and accounts payable are reflected in the accompanying financial statements at cost, which approximates fair value due to the short-term nature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marketable securities is shown below:</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1"/>
              </w:rPr>
              <w:t>Gross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80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2"/>
              </w:rPr>
              <w:t>Losses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3"/>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w w:val="70"/>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jc w:val="right"/>
              <w:ind w:right="3852"/>
              <w:spacing w:after="0"/>
              <w:rPr>
                <w:sz w:val="20"/>
                <w:szCs w:val="20"/>
                <w:color w:val="auto"/>
              </w:rPr>
            </w:pPr>
            <w:r>
              <w:rPr>
                <w:rFonts w:ascii="Times New Roman" w:cs="Times New Roman" w:eastAsia="Times New Roman" w:hAnsi="Times New Roman"/>
                <w:sz w:val="18"/>
                <w:szCs w:val="18"/>
                <w:b w:val="1"/>
                <w:bCs w:val="1"/>
                <w:color w:val="auto"/>
                <w:w w:val="94"/>
              </w:rPr>
              <w:t>December 31, 2016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94,320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147,370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jc w:val="right"/>
              <w:ind w:right="3852"/>
              <w:spacing w:after="0"/>
              <w:rPr>
                <w:sz w:val="20"/>
                <w:szCs w:val="20"/>
                <w:color w:val="auto"/>
              </w:rPr>
            </w:pPr>
            <w:r>
              <w:rPr>
                <w:rFonts w:ascii="Times New Roman" w:cs="Times New Roman" w:eastAsia="Times New Roman" w:hAnsi="Times New Roman"/>
                <w:sz w:val="18"/>
                <w:szCs w:val="18"/>
                <w:b w:val="1"/>
                <w:bCs w:val="1"/>
                <w:color w:val="auto"/>
                <w:w w:val="96"/>
              </w:rPr>
              <w:t>December 31, 2015</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218,070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marketable securities held by the Company were high investment grade and there were no marketable securities that the Company considered to be other-than-temporarily impaired as of December 31, 2016. Marketable securities include $0.6 million and $1.5 million in accrued interest at December 31, 2016 and December 31, 2015, respectively.</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include the following:</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65"/>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5"/>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w:t>
            </w:r>
          </w:p>
        </w:tc>
      </w:tr>
      <w:tr>
        <w:trPr>
          <w:trHeight w:val="21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28,520</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(17,059)</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$3.1 million, $3.0 million and $2.4 million for the years ended December 31, 2016, 2015 and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net of accumulated amortization, and goodwill are as follows: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tcPr>
          <w:p>
            <w:pPr>
              <w:jc w:val="right"/>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Estimated Life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3"/>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IPR&amp;D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6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Amgen Amendment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years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(6,503)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Core Technology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1"/>
              </w:rPr>
              <w:t>(1,296)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9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89,286</w:t>
            </w:r>
          </w:p>
        </w:tc>
        <w:tc>
          <w:tcPr>
            <w:tcW w:w="62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1"/>
              </w:rPr>
              <w:t>(7,799)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4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Indefinite</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16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90,976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IPR&amp;D intangible asset recorded in connection with the CuraGen acquisition of $11.8 million relates to the development of glembatumumab vedotin. At the date of acquisition and at December 31, 2016, glembatumumab vedotin had not yet reached technological feasibility nor did it have any alternative future use. Glembatumumab vedotin is in a randomized, Phase 2b study for the treatment of triple negative breast cancer and a Phase 2 study for the treatment of metastatic melanoma.</w:t>
      </w:r>
    </w:p>
    <w:p>
      <w:pPr>
        <w:spacing w:after="0" w:line="190"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The IPR&amp;D intangible asset recorded in connection with the Kolltan acquisition of $61.7 million relates to the development of the CDX-1058, CDX-3379 and TAM programs. At the date of acquisition and at December 31, 2016, the CDX-1058, CDX-3379 and TAM programs had not yet reached technological feasibility nor did they have any alternative future use. CDX-0158 is a humanized monoclonal antibody currently in a Phase 1 dose escalation study in refractory gastrointestinal stromal tumors and CDX-3379 is a human monoclonal antibody which recently completed a Phase 1b study in patients with solid tumors. The TAM program is a multi-faceted broad antibody discovery effort to</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 (Continued)</w:t>
      </w:r>
    </w:p>
    <w:p>
      <w:pPr>
        <w:spacing w:after="0" w:line="22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generate antibodies that modulate the TAM family of RTKs, comprised of Tyro3, AXL and MerTK, which are expressed on tumor-infiltrating macrophages, dendritic cells and some tumors.</w:t>
      </w:r>
    </w:p>
    <w:p>
      <w:pPr>
        <w:spacing w:after="0" w:line="174" w:lineRule="exact"/>
        <w:rPr>
          <w:sz w:val="20"/>
          <w:szCs w:val="20"/>
          <w:color w:val="auto"/>
        </w:rPr>
      </w:pPr>
    </w:p>
    <w:p>
      <w:pPr>
        <w:jc w:val="both"/>
        <w:ind w:right="280" w:firstLine="341"/>
        <w:spacing w:after="0" w:line="262" w:lineRule="auto"/>
        <w:rPr>
          <w:sz w:val="20"/>
          <w:szCs w:val="20"/>
          <w:color w:val="auto"/>
        </w:rPr>
      </w:pPr>
      <w:r>
        <w:rPr>
          <w:rFonts w:ascii="Times New Roman" w:cs="Times New Roman" w:eastAsia="Times New Roman" w:hAnsi="Times New Roman"/>
          <w:sz w:val="18"/>
          <w:szCs w:val="18"/>
          <w:color w:val="auto"/>
        </w:rPr>
        <w:t>Amortization expense for intangible assets was $1.0 million for the years ended December 31, 2016, 2015 and 2014. The estimated future amortization expense of intangible assets for the years ending December 31, 2017, 2018, 2019, 2020 and 2021 is $0.9 million, $0.9 million, $0.9 million, $0.9 million and $0.9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include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5"/>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Contract Costs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14,548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24,316</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7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5"/>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related to IPR&amp;D (Note 17)</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Needham Expansion Restructuring (Note 18)</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Severance (Note 17)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Contingent Milestones (Note 17)</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(4,418)</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In November 2015, December 2014, January 2014, January 2013 and January 2012, the Company received approval from the New Jersey Economic Development Authority and agreed to sell New Jersey tax benefits of $9.8 million, $1.9 million, $1.1 million, $0.8 million and $0.8 million to an independent third party for $9.2 million, $1.8 million, $1.0 million, $0.8 million and $0.7 million, respectively. Under the agreement, the Company must maintain a base of operations in New Jersey for five years or the tax benefits must be paid back on a pro-rata basis based on the number of years completed. During the years ended December 31, 2016, 2015 and 2014, the Company recorded $2.8 million, $1.0 million and $0.4 million to other income related to the sale of these tax benefits, respectively.</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In December 2013, the Company filed an automatic shelf registration statement with the Securities and Exchange Commission to register for sale any combination of the types of securities described in the shelf registration statement. In December 2016, the Company filed a new shelf registration statement with the Securities and Exchange Commission to register for sale any combination of the types of securities described in the shelf registration statement up to a maximum aggregate offering price of $250 million. Such registration statement was declared effective on February 13, 2017.</w:t>
      </w:r>
    </w:p>
    <w:p>
      <w:pPr>
        <w:spacing w:after="0" w:line="190"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the Company entered into an amended and restated supply agreement with Biosyn Corporation. Under the supply agreement, Biosyn will manufacture and supply keyhole limpet hemocyanin (KLH) to the Company for use in connection with the development, manufacture or commercial sale of Rintega. In connection with the supply agreement, the Company issued to Biosyn 152,172 shares of its common stock having a value of $2.0 million. During the years ended December 31, 2016, 2015 and 2014, the Company recorded $1.6 million, $0.3 million and $0.1 million to research and development expense related to this supply agreement, respectively.</w:t>
      </w:r>
    </w:p>
    <w:p>
      <w:pPr>
        <w:spacing w:after="0" w:line="193" w:lineRule="exact"/>
        <w:rPr>
          <w:sz w:val="20"/>
          <w:szCs w:val="20"/>
          <w:color w:val="auto"/>
        </w:rPr>
      </w:pPr>
    </w:p>
    <w:p>
      <w:pPr>
        <w:ind w:right="460" w:firstLine="351"/>
        <w:spacing w:after="0" w:line="275" w:lineRule="auto"/>
        <w:rPr>
          <w:sz w:val="20"/>
          <w:szCs w:val="20"/>
          <w:color w:val="auto"/>
        </w:rPr>
      </w:pPr>
      <w:r>
        <w:rPr>
          <w:rFonts w:ascii="Times New Roman" w:cs="Times New Roman" w:eastAsia="Times New Roman" w:hAnsi="Times New Roman"/>
          <w:sz w:val="18"/>
          <w:szCs w:val="18"/>
          <w:color w:val="auto"/>
        </w:rPr>
        <w:t>During the year ended December 31, 2015, the Company issued 8,337,500 shares of its common stock in underwritten public offerings resulting in net proceeds to the Company of $188.8 million, after deducting underwriting fees and offering expenses.</w:t>
      </w:r>
    </w:p>
    <w:p>
      <w:pPr>
        <w:spacing w:after="0" w:line="174" w:lineRule="exact"/>
        <w:rPr>
          <w:sz w:val="20"/>
          <w:szCs w:val="20"/>
          <w:color w:val="auto"/>
        </w:rPr>
      </w:pPr>
    </w:p>
    <w:p>
      <w:pPr>
        <w:ind w:right="20" w:firstLine="351"/>
        <w:spacing w:after="0" w:line="289" w:lineRule="auto"/>
        <w:rPr>
          <w:sz w:val="20"/>
          <w:szCs w:val="20"/>
          <w:color w:val="auto"/>
        </w:rPr>
      </w:pPr>
      <w:r>
        <w:rPr>
          <w:rFonts w:ascii="Times New Roman" w:cs="Times New Roman" w:eastAsia="Times New Roman" w:hAnsi="Times New Roman"/>
          <w:sz w:val="16"/>
          <w:szCs w:val="16"/>
          <w:color w:val="auto"/>
        </w:rPr>
        <w:t>During the year ended December 31, 2016, the Company entered into a research and collaboration agreement with an undisclosed private company to access novel technologies and paid $3.5 million to support research activities and make an investment in the private company. The Company initially recorded</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$1.8 million to other assets related to this investment and $1.7 million was recorded to prepaid and other currents assets and is being amortized over the term of the agreement. At December 31, 2016, $0.7 million remained recorded to prepaid research related to this collaboration.</w:t>
      </w:r>
    </w:p>
    <w:p>
      <w:pPr>
        <w:spacing w:after="0" w:line="186"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May 2016, the Company entered into an agreement with Cantor Fitzgerald &amp; Co. ("Cantor") to allow the Company to issue and sell shares of its common stock having an aggregate offering price of up to $60.0 million from time to time through Cantor, acting as agent. During the year ended December 31, 2016, Company issued 3,303,800 shares of its common stock under this controlled equity offering sales agreement with Cantor resulting in net proceeds to the Company of $13.9 million, after deducting commission and offering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Preferred Stock</w:t>
      </w:r>
    </w:p>
    <w:p>
      <w:pPr>
        <w:spacing w:after="0" w:line="227" w:lineRule="exact"/>
        <w:rPr>
          <w:sz w:val="20"/>
          <w:szCs w:val="20"/>
          <w:color w:val="auto"/>
        </w:rPr>
      </w:pPr>
    </w:p>
    <w:p>
      <w:pPr>
        <w:ind w:right="660" w:firstLine="341"/>
        <w:spacing w:after="0" w:line="339" w:lineRule="auto"/>
        <w:rPr>
          <w:sz w:val="20"/>
          <w:szCs w:val="20"/>
          <w:color w:val="auto"/>
        </w:rPr>
      </w:pPr>
      <w:r>
        <w:rPr>
          <w:rFonts w:ascii="Times New Roman" w:cs="Times New Roman" w:eastAsia="Times New Roman" w:hAnsi="Times New Roman"/>
          <w:sz w:val="16"/>
          <w:szCs w:val="16"/>
          <w:color w:val="auto"/>
        </w:rPr>
        <w:t>At December 31, 2016,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7" w:lineRule="exact"/>
        <w:rPr>
          <w:sz w:val="20"/>
          <w:szCs w:val="20"/>
          <w:color w:val="auto"/>
        </w:rPr>
      </w:pPr>
    </w:p>
    <w:p>
      <w:pPr>
        <w:ind w:right="160" w:firstLine="348"/>
        <w:spacing w:after="0" w:line="262" w:lineRule="auto"/>
        <w:rPr>
          <w:sz w:val="20"/>
          <w:szCs w:val="20"/>
          <w:color w:val="auto"/>
        </w:rPr>
      </w:pPr>
      <w:r>
        <w:rPr>
          <w:rFonts w:ascii="Times New Roman" w:cs="Times New Roman" w:eastAsia="Times New Roman" w:hAnsi="Times New Roman"/>
          <w:sz w:val="18"/>
          <w:szCs w:val="18"/>
          <w:color w:val="auto"/>
        </w:rPr>
        <w:t>The Company has the following stock-based compensation plans: the 2004 Employee Stock Purchase Plan (the "2004 ESPP Plan"), the 2008 Stock Option and Incentive Plan (the "2008 Plan") and Celldex Research's 2005 Equity Incentive Plan (the "Celldex Research 2005 Plan"). There are no shares available for future grant under the Celldex Research 2005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ind w:firstLine="341"/>
        <w:spacing w:after="0" w:line="256" w:lineRule="auto"/>
        <w:rPr>
          <w:sz w:val="20"/>
          <w:szCs w:val="20"/>
          <w:color w:val="auto"/>
        </w:rPr>
      </w:pPr>
      <w:r>
        <w:rPr>
          <w:rFonts w:ascii="Times New Roman" w:cs="Times New Roman" w:eastAsia="Times New Roman" w:hAnsi="Times New Roman"/>
          <w:sz w:val="18"/>
          <w:szCs w:val="18"/>
          <w:color w:val="auto"/>
        </w:rPr>
        <w:t>At December 31, 2016, a total of 200,000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2016 and 2015, the Company issued 59,335 and 15,755 shares under the 2004 ESPP Plan, respectively. At December 31, 2016, 78,236 shares were available for issuance under the 2004 ESPP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Option and Incentive Plan</w:t>
      </w:r>
    </w:p>
    <w:p>
      <w:pPr>
        <w:spacing w:after="0" w:line="227" w:lineRule="exact"/>
        <w:rPr>
          <w:sz w:val="20"/>
          <w:szCs w:val="20"/>
          <w:color w:val="auto"/>
        </w:rPr>
      </w:pPr>
    </w:p>
    <w:p>
      <w:pPr>
        <w:jc w:val="both"/>
        <w:ind w:right="360" w:firstLine="348"/>
        <w:spacing w:after="0" w:line="262" w:lineRule="auto"/>
        <w:rPr>
          <w:sz w:val="20"/>
          <w:szCs w:val="20"/>
          <w:color w:val="auto"/>
        </w:rPr>
      </w:pPr>
      <w:r>
        <w:rPr>
          <w:rFonts w:ascii="Times New Roman" w:cs="Times New Roman" w:eastAsia="Times New Roman" w:hAnsi="Times New Roman"/>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86" w:lineRule="exact"/>
        <w:rPr>
          <w:sz w:val="20"/>
          <w:szCs w:val="20"/>
          <w:color w:val="auto"/>
        </w:rPr>
      </w:pPr>
    </w:p>
    <w:p>
      <w:pPr>
        <w:ind w:right="80" w:firstLine="341"/>
        <w:spacing w:after="0" w:line="254" w:lineRule="auto"/>
        <w:rPr>
          <w:sz w:val="20"/>
          <w:szCs w:val="20"/>
          <w:color w:val="auto"/>
        </w:rPr>
      </w:pPr>
      <w:r>
        <w:rPr>
          <w:rFonts w:ascii="Times New Roman" w:cs="Times New Roman" w:eastAsia="Times New Roman" w:hAnsi="Times New Roman"/>
          <w:sz w:val="18"/>
          <w:szCs w:val="18"/>
          <w:color w:val="auto"/>
        </w:rPr>
        <w:t>At December 31, 2016, the 2008 Plan allowed for a maximum of 14,350,000 shares of common stock to be issued for grants of Stock Options and other Awards made prior to June 9, 2025 and grants of Incentive Stock Options made prior to April 16, 2025.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may accelerate upon a change in control as defined in the 2008 Plan.</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2016 is as follows: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60" w:type="dxa"/>
            <w:vAlign w:val="bottom"/>
          </w:tcPr>
          <w:p>
            <w:pPr>
              <w:spacing w:after="0"/>
              <w:rPr>
                <w:sz w:val="13"/>
                <w:szCs w:val="13"/>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8,110,239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2,464,750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(307,462)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2016</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10,218,710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2016</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10,148,728</w:t>
            </w: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December 31, 2016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6,086,840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2008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3,577,635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780" w:firstLine="348"/>
        <w:spacing w:after="0" w:line="339" w:lineRule="auto"/>
        <w:rPr>
          <w:sz w:val="20"/>
          <w:szCs w:val="20"/>
          <w:color w:val="auto"/>
        </w:rPr>
      </w:pPr>
      <w:r>
        <w:rPr>
          <w:rFonts w:ascii="Times New Roman" w:cs="Times New Roman" w:eastAsia="Times New Roman" w:hAnsi="Times New Roman"/>
          <w:sz w:val="16"/>
          <w:szCs w:val="16"/>
          <w:color w:val="auto"/>
        </w:rPr>
        <w:t>The total intrinsic value of stock options exercised during the years ended December 31, 2016, 2015 and 2014 was $0.1 million, $14.4 million and $2.7 million, respectively. The weighted average grant-date fair value of stock options granted during the years ended December 31, 2016, 2015 and</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7"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2014 was $3.18, $15.25 and $8.82, respectively. The total fair value of stock options vested during the years ended December 31, 2016, 2015 and 2014 was $17.0 million, $10.0 million and $5.7 million, respectively.</w:t>
      </w:r>
    </w:p>
    <w:p>
      <w:pPr>
        <w:spacing w:after="0" w:line="174"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aggregate intrinsic value of stock options outstanding at December 31, 2016 was $0.4 million. The aggregate intrinsic value of stock options vested and expected to vest at December 31, 2016 was $0.4 million. As of December 31, 2016, total compensation cost related to non-vested employee and non-employee director stock options not yet recognized was approximately $27.4 million, net of estimated forfeitures, which is expected to be recognized as expense over a weighted average period of 2.8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restricted stock activity under the 2008 Plan for the year ended December 31, 2016 is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Weighted</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Grant Date</w:t>
            </w:r>
          </w:p>
        </w:tc>
      </w:tr>
      <w:tr>
        <w:trPr>
          <w:trHeight w:val="149"/>
        </w:trPr>
        <w:tc>
          <w:tcPr>
            <w:tcW w:w="6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r>
      <w:tr>
        <w:trPr>
          <w:trHeight w:val="165"/>
        </w:trPr>
        <w:tc>
          <w:tcPr>
            <w:tcW w:w="6140" w:type="dxa"/>
            <w:vAlign w:val="bottom"/>
          </w:tcPr>
          <w:p>
            <w:pPr>
              <w:spacing w:after="0"/>
              <w:rPr>
                <w:sz w:val="14"/>
                <w:szCs w:val="14"/>
                <w:color w:val="auto"/>
              </w:rPr>
            </w:pPr>
          </w:p>
        </w:tc>
        <w:tc>
          <w:tcPr>
            <w:tcW w:w="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160" w:type="dxa"/>
            <w:vAlign w:val="bottom"/>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at December 31, 2015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25.41</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25.41</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unvested at December 31, 2016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6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Expenses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Stock-based compensation expense for the years ended December 31, 2016, 2015 and 2014 was recorded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120" w:type="dxa"/>
            <w:vAlign w:val="bottom"/>
            <w:vMerge w:val="restart"/>
          </w:tcPr>
          <w:p>
            <w:pPr>
              <w:jc w:val="right"/>
              <w:ind w:right="1272"/>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 (Continued)</w:t>
      </w:r>
    </w:p>
    <w:p>
      <w:pPr>
        <w:spacing w:after="0" w:line="227"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fair values of employee stock options granted during the years ended December 31, 2016, 2015 and 2014 were valued using the Black-Scholes option-pricing model with the following assumptions: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Ended</w:t>
            </w:r>
          </w:p>
        </w:tc>
      </w:tr>
      <w:tr>
        <w:trPr>
          <w:trHeight w:val="165"/>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2016</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 2015</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December 31, 2014</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70 - 77%</w:t>
            </w:r>
          </w:p>
        </w:tc>
        <w:tc>
          <w:tcPr>
            <w:tcW w:w="136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67 - 69%</w:t>
            </w:r>
          </w:p>
        </w:tc>
        <w:tc>
          <w:tcPr>
            <w:tcW w:w="134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70 - 72%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 Years</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 Years</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1.4 - 2.3%</w:t>
            </w:r>
          </w:p>
        </w:tc>
        <w:tc>
          <w:tcPr>
            <w:tcW w:w="13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1.8 - 2.2%</w:t>
            </w:r>
          </w:p>
        </w:tc>
        <w:tc>
          <w:tcPr>
            <w:tcW w:w="13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1.9 - 2.2%</w:t>
            </w:r>
          </w:p>
        </w:tc>
      </w:tr>
      <w:tr>
        <w:trPr>
          <w:trHeight w:val="228"/>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89"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Bristol-Myers Squibb Company (BMS)</w:t>
      </w:r>
    </w:p>
    <w:p>
      <w:pPr>
        <w:spacing w:after="0" w:line="227"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In May 2014, the Company entered into a clinical trial collaboration with BMS to evaluate the safety, tolerability and preliminary efficacy of varlilumab and Opdivo®, BMS's PD-1 immune checkpoint inhibitor, in a Phase 1/2 study. Under the terms of this clinical trial collaboration, BMS made a one-time payment to the Company of $5.0 million and BMS and the Company amended the terms of the Company's existing license agreement with Medarex, which was acquired by BMS, related to the Company's CD27 program whereby certain future milestone payments were waived and future royalty rates were reduced that may have been due from the Company to Medarex. In return, BMS was granted a time-limited right of first negotiation if the Company wishes to out-license varlilumab. The companies also agreed to work exclusively with each other to explore anti-PD-1 antagonist antibody and anti-CD27 agonist antibody combination regimens. The clinical trial collaboration provides that the companies will share development costs and that the Company will be responsible for conducting the ongoing Phase 1/2 study.</w:t>
      </w:r>
    </w:p>
    <w:p>
      <w:pPr>
        <w:spacing w:after="0" w:line="192"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its performance obligations under the BMS agreement, which primarily include performing research and development, supplying varlilumab and participating in the joint development committee, should be accounted for as a single unit of accounting and estimated that its performance period under the BMS agreement would be 5 years. Accordingly, the $5.0 million up-front payment was initially recorded as deferred revenue and is being recognized as revenue on a straight-line basis over the estimated 5-year performance period using the Contingency Adjusted Performance Model ("CAPM"). The BMS agreement also provides for BMS to reimburse the Company for 50% of the external costs incurred by the Company in connection with the clinical trial. These BMS payments are being recognized as revenue using the CAPM. The Company recorded $2.1 million, $1.3 million and $0.7 million in revenue related to the BMS agreement during the year ended December 31, 2016, 2015 and 2014, respectively.</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Rockefeller University (Rockefeller)</w:t>
      </w:r>
    </w:p>
    <w:p>
      <w:pPr>
        <w:spacing w:after="0" w:line="227" w:lineRule="exact"/>
        <w:rPr>
          <w:sz w:val="20"/>
          <w:szCs w:val="20"/>
          <w:color w:val="auto"/>
        </w:rPr>
      </w:pPr>
    </w:p>
    <w:p>
      <w:pPr>
        <w:ind w:right="60" w:firstLine="351"/>
        <w:spacing w:after="0" w:line="258" w:lineRule="auto"/>
        <w:rPr>
          <w:sz w:val="20"/>
          <w:szCs w:val="20"/>
          <w:color w:val="auto"/>
        </w:rPr>
      </w:pPr>
      <w:r>
        <w:rPr>
          <w:rFonts w:ascii="Times New Roman" w:cs="Times New Roman" w:eastAsia="Times New Roman" w:hAnsi="Times New Roman"/>
          <w:sz w:val="18"/>
          <w:szCs w:val="18"/>
          <w:color w:val="auto"/>
        </w:rPr>
        <w:t>In September 2013, the Company entered into an agreement, as amended, with Rockefeller pursuant to which the Company performs research and development services for Rockefeller. The Company bills Rockefeller quarterly for actual time and direct costs incurred and records those amounts to revenue in the quarter the services are performed. The Company recorded $2.7 million, $3.4 million and $2.7 million in revenue related to the Rockefeller agreement during the years ended December 31, 2016, 2015 and 2014,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COLLABORATION AGREEMENTS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of $1.6 million, $0.9 million and $3.2 million was recorded to research and development expense for the years ended December 31, 2016, 2015 and 2014,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Medarex, Inc. (Medarex), which was acquired by Bristol-Myers Squibb</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Company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3"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The Company and Medarex have also entered into a research and commercialization agreement, as amended, that provides that the Company may be required to pay Medarex milestones of up to $7.0 million upon obtaining first approval for commercial sale in a first indication of a product containing a licensed antibody and royalty payments in the low-to-mid single digits on any net product sales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agreement, whereby it licensed from Medarex access to the UltiMab technology to develop and commercialize human antibodies to CD27, including varlilumab. In connection with the clinical trial collaboration, the Company entered into with BMS in May 2014, certain future milestone payments were waived and future royalty rates that the Company may have owed Medarex in connection with any CD27 program were reduced.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Rockefeller University (Rockefeller)</w:t>
      </w:r>
    </w:p>
    <w:p>
      <w:pPr>
        <w:spacing w:after="0" w:line="227"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 November 2005, the Company and Rockefeller entered into a license agreement for the exclusive worldwide rights to human DEC-205 receptor, with the right to sublicense the technology.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COLLABORATION AGREEMENTS (Continued)</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license grant is exclusive except that Rockefeller may use and permit other nonprofit organizations to use the human DEC-205 receptor patent rights for educational and research purposes. The Company may be required to pay Rockefeller milestones of up to $3.8 million upon obtaining first approval for commercial sale in a first indication of a product targeting the licensed receptor and royalty payments in the low-to-mid single digits on any net product sales with respect to development and commercialization of the human DEC-205 receptor.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Southampton, UK (Southampton)</w:t>
      </w:r>
    </w:p>
    <w:p>
      <w:pPr>
        <w:spacing w:after="0" w:line="227"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In November 2008, the Company entered into a license agreement with Southampton to develop human antibodies towards CD27, a potentially important target for immunotherapy of various cancers. The Company may be required to pay Southampton milestones of up to approximately $1.0 million upon obtaining first approval for commercial sale in a first indication and royalty payments in the low-single digits on any net product sales with respect to development and commercialization of varlilumab.</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 (Amgen)</w:t>
      </w:r>
    </w:p>
    <w:p>
      <w:pPr>
        <w:spacing w:after="0" w:line="227"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In March 2009, the Company entered into a license agreement with Amgen to acquire the exclusive rights to CDX-301 and CD40 ligand (CD40L). CDX-301 and CD40L are immune modulating molecules that increase the numbers and activity of immune cells that control immune responses. The Company may be required to pay Amgen milestones of up to $0.9 million upon obtaining first approval for commercial sale in a first indication and royalty payments in the low-single digits on any net product sales with respect to development and commercialization of the technology licensed from Amgen, including CDX-301.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(Seattle Genetics)</w:t>
      </w:r>
    </w:p>
    <w:p>
      <w:pPr>
        <w:spacing w:after="0" w:line="227"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CuraGen, the Company assumed the license agreement between CuraGen and Seattle Genetics whereby CuraGen acquired the rights to proprietary antibody-drug conjugate (ADC) technology for use with the Company's proprietary antibodies for the potential treatment of cancer. The Company may be required to pay Seattle Genetics milestones of up to $5.0 million and $8.5 million for glembatumumab vedotin and CDX-014, respectively, upon obtaining first approval for commercial sale in a first indication and royalty payments in the mid-single digits on any net product sales with respect to development and commercialization of these drug candidates.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income tax expense attributable to continuing operations consist of the following:</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7"/>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45,518</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46,598</w:t>
            </w:r>
          </w:p>
        </w:tc>
        <w:tc>
          <w:tcPr>
            <w:tcW w:w="100" w:type="dxa"/>
            <w:vAlign w:val="bottom"/>
          </w:tcPr>
          <w:p>
            <w:pPr>
              <w:spacing w:after="0"/>
              <w:rPr>
                <w:sz w:val="18"/>
                <w:szCs w:val="18"/>
                <w:color w:val="auto"/>
              </w:rPr>
            </w:pPr>
          </w:p>
        </w:tc>
        <w:tc>
          <w:tcPr>
            <w:tcW w:w="2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Expiration of Net Operating Losses and Research &amp; Development Tax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(2,302)</w:t>
            </w: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(53,910)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(57,085)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(48,562)</w:t>
            </w: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between the amount of reported income tax and the amount computed using the U.S. Statutory rate of 34% follows: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(128,530)</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(127,197)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(118,080)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at Statutory Rates</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(43,700)</w:t>
            </w:r>
          </w:p>
        </w:tc>
        <w:tc>
          <w:tcPr>
            <w:tcW w:w="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(43,247)</w:t>
            </w:r>
          </w:p>
        </w:tc>
        <w:tc>
          <w:tcPr>
            <w:tcW w:w="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(40,147)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Foreign Tax Rates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(4,935)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(7,268)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of Net Operating Losses and Research &amp; Development Tax Credits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Company incurred a foreign pre-tax loss of $3.7 million during the year ended December 31, 2016. 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components of the deferred tax assets and liabilities at December 31, 2016 and 2015, respectively, are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r>
      <w:tr>
        <w:trPr>
          <w:trHeight w:val="165"/>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4"/>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174,555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180,777</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32,306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35,895</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Research and Development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109,520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48,608</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12,362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8,393</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1,418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1,703</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277,612</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Acquired Intangibles</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IPR&amp;D Intangibles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r>
      <w:tr>
        <w:trPr>
          <w:trHeight w:val="210"/>
        </w:trPr>
        <w:tc>
          <w:tcPr>
            <w:tcW w:w="57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60" w:type="dxa"/>
            <w:vAlign w:val="bottom"/>
          </w:tcPr>
          <w:p>
            <w:pPr>
              <w:spacing w:after="0"/>
              <w:rPr>
                <w:sz w:val="18"/>
                <w:szCs w:val="18"/>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and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302,783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269,569</w:t>
            </w: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Valuation Allowance</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(330,837)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(274,230)</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(4,661)</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net deferred tax liability of $28.1 million and $4.7 million at December 31, 2016 and 2015, respectively relates to the temporary differences associated with the IPR&amp;D intangible assets acquired in the Kolltan and CuraGen acquisitions, respectively, which are not deductible for tax purposes. Since the IPR&amp;D intangible assets are indefinite-lived, the related deferred tax liability cannot be netted against definite-lived deferred tax assets to reduce the valuation allowance required.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2016, the Company had the following federal net operating loss ("NOL") carryforwards:</w:t>
      </w:r>
    </w:p>
    <w:p>
      <w:pPr>
        <w:spacing w:after="0" w:line="239" w:lineRule="exact"/>
        <w:rPr>
          <w:sz w:val="20"/>
          <w:szCs w:val="20"/>
          <w:color w:val="auto"/>
        </w:rPr>
      </w:pPr>
    </w:p>
    <w:p>
      <w:pPr>
        <w:ind w:left="1080" w:right="10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of the Company and AVANT, $33.0 million was generated by the Company which expire at various dates starting in 2023 and going through 2028;</w:t>
      </w:r>
    </w:p>
    <w:p>
      <w:pPr>
        <w:spacing w:after="0" w:line="200"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merger of the Company and AVANT, $101.2 million, net of expirations and utilization, was generated by AVANT which expire at various dates starting in 2018 and going through 2028;</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merger of the Company and AVANT, $356.7 million was generated by the combined company which expire at various dates starting in 2028 and going through 2036;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its acquisition by the Company, $518.3 million was generated by CuraGen.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its acquisition by the Company, $110.5 million was generated by Kolltan Pharmaceuticals,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 (Continued)</w:t>
      </w:r>
    </w:p>
    <w:p>
      <w:pPr>
        <w:spacing w:after="0" w:line="2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the Company had foreign net operating loss carryforwards of $3.7 million which can be carried forward indefinitely.</w:t>
      </w:r>
    </w:p>
    <w:p>
      <w:pPr>
        <w:spacing w:after="0" w:line="225"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As of December 31, 2016, the Company has an additional $17.7 million of federal and state net operating losses not reflected above, that are attributable to stock option exercises which will be recorded as an increase in additional paid in capital on the balance sheet once they are "realized" in accordance with ASC 718.</w:t>
      </w:r>
    </w:p>
    <w:p>
      <w:pPr>
        <w:spacing w:after="0" w:line="186" w:lineRule="exact"/>
        <w:rPr>
          <w:sz w:val="20"/>
          <w:szCs w:val="20"/>
          <w:color w:val="auto"/>
        </w:rPr>
      </w:pPr>
    </w:p>
    <w:p>
      <w:pPr>
        <w:ind w:firstLine="341"/>
        <w:spacing w:after="0" w:line="253" w:lineRule="auto"/>
        <w:rPr>
          <w:sz w:val="20"/>
          <w:szCs w:val="20"/>
          <w:color w:val="auto"/>
        </w:rPr>
      </w:pPr>
      <w:r>
        <w:rPr>
          <w:rFonts w:ascii="Times New Roman" w:cs="Times New Roman" w:eastAsia="Times New Roman" w:hAnsi="Times New Roman"/>
          <w:sz w:val="18"/>
          <w:szCs w:val="18"/>
          <w:color w:val="auto"/>
        </w:rPr>
        <w:t>As of December 31, 2016, the Company had federal and state net operating loss carryforwards of $458.5 million and $344.9 million, respectively, which may be available to offset certain future income tax liabilities and begin to expire in 2018 and 2028, respectively. As of December 31, 2016, the Company also had federal and state research and development tax credit carryforwards of $26.1 million and $9.4 million, respectively, which may be available to offset future income tax liabilities and begin to expire in 2018 and 2017, respectively. Utilization of the net operating loss carryforwards and research and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estimated the amounts of net operating loss and research and development tax credit carryforwards which will expire unutilized as a result of its estimated annual limitations under Section 382, and has excluded those amounts from the carryforward amounts disclosed in this paragraph and in the deferred tax assets and liabilities table included in this footnote. The Company has concluded Section 382 studies through 2015 for Celldex generated NOLs.</w:t>
      </w:r>
    </w:p>
    <w:p>
      <w:pPr>
        <w:spacing w:after="0" w:line="193"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Company as a stand-alone company experienced a change in ownership in October 2007. As a result of the ownership changes in October 2007, utilization of the Company's NOLs prior to October 2007 is subject to an annual limitation of $4.5 million on $28.3 million of NOLs generated before that date. As a result of the ownership changes in June 2009 and December 2009, there is an annual limitation amount of $6.0 million on $67.7 million of NOLs generated before that date. As a result of the ownership change in December 2013, there is an annual limitation amount of $77.0 million on $178.7 million of NOLs generated before that date.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 year period after the ownership change. However, the Company has not completed a 382 study to assess whether a change of control has occurred for the NOLs it has acquired in its various acquisitions, including most recently Kolltan, or whether there have been multiple changes of control since inception, particularly within the ownership of acquired entities prior to their acquisition by the Company, due to the significant complexity and cost associated with such a study. If the Company or its acquired entities have experienced additional changes of control, as defined by Section 382, at any time since inception, utilization of the net operating loss carryforwards or research and development tax credit carryforwards could be subject to additional annual limitations under Section 382, which are determined by first multiplying the value of the Company's stock at the time of the ownership change by the applicable long-term tax-exempt rate, and then could be subject to</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 (Continued)</w:t>
      </w:r>
    </w:p>
    <w:p>
      <w:pPr>
        <w:spacing w:after="0" w:line="227" w:lineRule="exact"/>
        <w:rPr>
          <w:sz w:val="20"/>
          <w:szCs w:val="20"/>
          <w:color w:val="auto"/>
        </w:rPr>
      </w:pPr>
    </w:p>
    <w:p>
      <w:pPr>
        <w:jc w:val="both"/>
        <w:ind w:right="520"/>
        <w:spacing w:after="0" w:line="262" w:lineRule="auto"/>
        <w:rPr>
          <w:sz w:val="20"/>
          <w:szCs w:val="20"/>
          <w:color w:val="auto"/>
        </w:rPr>
      </w:pPr>
      <w:r>
        <w:rPr>
          <w:rFonts w:ascii="Times New Roman" w:cs="Times New Roman" w:eastAsia="Times New Roman" w:hAnsi="Times New Roman"/>
          <w:sz w:val="18"/>
          <w:szCs w:val="18"/>
          <w:color w:val="auto"/>
        </w:rPr>
        <w:t>additional adjustments, as required. Any additional limitations may result in expiration of a portion of the net operating loss carryforwards or research and development tax credit carryforwards before utilization. Further, until a study is completed and any additional limitations are known, no amounts are being presented as an uncertain tax positions.</w:t>
      </w:r>
    </w:p>
    <w:p>
      <w:pPr>
        <w:spacing w:after="0" w:line="186"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50% likelihood of being realized upon the ultimate settlement with the relevant taxing authority. At December 31, 2016 and 2015, we had no unrecognized tax benefits. A full valuation allowance has been provided against our deferred tax assets and liabilities and, if an adjustment for unrecognized tax benefits is required, this adjustment would be offset by an adjustment to the valuation allowance. Thus, there would be no impact to the balance sheet or statement of operations if an adjustment were required.</w:t>
      </w:r>
    </w:p>
    <w:p>
      <w:pPr>
        <w:spacing w:after="0" w:line="195" w:lineRule="exact"/>
        <w:rPr>
          <w:sz w:val="20"/>
          <w:szCs w:val="20"/>
          <w:color w:val="auto"/>
        </w:rPr>
      </w:pPr>
    </w:p>
    <w:p>
      <w:pPr>
        <w:ind w:right="120" w:firstLine="351"/>
        <w:spacing w:after="0" w:line="310" w:lineRule="auto"/>
        <w:rPr>
          <w:sz w:val="20"/>
          <w:szCs w:val="20"/>
          <w:color w:val="auto"/>
        </w:rPr>
      </w:pPr>
      <w:r>
        <w:rPr>
          <w:rFonts w:ascii="Times New Roman" w:cs="Times New Roman" w:eastAsia="Times New Roman" w:hAnsi="Times New Roman"/>
          <w:sz w:val="16"/>
          <w:szCs w:val="16"/>
          <w:color w:val="auto"/>
        </w:rPr>
        <w:t>Massachusetts, New Jersey and Connecticut are the three states in which the Company primarily operates or has operated and has income tax nexus. The Company is not currently under examination by these or any other jurisdictions for any tax year. For federal and state jurisdictions, all years which generated net operating losses and/or tax credit carryforwards remain subject to examination to the extent those carryforwards are utilized in a subsequent period.</w:t>
      </w:r>
    </w:p>
    <w:p>
      <w:pPr>
        <w:spacing w:after="0" w:line="151"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2016 against the Company's net deferred tax assets. The net increase in the valuation allowance during the year ended December 31, 2016 primarily related to an increase in deferred tax assets for research and development expenses which have been deferred for tax purposes.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Company has facility and equipment leases that expire at various dates through 2020.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2016 do not include the exercise of renewal terms or early termination provisions (in thousands):</w:t>
      </w:r>
    </w:p>
    <w:p>
      <w:pPr>
        <w:spacing w:after="0" w:line="20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4,782</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4,381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15,830</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Company's total rent and CAM expense for all facility leases was $4.8 million, $2.9 million and $2.7 million for the years ended December 31, 2016, 2015 and 2014,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SAVINGS PLAN</w:t>
      </w:r>
    </w:p>
    <w:p>
      <w:pPr>
        <w:spacing w:after="0" w:line="227"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which is available to substantially all employees. Under the terms of the 401(k) Plan, participants may elect to contribute up to 60% of their compensation, or the statutory prescribed limits. The Company may make 50% matching contributions on up to 4% of a participant's annual salary. Benefit expense for the 401(k) Plan was $0.4 million, $0.4 million and $0.3 million for the years ended December 31, 2016, 2015 and 2014,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KOLLTAN ACQUISITION</w:t>
      </w:r>
    </w:p>
    <w:p>
      <w:pPr>
        <w:spacing w:after="0" w:line="227" w:lineRule="exact"/>
        <w:rPr>
          <w:sz w:val="20"/>
          <w:szCs w:val="20"/>
          <w:color w:val="auto"/>
        </w:rPr>
      </w:pPr>
    </w:p>
    <w:p>
      <w:pPr>
        <w:ind w:firstLine="351"/>
        <w:spacing w:after="0" w:line="291" w:lineRule="auto"/>
        <w:rPr>
          <w:sz w:val="20"/>
          <w:szCs w:val="20"/>
          <w:color w:val="auto"/>
        </w:rPr>
      </w:pPr>
      <w:r>
        <w:rPr>
          <w:rFonts w:ascii="Times New Roman" w:cs="Times New Roman" w:eastAsia="Times New Roman" w:hAnsi="Times New Roman"/>
          <w:sz w:val="16"/>
          <w:szCs w:val="16"/>
          <w:color w:val="auto"/>
        </w:rPr>
        <w:t>In connection with the Kolltan Acquisition, effective November 29, 2016, the Company issued 18,257,996 shares of common stock of the Company in exchange for all of the share and debt interests in Kolltan. Following closing, certain officers of Kolltan will receive an aggregate of 437,901 shares of Celldex's common stock in lieu of cash severance obligations, less tax withholdings. In December 2016, the Company issued 111,111 shares of Celldex's common stock as partial payment of this obligation. In addition, in the event that certain specified preclinical and clinical development milestones related to Kolltan's development programs and/or Celldex's development programs and certain commercial milestones related to Kolltan's drug candidates are achieved, Celldex will be required to pay Kolltan's stockholders milestone payments of up to $172.5 million, which milestone payments may be made, at Celldex's sole election, in cash, in shares of Celldex's common stock or a combination of both, subject to NASDAQ listing requirements and provisions of the Merger Agreement.</w:t>
      </w:r>
    </w:p>
    <w:p>
      <w:pPr>
        <w:spacing w:after="0" w:line="16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The Company acquired Kolltan to gain access to Kolltan's programs including: (i) CLDX-0158 (formerly KTN0158) which is currently in a Phase 1 dose escalation study in patient with refractory gastrointestinal stromal tumors (GIST); (ii) CLDX-3379 (formerly KTN3379) which recently completed a Phase 1b study with combination cohorts where meaningful responses and stable disease were observed in cetuximab (Erbitux®) refractory patients in patients with head and neck squamous cell carcinoma and in BRAF-mutant non-small cell lung cancer (NSCLC); and (iii) a multi-faceted TAM</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KOLLTAN ACQUISITION (Continued)</w:t>
      </w:r>
    </w:p>
    <w:p>
      <w:pPr>
        <w:spacing w:after="0" w:line="227"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program, a broad antibody discovery effort underway to generate antibodies that modulate the TAM family of RTKs, comprised of Tyro3, AXL and MerTK, which are expressed on tumor-infiltrating macrophages, dendritic cells and some tumors.</w:t>
      </w:r>
    </w:p>
    <w:p>
      <w:pPr>
        <w:spacing w:after="0" w:line="174" w:lineRule="exact"/>
        <w:rPr>
          <w:sz w:val="20"/>
          <w:szCs w:val="20"/>
          <w:color w:val="auto"/>
        </w:rPr>
      </w:pPr>
    </w:p>
    <w:p>
      <w:pPr>
        <w:jc w:val="both"/>
        <w:ind w:right="240" w:firstLine="348"/>
        <w:spacing w:after="0" w:line="339" w:lineRule="auto"/>
        <w:rPr>
          <w:sz w:val="20"/>
          <w:szCs w:val="20"/>
          <w:color w:val="auto"/>
        </w:rPr>
      </w:pPr>
      <w:r>
        <w:rPr>
          <w:rFonts w:ascii="Times New Roman" w:cs="Times New Roman" w:eastAsia="Times New Roman" w:hAnsi="Times New Roman"/>
          <w:sz w:val="16"/>
          <w:szCs w:val="16"/>
          <w:color w:val="auto"/>
        </w:rPr>
        <w:t>The transaction is being accounted for as a business combination with Celldex treated as the accounting acquirer. All of the assets acquired and liabilities assumed in the transaction are recognized at their acquisition-date fair values, while transaction costs associated with the transaction are expensed as incurred.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227"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purchase price for Kolltan is based on the acquisition-date fair value of the consideration transferred, which was calculated based on the closing price of the Company's common stock of $4.02 per share on November 29, 2016. The acquisition-date fair value of the consideration transferred consisted of the following (in thousands):</w:t>
      </w:r>
    </w:p>
    <w:p>
      <w:pPr>
        <w:spacing w:after="0" w:line="20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 issued for upfront payment</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73,397</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44,200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Kolltan transaction expenses paid in cash by the Company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3,768</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The contingent consideration relates to the achievement of certain regulatory and sales milestones as described in the agreement. The estimate of fair value of contingent consideration was $44.2 million at the acquisition date and at December 31, 2016, which was recorded as a noncurrent liability. The Company determined the fair value of these obligations to pay additional milestone payments using various estimates, including probabilities of success, discount rates and amount of time until the conditions of the milestone payments are met. This fair value measurement is based on significant inputs not observable in the market, representing a Level 3 measurement within the fair value hierarchy. The resulting probability-weighted cash flows were discounted using a cost of debt rate ranging from 10-11% for the milestones. The range of estimated milestone payments is from zero, if no milestones are achieved, to $172.5 million if all milestones are met.</w:t>
      </w:r>
    </w:p>
    <w:p>
      <w:pPr>
        <w:spacing w:after="0" w:line="195" w:lineRule="exact"/>
        <w:rPr>
          <w:sz w:val="20"/>
          <w:szCs w:val="20"/>
          <w:color w:val="auto"/>
        </w:rPr>
      </w:pPr>
    </w:p>
    <w:p>
      <w:pPr>
        <w:ind w:right="340" w:firstLine="351"/>
        <w:spacing w:after="0" w:line="258" w:lineRule="auto"/>
        <w:rPr>
          <w:sz w:val="20"/>
          <w:szCs w:val="20"/>
          <w:color w:val="auto"/>
        </w:rPr>
      </w:pPr>
      <w:r>
        <w:rPr>
          <w:rFonts w:ascii="Times New Roman" w:cs="Times New Roman" w:eastAsia="Times New Roman" w:hAnsi="Times New Roman"/>
          <w:sz w:val="18"/>
          <w:szCs w:val="18"/>
          <w:color w:val="auto"/>
        </w:rPr>
        <w:t>In the future, if the estimate of the fair value of the contingent consideration changes, the changes in fair value will be recognized in operating earnings. Changes in fair values reflect new information about the probability and timing of meeting the conditions of the milestone payments. In the absence of new information, changes in fair value will only reflect the interest component of contingent consideration related to the passage of time as development work progresses towards the achievement of the milestones.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Allocations of Assets and Liabilities</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The Company has allocated the consideration transferred for Kolltan to net tangible assets, intangible assets, and goodwill. The difference between the aggregate consideration transferred and the fair value of assets acquired and liabilities assumed was allocated to goodwill. This goodwill relates to the potential synergies from the Kolltan Acquisition and a deferred tax liability related to acquired IPR&amp;D intangible assets. None of the goodwill is expected to be deductible for income tax purposes.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KOLLTAN ACQUISITION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at the acquisition date (in thousands):</w:t>
      </w: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8,160</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2,072</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61,690</w:t>
            </w:r>
          </w:p>
        </w:tc>
        <w:tc>
          <w:tcPr>
            <w:tcW w:w="14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82,011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(23,393)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assumed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(9,974)</w:t>
            </w: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121,365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purchase price allocation has been prepared on a preliminary basis and is subject to change as additional information becomes available concerning the fair value and tax basis of the acquired assets and liabilities. Any adjustments to the purchase price allocation will be made as soon as practicable but no later than one year from the acquisition date.</w:t>
      </w:r>
    </w:p>
    <w:p>
      <w:pPr>
        <w:spacing w:after="0" w:line="186" w:lineRule="exact"/>
        <w:rPr>
          <w:sz w:val="20"/>
          <w:szCs w:val="20"/>
          <w:color w:val="auto"/>
        </w:rPr>
      </w:pPr>
    </w:p>
    <w:p>
      <w:pPr>
        <w:ind w:right="80" w:firstLine="348"/>
        <w:spacing w:after="0" w:line="285" w:lineRule="auto"/>
        <w:rPr>
          <w:sz w:val="20"/>
          <w:szCs w:val="20"/>
          <w:color w:val="auto"/>
        </w:rPr>
      </w:pPr>
      <w:r>
        <w:rPr>
          <w:rFonts w:ascii="Times New Roman" w:cs="Times New Roman" w:eastAsia="Times New Roman" w:hAnsi="Times New Roman"/>
          <w:sz w:val="16"/>
          <w:szCs w:val="16"/>
          <w:color w:val="auto"/>
        </w:rPr>
        <w:t>The estimated fair value attributed to IPR&amp;D intangible assets represents an estimate of the fair value of purchased in-process technology for Kolltan's research programs that, as of November 29, 2016, had not reached technological feasibility and have no alternative future use. Only those research programs that had advanced to a stage of development where the Company believed reasonable net future cash flow forecasts could be prepared and a reasonable likelihood of technical success existed were included in the estimated fair value. Accordingly, the IPR&amp;D programs primarily represent the estimated fair value of</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$40.0 million, $3.5 million and $18.0 million for the CDX-0158, CDX-3379 and TAM programs, respectively. The estimated fair value of the IPR&amp;D programs was determined based on estimates of expected future net cash flows. These expected future net cash flows included estimates for revenue and associated costs for the IPR&amp;D programs based on (i) relevant industry factors, (ii) current and expected trends in the product development life cycle, (iii) the ability to engage a strategic partner, (iv) the ability to obtain regulatory approval, and (v) the ability to manufacture and commercialize the products. The probability-adjusted future net cash flows which reflect the different stages of development of each program are then present valued utilizing an estimate of the appropriate discount rate which is consistent with the uncertainties of the cash flows utilized.</w:t>
      </w:r>
    </w:p>
    <w:p>
      <w:pPr>
        <w:spacing w:after="0" w:line="196" w:lineRule="exact"/>
        <w:rPr>
          <w:sz w:val="20"/>
          <w:szCs w:val="20"/>
          <w:color w:val="auto"/>
        </w:rPr>
      </w:pPr>
    </w:p>
    <w:p>
      <w:pPr>
        <w:ind w:right="40" w:firstLine="348"/>
        <w:spacing w:after="0" w:line="290" w:lineRule="auto"/>
        <w:rPr>
          <w:sz w:val="20"/>
          <w:szCs w:val="20"/>
          <w:color w:val="auto"/>
        </w:rPr>
      </w:pPr>
      <w:r>
        <w:rPr>
          <w:rFonts w:ascii="Times New Roman" w:cs="Times New Roman" w:eastAsia="Times New Roman" w:hAnsi="Times New Roman"/>
          <w:sz w:val="16"/>
          <w:szCs w:val="16"/>
          <w:color w:val="auto"/>
        </w:rPr>
        <w:t>The expected future net cash flows for the CDX-0158, CDX-3379 and TAM programs were based on the expectation that a Biologics License Application ("BLA") would be filed with the FDA no earlier than the end of 2023, 2024, and 2028, respectively. The Company expects the commercial launch as promptly as commercially practicable after necessary regulatory approvals are received. The estimated development costs included in the expected future net cash flows was approximately $132 million. These assumptions require various levels of in-house and external testing, clinical trials and approvals from the FDA or comparable foreign regulatory authorities before the CDX-0158, CDX-3379 and TAM programs could be commercialized in the U.S. or other territories. Drug development involves a high degree of risk and most products that make it into clinical development do not receive marketing approval. Numerous risks and uncertainties can delay or stop clinical development of a pharmaceutical product prior to the receipt of marketing approval, including, but not limited to, results from clinical trials that do not support continuing development, issues related to manufacturing or intellectual property protection, and other events or circumstances that cause</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KOLLTAN ACQUISITION (Continued)</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unanticipated delays, technical problems or other difficulties. Given these risks and uncertainties, there can be no assurance that the development of the CDX-0158, CDX-3379 and TAM programs will be successfully completed. If the development of the CDX-0158, CDX-3379 and TAM programs are not successful, in whole or in part, or completed in a timely manner, the Company may not realize the expected financial benefits from the development of the CDX-0158, CDX-3379 and TAM programs or the transaction as a whole.</w:t>
      </w:r>
    </w:p>
    <w:p>
      <w:pPr>
        <w:spacing w:after="0" w:line="190"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deferred tax liability, net of $23.4 million primarily relates to the temporary differences associated with the IPR&amp;D intangible assets, which are not deductible for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Expenses, Including Severance</w:t>
      </w:r>
    </w:p>
    <w:p>
      <w:pPr>
        <w:spacing w:after="0" w:line="227" w:lineRule="exact"/>
        <w:rPr>
          <w:sz w:val="20"/>
          <w:szCs w:val="20"/>
          <w:color w:val="auto"/>
        </w:rPr>
      </w:pPr>
    </w:p>
    <w:p>
      <w:pPr>
        <w:ind w:right="40" w:firstLine="348"/>
        <w:spacing w:after="0" w:line="301" w:lineRule="auto"/>
        <w:rPr>
          <w:sz w:val="20"/>
          <w:szCs w:val="20"/>
          <w:color w:val="auto"/>
        </w:rPr>
      </w:pPr>
      <w:r>
        <w:rPr>
          <w:rFonts w:ascii="Times New Roman" w:cs="Times New Roman" w:eastAsia="Times New Roman" w:hAnsi="Times New Roman"/>
          <w:sz w:val="16"/>
          <w:szCs w:val="16"/>
          <w:color w:val="auto"/>
        </w:rPr>
        <w:t>The Company incurred $0.7 million in acquisition-related expenses in the consolidated statements of operations for the year ended December 31, 2016. These costs include fees for legal, accounting, due diligence, tax, valuation, printing and other various services necessary to complete the transaction. In addition, the Company recorded $2.4 million and $0.7 million in Kolltan severance expenses to general and administrative and research and development, respectively, in the consolidated statements of operations for the year ended December 31, 2016 since the severance was determined to be for the benefit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operating results of Kolltan and pro forma adjustments including severance expense and transaction expenses of $3.1 million and $0.7 million, respectively, have been included in the accompanying consolidated financial statements from November 29, 2016 to December 31, 2016. Kolltan had no revenues from November 29, 2016 through December 31, 2016. The following unaudited pro forma financial summary is presented as if the operations of the Company and Kolltan were combined as of January 1, 2015. The unaudited pro forma combined results are not necessarily indicative of the actual results that would have occurred had the acquisition been consummated at that date or of the future operations of the combined entities.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left="385"/>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Years Ended</w:t>
            </w:r>
          </w:p>
        </w:tc>
      </w:tr>
      <w:tr>
        <w:trPr>
          <w:trHeight w:val="165"/>
        </w:trPr>
        <w:tc>
          <w:tcPr>
            <w:tcW w:w="4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42"/>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w w:val="73"/>
              </w:rPr>
              <w:t>thousands)</w:t>
            </w:r>
          </w:p>
        </w:tc>
        <w:tc>
          <w:tcPr>
            <w:tcW w:w="16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5,480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(146,905)</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(157,690)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EXPENSE</w:t>
      </w:r>
    </w:p>
    <w:p>
      <w:pPr>
        <w:spacing w:after="0" w:line="227" w:lineRule="exact"/>
        <w:rPr>
          <w:sz w:val="20"/>
          <w:szCs w:val="20"/>
          <w:color w:val="auto"/>
        </w:rPr>
      </w:pPr>
    </w:p>
    <w:p>
      <w:pPr>
        <w:jc w:val="both"/>
        <w:ind w:right="120" w:firstLine="351"/>
        <w:spacing w:after="0" w:line="258" w:lineRule="auto"/>
        <w:rPr>
          <w:sz w:val="20"/>
          <w:szCs w:val="20"/>
          <w:color w:val="auto"/>
        </w:rPr>
      </w:pPr>
      <w:r>
        <w:rPr>
          <w:rFonts w:ascii="Times New Roman" w:cs="Times New Roman" w:eastAsia="Times New Roman" w:hAnsi="Times New Roman"/>
          <w:sz w:val="18"/>
          <w:szCs w:val="18"/>
          <w:color w:val="auto"/>
        </w:rPr>
        <w:t>In December 2016, the Company decided not to occupy the 11,500 square feet of expansion space ("Needham Expansion") at its Needham, Massachusetts facility. The Company agreed to lease the Needham Expansion in August 2015 and the term of the lease expires in July 2020. The Company is actively trying to sublease the lease obligation. The Company recorded restructuring expenses of $1.2 million to general and administrative expense for the twelve months ended December 31, 2016.</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(Continued)</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EXPENSE (Continued)</w:t>
      </w:r>
    </w:p>
    <w:p>
      <w:pPr>
        <w:spacing w:after="0" w:line="227" w:lineRule="exact"/>
        <w:rPr>
          <w:rFonts w:ascii="Times New Roman" w:cs="Times New Roman" w:eastAsia="Times New Roman" w:hAnsi="Times New Roman"/>
          <w:sz w:val="18"/>
          <w:szCs w:val="18"/>
          <w:b w:val="1"/>
          <w:bCs w:val="1"/>
          <w:color w:val="auto"/>
        </w:rPr>
      </w:pP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activity related to restructuring for the twelve months ended December 31, 2016, is presented below (in thousands):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Charge for</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2"/>
              </w:rPr>
              <w:t>the Twelve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5"/>
              </w:rPr>
              <w:t>Months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Accrual as of</w:t>
            </w:r>
          </w:p>
        </w:tc>
      </w:tr>
      <w:tr>
        <w:trPr>
          <w:trHeight w:val="149"/>
        </w:trPr>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Cash Payments</w:t>
            </w: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65"/>
        </w:trPr>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in 2016</w:t>
            </w:r>
          </w:p>
        </w:tc>
        <w:tc>
          <w:tcPr>
            <w:tcW w:w="8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Expansion</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1,154</w:t>
            </w: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portion of lease accrual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r>
      <w:tr>
        <w:trPr>
          <w:trHeight w:val="20"/>
        </w:trPr>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lease accrual</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w:t>
            </w:r>
          </w:p>
        </w:tc>
      </w:tr>
      <w:tr>
        <w:trPr>
          <w:trHeight w:val="20"/>
        </w:trPr>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firstLine="351"/>
        <w:spacing w:after="0" w:line="256" w:lineRule="auto"/>
        <w:rPr>
          <w:sz w:val="20"/>
          <w:szCs w:val="20"/>
          <w:color w:val="auto"/>
        </w:rPr>
      </w:pPr>
      <w:r>
        <w:rPr>
          <w:rFonts w:ascii="Times New Roman" w:cs="Times New Roman" w:eastAsia="Times New Roman" w:hAnsi="Times New Roman"/>
          <w:sz w:val="18"/>
          <w:szCs w:val="18"/>
          <w:color w:val="auto"/>
        </w:rPr>
        <w:t>In accordance with U.S. GAAP, the Company recorded an initial estimate, at fair value, in the fourth quarter of 2016. The Company will review its assumptions and estimates quarterly and updates the liability as changes in circumstances require. The liability recorded with respect to the potential lease restructuring was calculated using probability weighted discounted cash flows based on the Company's assumptions and estimates regarding the possible outcomes of the potential time to sublease the space and sublease rental rates. The Company used a credit-adjusted risk-free rate of approximately 10% to discount the estimated cash flows.</w:t>
      </w:r>
    </w:p>
    <w:p>
      <w:pPr>
        <w:spacing w:after="0" w:line="193"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The expense and liability related to the potential lease restructuring requires the Company to make significant estimates and assumptions. The Company will review the estimates and assumptions on at least a quarterly basis, until the outcome is finalized, and make whatever modifications management believes to be necessary, based on the Company's best judgment, to reflect any changed circumstances. It is possible that such estimates could change in the future resulting in additional adjustments. Because the Company's estimate of the liability related to the potential lease restructuring includes the application of a discount rate to reflect the time value of money, the estimate of the liability will change as a result of time passing. Any such changes to the Company's estimate of the liability are recorded as additional restructuring and other expense.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SELECTED QUARTERLY FINANCIAL DATA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Q1 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Q2 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7"/>
              </w:rPr>
              <w:t>Q3 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Q4 2015</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77"/>
              </w:rPr>
              <w:t>(In</w:t>
            </w:r>
          </w:p>
        </w:tc>
        <w:tc>
          <w:tcPr>
            <w:tcW w:w="160" w:type="dxa"/>
            <w:vAlign w:val="bottom"/>
            <w:gridSpan w:val="2"/>
          </w:tcPr>
          <w:p>
            <w:pPr>
              <w:spacing w:after="0"/>
              <w:rPr>
                <w:sz w:val="12"/>
                <w:szCs w:val="12"/>
                <w:color w:val="auto"/>
              </w:rPr>
            </w:pPr>
          </w:p>
        </w:tc>
        <w:tc>
          <w:tcPr>
            <w:tcW w:w="4520" w:type="dxa"/>
            <w:vAlign w:val="bottom"/>
            <w:gridSpan w:val="11"/>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(31,980)</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(32,684)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Q1 2016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Q2 2016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7"/>
              </w:rPr>
              <w:t>Q3 2016</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Q4 2016</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w w:val="77"/>
              </w:rPr>
              <w:t>(In</w:t>
            </w:r>
          </w:p>
        </w:tc>
        <w:tc>
          <w:tcPr>
            <w:tcW w:w="160" w:type="dxa"/>
            <w:vAlign w:val="bottom"/>
            <w:gridSpan w:val="2"/>
          </w:tcPr>
          <w:p>
            <w:pPr>
              <w:spacing w:after="0"/>
              <w:rPr>
                <w:sz w:val="12"/>
                <w:szCs w:val="12"/>
                <w:color w:val="auto"/>
              </w:rPr>
            </w:pPr>
          </w:p>
        </w:tc>
        <w:tc>
          <w:tcPr>
            <w:tcW w:w="4520" w:type="dxa"/>
            <w:vAlign w:val="bottom"/>
            <w:gridSpan w:val="11"/>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(29,598)</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(0.30)</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As of December 31, 2016,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2016.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06"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assets;</w:t>
      </w:r>
    </w:p>
    <w:p>
      <w:pPr>
        <w:spacing w:after="0" w:line="252"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199"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74" w:lineRule="exact"/>
        <w:rPr>
          <w:sz w:val="20"/>
          <w:szCs w:val="20"/>
          <w:color w:val="auto"/>
        </w:rPr>
      </w:pPr>
    </w:p>
    <w:p>
      <w:pPr>
        <w:ind w:right="20" w:firstLine="351"/>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260" w:firstLine="351"/>
        <w:spacing w:after="0" w:line="258"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Based on this evaluation, our management concluded that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 over financial reporting was effective as of December 31, 2016.</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2016 has been audited by PricewaterhouseCoopers LLP, an independent registered public accounting firm, as stated in their report, which is included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December 31, 2016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the definitive Proxy Statement for our 2017 Annual Meeting of Stockholders, or the 2017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2017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27"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the 2017 Proxy Statement under "Executive Compensation," and "Compensation Committee Interlocks and Insider Participation," and is incorporated herein by reference. If the 2017 Proxy Statement is not filed with the SEC within 120 days after the end of our most recent fiscal year, we will provide such information by means of an amendment to this Annual Report on Form 10-K.</w:t>
      </w:r>
    </w:p>
    <w:p>
      <w:pPr>
        <w:spacing w:after="0" w:line="18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227" w:lineRule="exact"/>
        <w:rPr>
          <w:sz w:val="20"/>
          <w:szCs w:val="20"/>
          <w:color w:val="auto"/>
        </w:rPr>
      </w:pPr>
    </w:p>
    <w:p>
      <w:pPr>
        <w:ind w:right="20" w:firstLine="348"/>
        <w:spacing w:after="0" w:line="310" w:lineRule="auto"/>
        <w:rPr>
          <w:sz w:val="20"/>
          <w:szCs w:val="20"/>
          <w:color w:val="auto"/>
        </w:rPr>
      </w:pPr>
      <w:r>
        <w:rPr>
          <w:rFonts w:ascii="Times New Roman" w:cs="Times New Roman" w:eastAsia="Times New Roman" w:hAnsi="Times New Roman"/>
          <w:sz w:val="16"/>
          <w:szCs w:val="16"/>
          <w:color w:val="auto"/>
        </w:rPr>
        <w:t>The information required by this Item 12 will be included in the 2017 Proxy Statement under "Security Ownership of Certain Beneficial Owners and Management" and "Equity Compensation Plan Information" and is incorporated herein by reference. If the 2017 Proxy Statement is not filed with the SEC within 120 days after the end of our most recent fiscal year, we will provide such information by means of an amendment to this Annual Report on Form 10-K.</w:t>
      </w:r>
    </w:p>
    <w:p>
      <w:pPr>
        <w:spacing w:after="0" w:line="14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7" w:lineRule="exact"/>
        <w:rPr>
          <w:sz w:val="20"/>
          <w:szCs w:val="20"/>
          <w:color w:val="auto"/>
        </w:rPr>
      </w:pPr>
    </w:p>
    <w:p>
      <w:pPr>
        <w:jc w:val="both"/>
        <w:ind w:right="480" w:firstLine="348"/>
        <w:spacing w:after="0" w:line="310" w:lineRule="auto"/>
        <w:rPr>
          <w:sz w:val="20"/>
          <w:szCs w:val="20"/>
          <w:color w:val="auto"/>
        </w:rPr>
      </w:pPr>
      <w:r>
        <w:rPr>
          <w:rFonts w:ascii="Times New Roman" w:cs="Times New Roman" w:eastAsia="Times New Roman" w:hAnsi="Times New Roman"/>
          <w:sz w:val="16"/>
          <w:szCs w:val="16"/>
          <w:color w:val="auto"/>
        </w:rPr>
        <w:t>The information required by this Item 13 will be included in the 2017 Proxy Statement under "Election of Directors" and "Approval of Related Person Transactions and Transactions with Related Persons" and is incorporated herein by reference. If the 2017 Proxy Statement is not filed with the SEC within 120 days after the end of our most recent fiscal year, we will provide such information by means of an amendment to this Annual Report on Form 10-K.</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the 2017 Proxy Statement under "Independent Registered Public Accounting Firm" and is incorporated herein by reference. If the 2017 Proxy Statement is not filed with the SEC within 120 days after the end of our most recent fiscal year, we will provide such information by means of an amendment to this Annual Report on Form 10-K.</w:t>
      </w:r>
    </w:p>
    <w:p>
      <w:pPr>
        <w:spacing w:after="0" w:line="1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241" w:lineRule="exact"/>
        <w:rPr>
          <w:sz w:val="20"/>
          <w:szCs w:val="20"/>
          <w:color w:val="auto"/>
        </w:rPr>
      </w:pPr>
    </w:p>
    <w:p>
      <w:pPr>
        <w:ind w:left="540" w:hanging="532"/>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Form 10-K:</w:t>
      </w:r>
    </w:p>
    <w:p>
      <w:pPr>
        <w:spacing w:after="0" w:line="200" w:lineRule="exact"/>
        <w:rPr>
          <w:sz w:val="20"/>
          <w:szCs w:val="20"/>
          <w:color w:val="auto"/>
        </w:rPr>
      </w:pPr>
    </w:p>
    <w:p>
      <w:pPr>
        <w:spacing w:after="0" w:line="266"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Financial Statements and Supplementary Data are included in Part II Item 8 of this report.</w:t>
      </w:r>
    </w:p>
    <w:p>
      <w:pPr>
        <w:spacing w:after="0" w:line="237"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560" w:firstLine="351"/>
        <w:spacing w:after="0" w:line="275" w:lineRule="auto"/>
        <w:rPr>
          <w:sz w:val="20"/>
          <w:szCs w:val="20"/>
          <w:color w:val="auto"/>
        </w:rPr>
      </w:pPr>
      <w:r>
        <w:rPr>
          <w:rFonts w:ascii="Times New Roman" w:cs="Times New Roman" w:eastAsia="Times New Roman" w:hAnsi="Times New Roman"/>
          <w:sz w:val="18"/>
          <w:szCs w:val="18"/>
          <w:color w:val="auto"/>
        </w:rPr>
        <w:t>Schedules are omitted since the required information is not applicable or is not present in amounts sufficient to require submission of the schedule, or because the information required is included in the Financial Statements or Notes thereto.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Pr>
          <w:p>
            <w:pPr>
              <w:jc w:val="right"/>
              <w:ind w:right="72"/>
              <w:spacing w:after="0"/>
              <w:rPr>
                <w:sz w:val="20"/>
                <w:szCs w:val="20"/>
                <w:color w:val="auto"/>
              </w:rPr>
            </w:pPr>
            <w:r>
              <w:rPr>
                <w:rFonts w:ascii="Times New Roman" w:cs="Times New Roman" w:eastAsia="Times New Roman" w:hAnsi="Times New Roman"/>
                <w:sz w:val="18"/>
                <w:szCs w:val="18"/>
                <w:i w:val="1"/>
                <w:iCs w:val="1"/>
                <w:color w:val="auto"/>
              </w:rPr>
              <w:t>(3)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Exhibits:</w:t>
            </w:r>
          </w:p>
        </w:tc>
        <w:tc>
          <w:tcPr>
            <w:tcW w:w="16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125"/>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Form and</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SEC</w:t>
            </w:r>
          </w:p>
        </w:tc>
        <w:tc>
          <w:tcPr>
            <w:tcW w:w="1140" w:type="dxa"/>
            <w:vAlign w:val="bottom"/>
          </w:tcPr>
          <w:p>
            <w:pPr>
              <w:spacing w:after="0"/>
              <w:rPr>
                <w:sz w:val="10"/>
                <w:szCs w:val="10"/>
                <w:color w:val="auto"/>
              </w:rPr>
            </w:pPr>
          </w:p>
        </w:tc>
      </w:tr>
      <w:tr>
        <w:trPr>
          <w:trHeight w:val="165"/>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4"/>
                <w:szCs w:val="14"/>
                <w:color w:val="auto"/>
              </w:rPr>
            </w:pPr>
          </w:p>
        </w:tc>
        <w:tc>
          <w:tcPr>
            <w:tcW w:w="532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4"/>
                <w:szCs w:val="14"/>
                <w:color w:val="auto"/>
              </w:rPr>
            </w:pPr>
          </w:p>
        </w:tc>
        <w:tc>
          <w:tcPr>
            <w:tcW w:w="18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top w:val="single" w:sz="8" w:color="auto"/>
            </w:tcBorders>
          </w:tcPr>
          <w:p>
            <w:pPr>
              <w:ind w:left="80"/>
              <w:spacing w:after="0" w:line="195" w:lineRule="exact"/>
              <w:rPr>
                <w:sz w:val="20"/>
                <w:szCs w:val="20"/>
                <w:color w:val="auto"/>
              </w:rPr>
            </w:pPr>
            <w:r>
              <w:rPr>
                <w:rFonts w:ascii="Times New Roman" w:cs="Times New Roman" w:eastAsia="Times New Roman" w:hAnsi="Times New Roman"/>
                <w:sz w:val="18"/>
                <w:szCs w:val="18"/>
                <w:i w:val="1"/>
                <w:iCs w:val="1"/>
                <w:color w:val="auto"/>
                <w:w w:val="98"/>
              </w:rPr>
              <w:t>Plan of</w:t>
            </w:r>
          </w:p>
        </w:tc>
        <w:tc>
          <w:tcPr>
            <w:tcW w:w="1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Acquisition, Reorganization, Arrangement, Liquidation or Succession</w:t>
            </w:r>
          </w:p>
        </w:tc>
        <w:tc>
          <w:tcPr>
            <w:tcW w:w="16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October 19, 2007, by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2.1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10/22/07</w:t>
            </w:r>
          </w:p>
        </w:tc>
        <w:tc>
          <w:tcPr>
            <w:tcW w:w="1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among AVANT, Celldex Merger Corporation, and Celldex</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Therapeutics, Inc.</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May 28, 2009, by and among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2.1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5/29/09</w:t>
            </w: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Celldex Therapeutics, Inc., CuraGen Corporation and Cottrell Merger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Sub, Inc.</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November 1, 2016, by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2.1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11/1/16</w:t>
            </w: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among Kolltan Pharmaceuticals, Inc., Celldex Therapeutics,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Connemara Merger Sub 1 Inc. and Connemara Merger Sub 2 LLC.</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gridSpan w:val="4"/>
          </w:tcPr>
          <w:p>
            <w:pPr>
              <w:ind w:left="80"/>
              <w:spacing w:after="0"/>
              <w:rPr>
                <w:sz w:val="20"/>
                <w:szCs w:val="20"/>
                <w:color w:val="auto"/>
              </w:rPr>
            </w:pPr>
            <w:r>
              <w:rPr>
                <w:rFonts w:ascii="Times New Roman" w:cs="Times New Roman" w:eastAsia="Times New Roman" w:hAnsi="Times New Roman"/>
                <w:sz w:val="18"/>
                <w:szCs w:val="18"/>
                <w:i w:val="1"/>
                <w:iCs w:val="1"/>
                <w:color w:val="auto"/>
              </w:rPr>
              <w:t>Articles of Incorporation and By-Laws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Third Restated Certificate of 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7/16/98</w:t>
            </w:r>
          </w:p>
        </w:tc>
        <w:tc>
          <w:tcPr>
            <w:tcW w:w="1140" w:type="dxa"/>
            <w:vAlign w:val="bottom"/>
          </w:tcPr>
          <w:p>
            <w:pPr>
              <w:spacing w:after="0"/>
              <w:rPr>
                <w:sz w:val="18"/>
                <w:szCs w:val="18"/>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Certificate of Amendment of Third Restated Certificate of 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7/16/98</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Second Certificate of Amendment of Third Restated Certificate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7/16/98</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Third Certificate of Amendment of Third Restated Certificate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5/10/02</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Fourth Certificate of Amendment of Third Restated Certificate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3/11/08</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Fifth Certificate of Amendment of Third Restated Certificate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3/11/08</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47"/>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Sixth Certificate of Amendment of Third Restated Certificate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3.7</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11/10/08</w:t>
            </w:r>
          </w:p>
        </w:tc>
        <w:tc>
          <w:tcPr>
            <w:tcW w:w="1140" w:type="dxa"/>
            <w:vAlign w:val="bottom"/>
          </w:tcPr>
          <w:p>
            <w:pPr>
              <w:spacing w:after="0"/>
              <w:rPr>
                <w:sz w:val="24"/>
                <w:szCs w:val="24"/>
                <w:color w:val="auto"/>
              </w:rPr>
            </w:pPr>
          </w:p>
        </w:tc>
      </w:tr>
      <w:tr>
        <w:trPr>
          <w:trHeight w:val="228"/>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Incorporation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2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360"/>
        <w:spacing w:after="0"/>
        <w:tabs>
          <w:tab w:leader="none" w:pos="41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7731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center"/>
        <w:ind w:left="180"/>
        <w:spacing w:after="0"/>
        <w:tabs>
          <w:tab w:leader="none" w:pos="14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6"/>
          <w:szCs w:val="16"/>
          <w:color w:val="auto"/>
        </w:rPr>
        <w:t>Amended and Restated By-Laws, dated April 7, 2014</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Instruments Defining the Rights of Security Holders</w:t>
      </w:r>
    </w:p>
    <w:p>
      <w:pPr>
        <w:spacing w:after="0" w:line="23" w:lineRule="exact"/>
        <w:rPr>
          <w:sz w:val="20"/>
          <w:szCs w:val="20"/>
          <w:color w:val="auto"/>
        </w:rPr>
      </w:pPr>
    </w:p>
    <w:p>
      <w:pPr>
        <w:ind w:left="1560"/>
        <w:spacing w:after="0"/>
        <w:tabs>
          <w:tab w:leader="none" w:pos="19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6"/>
          <w:szCs w:val="16"/>
          <w:color w:val="auto"/>
        </w:rPr>
        <w:t>Specimen of Common Stock Certificate</w:t>
      </w:r>
    </w:p>
    <w:p>
      <w:pPr>
        <w:spacing w:after="0" w:line="200" w:lineRule="exact"/>
        <w:rPr>
          <w:sz w:val="20"/>
          <w:szCs w:val="20"/>
          <w:color w:val="auto"/>
        </w:rPr>
      </w:pPr>
    </w:p>
    <w:p>
      <w:pPr>
        <w:spacing w:after="0" w:line="256" w:lineRule="exact"/>
        <w:rPr>
          <w:sz w:val="20"/>
          <w:szCs w:val="20"/>
          <w:color w:val="auto"/>
        </w:rPr>
      </w:pPr>
    </w:p>
    <w:p>
      <w:pPr>
        <w:jc w:val="both"/>
        <w:ind w:left="1940" w:right="580" w:hanging="381"/>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4.2</w:t>
        <w:tab/>
        <w:t>Certificate of Designations, Preferences and Rights of a Series of Preferred Stock classifying and designating the Series C-1 Junior Participating Cumulative Preferred Stock</w:t>
      </w:r>
    </w:p>
    <w:p>
      <w:pPr>
        <w:spacing w:after="0" w:line="200" w:lineRule="exact"/>
        <w:rPr>
          <w:sz w:val="20"/>
          <w:szCs w:val="20"/>
          <w:color w:val="auto"/>
        </w:rPr>
      </w:pP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Material Contracts—Leases</w:t>
      </w:r>
    </w:p>
    <w:p>
      <w:pPr>
        <w:spacing w:after="0" w:line="23" w:lineRule="exact"/>
        <w:rPr>
          <w:sz w:val="20"/>
          <w:szCs w:val="20"/>
          <w:color w:val="auto"/>
        </w:rPr>
      </w:pPr>
    </w:p>
    <w:p>
      <w:pPr>
        <w:ind w:left="1940" w:right="260" w:hanging="468"/>
        <w:spacing w:after="0" w:line="261" w:lineRule="auto"/>
        <w:tabs>
          <w:tab w:leader="none" w:pos="1920" w:val="left"/>
        </w:tabs>
        <w:rPr>
          <w:sz w:val="20"/>
          <w:szCs w:val="20"/>
          <w:color w:val="auto"/>
        </w:rPr>
      </w:pPr>
      <w:r>
        <w:rPr>
          <w:rFonts w:ascii="Times New Roman" w:cs="Times New Roman" w:eastAsia="Times New Roman" w:hAnsi="Times New Roman"/>
          <w:sz w:val="18"/>
          <w:szCs w:val="18"/>
          <w:color w:val="auto"/>
        </w:rPr>
        <w:t>10.1</w:t>
        <w:tab/>
        <w:t>Commercial Lease Agreement of May 1, 1996 between the Company and Fourth Avenue Ventures Limited Partnership</w:t>
      </w:r>
    </w:p>
    <w:p>
      <w:pPr>
        <w:spacing w:after="0" w:line="213" w:lineRule="exact"/>
        <w:rPr>
          <w:sz w:val="20"/>
          <w:szCs w:val="20"/>
          <w:color w:val="auto"/>
        </w:rPr>
      </w:pPr>
    </w:p>
    <w:p>
      <w:pPr>
        <w:ind w:left="1940" w:right="240" w:hanging="468"/>
        <w:spacing w:after="0" w:line="310" w:lineRule="auto"/>
        <w:tabs>
          <w:tab w:leader="none" w:pos="192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Extension of Lease Agreement of May 1, 1997 between the Company and DIV Needham 53 LLC (successor in interest to Fourth Avenue Ventures Limited Partnership) dated as of August 23, 2001</w:t>
      </w:r>
    </w:p>
    <w:p>
      <w:pPr>
        <w:spacing w:after="0" w:line="178" w:lineRule="exact"/>
        <w:rPr>
          <w:sz w:val="20"/>
          <w:szCs w:val="20"/>
          <w:color w:val="auto"/>
        </w:rPr>
      </w:pPr>
    </w:p>
    <w:p>
      <w:pPr>
        <w:ind w:left="1940" w:right="360" w:hanging="468"/>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10.3</w:t>
        <w:tab/>
        <w:t>First Amendment to Lease by and between the Company and DIV Needham 115 LLC (successor in interest to Fourth Avenue Ventures Limited Partnership) dated November 29, 2005</w:t>
      </w:r>
    </w:p>
    <w:p>
      <w:pPr>
        <w:spacing w:after="0" w:line="213" w:lineRule="exact"/>
        <w:rPr>
          <w:sz w:val="20"/>
          <w:szCs w:val="20"/>
          <w:color w:val="auto"/>
        </w:rPr>
      </w:pPr>
    </w:p>
    <w:p>
      <w:pPr>
        <w:ind w:left="1940" w:right="300" w:hanging="468"/>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10.4</w:t>
        <w:tab/>
        <w:t>Second Amendment to Lease by and between the Company and DIV Needham 115 LLC dated as of August 1, 2015</w:t>
      </w:r>
    </w:p>
    <w:p>
      <w:pPr>
        <w:spacing w:after="0" w:line="201" w:lineRule="exact"/>
        <w:rPr>
          <w:sz w:val="20"/>
          <w:szCs w:val="20"/>
          <w:color w:val="auto"/>
        </w:rPr>
      </w:pPr>
    </w:p>
    <w:p>
      <w:pPr>
        <w:ind w:left="1940" w:right="120" w:hanging="556"/>
        <w:spacing w:after="0" w:line="339" w:lineRule="auto"/>
        <w:tabs>
          <w:tab w:leader="none" w:pos="192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6"/>
          <w:szCs w:val="16"/>
          <w:color w:val="auto"/>
        </w:rPr>
        <w:t>Lease Agreement, by and between the Company and the Massachusetts Development Finance Agency, dated as of December 22, 2003</w:t>
      </w:r>
    </w:p>
    <w:p>
      <w:pPr>
        <w:spacing w:after="0" w:line="156" w:lineRule="exact"/>
        <w:rPr>
          <w:sz w:val="20"/>
          <w:szCs w:val="20"/>
          <w:color w:val="auto"/>
        </w:rPr>
      </w:pPr>
    </w:p>
    <w:p>
      <w:pPr>
        <w:ind w:left="1940" w:hanging="468"/>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10.6</w:t>
        <w:tab/>
        <w:t>First Amendment to Lease between Massachusetts Development Finance Agency and the Company dated March 17, 2005</w:t>
      </w:r>
    </w:p>
    <w:p>
      <w:pPr>
        <w:spacing w:after="0" w:line="201" w:lineRule="exact"/>
        <w:rPr>
          <w:sz w:val="20"/>
          <w:szCs w:val="20"/>
          <w:color w:val="auto"/>
        </w:rPr>
      </w:pPr>
    </w:p>
    <w:p>
      <w:pPr>
        <w:ind w:left="1940" w:right="180" w:hanging="468"/>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10.7</w:t>
        <w:tab/>
        <w:t>Second Amendment to Lease by and between the Company and the Massachusetts Development Finance Agency dated as of November 4, 2005</w:t>
      </w:r>
    </w:p>
    <w:p>
      <w:pPr>
        <w:spacing w:after="0" w:line="213" w:lineRule="exact"/>
        <w:rPr>
          <w:sz w:val="20"/>
          <w:szCs w:val="20"/>
          <w:color w:val="auto"/>
        </w:rPr>
      </w:pPr>
    </w:p>
    <w:p>
      <w:pPr>
        <w:ind w:left="1940" w:right="540" w:hanging="468"/>
        <w:spacing w:after="0" w:line="339" w:lineRule="auto"/>
        <w:tabs>
          <w:tab w:leader="none" w:pos="192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6"/>
          <w:szCs w:val="16"/>
          <w:color w:val="auto"/>
        </w:rPr>
        <w:t>Third Amendment to Lease between Massachusetts Development Finance Agency and the Company dated December 20, 2006</w:t>
      </w:r>
    </w:p>
    <w:p>
      <w:pPr>
        <w:spacing w:after="0" w:line="156" w:lineRule="exact"/>
        <w:rPr>
          <w:sz w:val="20"/>
          <w:szCs w:val="20"/>
          <w:color w:val="auto"/>
        </w:rPr>
      </w:pPr>
    </w:p>
    <w:p>
      <w:pPr>
        <w:ind w:left="1940" w:right="580" w:hanging="468"/>
        <w:spacing w:after="0" w:line="339" w:lineRule="auto"/>
        <w:tabs>
          <w:tab w:leader="none" w:pos="192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6"/>
          <w:szCs w:val="16"/>
          <w:color w:val="auto"/>
        </w:rPr>
        <w:t>Fifth Amendment to Lease between Massachusetts Development Finance Agency and the Company dated October 3, 2008</w:t>
      </w:r>
    </w:p>
    <w:p>
      <w:pPr>
        <w:spacing w:after="0" w:line="1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Form and</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SEC</w:t>
            </w:r>
          </w:p>
        </w:tc>
      </w:tr>
      <w:tr>
        <w:trPr>
          <w:trHeight w:val="165"/>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195"/>
        </w:trPr>
        <w:tc>
          <w:tcPr>
            <w:tcW w:w="14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4/8/14</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52"/>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4.1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2/24/15</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11/8/04</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06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10-Q/A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3"/>
              </w:rPr>
              <w:t>10.11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8/23/96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10.9</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3/27/02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10.40</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3/16/06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10.4</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2/25/16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4/30/04</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10.6</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10.41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3/16/06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10.7</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10.8</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25" w:right="137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360"/>
        <w:spacing w:after="0"/>
        <w:tabs>
          <w:tab w:leader="none" w:pos="41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7731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center"/>
        <w:ind w:left="820"/>
        <w:spacing w:after="0"/>
        <w:tabs>
          <w:tab w:leader="none" w:pos="1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6"/>
          <w:szCs w:val="16"/>
          <w:color w:val="auto"/>
        </w:rPr>
        <w:t>Sixth Amendment to Lease between Massachusetts Development</w:t>
      </w:r>
    </w:p>
    <w:p>
      <w:pPr>
        <w:spacing w:after="0" w:line="8"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color w:val="auto"/>
        </w:rPr>
        <w:t>Finance Agency and the Company dated August 20, 2009</w:t>
      </w:r>
    </w:p>
    <w:p>
      <w:pPr>
        <w:spacing w:after="0" w:line="240" w:lineRule="exact"/>
        <w:rPr>
          <w:sz w:val="20"/>
          <w:szCs w:val="20"/>
          <w:color w:val="auto"/>
        </w:rPr>
      </w:pPr>
    </w:p>
    <w:p>
      <w:pPr>
        <w:ind w:left="1940" w:right="120" w:hanging="550"/>
        <w:spacing w:after="0" w:line="339" w:lineRule="auto"/>
        <w:tabs>
          <w:tab w:leader="none" w:pos="192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Seventh Amendment to Lease by and between the Company and the Massachusetts Development Finance Agency dated as of June 22, 2010</w:t>
      </w:r>
    </w:p>
    <w:p>
      <w:pPr>
        <w:spacing w:after="0" w:line="156" w:lineRule="exact"/>
        <w:rPr>
          <w:sz w:val="20"/>
          <w:szCs w:val="20"/>
          <w:color w:val="auto"/>
        </w:rPr>
      </w:pPr>
    </w:p>
    <w:p>
      <w:pPr>
        <w:ind w:left="1940" w:right="180" w:hanging="556"/>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10.12</w:t>
        <w:tab/>
        <w:t>Eighth Amendment to Lease by and between the Company and the Massachusetts Development Finance Agency dated as of November 1, 2015</w:t>
      </w:r>
    </w:p>
    <w:p>
      <w:pPr>
        <w:spacing w:after="0" w:line="213" w:lineRule="exact"/>
        <w:rPr>
          <w:sz w:val="20"/>
          <w:szCs w:val="20"/>
          <w:color w:val="auto"/>
        </w:rPr>
      </w:pPr>
    </w:p>
    <w:p>
      <w:pPr>
        <w:ind w:left="1940" w:right="500" w:hanging="556"/>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10.13</w:t>
        <w:tab/>
        <w:t>Lease Agreement dated as of May 1, 2013 by and between Crown Perryville, LLC and the Company.</w:t>
      </w:r>
    </w:p>
    <w:p>
      <w:pPr>
        <w:spacing w:after="0" w:line="201" w:lineRule="exact"/>
        <w:rPr>
          <w:sz w:val="20"/>
          <w:szCs w:val="20"/>
          <w:color w:val="auto"/>
        </w:rPr>
      </w:pPr>
    </w:p>
    <w:p>
      <w:pPr>
        <w:ind w:left="1940" w:right="1100" w:hanging="556"/>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10.14</w:t>
        <w:tab/>
        <w:t>First Amendment to Lease between Company and Crown Perryville, LLC dated as of June 17, 2015</w:t>
      </w:r>
    </w:p>
    <w:p>
      <w:pPr>
        <w:spacing w:after="0" w:line="199" w:lineRule="exact"/>
        <w:rPr>
          <w:sz w:val="20"/>
          <w:szCs w:val="20"/>
          <w:color w:val="auto"/>
        </w:rPr>
      </w:pPr>
    </w:p>
    <w:p>
      <w:pPr>
        <w:ind w:left="1280" w:right="60" w:hanging="43"/>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Material Contracts—License, Collaboration, Supply and Distribution Agreements </w:t>
      </w:r>
      <w:r>
        <w:rPr>
          <w:rFonts w:ascii="Times New Roman" w:cs="Times New Roman" w:eastAsia="Times New Roman" w:hAnsi="Times New Roman"/>
          <w:sz w:val="16"/>
          <w:szCs w:val="16"/>
          <w:color w:val="auto"/>
        </w:rPr>
        <w:t>*10.15 License Agreement dated as of November 1, 2005 by and between The</w:t>
      </w:r>
    </w:p>
    <w:p>
      <w:pPr>
        <w:ind w:left="1940"/>
        <w:spacing w:after="0"/>
        <w:rPr>
          <w:sz w:val="20"/>
          <w:szCs w:val="20"/>
          <w:color w:val="auto"/>
        </w:rPr>
      </w:pPr>
      <w:r>
        <w:rPr>
          <w:rFonts w:ascii="Times New Roman" w:cs="Times New Roman" w:eastAsia="Times New Roman" w:hAnsi="Times New Roman"/>
          <w:sz w:val="18"/>
          <w:szCs w:val="18"/>
          <w:color w:val="auto"/>
        </w:rPr>
        <w:t>Rockefeller University and the Company</w:t>
      </w:r>
    </w:p>
    <w:p>
      <w:pPr>
        <w:spacing w:after="0" w:line="240" w:lineRule="exact"/>
        <w:rPr>
          <w:sz w:val="20"/>
          <w:szCs w:val="20"/>
          <w:color w:val="auto"/>
        </w:rPr>
      </w:pPr>
    </w:p>
    <w:p>
      <w:pPr>
        <w:jc w:val="center"/>
        <w:ind w:left="1260"/>
        <w:spacing w:after="0"/>
        <w:tabs>
          <w:tab w:leader="none" w:pos="1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6"/>
          <w:szCs w:val="16"/>
          <w:color w:val="auto"/>
        </w:rPr>
        <w:t>Assignment and License Agreement, as amended, dated April 6, 2004 by</w:t>
      </w:r>
    </w:p>
    <w:p>
      <w:pPr>
        <w:spacing w:after="0" w:line="21" w:lineRule="exact"/>
        <w:rPr>
          <w:sz w:val="20"/>
          <w:szCs w:val="20"/>
          <w:color w:val="auto"/>
        </w:rPr>
      </w:pPr>
    </w:p>
    <w:p>
      <w:pPr>
        <w:ind w:left="1940" w:right="660"/>
        <w:spacing w:after="0" w:line="261" w:lineRule="auto"/>
        <w:rPr>
          <w:sz w:val="20"/>
          <w:szCs w:val="20"/>
          <w:color w:val="auto"/>
        </w:rPr>
      </w:pPr>
      <w:r>
        <w:rPr>
          <w:rFonts w:ascii="Times New Roman" w:cs="Times New Roman" w:eastAsia="Times New Roman" w:hAnsi="Times New Roman"/>
          <w:sz w:val="18"/>
          <w:szCs w:val="18"/>
          <w:color w:val="auto"/>
        </w:rPr>
        <w:t>and among Medarex, Inc., GenPharm International, Inc. and the Company</w:t>
      </w:r>
    </w:p>
    <w:p>
      <w:pPr>
        <w:spacing w:after="0" w:line="213" w:lineRule="exact"/>
        <w:rPr>
          <w:sz w:val="20"/>
          <w:szCs w:val="20"/>
          <w:color w:val="auto"/>
        </w:rPr>
      </w:pPr>
    </w:p>
    <w:p>
      <w:pPr>
        <w:ind w:left="1940" w:hanging="644"/>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*10.17</w:t>
        <w:tab/>
        <w:t>Research and Commercialization Agreement, as amended, dated as of April 6, 2004 by and among Medarex, Inc., GenPharm International, Inc. and the Company</w:t>
      </w:r>
    </w:p>
    <w:p>
      <w:pPr>
        <w:spacing w:after="0" w:line="213" w:lineRule="exact"/>
        <w:rPr>
          <w:sz w:val="20"/>
          <w:szCs w:val="20"/>
          <w:color w:val="auto"/>
        </w:rPr>
      </w:pPr>
    </w:p>
    <w:p>
      <w:pPr>
        <w:ind w:left="1940" w:right="580" w:hanging="644"/>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*10.18</w:t>
        <w:tab/>
        <w:t>Exclusive Patent and Know-How License Agreement dated as of November 5, 2008 between the Company and the University of Southampton</w:t>
      </w:r>
    </w:p>
    <w:p>
      <w:pPr>
        <w:spacing w:after="0" w:line="213" w:lineRule="exact"/>
        <w:rPr>
          <w:sz w:val="20"/>
          <w:szCs w:val="20"/>
          <w:color w:val="auto"/>
        </w:rPr>
      </w:pPr>
    </w:p>
    <w:p>
      <w:pPr>
        <w:ind w:left="1940" w:right="500" w:hanging="644"/>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*10.19</w:t>
        <w:tab/>
        <w:t>License and Assignment Agreement, between Amgen Inc. and the Company dated March 16, 2009</w:t>
      </w:r>
    </w:p>
    <w:p>
      <w:pPr>
        <w:spacing w:after="0" w:line="201" w:lineRule="exact"/>
        <w:rPr>
          <w:sz w:val="20"/>
          <w:szCs w:val="20"/>
          <w:color w:val="auto"/>
        </w:rPr>
      </w:pPr>
    </w:p>
    <w:p>
      <w:pPr>
        <w:ind w:left="1940" w:right="100" w:hanging="644"/>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*10.20</w:t>
        <w:tab/>
        <w:t>Collaboration Agreement dated June 18, 2004 between Seattle Genetics and CuraGen</w:t>
      </w:r>
    </w:p>
    <w:p>
      <w:pPr>
        <w:spacing w:after="0" w:line="201" w:lineRule="exact"/>
        <w:rPr>
          <w:sz w:val="20"/>
          <w:szCs w:val="20"/>
          <w:color w:val="auto"/>
        </w:rPr>
      </w:pPr>
    </w:p>
    <w:p>
      <w:pPr>
        <w:ind w:left="1940" w:right="360" w:hanging="644"/>
        <w:spacing w:after="0" w:line="339" w:lineRule="auto"/>
        <w:tabs>
          <w:tab w:leader="none" w:pos="192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Second Restated Collaboration Agreement dated April 12, 2004 and amended October 19, 2004 between Abgenix Inc. and CuraGen</w:t>
      </w:r>
    </w:p>
    <w:p>
      <w:pPr>
        <w:spacing w:after="0" w:line="156" w:lineRule="exact"/>
        <w:rPr>
          <w:sz w:val="20"/>
          <w:szCs w:val="20"/>
          <w:color w:val="auto"/>
        </w:rPr>
      </w:pPr>
    </w:p>
    <w:p>
      <w:pPr>
        <w:ind w:left="1940" w:right="620" w:hanging="556"/>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10.22</w:t>
        <w:tab/>
        <w:t>Amgen Letter Agreement, by and between CuraGen and Amgen Fremont, Inc. dated May 2, 2009</w:t>
      </w:r>
    </w:p>
    <w:p>
      <w:pPr>
        <w:spacing w:after="0" w:line="201" w:lineRule="exact"/>
        <w:rPr>
          <w:sz w:val="20"/>
          <w:szCs w:val="20"/>
          <w:color w:val="auto"/>
        </w:rPr>
      </w:pPr>
    </w:p>
    <w:p>
      <w:pPr>
        <w:ind w:left="1940" w:right="100" w:hanging="644"/>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*10.23</w:t>
        <w:tab/>
        <w:t>Transfer and Termination Agreement, dated as of April 21, 2008 by and between TopoTarget A/S and CuraGen</w:t>
      </w:r>
    </w:p>
    <w:p>
      <w:pPr>
        <w:spacing w:after="0" w:line="201" w:lineRule="exact"/>
        <w:rPr>
          <w:sz w:val="20"/>
          <w:szCs w:val="20"/>
          <w:color w:val="auto"/>
        </w:rPr>
      </w:pPr>
    </w:p>
    <w:p>
      <w:pPr>
        <w:ind w:left="1940" w:right="1040" w:hanging="644"/>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*10.24</w:t>
        <w:tab/>
        <w:t>License Agreement between Medarex and Company dated September 17, 2010</w:t>
      </w:r>
    </w:p>
    <w:p>
      <w:pPr>
        <w:spacing w:after="0" w:line="1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Form and</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SEC</w:t>
            </w:r>
          </w:p>
        </w:tc>
      </w:tr>
      <w:tr>
        <w:trPr>
          <w:trHeight w:val="165"/>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195"/>
        </w:trPr>
        <w:tc>
          <w:tcPr>
            <w:tcW w:w="14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10-K/A</w:t>
            </w:r>
          </w:p>
        </w:tc>
        <w:tc>
          <w:tcPr>
            <w:tcW w:w="1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10.9</w:t>
            </w:r>
          </w:p>
        </w:tc>
        <w:tc>
          <w:tcPr>
            <w:tcW w:w="1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8/5/10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10.12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2/25/16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5/03/13</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8/10/15</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1/18/08</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10.4</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1/18/08</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S-4</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10.5</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1/18/08</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10.47</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3/2/09</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10-K/A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10.27</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3/12/10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10.28</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3/12/10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10.29</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3/12/10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10.30</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3/12/10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10-Q/A</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10.3</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12/23/10</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80" w:space="180"/>
            <w:col w:w="3020"/>
          </w:cols>
          <w:pgMar w:left="240" w:top="125" w:right="137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360"/>
        <w:spacing w:after="0"/>
        <w:tabs>
          <w:tab w:leader="none" w:pos="41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37731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jc w:val="center"/>
        <w:ind w:left="1200"/>
        <w:spacing w:after="0"/>
        <w:tabs>
          <w:tab w:leader="none" w:pos="14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6"/>
          <w:szCs w:val="16"/>
          <w:color w:val="auto"/>
        </w:rPr>
        <w:t>Master Services Agreement dated March 29, 2010 by and between the</w:t>
      </w:r>
    </w:p>
    <w:p>
      <w:pPr>
        <w:spacing w:after="0" w:line="8"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Company and Prologue Research International, Inc. (Prologue)</w:t>
      </w:r>
    </w:p>
    <w:p>
      <w:pPr>
        <w:spacing w:after="0" w:line="240" w:lineRule="exact"/>
        <w:rPr>
          <w:sz w:val="20"/>
          <w:szCs w:val="20"/>
          <w:color w:val="auto"/>
        </w:rPr>
      </w:pPr>
    </w:p>
    <w:p>
      <w:pPr>
        <w:jc w:val="both"/>
        <w:ind w:left="1940" w:right="240" w:hanging="556"/>
        <w:spacing w:after="0" w:line="262" w:lineRule="auto"/>
        <w:tabs>
          <w:tab w:leader="none" w:pos="1920" w:val="left"/>
        </w:tabs>
        <w:rPr>
          <w:sz w:val="20"/>
          <w:szCs w:val="20"/>
          <w:color w:val="auto"/>
        </w:rPr>
      </w:pPr>
      <w:r>
        <w:rPr>
          <w:rFonts w:ascii="Times New Roman" w:cs="Times New Roman" w:eastAsia="Times New Roman" w:hAnsi="Times New Roman"/>
          <w:sz w:val="18"/>
          <w:szCs w:val="18"/>
          <w:color w:val="auto"/>
        </w:rPr>
        <w:t>10.26</w:t>
        <w:tab/>
        <w:t>Amendment to Master Services Agreement dated July 6, 2011 by and between the Company and Novella Clinical Inc. (formerly known as Prologue)</w:t>
      </w:r>
    </w:p>
    <w:p>
      <w:pPr>
        <w:spacing w:after="0" w:line="213" w:lineRule="exact"/>
        <w:rPr>
          <w:sz w:val="20"/>
          <w:szCs w:val="20"/>
          <w:color w:val="auto"/>
        </w:rPr>
      </w:pPr>
    </w:p>
    <w:p>
      <w:pPr>
        <w:ind w:left="1940" w:right="420" w:hanging="556"/>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10.27</w:t>
        <w:tab/>
        <w:t>Master Services Agreement dated May 6, 2013 by and between the Company and PPD Development, LLC</w:t>
      </w:r>
    </w:p>
    <w:p>
      <w:pPr>
        <w:spacing w:after="0" w:line="201" w:lineRule="exact"/>
        <w:rPr>
          <w:sz w:val="20"/>
          <w:szCs w:val="20"/>
          <w:color w:val="auto"/>
        </w:rPr>
      </w:pPr>
    </w:p>
    <w:p>
      <w:pPr>
        <w:ind w:left="1940" w:hanging="644"/>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*10.28</w:t>
        <w:tab/>
        <w:t>Third Amended and Restated Supply Agreement dated October 15, 2014 between the Company and Biosyn Corporation</w:t>
      </w:r>
    </w:p>
    <w:p>
      <w:pPr>
        <w:spacing w:after="0" w:line="201" w:lineRule="exact"/>
        <w:rPr>
          <w:sz w:val="20"/>
          <w:szCs w:val="20"/>
          <w:color w:val="auto"/>
        </w:rPr>
      </w:pPr>
    </w:p>
    <w:p>
      <w:pPr>
        <w:ind w:left="1940" w:right="200" w:hanging="556"/>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10.29</w:t>
        <w:tab/>
        <w:t>Subscription Agreement dated as of October 15, 2014 by and between the Company and Biosyn Corporation</w:t>
      </w:r>
    </w:p>
    <w:p>
      <w:pPr>
        <w:spacing w:after="0" w:line="199" w:lineRule="exact"/>
        <w:rPr>
          <w:sz w:val="20"/>
          <w:szCs w:val="20"/>
          <w:color w:val="auto"/>
        </w:rPr>
      </w:pPr>
    </w:p>
    <w:p>
      <w:pPr>
        <w:ind w:left="1380" w:right="660" w:hanging="131"/>
        <w:spacing w:after="0" w:line="291" w:lineRule="auto"/>
        <w:rPr>
          <w:sz w:val="20"/>
          <w:szCs w:val="20"/>
          <w:color w:val="auto"/>
        </w:rPr>
      </w:pPr>
      <w:r>
        <w:rPr>
          <w:rFonts w:ascii="Times New Roman" w:cs="Times New Roman" w:eastAsia="Times New Roman" w:hAnsi="Times New Roman"/>
          <w:sz w:val="16"/>
          <w:szCs w:val="16"/>
          <w:i w:val="1"/>
          <w:iCs w:val="1"/>
          <w:color w:val="auto"/>
        </w:rPr>
        <w:t xml:space="preserve">Material Contracts—Stock Purchase, Financing and Credit Agreements </w:t>
      </w:r>
      <w:r>
        <w:rPr>
          <w:rFonts w:ascii="Times New Roman" w:cs="Times New Roman" w:eastAsia="Times New Roman" w:hAnsi="Times New Roman"/>
          <w:sz w:val="16"/>
          <w:szCs w:val="16"/>
          <w:color w:val="auto"/>
        </w:rPr>
        <w:t>10.30 Sales Agreement, dated May 19, 2016, by and between Celldex</w:t>
      </w:r>
    </w:p>
    <w:p>
      <w:pPr>
        <w:jc w:val="center"/>
        <w:ind w:left="120"/>
        <w:spacing w:after="0"/>
        <w:rPr>
          <w:sz w:val="20"/>
          <w:szCs w:val="20"/>
          <w:color w:val="auto"/>
        </w:rPr>
      </w:pPr>
      <w:r>
        <w:rPr>
          <w:rFonts w:ascii="Times New Roman" w:cs="Times New Roman" w:eastAsia="Times New Roman" w:hAnsi="Times New Roman"/>
          <w:sz w:val="18"/>
          <w:szCs w:val="18"/>
          <w:color w:val="auto"/>
        </w:rPr>
        <w:t>Therapeutics, Inc. and Cantor Fitzgerald &amp; Co.</w:t>
      </w:r>
    </w:p>
    <w:p>
      <w:pPr>
        <w:spacing w:after="0" w:line="238" w:lineRule="exact"/>
        <w:rPr>
          <w:sz w:val="20"/>
          <w:szCs w:val="20"/>
          <w:color w:val="auto"/>
        </w:rPr>
      </w:pPr>
    </w:p>
    <w:p>
      <w:pPr>
        <w:ind w:left="1280" w:right="660" w:hanging="43"/>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Material Contracts—Management Contracts and Compensatory Plans </w:t>
      </w:r>
      <w:r>
        <w:rPr>
          <w:rFonts w:ascii="Times New Roman" w:cs="Times New Roman" w:eastAsia="Times New Roman" w:hAnsi="Times New Roman"/>
          <w:sz w:val="16"/>
          <w:szCs w:val="16"/>
          <w:color w:val="auto"/>
        </w:rPr>
        <w:t>†10.31 2008 Stock Option and Incentive Plan, as amended and restated</w:t>
      </w:r>
    </w:p>
    <w:p>
      <w:pPr>
        <w:spacing w:after="0" w:line="369" w:lineRule="exact"/>
        <w:rPr>
          <w:sz w:val="20"/>
          <w:szCs w:val="20"/>
          <w:color w:val="auto"/>
        </w:rPr>
      </w:pPr>
    </w:p>
    <w:p>
      <w:pPr>
        <w:ind w:left="1280"/>
        <w:spacing w:after="0"/>
        <w:tabs>
          <w:tab w:leader="none" w:pos="1920" w:val="left"/>
        </w:tabs>
        <w:rPr>
          <w:sz w:val="20"/>
          <w:szCs w:val="20"/>
          <w:color w:val="auto"/>
        </w:rPr>
      </w:pPr>
      <w:r>
        <w:rPr>
          <w:rFonts w:ascii="Times New Roman" w:cs="Times New Roman" w:eastAsia="Times New Roman" w:hAnsi="Times New Roman"/>
          <w:sz w:val="18"/>
          <w:szCs w:val="18"/>
          <w:color w:val="auto"/>
        </w:rPr>
        <w:t>†10.32</w:t>
      </w:r>
      <w:r>
        <w:rPr>
          <w:sz w:val="20"/>
          <w:szCs w:val="20"/>
          <w:color w:val="auto"/>
        </w:rPr>
        <w:tab/>
      </w:r>
      <w:r>
        <w:rPr>
          <w:rFonts w:ascii="Times New Roman" w:cs="Times New Roman" w:eastAsia="Times New Roman" w:hAnsi="Times New Roman"/>
          <w:sz w:val="16"/>
          <w:szCs w:val="16"/>
          <w:color w:val="auto"/>
        </w:rPr>
        <w:t>2004 Employee Stock Purchase Plan, as amended and restated</w:t>
      </w:r>
    </w:p>
    <w:p>
      <w:pPr>
        <w:spacing w:after="0" w:line="200" w:lineRule="exact"/>
        <w:rPr>
          <w:sz w:val="20"/>
          <w:szCs w:val="20"/>
          <w:color w:val="auto"/>
        </w:rPr>
      </w:pPr>
    </w:p>
    <w:p>
      <w:pPr>
        <w:spacing w:after="0" w:line="268"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†10.33</w:t>
        <w:tab/>
        <w:t>Employment Agreement, dated as of January 1, 2013, by and between the Company and Anthony S. Marucci</w:t>
      </w:r>
    </w:p>
    <w:p>
      <w:pPr>
        <w:spacing w:after="0" w:line="201"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†10.34</w:t>
        <w:tab/>
        <w:t>Employment Agreement, dated as of January 1, 2013, by and between the Company and Avery W. Catlin</w:t>
      </w:r>
    </w:p>
    <w:p>
      <w:pPr>
        <w:spacing w:after="0" w:line="201"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†10.35</w:t>
        <w:tab/>
        <w:t>Employment Agreement, dated as of January 1, 2013, by and between the Company and Thomas Davis, MD</w:t>
      </w:r>
    </w:p>
    <w:p>
      <w:pPr>
        <w:spacing w:after="0" w:line="201"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†10.36</w:t>
        <w:tab/>
        <w:t>Employment Agreement, dated as of January 1, 2013, by and between the Company and Tibor Keler, Ph.D.</w:t>
      </w:r>
    </w:p>
    <w:p>
      <w:pPr>
        <w:spacing w:after="0" w:line="201"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†10.37</w:t>
        <w:tab/>
        <w:t>Employment Agreement, dated as of January 1, 2013, by and between the Company and Ronald A. Pepin, Ph.D.</w:t>
      </w:r>
    </w:p>
    <w:p>
      <w:pPr>
        <w:spacing w:after="0" w:line="201" w:lineRule="exact"/>
        <w:rPr>
          <w:sz w:val="20"/>
          <w:szCs w:val="20"/>
          <w:color w:val="auto"/>
        </w:rPr>
      </w:pPr>
    </w:p>
    <w:p>
      <w:pPr>
        <w:ind w:left="1940" w:right="20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†10.38</w:t>
        <w:tab/>
        <w:t>Employment Agreement, dated as of July 1, 2015, by and between the Company and Richard Wright, Ph.D.</w:t>
      </w:r>
    </w:p>
    <w:p>
      <w:pPr>
        <w:spacing w:after="0" w:line="201" w:lineRule="exact"/>
        <w:rPr>
          <w:sz w:val="20"/>
          <w:szCs w:val="20"/>
          <w:color w:val="auto"/>
        </w:rPr>
      </w:pPr>
    </w:p>
    <w:p>
      <w:pPr>
        <w:ind w:left="1940" w:hanging="659"/>
        <w:spacing w:after="0" w:line="275" w:lineRule="auto"/>
        <w:tabs>
          <w:tab w:leader="none" w:pos="1920" w:val="left"/>
        </w:tabs>
        <w:rPr>
          <w:sz w:val="20"/>
          <w:szCs w:val="20"/>
          <w:color w:val="auto"/>
        </w:rPr>
      </w:pPr>
      <w:r>
        <w:rPr>
          <w:rFonts w:ascii="Times New Roman" w:cs="Times New Roman" w:eastAsia="Times New Roman" w:hAnsi="Times New Roman"/>
          <w:sz w:val="18"/>
          <w:szCs w:val="18"/>
          <w:color w:val="auto"/>
        </w:rPr>
        <w:t>†10.39</w:t>
        <w:tab/>
        <w:t>Amended and Restated Employment Agreement, dated August 10, 2016, by and between the Company and Elizabeth Crowley</w:t>
      </w:r>
    </w:p>
    <w:p>
      <w:pPr>
        <w:spacing w:after="0" w:line="1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Form and</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SEC</w:t>
            </w:r>
          </w:p>
        </w:tc>
      </w:tr>
      <w:tr>
        <w:trPr>
          <w:trHeight w:val="165"/>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195"/>
        </w:trPr>
        <w:tc>
          <w:tcPr>
            <w:tcW w:w="148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10-Q</w:t>
            </w:r>
          </w:p>
        </w:tc>
        <w:tc>
          <w:tcPr>
            <w:tcW w:w="16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10.2</w:t>
            </w:r>
          </w:p>
        </w:tc>
        <w:tc>
          <w:tcPr>
            <w:tcW w:w="160" w:type="dxa"/>
            <w:vAlign w:val="bottom"/>
          </w:tcPr>
          <w:p>
            <w:pPr>
              <w:spacing w:after="0"/>
              <w:rPr>
                <w:sz w:val="16"/>
                <w:szCs w:val="16"/>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4"/>
              </w:rPr>
              <w:t>11/3/11</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10.3</w:t>
            </w:r>
          </w:p>
        </w:tc>
        <w:tc>
          <w:tcPr>
            <w:tcW w:w="8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4"/>
              </w:rPr>
              <w:t>11/3/11</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10.3</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8/6/13</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11/5/14</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10/20/14</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7"/>
              </w:rPr>
              <w:t>1.1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5/19/16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3"/>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6/11/15</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6/13/13</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12/21/12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12/21/12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10.3</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12/21/12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10.4</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12/21/12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10.5</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6"/>
              </w:rPr>
              <w:t>12/21/12</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10.3</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8/10/15</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8/11/16</w:t>
            </w:r>
          </w:p>
        </w:tc>
      </w:tr>
      <w:tr>
        <w:trPr>
          <w:trHeight w:val="228"/>
        </w:trPr>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7060" w:space="200"/>
            <w:col w:w="3020"/>
          </w:cols>
          <w:pgMar w:left="240" w:top="125" w:right="137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65"/>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r>
      <w:tr>
        <w:trPr>
          <w:trHeight w:val="125"/>
        </w:trPr>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Form and</w:t>
            </w:r>
          </w:p>
        </w:tc>
        <w:tc>
          <w:tcPr>
            <w:tcW w:w="160" w:type="dxa"/>
            <w:vAlign w:val="bottom"/>
          </w:tcPr>
          <w:p>
            <w:pPr>
              <w:spacing w:after="0"/>
              <w:rPr>
                <w:sz w:val="10"/>
                <w:szCs w:val="10"/>
                <w:color w:val="auto"/>
              </w:rPr>
            </w:pPr>
          </w:p>
        </w:tc>
        <w:tc>
          <w:tcPr>
            <w:tcW w:w="5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Exhibit</w:t>
            </w:r>
          </w:p>
        </w:tc>
        <w:tc>
          <w:tcPr>
            <w:tcW w:w="160" w:type="dxa"/>
            <w:vAlign w:val="bottom"/>
          </w:tcPr>
          <w:p>
            <w:pPr>
              <w:spacing w:after="0"/>
              <w:rPr>
                <w:sz w:val="10"/>
                <w:szCs w:val="10"/>
                <w:color w:val="auto"/>
              </w:rPr>
            </w:pPr>
          </w:p>
        </w:tc>
        <w:tc>
          <w:tcPr>
            <w:tcW w:w="7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SEC</w:t>
            </w:r>
          </w:p>
        </w:tc>
      </w:tr>
      <w:tr>
        <w:trPr>
          <w:trHeight w:val="165"/>
        </w:trPr>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Filing Date</w:t>
            </w:r>
          </w:p>
        </w:tc>
      </w:tr>
      <w:tr>
        <w:trPr>
          <w:trHeight w:val="195"/>
        </w:trPr>
        <w:tc>
          <w:tcPr>
            <w:tcW w:w="6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6"/>
                <w:szCs w:val="16"/>
                <w:color w:val="auto"/>
              </w:rPr>
            </w:pPr>
          </w:p>
        </w:tc>
        <w:tc>
          <w:tcPr>
            <w:tcW w:w="5160" w:type="dxa"/>
            <w:vAlign w:val="bottom"/>
            <w:tcBorders>
              <w:top w:val="single" w:sz="8" w:color="auto"/>
            </w:tcBorders>
            <w:gridSpan w:val="2"/>
          </w:tcPr>
          <w:p>
            <w:pPr>
              <w:spacing w:after="0" w:line="195" w:lineRule="exact"/>
              <w:rPr>
                <w:sz w:val="20"/>
                <w:szCs w:val="20"/>
                <w:color w:val="auto"/>
              </w:rPr>
            </w:pPr>
            <w:r>
              <w:rPr>
                <w:rFonts w:ascii="Times New Roman" w:cs="Times New Roman" w:eastAsia="Times New Roman" w:hAnsi="Times New Roman"/>
                <w:sz w:val="18"/>
                <w:szCs w:val="18"/>
                <w:color w:val="auto"/>
                <w:w w:val="98"/>
              </w:rPr>
              <w:t>Employment Agreement, dated November 29, 2016, by and between the</w:t>
            </w:r>
          </w:p>
        </w:tc>
        <w:tc>
          <w:tcPr>
            <w:tcW w:w="16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8-K</w:t>
            </w:r>
          </w:p>
        </w:tc>
        <w:tc>
          <w:tcPr>
            <w:tcW w:w="16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5"/>
              </w:rPr>
              <w:t>10.1</w:t>
            </w:r>
          </w:p>
        </w:tc>
        <w:tc>
          <w:tcPr>
            <w:tcW w:w="160" w:type="dxa"/>
            <w:vAlign w:val="bottom"/>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8"/>
              </w:rPr>
              <w:t>12/5/16</w:t>
            </w:r>
          </w:p>
        </w:tc>
      </w:tr>
      <w:tr>
        <w:trPr>
          <w:trHeight w:val="228"/>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Company and Theresa LaVallee, Ph.D.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Form of Stock Option Agreement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10.1</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1/25/10</w:t>
            </w: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4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Form of Restricted Stock Award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6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10.42</w:t>
            </w:r>
          </w:p>
        </w:tc>
        <w:tc>
          <w:tcPr>
            <w:tcW w:w="88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8"/>
              </w:rPr>
              <w:t>3/12/10</w:t>
            </w:r>
          </w:p>
        </w:tc>
      </w:tr>
      <w:tr>
        <w:trPr>
          <w:trHeight w:val="228"/>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Subsidiaries of Celldex Therapeutics, Inc.</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47"/>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Consent of PricewaterhouseCoopers LLP, an Independent Registered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8"/>
        </w:trPr>
        <w:tc>
          <w:tcPr>
            <w:tcW w:w="620" w:type="dxa"/>
            <w:vAlign w:val="bottom"/>
          </w:tcPr>
          <w:p>
            <w:pPr>
              <w:spacing w:after="0"/>
              <w:rPr>
                <w:sz w:val="19"/>
                <w:szCs w:val="19"/>
                <w:color w:val="auto"/>
              </w:rPr>
            </w:pP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Public Accounting Firm</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Certification of President and Chief Executive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Certification of Senior Vice President and Chief Financial Officer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Section 1350 Certifications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Furnished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Instance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4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15" w:lineRule="exact"/>
        <w:rPr>
          <w:sz w:val="20"/>
          <w:szCs w:val="20"/>
          <w:color w:val="auto"/>
        </w:rPr>
      </w:pPr>
    </w:p>
    <w:p>
      <w:pPr>
        <w:ind w:left="1680" w:hanging="531"/>
        <w:spacing w:after="0" w:line="275" w:lineRule="auto"/>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for certain provisions of this Exhibit pursuant to Rule 24b-2 promulgated under the Securities Exchange Act of 1934, as amended.</w:t>
      </w:r>
    </w:p>
    <w:p>
      <w:pPr>
        <w:spacing w:after="0" w:line="201" w:lineRule="exact"/>
        <w:rPr>
          <w:sz w:val="20"/>
          <w:szCs w:val="20"/>
          <w:color w:val="auto"/>
        </w:rPr>
      </w:pPr>
    </w:p>
    <w:p>
      <w:pPr>
        <w:ind w:left="1680" w:hanging="531"/>
        <w:spacing w:after="0"/>
        <w:tabs>
          <w:tab w:leader="none" w:pos="1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compensation plan, contract or arrangement.</w:t>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right="24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04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Anthony S. Marucci</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March 14, 2017</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President and Chief Executive Officer</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1" w:lineRule="exact"/>
        <w:rPr>
          <w:sz w:val="20"/>
          <w:szCs w:val="20"/>
          <w:color w:val="auto"/>
        </w:rPr>
      </w:pPr>
    </w:p>
    <w:p>
      <w:pPr>
        <w:ind w:left="2340"/>
        <w:spacing w:after="0"/>
        <w:tabs>
          <w:tab w:leader="none" w:pos="6440" w:val="left"/>
          <w:tab w:leader="none" w:pos="952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60"/>
          </w:cols>
          <w:pgMar w:left="240" w:top="125" w:right="39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6"/>
          <w:szCs w:val="16"/>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89535</wp:posOffset>
            </wp:positionV>
            <wp:extent cx="1886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Anthony S. Marucci</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Avery W. Catlin</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LARRY ELLBERGER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Larry Ellberger</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HERBERT J. CONRAD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Herbert J. Conrad</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GEORGE O. ELSTON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George O. Elston</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JAMES J.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James J. Marino</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GERALD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Gerald McMahon, Ph.D.</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6"/>
          <w:szCs w:val="16"/>
          <w:color w:val="auto"/>
        </w:rPr>
        <w:t>/s/ HARRY H. PENNER,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89535</wp:posOffset>
            </wp:positionV>
            <wp:extent cx="18865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Harry H. Penner, Jr.</w:t>
      </w:r>
    </w:p>
    <w:p>
      <w:pPr>
        <w:spacing w:after="0" w:line="252"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color w:val="auto"/>
        </w:rPr>
        <w:t>/s/ KAREN L. SHOOS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18865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7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Karen L. Shoos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right="860"/>
        <w:spacing w:after="0" w:line="275"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39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and Accounting Officer)</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14, 2017</w:t>
      </w:r>
    </w:p>
    <w:p>
      <w:pPr>
        <w:sectPr>
          <w:pgSz w:w="11900" w:h="16838" w:orient="portrait"/>
          <w:cols w:equalWidth="0" w:num="3">
            <w:col w:w="3680" w:space="580"/>
            <w:col w:w="4240" w:space="620"/>
            <w:col w:w="2140"/>
          </w:cols>
          <w:pgMar w:left="240" w:top="125" w:right="399" w:bottom="1440" w:gutter="0" w:footer="0" w:header="0"/>
          <w:type w:val="continuous"/>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spacing w:after="0"/>
        <w:rPr>
          <w:rFonts w:ascii="Times New Roman" w:cs="Times New Roman" w:eastAsia="Times New Roman" w:hAnsi="Times New Roman"/>
          <w:sz w:val="22"/>
          <w:szCs w:val="22"/>
          <w:color w:val="0000EE"/>
        </w:rPr>
      </w:pPr>
      <w:hyperlink w:anchor="page135">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SUBSIDIARIES OF CELLDEX THERAPEUTICS,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Jurisdiction of</w:t>
            </w:r>
          </w:p>
        </w:tc>
        <w:tc>
          <w:tcPr>
            <w:tcW w:w="160" w:type="dxa"/>
            <w:vAlign w:val="bottom"/>
          </w:tcPr>
          <w:p>
            <w:pPr>
              <w:spacing w:after="0"/>
              <w:rPr>
                <w:sz w:val="13"/>
                <w:szCs w:val="13"/>
                <w:color w:val="auto"/>
              </w:rPr>
            </w:pPr>
          </w:p>
        </w:tc>
        <w:tc>
          <w:tcPr>
            <w:tcW w:w="2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165"/>
        </w:trPr>
        <w:tc>
          <w:tcPr>
            <w:tcW w:w="17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6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Organization</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Abigail Pharmaceuticals, Inc.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Bulldog Pharmaceuticals, Inc.</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Celldex Australia PTY LTD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Celldex Therapeutics Europe GmbH</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Eltam Pharmaceuticals, Inc.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British Virgin Islands</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720" w:type="dxa"/>
            <w:vAlign w:val="bottom"/>
          </w:tcPr>
          <w:p>
            <w:pPr>
              <w:spacing w:after="0"/>
              <w:rPr>
                <w:sz w:val="18"/>
                <w:szCs w:val="18"/>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Exhibit 21.1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34">
        <w:r>
          <w:rPr>
            <w:rFonts w:ascii="Times New Roman" w:cs="Times New Roman" w:eastAsia="Times New Roman" w:hAnsi="Times New Roman"/>
            <w:sz w:val="16"/>
            <w:szCs w:val="16"/>
            <w:u w:val="single" w:color="auto"/>
            <w:color w:val="0000EE"/>
          </w:rPr>
          <w:t>SUBSIDIARIES OF CELLDEX THERAPEUTICS, INC.</w:t>
        </w:r>
      </w:hyperlink>
    </w:p>
    <w:p>
      <w:pPr>
        <w:sectPr>
          <w:pgSz w:w="11900" w:h="16838" w:orient="portrait"/>
          <w:cols w:equalWidth="0" w:num="1">
            <w:col w:w="10219"/>
          </w:cols>
          <w:pgMar w:left="240" w:top="814" w:right="1440" w:bottom="1440" w:gutter="0" w:footer="0" w:header="0"/>
        </w:sectPr>
      </w:pPr>
    </w:p>
    <w:bookmarkStart w:id="135" w:name="page136"/>
    <w:bookmarkEnd w:id="135"/>
    <w:p>
      <w:pPr>
        <w:spacing w:after="0"/>
        <w:rPr>
          <w:rFonts w:ascii="Times New Roman" w:cs="Times New Roman" w:eastAsia="Times New Roman" w:hAnsi="Times New Roman"/>
          <w:sz w:val="22"/>
          <w:szCs w:val="22"/>
          <w:color w:val="0000EE"/>
        </w:rPr>
      </w:pPr>
      <w:hyperlink w:anchor="page137">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7" w:lineRule="exact"/>
        <w:rPr>
          <w:sz w:val="20"/>
          <w:szCs w:val="20"/>
          <w:color w:val="auto"/>
        </w:rPr>
      </w:pPr>
    </w:p>
    <w:p>
      <w:pPr>
        <w:ind w:right="400" w:firstLine="348"/>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333-205694, 333-189336, 333-151728 and 333-117602) and on Form S-3 (Nos. 333-214882 and 333-215747) of Celldex Therapeutics, Inc. of our report dated March 14, 2017 relating to the financial statements and the effectiveness of internal control over financial reporting, which appears in this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Exhibit 23.1</w:t>
        </w:r>
      </w:hyperlink>
    </w:p>
    <w:p>
      <w:pPr>
        <w:spacing w:after="0" w:line="225"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136">
        <w:r>
          <w:rPr>
            <w:rFonts w:ascii="Times New Roman" w:cs="Times New Roman" w:eastAsia="Times New Roman" w:hAnsi="Times New Roman"/>
            <w:sz w:val="16"/>
            <w:szCs w:val="16"/>
            <w:u w:val="single" w:color="auto"/>
            <w:color w:val="0000EE"/>
          </w:rPr>
          <w:t>CONSENT OF INDEPENDENT REGISTERED PUBLIC ACCOUNTING FIRM</w:t>
        </w:r>
      </w:hyperlink>
    </w:p>
    <w:p>
      <w:pPr>
        <w:sectPr>
          <w:pgSz w:w="11900" w:h="16838" w:orient="portrait"/>
          <w:cols w:equalWidth="0" w:num="1">
            <w:col w:w="10219"/>
          </w:cols>
          <w:pgMar w:left="240" w:top="814" w:right="1440" w:bottom="1440" w:gutter="0" w:footer="0" w:header="0"/>
        </w:sectPr>
      </w:pPr>
    </w:p>
    <w:bookmarkStart w:id="137" w:name="page138"/>
    <w:bookmarkEnd w:id="137"/>
    <w:p>
      <w:pPr>
        <w:spacing w:after="0"/>
        <w:rPr>
          <w:rFonts w:ascii="Times New Roman" w:cs="Times New Roman" w:eastAsia="Times New Roman" w:hAnsi="Times New Roman"/>
          <w:sz w:val="22"/>
          <w:szCs w:val="22"/>
          <w:color w:val="0000EE"/>
        </w:rPr>
      </w:pPr>
      <w:hyperlink w:anchor="page139">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Celldex Therapeutics, Inc.;</w:t>
      </w:r>
    </w:p>
    <w:p>
      <w:pPr>
        <w:spacing w:after="0" w:line="225" w:lineRule="exact"/>
        <w:rPr>
          <w:rFonts w:ascii="Times New Roman" w:cs="Times New Roman" w:eastAsia="Times New Roman" w:hAnsi="Times New Roman"/>
          <w:sz w:val="18"/>
          <w:szCs w:val="18"/>
          <w:color w:val="auto"/>
        </w:rPr>
      </w:pPr>
    </w:p>
    <w:p>
      <w:pPr>
        <w:ind w:right="500" w:firstLine="359"/>
        <w:spacing w:after="0" w:line="339" w:lineRule="auto"/>
        <w:tabs>
          <w:tab w:leader="none" w:pos="70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6"/>
          <w:szCs w:val="16"/>
          <w:color w:val="auto"/>
        </w:rPr>
      </w:pPr>
    </w:p>
    <w:p>
      <w:pPr>
        <w:ind w:right="460" w:firstLine="359"/>
        <w:spacing w:after="0" w:line="275" w:lineRule="auto"/>
        <w:tabs>
          <w:tab w:leader="none" w:pos="70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1"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the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ind w:left="540" w:right="240" w:firstLine="359"/>
        <w:spacing w:after="0" w:line="262" w:lineRule="auto"/>
        <w:tabs>
          <w:tab w:leader="none" w:pos="12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540" w:right="600" w:firstLine="359"/>
        <w:spacing w:after="0" w:line="262" w:lineRule="auto"/>
        <w:tabs>
          <w:tab w:leader="none" w:pos="12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740" w:firstLine="359"/>
        <w:spacing w:after="0" w:line="275" w:lineRule="auto"/>
        <w:tabs>
          <w:tab w:leader="none" w:pos="12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540" w:right="160" w:firstLine="359"/>
        <w:spacing w:after="0" w:line="262" w:lineRule="auto"/>
        <w:tabs>
          <w:tab w:leader="none" w:pos="122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right="400" w:firstLine="359"/>
        <w:spacing w:after="0" w:line="275" w:lineRule="auto"/>
        <w:tabs>
          <w:tab w:leader="none" w:pos="69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20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March 14, 2017</w:t>
            </w:r>
          </w:p>
        </w:tc>
        <w:tc>
          <w:tcPr>
            <w:tcW w:w="72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97"/>
        </w:trPr>
        <w:tc>
          <w:tcPr>
            <w:tcW w:w="4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74"/>
        </w:trPr>
        <w:tc>
          <w:tcPr>
            <w:tcW w:w="41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Anthony S. Marucci</w:t>
            </w:r>
          </w:p>
        </w:tc>
      </w:tr>
      <w:tr>
        <w:trPr>
          <w:trHeight w:val="230"/>
        </w:trPr>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120"/>
        </w:trPr>
        <w:tc>
          <w:tcPr>
            <w:tcW w:w="41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6"/>
          <w:szCs w:val="16"/>
          <w:u w:val="single" w:color="auto"/>
          <w:color w:val="0000EE"/>
        </w:rPr>
      </w:pPr>
      <w:hyperlink w:anchor="page138">
        <w:r>
          <w:rPr>
            <w:rFonts w:ascii="Times New Roman" w:cs="Times New Roman" w:eastAsia="Times New Roman" w:hAnsi="Times New Roman"/>
            <w:sz w:val="16"/>
            <w:szCs w:val="16"/>
            <w:u w:val="single" w:color="auto"/>
            <w:color w:val="0000EE"/>
          </w:rPr>
          <w:t>Exhibit 31.1</w:t>
        </w:r>
      </w:hyperlink>
    </w:p>
    <w:p>
      <w:pPr>
        <w:spacing w:after="0" w:line="24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38">
        <w:r>
          <w:rPr>
            <w:rFonts w:ascii="Times New Roman" w:cs="Times New Roman" w:eastAsia="Times New Roman" w:hAnsi="Times New Roman"/>
            <w:sz w:val="18"/>
            <w:szCs w:val="18"/>
            <w:u w:val="single" w:color="auto"/>
            <w:color w:val="0000EE"/>
          </w:rPr>
          <w:t>CERTIFICATION</w:t>
        </w:r>
      </w:hyperlink>
    </w:p>
    <w:p>
      <w:pPr>
        <w:sectPr>
          <w:pgSz w:w="11900" w:h="16838" w:orient="portrait"/>
          <w:cols w:equalWidth="0" w:num="1">
            <w:col w:w="10219"/>
          </w:cols>
          <w:pgMar w:left="240" w:top="814" w:right="1440" w:bottom="1440" w:gutter="0" w:footer="0" w:header="0"/>
        </w:sectPr>
      </w:pPr>
    </w:p>
    <w:bookmarkStart w:id="139" w:name="page140"/>
    <w:bookmarkEnd w:id="139"/>
    <w:p>
      <w:pPr>
        <w:spacing w:after="0"/>
        <w:rPr>
          <w:rFonts w:ascii="Times New Roman" w:cs="Times New Roman" w:eastAsia="Times New Roman" w:hAnsi="Times New Roman"/>
          <w:sz w:val="22"/>
          <w:szCs w:val="22"/>
          <w:color w:val="0000EE"/>
        </w:rPr>
      </w:pPr>
      <w:hyperlink w:anchor="page141">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ind w:left="104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Celldex Therapeutics, Inc.;</w:t>
      </w:r>
    </w:p>
    <w:p>
      <w:pPr>
        <w:spacing w:after="0" w:line="225" w:lineRule="exact"/>
        <w:rPr>
          <w:rFonts w:ascii="Times New Roman" w:cs="Times New Roman" w:eastAsia="Times New Roman" w:hAnsi="Times New Roman"/>
          <w:sz w:val="18"/>
          <w:szCs w:val="18"/>
          <w:color w:val="auto"/>
        </w:rPr>
      </w:pPr>
    </w:p>
    <w:p>
      <w:pPr>
        <w:ind w:right="500" w:firstLine="359"/>
        <w:spacing w:after="0" w:line="339" w:lineRule="auto"/>
        <w:tabs>
          <w:tab w:leader="none" w:pos="7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6"/>
          <w:szCs w:val="16"/>
          <w:color w:val="auto"/>
        </w:rPr>
      </w:pPr>
    </w:p>
    <w:p>
      <w:pPr>
        <w:ind w:right="460" w:firstLine="359"/>
        <w:spacing w:after="0" w:line="275" w:lineRule="auto"/>
        <w:tabs>
          <w:tab w:leader="none" w:pos="70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ind w:left="700" w:hanging="341"/>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1"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the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ind w:left="540" w:right="240" w:firstLine="359"/>
        <w:spacing w:after="0" w:line="262" w:lineRule="auto"/>
        <w:tabs>
          <w:tab w:leader="none" w:pos="12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540" w:right="600" w:firstLine="359"/>
        <w:spacing w:after="0" w:line="262" w:lineRule="auto"/>
        <w:tabs>
          <w:tab w:leader="none" w:pos="12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ind w:left="540" w:right="740" w:firstLine="359"/>
        <w:spacing w:after="0" w:line="275" w:lineRule="auto"/>
        <w:tabs>
          <w:tab w:leader="none" w:pos="12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8"/>
          <w:szCs w:val="18"/>
          <w:color w:val="auto"/>
        </w:rPr>
      </w:pPr>
    </w:p>
    <w:p>
      <w:pPr>
        <w:ind w:left="540" w:right="160" w:firstLine="359"/>
        <w:spacing w:after="0" w:line="262" w:lineRule="auto"/>
        <w:tabs>
          <w:tab w:leader="none" w:pos="122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ind w:right="400" w:firstLine="359"/>
        <w:spacing w:after="0" w:line="275" w:lineRule="auto"/>
        <w:tabs>
          <w:tab w:leader="none" w:pos="6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8"/>
          <w:szCs w:val="18"/>
          <w:color w:val="auto"/>
        </w:rPr>
      </w:pPr>
    </w:p>
    <w:p>
      <w:pPr>
        <w:ind w:left="540" w:right="140" w:firstLine="359"/>
        <w:spacing w:after="0" w:line="275" w:lineRule="auto"/>
        <w:tabs>
          <w:tab w:leader="none" w:pos="120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8"/>
          <w:szCs w:val="18"/>
          <w:color w:val="auto"/>
        </w:rPr>
      </w:pPr>
    </w:p>
    <w:p>
      <w:pPr>
        <w:ind w:left="540" w:right="120" w:firstLine="359"/>
        <w:spacing w:after="0" w:line="275" w:lineRule="auto"/>
        <w:tabs>
          <w:tab w:leader="none" w:pos="121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Date: March 14, 2017</w:t>
            </w:r>
          </w:p>
        </w:tc>
        <w:tc>
          <w:tcPr>
            <w:tcW w:w="72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By:   /s/ AVERY W. CATLIN</w:t>
            </w:r>
          </w:p>
        </w:tc>
      </w:tr>
      <w:tr>
        <w:trPr>
          <w:trHeight w:val="97"/>
        </w:trPr>
        <w:tc>
          <w:tcPr>
            <w:tcW w:w="4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74"/>
        </w:trPr>
        <w:tc>
          <w:tcPr>
            <w:tcW w:w="41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Avery W. Catlin</w:t>
            </w:r>
          </w:p>
        </w:tc>
      </w:tr>
      <w:tr>
        <w:trPr>
          <w:trHeight w:val="216"/>
        </w:trPr>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tc>
      </w:tr>
      <w:tr>
        <w:trPr>
          <w:trHeight w:val="230"/>
        </w:trPr>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120"/>
        </w:trPr>
        <w:tc>
          <w:tcPr>
            <w:tcW w:w="414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6"/>
          <w:szCs w:val="16"/>
          <w:u w:val="single" w:color="auto"/>
          <w:color w:val="0000EE"/>
        </w:rPr>
      </w:pPr>
      <w:hyperlink w:anchor="page140">
        <w:r>
          <w:rPr>
            <w:rFonts w:ascii="Times New Roman" w:cs="Times New Roman" w:eastAsia="Times New Roman" w:hAnsi="Times New Roman"/>
            <w:sz w:val="16"/>
            <w:szCs w:val="16"/>
            <w:u w:val="single" w:color="auto"/>
            <w:color w:val="0000EE"/>
          </w:rPr>
          <w:t>Exhibit 31.2</w:t>
        </w:r>
      </w:hyperlink>
    </w:p>
    <w:p>
      <w:pPr>
        <w:spacing w:after="0" w:line="24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CERTIFICATION</w:t>
        </w:r>
      </w:hyperlink>
    </w:p>
    <w:p>
      <w:pPr>
        <w:sectPr>
          <w:pgSz w:w="11900" w:h="16838" w:orient="portrait"/>
          <w:cols w:equalWidth="0" w:num="1">
            <w:col w:w="10219"/>
          </w:cols>
          <w:pgMar w:left="240" w:top="814" w:right="1440" w:bottom="1440" w:gutter="0" w:footer="0" w:header="0"/>
        </w:sectPr>
      </w:pPr>
    </w:p>
    <w:bookmarkStart w:id="141" w:name="page142"/>
    <w:bookmarkEnd w:id="141"/>
    <w:p>
      <w:pPr>
        <w:spacing w:after="0"/>
        <w:rPr>
          <w:rFonts w:ascii="Times New Roman" w:cs="Times New Roman" w:eastAsia="Times New Roman" w:hAnsi="Times New Roman"/>
          <w:sz w:val="22"/>
          <w:szCs w:val="22"/>
          <w:color w:val="0000EE"/>
        </w:rPr>
      </w:pPr>
      <w:hyperlink w:anchor="page14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3"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2016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2017</w:t>
            </w:r>
          </w:p>
        </w:tc>
        <w:tc>
          <w:tcPr>
            <w:tcW w:w="19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ANTHONY S. MARUCCI</w:t>
            </w:r>
          </w:p>
        </w:tc>
      </w:tr>
      <w:tr>
        <w:trPr>
          <w:trHeight w:val="97"/>
        </w:trPr>
        <w:tc>
          <w:tcPr>
            <w:tcW w:w="30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74"/>
        </w:trPr>
        <w:tc>
          <w:tcPr>
            <w:tcW w:w="30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Anthony S. Marucci</w:t>
            </w:r>
          </w:p>
        </w:tc>
      </w:tr>
      <w:tr>
        <w:trPr>
          <w:trHeight w:val="230"/>
        </w:trPr>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2017</w:t>
            </w:r>
          </w:p>
        </w:tc>
        <w:tc>
          <w:tcPr>
            <w:tcW w:w="19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AVERY W. CATLIN</w:t>
            </w:r>
          </w:p>
        </w:tc>
      </w:tr>
      <w:tr>
        <w:trPr>
          <w:trHeight w:val="97"/>
        </w:trPr>
        <w:tc>
          <w:tcPr>
            <w:tcW w:w="30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74"/>
        </w:trPr>
        <w:tc>
          <w:tcPr>
            <w:tcW w:w="30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Avery W. Catlin</w:t>
            </w:r>
          </w:p>
        </w:tc>
      </w:tr>
      <w:tr>
        <w:trPr>
          <w:trHeight w:val="216"/>
        </w:trPr>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Senior Vice President and</w:t>
            </w:r>
          </w:p>
        </w:tc>
      </w:tr>
      <w:tr>
        <w:trPr>
          <w:trHeight w:val="230"/>
        </w:trPr>
        <w:tc>
          <w:tcPr>
            <w:tcW w:w="30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4"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9" w:lineRule="exact"/>
        <w:rPr>
          <w:sz w:val="20"/>
          <w:szCs w:val="20"/>
          <w:color w:val="auto"/>
        </w:rPr>
      </w:pPr>
    </w:p>
    <w:p>
      <w:pPr>
        <w:ind w:left="540"/>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Exhibit 32</w:t>
        </w:r>
      </w:hyperlink>
    </w:p>
    <w:p>
      <w:pPr>
        <w:spacing w:after="0" w:line="225" w:lineRule="exact"/>
        <w:rPr>
          <w:sz w:val="20"/>
          <w:szCs w:val="20"/>
          <w:color w:val="auto"/>
        </w:rPr>
      </w:pPr>
    </w:p>
    <w:p>
      <w:pPr>
        <w:spacing w:after="0" w:line="275" w:lineRule="auto"/>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CERTIFICATION OF CHIEF EXECUTIVE OFFICER AND CHIEF FINANCIAL OFFICER PURSUANT TO 18 U.S.C. SECTION 1350, AS ADOPTED</w:t>
        </w:r>
      </w:hyperlink>
      <w:r>
        <w:rPr>
          <w:rFonts w:ascii="Times New Roman" w:cs="Times New Roman" w:eastAsia="Times New Roman" w:hAnsi="Times New Roman"/>
          <w:sz w:val="18"/>
          <w:szCs w:val="18"/>
          <w:u w:val="single" w:color="auto"/>
          <w:color w:val="0000EE"/>
        </w:rPr>
        <w:t xml:space="preserve"> </w:t>
      </w:r>
      <w:hyperlink w:anchor="page142">
        <w:r>
          <w:rPr>
            <w:rFonts w:ascii="Times New Roman" w:cs="Times New Roman" w:eastAsia="Times New Roman" w:hAnsi="Times New Roman"/>
            <w:sz w:val="18"/>
            <w:szCs w:val="18"/>
            <w:u w:val="single" w:color="auto"/>
            <w:color w:val="0000EE"/>
          </w:rPr>
          <w:t>PURSUANT TO SECTION 906 OF THE SARBANES-OXLEY ACT OF 2002</w:t>
        </w:r>
      </w:hyperlink>
    </w:p>
    <w:sectPr>
      <w:pgSz w:w="11900" w:h="16838" w:orient="portrait"/>
      <w:cols w:equalWidth="0" w:num="1">
        <w:col w:w="10980"/>
      </w:cols>
      <w:pgMar w:left="240" w:top="81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2"/>
    </w:lvl>
  </w:abstractNum>
  <w:abstractNum w:abstractNumId="35">
    <w:nsid w:val="70A64E2A"/>
    <w:multiLevelType w:val="hybridMultilevel"/>
    <w:lvl w:ilvl="0">
      <w:lvlJc w:val="left"/>
      <w:lvlText w:val="(%1)"/>
      <w:numFmt w:val="decimal"/>
      <w:start w:val="14"/>
    </w:lvl>
  </w:abstractNum>
  <w:abstractNum w:abstractNumId="36">
    <w:nsid w:val="6A2342EC"/>
    <w:multiLevelType w:val="hybridMultilevel"/>
    <w:lvl w:ilvl="0">
      <w:lvlJc w:val="left"/>
      <w:lvlText w:val="(%1)"/>
      <w:numFmt w:val="decimal"/>
      <w:start w:val="14"/>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1)"/>
      <w:numFmt w:val="decimal"/>
      <w:start w:val="14"/>
    </w:lvl>
  </w:abstractNum>
  <w:abstractNum w:abstractNumId="39">
    <w:nsid w:val="725A06FB"/>
    <w:multiLevelType w:val="hybridMultilevel"/>
    <w:lvl w:ilvl="0">
      <w:lvlJc w:val="left"/>
      <w:lvlText w:val="(%1)"/>
      <w:numFmt w:val="decimal"/>
      <w:start w:val="18"/>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upperLetter"/>
      <w:start w:val="1"/>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2"/>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2019-12-29T06:43:35Z</dcterms:created>
  <dcterms:modified xsi:type="dcterms:W3CDTF">2019-12-29T06:43:35Z</dcterms:modified>
</cp:coreProperties>
</file>