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8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2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33" w:right="259" w:bottom="144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80"/>
          </w:cols>
          <w:pgMar w:left="240" w:top="233" w:right="25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233" w:right="259" w:bottom="1440" w:gutter="0" w:footer="0" w:header="0"/>
          <w:type w:val="continuous"/>
        </w:sectPr>
      </w:pPr>
    </w:p>
    <w:p>
      <w:pPr>
        <w:spacing w:after="0" w:line="181"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440"/>
          </w:cols>
          <w:pgMar w:left="240" w:top="233" w:right="259" w:bottom="1440" w:gutter="0" w:footer="0" w:header="0"/>
          <w:type w:val="continuous"/>
        </w:sectPr>
      </w:pPr>
    </w:p>
    <w:p>
      <w:pPr>
        <w:spacing w:after="0" w:line="48"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6860" w:space="720"/>
            <w:col w:w="3820"/>
          </w:cols>
          <w:pgMar w:left="240" w:top="233" w:right="259" w:bottom="1440" w:gutter="0" w:footer="0" w:header="0"/>
          <w:type w:val="continuous"/>
        </w:sectPr>
      </w:pPr>
    </w:p>
    <w:p>
      <w:pPr>
        <w:spacing w:after="0" w:line="34"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31, 2018, 172,465,567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gridSpan w:val="10"/>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8080" w:type="dxa"/>
            <w:vAlign w:val="bottom"/>
            <w:gridSpan w:val="9"/>
            <w:vMerge w:val="restart"/>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40" w:type="dxa"/>
            <w:vAlign w:val="bottom"/>
            <w:tcBorders>
              <w:bottom w:val="single" w:sz="8" w:color="0000EE"/>
            </w:tcBorders>
            <w:gridSpan w:val="10"/>
            <w:vMerge w:val="continue"/>
          </w:tcPr>
          <w:p>
            <w:pPr>
              <w:spacing w:after="0"/>
              <w:rPr>
                <w:sz w:val="13"/>
                <w:szCs w:val="13"/>
                <w:color w:val="auto"/>
              </w:rPr>
            </w:pPr>
          </w:p>
        </w:tc>
        <w:tc>
          <w:tcPr>
            <w:tcW w:w="8080" w:type="dxa"/>
            <w:vAlign w:val="bottom"/>
            <w:gridSpan w:val="9"/>
            <w:vMerge w:val="continue"/>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Financial Statements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6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September 30, 2018 and December 31, 2017</w:t>
              </w:r>
            </w:hyperlink>
          </w:p>
        </w:tc>
        <w:tc>
          <w:tcPr>
            <w:tcW w:w="3780" w:type="dxa"/>
            <w:vAlign w:val="bottom"/>
            <w:gridSpan w:val="4"/>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7"/>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and Comprehensive Loss for the Three and Nine Months Ended September 30, 2018</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and 2017</w:t>
              </w:r>
            </w:hyperlink>
          </w:p>
        </w:tc>
        <w:tc>
          <w:tcPr>
            <w:tcW w:w="9120" w:type="dxa"/>
            <w:vAlign w:val="bottom"/>
            <w:tcBorders>
              <w:top w:val="single" w:sz="8" w:color="0000EE"/>
            </w:tcBorders>
            <w:gridSpan w:val="13"/>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2018 and 2017</w:t>
              </w:r>
            </w:hyperlink>
          </w:p>
        </w:tc>
        <w:tc>
          <w:tcPr>
            <w:tcW w:w="2220" w:type="dxa"/>
            <w:vAlign w:val="bottom"/>
            <w:gridSpan w:val="2"/>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5360" w:type="dxa"/>
            <w:vAlign w:val="bottom"/>
            <w:gridSpan w:val="5"/>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Item 2.</w:t>
              </w:r>
            </w:hyperlink>
          </w:p>
        </w:tc>
        <w:tc>
          <w:tcPr>
            <w:tcW w:w="9800" w:type="dxa"/>
            <w:vAlign w:val="bottom"/>
            <w:gridSpan w:val="16"/>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3.</w:t>
              </w:r>
            </w:hyperlink>
          </w:p>
        </w:tc>
        <w:tc>
          <w:tcPr>
            <w:tcW w:w="6480" w:type="dxa"/>
            <w:vAlign w:val="bottom"/>
            <w:tcBorders>
              <w:top w:val="single" w:sz="8" w:color="0000EE"/>
            </w:tcBorders>
            <w:gridSpan w:val="13"/>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3320" w:type="dxa"/>
            <w:vAlign w:val="bottom"/>
            <w:gridSpan w:val="3"/>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8"/>
          </w:tcPr>
          <w:p>
            <w:pPr>
              <w:ind w:left="20"/>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2"/>
          </w:tcPr>
          <w:p>
            <w:pPr>
              <w:spacing w:after="0"/>
              <w:rPr>
                <w:sz w:val="24"/>
                <w:szCs w:val="24"/>
                <w:color w:val="auto"/>
              </w:rPr>
            </w:pPr>
          </w:p>
        </w:tc>
        <w:tc>
          <w:tcPr>
            <w:tcW w:w="5420" w:type="dxa"/>
            <w:vAlign w:val="bottom"/>
            <w:gridSpan w:val="6"/>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0520" w:type="dxa"/>
            <w:vAlign w:val="bottom"/>
            <w:gridSpan w:val="1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1A. Risk Factors</w:t>
              </w:r>
            </w:hyperlink>
          </w:p>
        </w:tc>
        <w:tc>
          <w:tcPr>
            <w:tcW w:w="460" w:type="dxa"/>
            <w:vAlign w:val="bottom"/>
            <w:tcBorders>
              <w:top w:val="single" w:sz="8" w:color="0000EE"/>
            </w:tcBorders>
          </w:tcPr>
          <w:p>
            <w:pPr>
              <w:spacing w:after="0"/>
              <w:rPr>
                <w:sz w:val="24"/>
                <w:szCs w:val="24"/>
                <w:color w:val="auto"/>
              </w:rPr>
            </w:pPr>
          </w:p>
        </w:tc>
        <w:tc>
          <w:tcPr>
            <w:tcW w:w="8280" w:type="dxa"/>
            <w:vAlign w:val="bottom"/>
            <w:gridSpan w:val="10"/>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6.</w:t>
              </w:r>
            </w:hyperlink>
          </w:p>
        </w:tc>
        <w:tc>
          <w:tcPr>
            <w:tcW w:w="9800" w:type="dxa"/>
            <w:vAlign w:val="bottom"/>
            <w:gridSpan w:val="16"/>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180" w:type="dxa"/>
            <w:vAlign w:val="bottom"/>
            <w:gridSpan w:val="1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20" w:type="dxa"/>
            <w:vAlign w:val="bottom"/>
            <w:gridSpan w:val="19"/>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Exhibit Index</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06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Signatures</w:t>
              </w:r>
            </w:hyperlink>
          </w:p>
        </w:tc>
        <w:tc>
          <w:tcPr>
            <w:tcW w:w="9460" w:type="dxa"/>
            <w:vAlign w:val="bottom"/>
            <w:gridSpan w:val="13"/>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920" w:type="dxa"/>
            <w:vAlign w:val="bottom"/>
            <w:gridSpan w:val="11"/>
          </w:tcPr>
          <w:p>
            <w:pPr>
              <w:jc w:val="right"/>
              <w:ind w:right="98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September 30, 2018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2017</w:t>
            </w: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32,823</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40,288</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72,795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99,139</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Other Receivables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3,449</w:t>
            </w:r>
          </w:p>
        </w:tc>
      </w:tr>
      <w:tr>
        <w:trPr>
          <w:trHeight w:val="210"/>
        </w:trPr>
        <w:tc>
          <w:tcPr>
            <w:tcW w:w="7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10,372</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48,690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67,591</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1,929</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90,976</w:t>
            </w:r>
          </w:p>
        </w:tc>
      </w:tr>
      <w:tr>
        <w:trPr>
          <w:trHeight w:val="250"/>
        </w:trPr>
        <w:tc>
          <w:tcPr>
            <w:tcW w:w="7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168,287</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315,624</w:t>
            </w:r>
          </w:p>
        </w:tc>
        <w:tc>
          <w:tcPr>
            <w:tcW w:w="100" w:type="dxa"/>
            <w:vAlign w:val="bottom"/>
            <w:tcBorders>
              <w:bottom w:val="single" w:sz="8" w:color="CCEEFF"/>
            </w:tcBorders>
          </w:tcPr>
          <w:p>
            <w:pPr>
              <w:spacing w:after="0"/>
              <w:rPr>
                <w:sz w:val="21"/>
                <w:szCs w:val="21"/>
                <w:color w:val="auto"/>
              </w:rPr>
            </w:pPr>
          </w:p>
        </w:tc>
      </w:tr>
      <w:tr>
        <w:trPr>
          <w:trHeight w:val="170"/>
        </w:trPr>
        <w:tc>
          <w:tcPr>
            <w:tcW w:w="74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2,311</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9,614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19,455</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6,566</w:t>
            </w:r>
          </w:p>
        </w:tc>
      </w:tr>
      <w:tr>
        <w:trPr>
          <w:trHeight w:val="210"/>
        </w:trPr>
        <w:tc>
          <w:tcPr>
            <w:tcW w:w="7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27,736</w:t>
            </w:r>
          </w:p>
        </w:tc>
        <w:tc>
          <w:tcPr>
            <w:tcW w:w="100" w:type="dxa"/>
            <w:vAlign w:val="bottom"/>
            <w:tcBorders>
              <w:bottom w:val="single" w:sz="8" w:color="CCEEFF"/>
            </w:tcBorders>
          </w:tcPr>
          <w:p>
            <w:pPr>
              <w:spacing w:after="0"/>
              <w:rPr>
                <w:sz w:val="18"/>
                <w:szCs w:val="18"/>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51,519</w:t>
            </w:r>
          </w:p>
        </w:tc>
        <w:tc>
          <w:tcPr>
            <w:tcW w:w="100" w:type="dxa"/>
            <w:vAlign w:val="bottom"/>
            <w:shd w:val="clear" w:color="auto" w:fill="CCEEFF"/>
          </w:tcPr>
          <w:p>
            <w:pPr>
              <w:spacing w:after="0"/>
              <w:rPr>
                <w:sz w:val="18"/>
                <w:szCs w:val="18"/>
                <w:color w:val="auto"/>
              </w:rPr>
            </w:pPr>
          </w:p>
        </w:tc>
      </w:tr>
      <w:tr>
        <w:trPr>
          <w:trHeight w:val="210"/>
        </w:trPr>
        <w:tc>
          <w:tcPr>
            <w:tcW w:w="7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79,255</w:t>
            </w:r>
          </w:p>
        </w:tc>
        <w:tc>
          <w:tcPr>
            <w:tcW w:w="100" w:type="dxa"/>
            <w:vAlign w:val="bottom"/>
            <w:tcBorders>
              <w:bottom w:val="single" w:sz="8" w:color="CCEEFF"/>
            </w:tcBorders>
          </w:tcPr>
          <w:p>
            <w:pPr>
              <w:spacing w:after="0"/>
              <w:rPr>
                <w:sz w:val="18"/>
                <w:szCs w:val="18"/>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Contingent Liabilities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Convertible Preferred Stock, $.01 Par Value; 3,000,000 Shares Authorized; No Shares Issued and</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 at September 30, 2018 and December 31, 2017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400" w:type="dxa"/>
            <w:vAlign w:val="bottom"/>
          </w:tcPr>
          <w:p>
            <w:pPr>
              <w:ind w:left="200"/>
              <w:spacing w:after="0" w:line="201" w:lineRule="exact"/>
              <w:rPr>
                <w:sz w:val="20"/>
                <w:szCs w:val="20"/>
                <w:color w:val="auto"/>
              </w:rPr>
            </w:pPr>
            <w:r>
              <w:rPr>
                <w:rFonts w:ascii="Arial" w:cs="Arial" w:eastAsia="Arial" w:hAnsi="Arial"/>
                <w:sz w:val="18"/>
                <w:szCs w:val="18"/>
                <w:color w:val="auto"/>
                <w:w w:val="92"/>
              </w:rPr>
              <w:t>Common Stock, $.001 Par Value; 297,000,000 Shares Authorized; 168,575,504 and 138,520,404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00" w:type="dxa"/>
            <w:vAlign w:val="bottom"/>
          </w:tcPr>
          <w:p>
            <w:pPr>
              <w:ind w:left="380"/>
              <w:spacing w:after="0"/>
              <w:rPr>
                <w:sz w:val="20"/>
                <w:szCs w:val="20"/>
                <w:color w:val="auto"/>
              </w:rPr>
            </w:pPr>
            <w:r>
              <w:rPr>
                <w:rFonts w:ascii="Arial" w:cs="Arial" w:eastAsia="Arial" w:hAnsi="Arial"/>
                <w:sz w:val="18"/>
                <w:szCs w:val="18"/>
                <w:color w:val="auto"/>
                <w:w w:val="93"/>
              </w:rPr>
              <w:t>Shares Issued and Outstanding at September 30, 2018 and December 31, 2017, Respectively</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1,078,419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1,046,183</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2,564</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(953,036)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(812,517)</w:t>
            </w:r>
          </w:p>
        </w:tc>
      </w:tr>
      <w:tr>
        <w:trPr>
          <w:trHeight w:val="210"/>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128,134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236,369</w:t>
            </w:r>
          </w:p>
        </w:tc>
        <w:tc>
          <w:tcPr>
            <w:tcW w:w="100" w:type="dxa"/>
            <w:vAlign w:val="bottom"/>
            <w:tcBorders>
              <w:bottom w:val="single" w:sz="8" w:color="CCEEFF"/>
            </w:tcBorders>
          </w:tcPr>
          <w:p>
            <w:pPr>
              <w:spacing w:after="0"/>
              <w:rPr>
                <w:sz w:val="18"/>
                <w:szCs w:val="18"/>
                <w:color w:val="auto"/>
              </w:rPr>
            </w:pPr>
          </w:p>
        </w:tc>
      </w:tr>
      <w:tr>
        <w:trPr>
          <w:trHeight w:val="210"/>
        </w:trPr>
        <w:tc>
          <w:tcPr>
            <w:tcW w:w="7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168,287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Three Months</w:t>
            </w:r>
          </w:p>
        </w:tc>
        <w:tc>
          <w:tcPr>
            <w:tcW w:w="180" w:type="dxa"/>
            <w:vAlign w:val="bottom"/>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Three Months</w:t>
            </w:r>
          </w:p>
        </w:tc>
        <w:tc>
          <w:tcPr>
            <w:tcW w:w="18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 2018</w:t>
            </w:r>
          </w:p>
        </w:tc>
        <w:tc>
          <w:tcPr>
            <w:tcW w:w="180" w:type="dxa"/>
            <w:vAlign w:val="bottom"/>
          </w:tcPr>
          <w:p>
            <w:pPr>
              <w:spacing w:after="0"/>
              <w:rPr>
                <w:sz w:val="14"/>
                <w:szCs w:val="14"/>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 2017</w:t>
            </w:r>
          </w:p>
        </w:tc>
        <w:tc>
          <w:tcPr>
            <w:tcW w:w="18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rPr>
              <w:t>Product Development and Licensing</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Agreements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1,238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2,792</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2,686</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11,918</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21,915</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3,722</w:t>
            </w:r>
          </w:p>
        </w:tc>
        <w:tc>
          <w:tcPr>
            <w:tcW w:w="18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5,346</w:t>
            </w:r>
          </w:p>
        </w:tc>
        <w:tc>
          <w:tcPr>
            <w:tcW w:w="1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14,936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13,000</w:t>
            </w:r>
          </w:p>
        </w:tc>
        <w:tc>
          <w:tcPr>
            <w:tcW w:w="1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18,677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on Fair Value Remeasurement of</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(6,935)</w:t>
            </w:r>
          </w:p>
        </w:tc>
        <w:tc>
          <w:tcPr>
            <w:tcW w:w="1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(4,600)</w:t>
            </w:r>
          </w:p>
        </w:tc>
        <w:tc>
          <w:tcPr>
            <w:tcW w:w="1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(27,968)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(7,764)</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(31,961)</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5,200</w:t>
            </w:r>
          </w:p>
        </w:tc>
        <w:tc>
          <w:tcPr>
            <w:tcW w:w="1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 Common</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(0.94)</w:t>
            </w:r>
          </w:p>
        </w:tc>
        <w:tc>
          <w:tcPr>
            <w:tcW w:w="28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340" w:type="dxa"/>
            <w:vAlign w:val="bottom"/>
            <w:gridSpan w:val="2"/>
            <w:vMerge w:val="continue"/>
            <w:shd w:val="clear" w:color="auto" w:fill="CCEEFF"/>
          </w:tcPr>
          <w:p>
            <w:pPr>
              <w:spacing w:after="0"/>
              <w:rPr>
                <w:sz w:val="18"/>
                <w:szCs w:val="18"/>
                <w:color w:val="auto"/>
              </w:rPr>
            </w:pPr>
          </w:p>
        </w:tc>
        <w:tc>
          <w:tcPr>
            <w:tcW w:w="18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Shares Used in Calculating Basic and Diluted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163,679</w:t>
            </w:r>
          </w:p>
        </w:tc>
        <w:tc>
          <w:tcPr>
            <w:tcW w:w="180" w:type="dxa"/>
            <w:vAlign w:val="bottom"/>
            <w:shd w:val="clear" w:color="auto" w:fill="CCEEFF"/>
          </w:tcPr>
          <w:p>
            <w:pPr>
              <w:spacing w:after="0"/>
              <w:rPr>
                <w:sz w:val="17"/>
                <w:szCs w:val="17"/>
                <w:color w:val="auto"/>
              </w:rPr>
            </w:pPr>
          </w:p>
        </w:tc>
        <w:tc>
          <w:tcPr>
            <w:tcW w:w="1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129,640</w:t>
            </w:r>
          </w:p>
        </w:tc>
        <w:tc>
          <w:tcPr>
            <w:tcW w:w="180" w:type="dxa"/>
            <w:vAlign w:val="bottom"/>
            <w:shd w:val="clear" w:color="auto" w:fill="CCEEFF"/>
          </w:tcPr>
          <w:p>
            <w:pPr>
              <w:spacing w:after="0"/>
              <w:rPr>
                <w:sz w:val="17"/>
                <w:szCs w:val="17"/>
                <w:color w:val="auto"/>
              </w:rPr>
            </w:pPr>
          </w:p>
        </w:tc>
        <w:tc>
          <w:tcPr>
            <w:tcW w:w="1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150,636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125,856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Per Share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(7,243)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(26,363)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(141,781)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(89,190)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ind w:left="180"/>
              <w:spacing w:after="0" w:line="201" w:lineRule="exact"/>
              <w:rPr>
                <w:sz w:val="20"/>
                <w:szCs w:val="20"/>
                <w:color w:val="auto"/>
              </w:rPr>
            </w:pPr>
            <w:r>
              <w:rPr>
                <w:rFonts w:ascii="Arial" w:cs="Arial" w:eastAsia="Arial" w:hAnsi="Arial"/>
                <w:sz w:val="18"/>
                <w:szCs w:val="18"/>
                <w:color w:val="auto"/>
              </w:rPr>
              <w:t>Unrealized Gain (Loss) on Marketable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36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(141,763</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Nine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September 30, 2018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September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(141,781)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(89,190)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2,856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 Net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or Disposal of 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90,976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 Impairment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Gain on Fair Value Remeasurement of Contingent Consideration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(27,968)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Income Tax Benefit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6,329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9,728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Accounts and Other Receivables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and Other Current 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178,335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183,683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(151,558)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or Disposal of 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9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Stock Issuances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Proceeds from Issuance of Stock from Employee Benefit Plans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40,288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42,461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Investing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Accrued construction in progress</w:t>
            </w:r>
          </w:p>
        </w:tc>
        <w:tc>
          <w:tcPr>
            <w:tcW w:w="10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Supplemental Disclosure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Shares issued to former Kolltan executive for settlement of severance</w:t>
            </w:r>
          </w:p>
        </w:tc>
        <w:tc>
          <w:tcPr>
            <w:tcW w:w="10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0"/>
                <w:szCs w:val="20"/>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subsidiaries. All intercompany balances and transactions have been eliminated in consolidation.</w:t>
      </w:r>
    </w:p>
    <w:p>
      <w:pPr>
        <w:spacing w:after="0" w:line="16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2017, which are included in the Company’s Annual Report on Form 10-K filed with the Securities and Exchange Commission on March 7, 2018.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2018.</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At September 30, 2018, the Company had cash, cash equivalents and marketable securities of $105.6 million. The Company has had recurring losses and incurred a loss of $141.8 million for the nine months ended September 30, 2018. Net cash used in operations for the nine months ended September 30, 2018 was $59.8 million. The Company believes that the cash, cash equivalents and marketable securities at November 7, 2018 will be sufficient to meet estimated working capital requirements and fund planned operations for at least the next twelve months from the date of issuance of these financial statements.</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the next twelve months and beyond, the Company will take further steps to raise additional capital to meet its liquidity needs. These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future contingent milestones from the Kolltan acquisition,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180" w:firstLine="630"/>
        <w:spacing w:after="0" w:line="312" w:lineRule="auto"/>
        <w:rPr>
          <w:sz w:val="20"/>
          <w:szCs w:val="20"/>
          <w:color w:val="auto"/>
        </w:rPr>
      </w:pPr>
      <w:r>
        <w:rPr>
          <w:rFonts w:ascii="Arial" w:cs="Arial" w:eastAsia="Arial" w:hAnsi="Arial"/>
          <w:sz w:val="16"/>
          <w:szCs w:val="16"/>
          <w:color w:val="auto"/>
        </w:rPr>
        <w:t>The significant accounting policies used in preparation of these condensed consolidated financial statements on Form 10-Q for the three and nine months ended September 30, 2018 are consistent with those discussed in Note 2 to the financial statements in our Annual Report on Form 10-K for the year ended December 31, 2017, except as it relates to the adoption of new accounting standards during the first nine months of 2018 as discussed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Adopted Accounting Pronouncements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January 1, 2018, the Company adopted the new U.S. GAAP standard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a modified retrospective application method, recognizing an immaterial cumulative-effect adjustment to accumulated deficit. The Company applied the new guidance to (i) contracts not completed as of the date of adoption and (ii) all new revenue contracts entered into after January 1, 2018. Refer to Note 11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for additional details on this adoption and the Company’s updated revenue accounting policy and disclosures.</w:t>
      </w:r>
    </w:p>
    <w:p>
      <w:pPr>
        <w:spacing w:after="0" w:line="187" w:lineRule="exact"/>
        <w:rPr>
          <w:sz w:val="20"/>
          <w:szCs w:val="20"/>
          <w:color w:val="auto"/>
        </w:rPr>
      </w:pPr>
    </w:p>
    <w:p>
      <w:pPr>
        <w:ind w:right="380" w:firstLine="689"/>
        <w:spacing w:after="0" w:line="264" w:lineRule="auto"/>
        <w:rPr>
          <w:sz w:val="20"/>
          <w:szCs w:val="20"/>
          <w:color w:val="auto"/>
        </w:rPr>
      </w:pPr>
      <w:r>
        <w:rPr>
          <w:rFonts w:ascii="Arial" w:cs="Arial" w:eastAsia="Arial" w:hAnsi="Arial"/>
          <w:sz w:val="18"/>
          <w:szCs w:val="18"/>
          <w:color w:val="auto"/>
        </w:rPr>
        <w:t xml:space="preserve">On January 1, 2018, the Company adopted a U.S. GAAP standard update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which clarifies the classification of certain cash receipts and payments in the statement of cash flows. The adoption of this new standard did not impact the Company’s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July 1, 2018, the Company adopted a U.S. GAAP standard that aligns the accounting for share-based payment awards issued to employees and nonemployees. Under the new guidance, the existing employee guidance is applied to nonemployee share-based transactions. The adoption of this new standard did not have a material impact on the Company’s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8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February 2016, the FASB issued a new U.S. GAAP accounting standard which requires that all lessees recognize the assets and liabilities that arise from leases on the balance sheet and disclose qualitative and quantitative information about its leasing arrangements. The Company will adopt the new guidance for its fiscal year beginning January 1, 2019 and expects to use the modified retrospective transition method, which requires the Company to apply the standard as of the effective date and does not require restatement of prior periods. The Company does not expect that this standard will have a material impact on its Consolidated Statement of Operations and Comprehensive Loss or Statement of Cash Flow, however the Company expects that adoption of this standard will result in the recognition of material right-of-use assets and lease liabilities on its Consolidated Balance Sheet.</w:t>
      </w:r>
    </w:p>
    <w:p>
      <w:pPr>
        <w:spacing w:after="0" w:line="16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August 2018, the SEC issued a final rule amending certain disclosure requirements including expanding the disclosure requirements on the analysis of stockholders’ equity for interim financial statements. Under the amendments, an analysis of changes in each caption of stockholders’ equity presented in the consolidated balance sheet must be provided in a note or separate statement. This final rule will be effective for the quarter ended March 31, 2019. The Company is currently evaluating the impact of the final rule on its consolidated financial statements and related disclosures.</w:t>
      </w:r>
    </w:p>
    <w:p>
      <w:pPr>
        <w:spacing w:after="0" w:line="15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August 2018, the FASB issued amendments that modify certain disclosure requirements for fair value measurements. The amendments become effective for our fiscal year, including interim periods, beginning January 1, 2020. Early adoption, of all the amendments or only the provisions that eliminate or modify the requirements, is permitted. The adoption of this new guidance is not expected to have a material impact on the Company’s consolidated financial statements and related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16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 2018</w:t>
            </w:r>
          </w:p>
        </w:tc>
        <w:tc>
          <w:tcPr>
            <w:tcW w:w="16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ind w:left="860"/>
              <w:spacing w:after="0" w:line="142"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ind w:left="1060"/>
              <w:spacing w:after="0"/>
              <w:rPr>
                <w:sz w:val="20"/>
                <w:szCs w:val="20"/>
                <w:color w:val="auto"/>
              </w:rPr>
            </w:pPr>
            <w:r>
              <w:rPr>
                <w:rFonts w:ascii="Arial" w:cs="Arial" w:eastAsia="Arial" w:hAnsi="Arial"/>
                <w:sz w:val="18"/>
                <w:szCs w:val="18"/>
                <w:color w:val="auto"/>
              </w:rPr>
              <w:t>24,145</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24,145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72,795</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72,795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44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83"/>
              </w:rPr>
              <w:t>96,940</w:t>
            </w:r>
          </w:p>
        </w:tc>
        <w:tc>
          <w:tcPr>
            <w:tcW w:w="3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96,940</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0" w:type="dxa"/>
            <w:vAlign w:val="bottom"/>
          </w:tcPr>
          <w:p>
            <w:pPr>
              <w:spacing w:after="0"/>
              <w:rPr>
                <w:sz w:val="14"/>
                <w:szCs w:val="14"/>
                <w:color w:val="auto"/>
              </w:rPr>
            </w:pPr>
          </w:p>
        </w:tc>
        <w:tc>
          <w:tcPr>
            <w:tcW w:w="44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ind w:left="1060"/>
              <w:spacing w:after="0"/>
              <w:rPr>
                <w:sz w:val="20"/>
                <w:szCs w:val="20"/>
                <w:color w:val="auto"/>
              </w:rPr>
            </w:pPr>
            <w:r>
              <w:rPr>
                <w:rFonts w:ascii="Arial" w:cs="Arial" w:eastAsia="Arial" w:hAnsi="Arial"/>
                <w:sz w:val="18"/>
                <w:szCs w:val="18"/>
                <w:color w:val="auto"/>
              </w:rPr>
              <w:t>15,432</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4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3"/>
              </w:rPr>
              <w:t>15,432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16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December 31, 2017</w:t>
            </w:r>
          </w:p>
        </w:tc>
        <w:tc>
          <w:tcPr>
            <w:tcW w:w="16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ind w:left="860"/>
              <w:spacing w:after="0" w:line="142"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ind w:left="1060"/>
              <w:spacing w:after="0"/>
              <w:rPr>
                <w:sz w:val="20"/>
                <w:szCs w:val="20"/>
                <w:color w:val="auto"/>
              </w:rPr>
            </w:pPr>
            <w:r>
              <w:rPr>
                <w:rFonts w:ascii="Arial" w:cs="Arial" w:eastAsia="Arial" w:hAnsi="Arial"/>
                <w:sz w:val="18"/>
                <w:szCs w:val="18"/>
                <w:color w:val="auto"/>
              </w:rPr>
              <w:t>24,061</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24,061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99,139</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99,139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44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6"/>
              </w:rPr>
              <w:t>123,200</w:t>
            </w:r>
          </w:p>
        </w:tc>
        <w:tc>
          <w:tcPr>
            <w:tcW w:w="3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123,200</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0" w:type="dxa"/>
            <w:vAlign w:val="bottom"/>
          </w:tcPr>
          <w:p>
            <w:pPr>
              <w:spacing w:after="0"/>
              <w:rPr>
                <w:sz w:val="14"/>
                <w:szCs w:val="14"/>
                <w:color w:val="auto"/>
              </w:rPr>
            </w:pPr>
          </w:p>
        </w:tc>
        <w:tc>
          <w:tcPr>
            <w:tcW w:w="44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ind w:left="1060"/>
              <w:spacing w:after="0"/>
              <w:rPr>
                <w:sz w:val="20"/>
                <w:szCs w:val="20"/>
                <w:color w:val="auto"/>
              </w:rPr>
            </w:pPr>
            <w:r>
              <w:rPr>
                <w:rFonts w:ascii="Arial" w:cs="Arial" w:eastAsia="Arial" w:hAnsi="Arial"/>
                <w:sz w:val="18"/>
                <w:szCs w:val="18"/>
                <w:color w:val="auto"/>
              </w:rPr>
              <w:t>43,400</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4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3"/>
              </w:rPr>
              <w:t>43,400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ind w:left="86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0" w:type="dxa"/>
            <w:vAlign w:val="bottom"/>
            <w:tcBorders>
              <w:bottom w:val="single" w:sz="8" w:color="808080"/>
            </w:tcBorders>
          </w:tcPr>
          <w:p>
            <w:pPr>
              <w:spacing w:after="0"/>
              <w:rPr>
                <w:sz w:val="11"/>
                <w:szCs w:val="11"/>
                <w:color w:val="auto"/>
              </w:rPr>
            </w:pPr>
          </w:p>
        </w:tc>
        <w:tc>
          <w:tcPr>
            <w:tcW w:w="44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Company’s financial assets consist mainly of money market funds and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5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reflects the activity for the Company’s contingent consideration liabilities measured at fair value using Level 3 inputs for the nine months ended September 30, 2018 (in thousands):</w:t>
      </w:r>
    </w:p>
    <w:p>
      <w:pPr>
        <w:spacing w:after="0" w:line="162"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Other Liabilities:</w:t>
      </w:r>
    </w:p>
    <w:p>
      <w:pPr>
        <w:jc w:val="center"/>
        <w:ind w:left="9200"/>
        <w:spacing w:after="0" w:line="226" w:lineRule="auto"/>
        <w:rPr>
          <w:sz w:val="20"/>
          <w:szCs w:val="20"/>
          <w:color w:val="auto"/>
        </w:rPr>
      </w:pPr>
      <w:r>
        <w:rPr>
          <w:rFonts w:ascii="Arial" w:cs="Arial" w:eastAsia="Arial" w:hAnsi="Arial"/>
          <w:sz w:val="14"/>
          <w:szCs w:val="14"/>
          <w:b w:val="1"/>
          <w:bCs w:val="1"/>
          <w:color w:val="auto"/>
        </w:rPr>
        <w:t>Contingent</w:t>
      </w:r>
    </w:p>
    <w:p>
      <w:pPr>
        <w:spacing w:after="0" w:line="1"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-3175</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43,400</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5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(27,968)</w:t>
            </w:r>
          </w:p>
        </w:tc>
      </w:tr>
      <w:tr>
        <w:trPr>
          <w:trHeight w:val="210"/>
        </w:trPr>
        <w:tc>
          <w:tcPr>
            <w:tcW w:w="9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valuation technique used to measure fair value of the Company’s Level 3 liabilities, which consist of contingent consideration related to the acquisition of Kolltan in 2016, was primarily an income approach. The Company may be required to pay future consideration of up to $162.5 million that is contingent upon the achievement of specified development, regulatory approvals or sales-based milestone events. The significant unobservable inputs used in the fair value measurement of the contingent consideration are estimates including probability of success, discount rates and amount of time until the conditions of the milestone payments are met.</w:t>
      </w:r>
    </w:p>
    <w:p>
      <w:pPr>
        <w:spacing w:after="0" w:line="18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During the three months ended September 30, 2018, the Company recorded a $6.9 million gain on fair value remeasurement of contingent consideration primarily due to lower probability that milestones related to our anti-KIT program would be triggered by the Company’s current anti-KIT program development. During the nine months ended September 30, 2018, the Company recorded a $28.0 million gain on fair value remeasurement of contingent consideration primarily due to discontinuation of the Glemba and CDX-014 programs, updated assumptions for the varlilumab program, and lower probability that milestones related to our anti-KIT program would be triggered by the Company’s current anti-KIT program development. During the three and nine months ended September 30, 2017, the Company recorded a $4.6 million and $0.2 million gain on fair value remeasurement of contingent consideration, respectively, primarily due to a reduction in fair value attributed to the milestones related to the Company’s anti-KIT program and partially offset by losses related to changes in discount rates and the passage of time affecting remaining milestones.</w:t>
      </w:r>
    </w:p>
    <w:p>
      <w:pPr>
        <w:spacing w:after="0" w:line="17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did not have any transfers of assets or liabilities between the fair value measurement classifications during the nine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marketable securities, classified as available-for-sale: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Amortized</w:t>
            </w:r>
          </w:p>
        </w:tc>
        <w:tc>
          <w:tcPr>
            <w:tcW w:w="300" w:type="dxa"/>
            <w:vAlign w:val="bottom"/>
          </w:tcPr>
          <w:p>
            <w:pPr>
              <w:spacing w:after="0"/>
              <w:rPr>
                <w:sz w:val="10"/>
                <w:szCs w:val="10"/>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0"/>
                <w:szCs w:val="10"/>
                <w:color w:val="auto"/>
              </w:rPr>
            </w:pPr>
          </w:p>
        </w:tc>
        <w:tc>
          <w:tcPr>
            <w:tcW w:w="10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center"/>
              <w:ind w:right="23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4"/>
          </w:tcPr>
          <w:p>
            <w:pPr>
              <w:jc w:val="right"/>
              <w:ind w:right="636"/>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ind w:left="180"/>
              <w:spacing w:after="0" w:line="201" w:lineRule="exact"/>
              <w:rPr>
                <w:sz w:val="20"/>
                <w:szCs w:val="20"/>
                <w:color w:val="auto"/>
              </w:rPr>
            </w:pPr>
            <w:r>
              <w:rPr>
                <w:rFonts w:ascii="Arial" w:cs="Arial" w:eastAsia="Arial" w:hAnsi="Arial"/>
                <w:sz w:val="18"/>
                <w:szCs w:val="18"/>
                <w:color w:val="auto"/>
                <w:w w:val="95"/>
              </w:rPr>
              <w:t>U.S. government and municipal obligations (maturing in one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year or less)</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22,318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22,311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 (maturing in one year or less)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50,491</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72,809</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72,795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U.S. government and municipal obligations (maturing in one</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or less)</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26,164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Corporate debt securities (maturing in one year or less)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73,007</w:t>
            </w: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99,171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44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holds investment-grade marketable securities, and none were in a continuous unrealized loss position for more than twelve months as of September 30, 2018 and December 31, 2017. The unrealized losses are attributable to changes in interest rates and the Company does not believe any unrealized losses represent other-than-temporary impairments.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include $0.1 million and $0.3 million in accrued interest at September 30, 2018 and December 31,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presents information for the Company’s finite-lived intangible assets that are subject to amortization and indefinite-lived intangible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Impairments</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120" w:type="dxa"/>
            <w:vAlign w:val="bottom"/>
            <w:tcBorders>
              <w:top w:val="single" w:sz="8" w:color="auto"/>
            </w:tcBorders>
            <w:gridSpan w:val="6"/>
          </w:tcPr>
          <w:p>
            <w:pPr>
              <w:jc w:val="right"/>
              <w:ind w:right="136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2018</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Rights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14,500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IPR&amp;D</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60,490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Intangible Assets, Net</w:t>
            </w:r>
          </w:p>
        </w:tc>
        <w:tc>
          <w:tcPr>
            <w:tcW w:w="1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3"/>
              </w:rPr>
              <w:t>74,990</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(7,623)</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(18,677)</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48,690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License Rights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740"/>
              <w:spacing w:after="0"/>
              <w:rPr>
                <w:sz w:val="20"/>
                <w:szCs w:val="20"/>
                <w:color w:val="auto"/>
              </w:rPr>
            </w:pPr>
            <w:r>
              <w:rPr>
                <w:rFonts w:ascii="Arial" w:cs="Arial" w:eastAsia="Arial" w:hAnsi="Arial"/>
                <w:sz w:val="18"/>
                <w:szCs w:val="18"/>
                <w:color w:val="auto"/>
              </w:rPr>
              <w:t>14,500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(7,399)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IPR&amp;D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740"/>
              <w:spacing w:after="0"/>
              <w:rPr>
                <w:sz w:val="20"/>
                <w:szCs w:val="20"/>
                <w:color w:val="auto"/>
              </w:rPr>
            </w:pPr>
            <w:r>
              <w:rPr>
                <w:rFonts w:ascii="Arial" w:cs="Arial" w:eastAsia="Arial" w:hAnsi="Arial"/>
                <w:sz w:val="18"/>
                <w:szCs w:val="18"/>
                <w:color w:val="auto"/>
              </w:rPr>
              <w:t>60,490</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3"/>
              </w:rPr>
              <w:t>74,990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Finite-lived intangible assets consist solely of license rights amended under a 2009 agreement with Amgen Fremont related to developing and commercializing Glemba. As a result of the discontinuation of the Glemba program, the Company recorded a non-cash impairment charge of $6.9 million during the first quarter of 2018. Amortization expense related to this finite-lived intangible asset was $0.0 million and $0.2 million for the three and nine month periods ended September 30, 2018, respectively, and $0.2 million and $0.7 million for the three and nine month periods ended September 30, 2017, respectively.</w:t>
      </w:r>
    </w:p>
    <w:p>
      <w:pPr>
        <w:spacing w:after="0" w:line="18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Indefinite-lived intangible assets consist of acquired in-process research and development (“IPR&amp;D”) related to the development of CDX-3379, the anti-KIT program and the TAM program. The Company performs an impairment test on IPR&amp;D assets at least annually, or more frequently if events or changes in circumstances indicate that IPR&amp;D assets may be impaired. As a result of the discontinuation of the Glemba program, the Company recorded a non-cash impairment charge of $11.8 million during the first quarter of 2018. CDX-3379 is in Phase 2 development. The anti-KIT and TAM programs are in preclinical development. As of September 30, 2018, none of the remaining IPR&amp;D assets had reached technological feasibility nor did any have alternative future uses.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nine months ended September 30, 2018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Goodwill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58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90,976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Goodwill Impairment</w:t>
            </w:r>
          </w:p>
        </w:tc>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(90,976)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56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40" w:type="dxa"/>
            <w:vAlign w:val="bottom"/>
            <w:vMerge w:val="restart"/>
          </w:tcPr>
          <w:p>
            <w:pPr>
              <w:jc w:val="right"/>
              <w:ind w:right="385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56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Company evaluated goodwill for potential impairment due to the METRIC failure. The carrying amount of the Company was compared to the Company’s fair value. The Company’s fair value assessment reflected a number of significant management assumptions and estimates including the Company’s probability forecasts for pipeline assets, income taxes, capital expenditures and changes in working capital requirements. Changes in these assumptions and/or discount rates could materially impact the Company’s conclusions. Through this assessment, it was determined that the carrying amount of the Company exceeded its fair value by over $91.0 million. As such, the full goodwill asset was considered impaired and a charge of $91.0 million was recorded during the first quarter of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include the following:</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4"/>
                <w:szCs w:val="14"/>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7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4"/>
          </w:tcPr>
          <w:p>
            <w:pPr>
              <w:jc w:val="right"/>
              <w:ind w:right="97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3,772</w:t>
            </w: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6,402</w:t>
            </w: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6,756</w:t>
            </w: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w:t>
            </w: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Contingent Milestones (Note 4)</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15,432</w:t>
            </w: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43,400</w:t>
            </w: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(Note 11)</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2,813</w:t>
            </w:r>
          </w:p>
        </w:tc>
        <w:tc>
          <w:tcPr>
            <w:tcW w:w="80" w:type="dxa"/>
            <w:vAlign w:val="bottom"/>
            <w:shd w:val="clear" w:color="auto" w:fill="CCEEFF"/>
          </w:tcPr>
          <w:p>
            <w:pPr>
              <w:spacing w:after="0"/>
              <w:rPr>
                <w:sz w:val="18"/>
                <w:szCs w:val="18"/>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28,228</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(4,926)</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(6,566)</w:t>
            </w: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Long-Term Portion</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23,302</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November 2015, December 2014 and January 2014, the Company received approval from the New Jersey Economic Development Authority and agreed to sell New Jersey tax benefits of $9.8 million, $1.9 million and $1.1 million to an independent third party for $9.2 million, $1.8 million and</w:t>
      </w:r>
    </w:p>
    <w:p>
      <w:pPr>
        <w:spacing w:after="0" w:line="254" w:lineRule="auto"/>
        <w:rPr>
          <w:sz w:val="20"/>
          <w:szCs w:val="20"/>
          <w:color w:val="auto"/>
        </w:rPr>
      </w:pPr>
      <w:r>
        <w:rPr>
          <w:rFonts w:ascii="Arial" w:cs="Arial" w:eastAsia="Arial" w:hAnsi="Arial"/>
          <w:sz w:val="18"/>
          <w:szCs w:val="18"/>
          <w:color w:val="auto"/>
        </w:rPr>
        <w:t>$1.0 million, respectively. Under the agreement, the Company must maintain a base of operations in New Jersey for five years or the tax benefits must be paid back on a pro-rata basis based on the number of years completed. The Company recognized $0.0 million and $0.4 million in other income related to the sale of these tax benefits during the three and nine months ended September 30, 2018, respectively, and $0.0 million and $0.5 million during the three and nine months ended September 30, 2017,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May 2016, the Company entered into an agreement with Cantor Fitzgerald &amp; Co. (“Cantor”) to allow the Company to issue and sell shares of its common stock having an aggregate offering price of up to $60.0 million from time to time through Cantor, acting as agent. In November 2017, the Company filed a prospectus supplement registering the offer and sale of shares of common stock of up to an additional $75.0 million under the agreement with Cantor. During the nine months ended September 30, 2018, the Company issued 29,760,486 shares of common stock under this controlled equity offering sales agreement with Cantor resulting in net proceeds of $25.5 million after deducting commission and offering expenses. At September 30, 2018, the Company had $41.3 million remaining in aggregate gross offering price available under the Cantor agreement. In October 2018, the Company issued 3,884,597 shares of its common stock resulting in net proceeds to the Company of $1.6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Expenses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a result of the METRIC failure and discontinuation of the Glemba program, the Company approved a reduction in its workforce to reduce operating costs and recorded severance expense of $1.2 million in the nine months ended September 30, 2018. At September 30, 2018, the Company recorded accrued severance of $0.2 million related to this workforce reduction.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2018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left="265"/>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left="265"/>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left="285"/>
              <w:spacing w:after="0" w:line="149" w:lineRule="exact"/>
              <w:rPr>
                <w:sz w:val="20"/>
                <w:szCs w:val="20"/>
                <w:color w:val="auto"/>
              </w:rPr>
            </w:pPr>
            <w:r>
              <w:rPr>
                <w:rFonts w:ascii="Arial" w:cs="Arial" w:eastAsia="Arial" w:hAnsi="Arial"/>
                <w:sz w:val="14"/>
                <w:szCs w:val="14"/>
                <w:b w:val="1"/>
                <w:bCs w:val="1"/>
                <w:color w:val="auto"/>
                <w:w w:val="90"/>
              </w:rPr>
              <w:t>Exercise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5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00" w:type="dxa"/>
            <w:vAlign w:val="bottom"/>
          </w:tcPr>
          <w:p>
            <w:pPr>
              <w:jc w:val="center"/>
              <w:ind w:left="285"/>
              <w:spacing w:after="0" w:line="149" w:lineRule="exact"/>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left="285"/>
              <w:spacing w:after="0"/>
              <w:rPr>
                <w:sz w:val="20"/>
                <w:szCs w:val="20"/>
                <w:color w:val="auto"/>
              </w:rPr>
            </w:pPr>
            <w:r>
              <w:rPr>
                <w:rFonts w:ascii="Arial" w:cs="Arial" w:eastAsia="Arial" w:hAnsi="Arial"/>
                <w:sz w:val="14"/>
                <w:szCs w:val="14"/>
                <w:b w:val="1"/>
                <w:bCs w:val="1"/>
                <w:color w:val="auto"/>
                <w:w w:val="91"/>
              </w:rPr>
              <w:t>Per Share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 (In Years)</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10,856,212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2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9.40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5,056,467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0.61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2.80</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Canceled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(2,568,090)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8.76</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2018</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13,240,089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6.22</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September 30, 2018</w:t>
            </w: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6"/>
              </w:rPr>
              <w:t>6.36</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12,884,023</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2018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6,190,301</w:t>
            </w:r>
          </w:p>
        </w:tc>
        <w:tc>
          <w:tcPr>
            <w:tcW w:w="16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10.97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5,096,110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weighted average grant-date fair value of stock options granted during the three and nine month periods ended September 30, 2018 was $0.30 and $0.44, respectively. Stock-based compensation expense for the three and nine month periods ended September 30, 2018 and 2017 was recorded as follows: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42"/>
        </w:trPr>
        <w:tc>
          <w:tcPr>
            <w:tcW w:w="45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gridSpan w:val="3"/>
          </w:tcPr>
          <w:p>
            <w:pPr>
              <w:jc w:val="right"/>
              <w:ind w:right="556"/>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3"/>
          </w:tcPr>
          <w:p>
            <w:pPr>
              <w:jc w:val="center"/>
              <w:ind w:left="59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1,546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3,088</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5,310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994</w:t>
            </w:r>
          </w:p>
        </w:tc>
        <w:tc>
          <w:tcPr>
            <w:tcW w:w="9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1,193</w:t>
            </w:r>
          </w:p>
        </w:tc>
        <w:tc>
          <w:tcPr>
            <w:tcW w:w="280" w:type="dxa"/>
            <w:vAlign w:val="bottom"/>
          </w:tcPr>
          <w:p>
            <w:pPr>
              <w:spacing w:after="0"/>
              <w:rPr>
                <w:sz w:val="18"/>
                <w:szCs w:val="18"/>
                <w:color w:val="auto"/>
              </w:rPr>
            </w:pP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3,241</w:t>
            </w:r>
          </w:p>
        </w:tc>
        <w:tc>
          <w:tcPr>
            <w:tcW w:w="420" w:type="dxa"/>
            <w:vAlign w:val="bottom"/>
          </w:tcPr>
          <w:p>
            <w:pPr>
              <w:spacing w:after="0"/>
              <w:rPr>
                <w:sz w:val="18"/>
                <w:szCs w:val="18"/>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4,418</w:t>
            </w:r>
          </w:p>
        </w:tc>
      </w:tr>
      <w:tr>
        <w:trPr>
          <w:trHeight w:val="210"/>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4"/>
              </w:rPr>
              <w:t>6,329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4"/>
              </w:rPr>
              <w:t>9,728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firstLine="648"/>
        <w:spacing w:after="0" w:line="277" w:lineRule="auto"/>
        <w:rPr>
          <w:sz w:val="20"/>
          <w:szCs w:val="20"/>
          <w:color w:val="auto"/>
        </w:rPr>
      </w:pPr>
      <w:r>
        <w:rPr>
          <w:rFonts w:ascii="Arial" w:cs="Arial" w:eastAsia="Arial" w:hAnsi="Arial"/>
          <w:sz w:val="18"/>
          <w:szCs w:val="18"/>
          <w:color w:val="auto"/>
        </w:rPr>
        <w:t>The fair values of employee and director stock options granted during the three and nine month periods ended September 30, 2018 and 2017 were valued using the Black-Scholes option pricing model with the following assumptions:</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330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140" w:type="dxa"/>
            <w:vAlign w:val="bottom"/>
            <w:gridSpan w:val="4"/>
          </w:tcPr>
          <w:p>
            <w:pPr>
              <w:ind w:left="4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50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73 – 85%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 – 77%</w:t>
            </w: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option term</w:t>
            </w: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6.0 Years</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6.0 Years</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6.0 Years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6.0 Years</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2.8 – 3.0%</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2.0 – 2.3%</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None</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None</w:t>
            </w:r>
          </w:p>
        </w:tc>
        <w:tc>
          <w:tcPr>
            <w:tcW w:w="1660" w:type="dxa"/>
            <w:vAlign w:val="bottom"/>
            <w:gridSpan w:val="2"/>
          </w:tcPr>
          <w:p>
            <w:pPr>
              <w:ind w:left="500"/>
              <w:spacing w:after="0"/>
              <w:rPr>
                <w:sz w:val="20"/>
                <w:szCs w:val="20"/>
                <w:color w:val="auto"/>
              </w:rPr>
            </w:pPr>
            <w:r>
              <w:rPr>
                <w:rFonts w:ascii="Arial" w:cs="Arial" w:eastAsia="Arial" w:hAnsi="Arial"/>
                <w:sz w:val="18"/>
                <w:szCs w:val="18"/>
                <w:color w:val="auto"/>
              </w:rPr>
              <w:t>None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changes in accumulated other comprehensive income, which is reported as a component of stockholders’ equity,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are summarized below:</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Balance at September 30, 2018</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Gain/(Loss) on</w:t>
            </w:r>
          </w:p>
        </w:tc>
        <w:tc>
          <w:tcPr>
            <w:tcW w:w="140" w:type="dxa"/>
            <w:vAlign w:val="bottom"/>
          </w:tcPr>
          <w:p>
            <w:pPr>
              <w:spacing w:after="0"/>
              <w:rPr>
                <w:sz w:val="12"/>
                <w:szCs w:val="12"/>
                <w:color w:val="auto"/>
              </w:rPr>
            </w:pPr>
          </w:p>
        </w:tc>
        <w:tc>
          <w:tcPr>
            <w:tcW w:w="15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Foreign</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Currency Items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2,596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vMerge w:val="restart"/>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0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-454025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-179705</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780"/>
          </w:cols>
          <w:pgMar w:left="240" w:top="125" w:right="239" w:bottom="1440" w:gutter="0" w:footer="0" w:header="0"/>
          <w:type w:val="continuous"/>
        </w:sectPr>
      </w:pPr>
    </w:p>
    <w:p>
      <w:pPr>
        <w:spacing w:after="0" w:line="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No amounts were reclassified out of accumulated other comprehensive income during the three or nine months ended September 30, 2018.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On January 1, 2018, the Company adopted a new revenue accounting standard, “</w:t>
      </w:r>
      <w:r>
        <w:rPr>
          <w:rFonts w:ascii="Arial" w:cs="Arial" w:eastAsia="Arial" w:hAnsi="Arial"/>
          <w:sz w:val="17"/>
          <w:szCs w:val="17"/>
          <w:i w:val="1"/>
          <w:iCs w:val="1"/>
          <w:color w:val="auto"/>
        </w:rPr>
        <w:t>Revenue from Contracts with Customers” (ASC 606)</w:t>
      </w:r>
      <w:r>
        <w:rPr>
          <w:rFonts w:ascii="Arial" w:cs="Arial" w:eastAsia="Arial" w:hAnsi="Arial"/>
          <w:sz w:val="17"/>
          <w:szCs w:val="17"/>
          <w:color w:val="auto"/>
        </w:rPr>
        <w:t xml:space="preserve">. Upon adoption using the modified retrospective application, the Company recognized a $1.3 million decrease to accumulated deficit, a $0.8 million decrease in deferred revenue and $0.5 million increase in accounts receivable due to the cumulative impact of adopting </w:t>
      </w:r>
      <w:r>
        <w:rPr>
          <w:rFonts w:ascii="Arial" w:cs="Arial" w:eastAsia="Arial" w:hAnsi="Arial"/>
          <w:sz w:val="17"/>
          <w:szCs w:val="17"/>
          <w:i w:val="1"/>
          <w:iCs w:val="1"/>
          <w:color w:val="auto"/>
        </w:rPr>
        <w:t>ASC 606</w:t>
      </w:r>
      <w:r>
        <w:rPr>
          <w:rFonts w:ascii="Arial" w:cs="Arial" w:eastAsia="Arial" w:hAnsi="Arial"/>
          <w:sz w:val="17"/>
          <w:szCs w:val="17"/>
          <w:color w:val="auto"/>
        </w:rPr>
        <w:t xml:space="preserve">. This impact was driven by the acceleration of revenue using a percentage-of-completion method of accounting under </w:t>
      </w:r>
      <w:r>
        <w:rPr>
          <w:rFonts w:ascii="Arial" w:cs="Arial" w:eastAsia="Arial" w:hAnsi="Arial"/>
          <w:sz w:val="17"/>
          <w:szCs w:val="17"/>
          <w:i w:val="1"/>
          <w:iCs w:val="1"/>
          <w:color w:val="auto"/>
        </w:rPr>
        <w:t>ASC 606</w:t>
      </w:r>
      <w:r>
        <w:rPr>
          <w:rFonts w:ascii="Arial" w:cs="Arial" w:eastAsia="Arial" w:hAnsi="Arial"/>
          <w:sz w:val="17"/>
          <w:szCs w:val="17"/>
          <w:color w:val="auto"/>
        </w:rPr>
        <w:t xml:space="preserve"> for an open contract that had previously been accounted for using the Contingency Adjusted Performance Model (“CAPM”) under previous guidance.</w:t>
      </w:r>
    </w:p>
    <w:p>
      <w:pPr>
        <w:spacing w:after="0" w:line="17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Results for reporting periods beginning after January 1, 2018 are presented under </w:t>
      </w:r>
      <w:r>
        <w:rPr>
          <w:rFonts w:ascii="Arial" w:cs="Arial" w:eastAsia="Arial" w:hAnsi="Arial"/>
          <w:sz w:val="18"/>
          <w:szCs w:val="18"/>
          <w:i w:val="1"/>
          <w:iCs w:val="1"/>
          <w:color w:val="auto"/>
        </w:rPr>
        <w:t>ASC 606</w:t>
      </w:r>
      <w:r>
        <w:rPr>
          <w:rFonts w:ascii="Arial" w:cs="Arial" w:eastAsia="Arial" w:hAnsi="Arial"/>
          <w:sz w:val="18"/>
          <w:szCs w:val="18"/>
          <w:color w:val="auto"/>
        </w:rPr>
        <w:t xml:space="preserve"> while prior period amounts were not adjusted and continue to be reported in accordance with historic accounting under previous guidance. There was not a material impact to revenues as a result of applying </w:t>
      </w:r>
      <w:r>
        <w:rPr>
          <w:rFonts w:ascii="Arial" w:cs="Arial" w:eastAsia="Arial" w:hAnsi="Arial"/>
          <w:sz w:val="18"/>
          <w:szCs w:val="18"/>
          <w:i w:val="1"/>
          <w:iCs w:val="1"/>
          <w:color w:val="auto"/>
        </w:rPr>
        <w:t xml:space="preserve">ASC 606 </w:t>
      </w:r>
      <w:r>
        <w:rPr>
          <w:rFonts w:ascii="Arial" w:cs="Arial" w:eastAsia="Arial" w:hAnsi="Arial"/>
          <w:sz w:val="18"/>
          <w:szCs w:val="18"/>
          <w:color w:val="auto"/>
        </w:rPr>
        <w:t>for the three and nine month periods ended September 30, 2018, and there have not been significant changes to the Company’s business processes,</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or internal controls as a result of adopting the new standard. The Company expects revenue recognition to remain largely unchanged under the new standard.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5" w:lineRule="exact"/>
        <w:rPr>
          <w:sz w:val="20"/>
          <w:szCs w:val="20"/>
          <w:color w:val="auto"/>
        </w:rPr>
      </w:pPr>
    </w:p>
    <w:p>
      <w:pPr>
        <w:ind w:left="1600" w:hanging="295"/>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1600" w:hanging="295"/>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Revenue for the Company has historically been derived from biopharmaceutical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17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classifies the right to consideration in exchange for products or services transferred to a client as either a receivable or a contract asset. A receivable is a right to consideration that is unconditional as compared to a contract asset which is a right to consideration that is conditional upon factors other than the passage of time. At January 1, 2018 and September 30, 2018, the Company’s right to consideration under all contracts was considered unconditional, and as such, there were no recorded contract assets.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Company’s contract liabilities result from arrangements where the Company has received payment in advance of performance under the contract. These amounts are included as deferred revenue within current portion of long-term liabilities on the condensed consolidated balance sheets. Revenue recognized from contract liabilities as of January 1, 2018 during the three and nine months ended September 30, 2018 was $0.0 million and $1.5 million, respectively. Revenue expected to be recognized in the future from contract liabilities as performance obligations are satisfied are not expected to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22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Company’s primary product development and licensing revenue is associated with a clinical collaboration agreement with BMS entered into in 2014 to evaluate the safety, tolerability and preliminary efficacy of varlilumab and Opdivo</w:t>
      </w:r>
      <w:r>
        <w:rPr>
          <w:rFonts w:ascii="Arial" w:cs="Arial" w:eastAsia="Arial" w:hAnsi="Arial"/>
          <w:sz w:val="23"/>
          <w:szCs w:val="23"/>
          <w:color w:val="auto"/>
          <w:vertAlign w:val="superscript"/>
        </w:rPr>
        <w:t>®</w:t>
      </w:r>
      <w:r>
        <w:rPr>
          <w:rFonts w:ascii="Arial" w:cs="Arial" w:eastAsia="Arial" w:hAnsi="Arial"/>
          <w:sz w:val="18"/>
          <w:szCs w:val="18"/>
          <w:color w:val="auto"/>
        </w:rPr>
        <w:t>, BMS’s PD-1 immune checkpoint inhibitor, in a Phase 1/2 study. Under this agreement, BMS made an upfront payment to Celldex of $5.0 million and provides funding for 50% of the external costs incurred by the Company in connection with the clinical trial. The Company recorded $0.1 million and $2.7 million in revenue related to this agreement during the three and nine months ended September 30, 2018,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2017, the Company entered into fixed-fee manufacturing and research and development arrangements with both the International AIDS Vaccine Initiative (IAVI) and Frontier Biotechnologies, Inc (Frontier). The Company recognized $0.1 million and $2.8 million in revenue under these agreements during the three and nine months ended September 30, 2018, respectively, and $2.3 million and $4.6 million during the three and nine months ended September 30, 2017.</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2013, the Company entered into an agreement, as amended, with Rockefeller University pursuant to which the Company performs manufacturing and research and development services for Rockefeller University. The Company recognized $0.5 million and $1.8 million in revenue for labor hours and direct costs incurred related to the Rockefeller University agreement during the three and nine months ended September 30, 2018, respectively, and $0.3 million and $1.4 million during the three and nine months ended September 30,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On December 22, 2017, the Tax Cuts and Jobs Act (“TCJA”) was enacted and led to significant changes to U.S. tax law. Also on December 22, 2017, the SEC staff issued SAB 118, allowing companies to record the effects of the TCJA on a provisional basis during a measurement period not to extend beyond one year of the enactment date. SAB 118 was codified into </w:t>
      </w:r>
      <w:r>
        <w:rPr>
          <w:rFonts w:ascii="Arial" w:cs="Arial" w:eastAsia="Arial" w:hAnsi="Arial"/>
          <w:sz w:val="18"/>
          <w:szCs w:val="18"/>
          <w:i w:val="1"/>
          <w:iCs w:val="1"/>
          <w:color w:val="auto"/>
        </w:rPr>
        <w:t>ASC 740</w:t>
      </w:r>
      <w:r>
        <w:rPr>
          <w:rFonts w:ascii="Arial" w:cs="Arial" w:eastAsia="Arial" w:hAnsi="Arial"/>
          <w:sz w:val="18"/>
          <w:szCs w:val="18"/>
          <w:color w:val="auto"/>
        </w:rPr>
        <w:t xml:space="preserve"> by ASU 2018-05.</w:t>
      </w:r>
    </w:p>
    <w:p>
      <w:pPr>
        <w:spacing w:after="0" w:line="18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 recognized an income tax benefit of $19.1 million related to implementing applicable provisions of the TCJA during the year ended December 31, 2017. In accordance with SAB 118, the Company considered this adjustment to be a provisional amount based on the Company’s best estimates at December 31, 2017. The Company’s accounting for the tax effects of the TCJA is complete as of September 30, 2018.</w:t>
      </w:r>
    </w:p>
    <w:p>
      <w:pPr>
        <w:spacing w:after="0" w:line="166"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September 30, 2018 and December 31, 2017.</w:t>
      </w:r>
    </w:p>
    <w:p>
      <w:pPr>
        <w:spacing w:after="0" w:line="147"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A net deferred tax liability of $3.0 million and $3.8 million existed at September 30, 2018 and December 31, 2017, respectively, related to the temporary differences associated with the IPR&amp;D intangible assets acquired in previous business combinations and not deductible for tax purposes. As a result of the discontinuation of the Glemba program, the Company recorded a $0.8 million non-cash income tax benefit during the first quarter of 2018.</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Massachusetts, New Jersey, Connecticut and Australia are the jurisdictions in which the Company primarily operates or has operated and has income tax nexus. The Company is not currently under examination by these or any other jurisdictions for any tax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080" w:type="dxa"/>
            <w:vAlign w:val="bottom"/>
            <w:gridSpan w:val="4"/>
          </w:tcPr>
          <w:p>
            <w:pPr>
              <w:ind w:left="40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13,240,089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11,582,818</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Restricted Stock</w:t>
            </w:r>
          </w:p>
        </w:tc>
        <w:tc>
          <w:tcPr>
            <w:tcW w:w="6100" w:type="dxa"/>
            <w:vAlign w:val="bottom"/>
            <w:gridSpan w:val="2"/>
          </w:tcPr>
          <w:p>
            <w:pPr>
              <w:jc w:val="right"/>
              <w:spacing w:after="0"/>
              <w:rPr>
                <w:sz w:val="20"/>
                <w:szCs w:val="20"/>
                <w:color w:val="auto"/>
              </w:rPr>
            </w:pPr>
            <w:r>
              <w:rPr>
                <w:rFonts w:ascii="Arial" w:cs="Arial" w:eastAsia="Arial" w:hAnsi="Arial"/>
                <w:sz w:val="18"/>
                <w:szCs w:val="18"/>
                <w:color w:val="auto"/>
              </w:rPr>
              <w:t>60,005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96,668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spacing w:after="0"/>
              <w:rPr>
                <w:sz w:val="18"/>
                <w:szCs w:val="18"/>
                <w:color w:val="auto"/>
              </w:rPr>
            </w:pPr>
          </w:p>
        </w:tc>
        <w:tc>
          <w:tcPr>
            <w:tcW w:w="476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13,300,094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11,679,486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760" w:type="dxa"/>
            <w:vAlign w:val="bottom"/>
            <w:vMerge w:val="restart"/>
          </w:tcPr>
          <w:p>
            <w:pPr>
              <w:jc w:val="right"/>
              <w:ind w:right="2350"/>
              <w:spacing w:after="0"/>
              <w:rPr>
                <w:sz w:val="20"/>
                <w:szCs w:val="20"/>
                <w:color w:val="auto"/>
              </w:rPr>
            </w:pPr>
            <w:r>
              <w:rPr>
                <w:rFonts w:ascii="Arial" w:cs="Arial" w:eastAsia="Arial" w:hAnsi="Arial"/>
                <w:sz w:val="18"/>
                <w:szCs w:val="18"/>
                <w:color w:val="auto"/>
              </w:rPr>
              <w:t>14</w:t>
            </w: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0" w:type="dxa"/>
            <w:vAlign w:val="bottom"/>
            <w:tcBorders>
              <w:bottom w:val="single" w:sz="8" w:color="808080"/>
            </w:tcBorders>
          </w:tcPr>
          <w:p>
            <w:pPr>
              <w:spacing w:after="0"/>
              <w:rPr>
                <w:sz w:val="11"/>
                <w:szCs w:val="11"/>
                <w:color w:val="auto"/>
              </w:rPr>
            </w:pPr>
          </w:p>
        </w:tc>
        <w:tc>
          <w:tcPr>
            <w:tcW w:w="3340" w:type="dxa"/>
            <w:vAlign w:val="bottom"/>
            <w:tcBorders>
              <w:bottom w:val="single" w:sz="8" w:color="808080"/>
            </w:tcBorders>
          </w:tcPr>
          <w:p>
            <w:pPr>
              <w:spacing w:after="0"/>
              <w:rPr>
                <w:sz w:val="11"/>
                <w:szCs w:val="11"/>
                <w:color w:val="auto"/>
              </w:rPr>
            </w:pPr>
          </w:p>
        </w:tc>
        <w:tc>
          <w:tcPr>
            <w:tcW w:w="476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580" w:hanging="324"/>
        <w:spacing w:after="0" w:line="308"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complete research and further development, including animal, preclinical and clinical studies, and, if we obtain regulatory approval, commercialization of our drug candidates and the growth of the markets for those drug candidates;</w:t>
      </w:r>
    </w:p>
    <w:p>
      <w:pPr>
        <w:spacing w:after="0" w:line="146" w:lineRule="exact"/>
        <w:rPr>
          <w:rFonts w:ascii="Arial" w:cs="Arial" w:eastAsia="Arial" w:hAnsi="Arial"/>
          <w:sz w:val="17"/>
          <w:szCs w:val="17"/>
          <w:color w:val="auto"/>
        </w:rPr>
      </w:pPr>
    </w:p>
    <w:p>
      <w:pPr>
        <w:ind w:left="980" w:right="120" w:hanging="324"/>
        <w:spacing w:after="0" w:line="259"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 who may be the sole source of supply;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260" w:hanging="324"/>
        <w:spacing w:after="0" w:line="342"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23" w:lineRule="exact"/>
        <w:rPr>
          <w:rFonts w:ascii="Arial" w:cs="Arial" w:eastAsia="Arial" w:hAnsi="Arial"/>
          <w:sz w:val="16"/>
          <w:szCs w:val="16"/>
          <w:color w:val="auto"/>
        </w:rPr>
      </w:pPr>
    </w:p>
    <w:p>
      <w:pPr>
        <w:ind w:left="980" w:right="10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regain compliance with applicable NASDAQ listing standards for continued listing of our common stock on the NASDAQ Global Market;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anticipated benefits and cost-savings from the restructuring we announced in April 2018;</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 and to operate the combined business efficiently;</w:t>
      </w:r>
    </w:p>
    <w:p>
      <w:pPr>
        <w:spacing w:after="0" w:line="225" w:lineRule="exact"/>
        <w:rPr>
          <w:rFonts w:ascii="Arial" w:cs="Arial" w:eastAsia="Arial" w:hAnsi="Arial"/>
          <w:sz w:val="18"/>
          <w:szCs w:val="18"/>
          <w:color w:val="auto"/>
        </w:rPr>
      </w:pPr>
    </w:p>
    <w:p>
      <w:pPr>
        <w:ind w:left="980" w:right="42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0" w:hanging="324"/>
        <w:spacing w:after="0" w:line="286" w:lineRule="auto"/>
        <w:tabs>
          <w:tab w:leader="none" w:pos="94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risk factors set forth elsewhere in this quarterly report on Form 10-Q and the factors listed under the headings “Business,” “Risk Factors” and “Management’s Discussion and Analysis of Financial Condition and Results of Operations” in the Company’s annual report on Form 10-K for the year ended December 31, 2017 and other reports that we file with the Securities and Exchange Commission</w:t>
      </w:r>
      <w:r>
        <w:rPr>
          <w:rFonts w:ascii="Arial" w:cs="Arial" w:eastAsia="Arial" w:hAnsi="Arial"/>
          <w:sz w:val="17"/>
          <w:szCs w:val="17"/>
          <w:i w:val="1"/>
          <w:iCs w:val="1"/>
          <w:color w:val="auto"/>
        </w:rPr>
        <w:t>.</w:t>
      </w:r>
    </w:p>
    <w:p>
      <w:pPr>
        <w:spacing w:after="0" w:line="16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immunotherapies and other targeted biologics. Our drug candidates are derived from a broad set of complementary technologies which have the ability to engage the human immune system and/or directly inhibit tumors to treat specific types of cancer or other diseases. They are aimed at addressing market opportunities for which we believe current therapies are inadequate or non-existent.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980" w:right="60" w:hanging="324"/>
        <w:spacing w:after="0" w:line="258"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CDX-1140, an agonist human monoclonal antibody targeted to CD40, a key activator of immune response, currently in a Phase 1 dose-escalation study in multiple types of solid tumors;</w:t>
      </w:r>
    </w:p>
    <w:p>
      <w:pPr>
        <w:spacing w:after="0" w:line="1" w:lineRule="exact"/>
        <w:rPr>
          <w:rFonts w:ascii="Arial" w:cs="Arial" w:eastAsia="Arial" w:hAnsi="Arial"/>
          <w:sz w:val="18"/>
          <w:szCs w:val="18"/>
          <w:color w:val="auto"/>
        </w:rPr>
      </w:pPr>
    </w:p>
    <w:p>
      <w:pPr>
        <w:ind w:left="980" w:right="80" w:hanging="324"/>
        <w:spacing w:after="0" w:line="220"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CDX-3379, a human monoclonal antibody designed to block the activity of ErbB3 (HER3), currently in an early Phase 2 study in advanced head and neck squamous cell cancer in combination with Erbitux</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CDX-301, a dendritic cell growth factor, currently being evaluated in a combination study with CDX-1140; and</w:t>
      </w:r>
    </w:p>
    <w:p>
      <w:pPr>
        <w:spacing w:after="0" w:line="7" w:lineRule="exact"/>
        <w:rPr>
          <w:rFonts w:ascii="Arial" w:cs="Arial" w:eastAsia="Arial" w:hAnsi="Arial"/>
          <w:sz w:val="18"/>
          <w:szCs w:val="18"/>
          <w:color w:val="auto"/>
        </w:rPr>
      </w:pPr>
    </w:p>
    <w:p>
      <w:pPr>
        <w:ind w:left="980" w:right="280" w:hanging="324"/>
        <w:spacing w:after="0" w:line="302" w:lineRule="auto"/>
        <w:tabs>
          <w:tab w:leader="none" w:pos="944" w:val="left"/>
        </w:tabs>
        <w:numPr>
          <w:ilvl w:val="0"/>
          <w:numId w:val="6"/>
        </w:numPr>
        <w:rPr>
          <w:rFonts w:ascii="Arial" w:cs="Arial" w:eastAsia="Arial" w:hAnsi="Arial"/>
          <w:sz w:val="17"/>
          <w:szCs w:val="17"/>
          <w:color w:val="auto"/>
        </w:rPr>
      </w:pPr>
      <w:r>
        <w:rPr>
          <w:rFonts w:ascii="Arial" w:cs="Arial" w:eastAsia="Arial" w:hAnsi="Arial"/>
          <w:sz w:val="17"/>
          <w:szCs w:val="17"/>
          <w:color w:val="auto"/>
        </w:rPr>
        <w:t>Varlilumab, an immune modulating antibody targeting CD27 designed to enhance a patient’s immune response against cancer that is currently completing a Phase 1/2 study in combination with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collaboration with Bristol-Myers Squibb Company (BMS).</w:t>
      </w:r>
    </w:p>
    <w:p>
      <w:pPr>
        <w:spacing w:after="0" w:line="70" w:lineRule="exact"/>
        <w:rPr>
          <w:sz w:val="20"/>
          <w:szCs w:val="20"/>
          <w:color w:val="auto"/>
        </w:rPr>
      </w:pPr>
    </w:p>
    <w:p>
      <w:pPr>
        <w:jc w:val="both"/>
        <w:ind w:right="800" w:firstLine="648"/>
        <w:spacing w:after="0" w:line="264" w:lineRule="auto"/>
        <w:rPr>
          <w:sz w:val="20"/>
          <w:szCs w:val="20"/>
          <w:color w:val="auto"/>
        </w:rPr>
      </w:pPr>
      <w:r>
        <w:rPr>
          <w:rFonts w:ascii="Arial" w:cs="Arial" w:eastAsia="Arial" w:hAnsi="Arial"/>
          <w:sz w:val="18"/>
          <w:szCs w:val="18"/>
          <w:color w:val="auto"/>
        </w:rPr>
        <w:t>We routinely work with external parties to collaboratively advance our drug candidates. In addition to Celldex-led studies, we also have an Investigator Initiated Research (IIR) program with seven studies ongoing with our prioritized drug candidates and additional studies currently under consideration.</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April 2018, we announced that our Phase 2b METRIC Study of glembatumumab vedotin in metastatic triple-negative breast cancer did not meet its primary endpoint. Based on this result, in the second quarter of 2018, we prioritized our pipeline and evaluated our operational and workforce needs to extend our financial resources and direct them to continued pipeline advancement. As previously disclosed, in line with this initiative and to conserve resources, we discontinued development of glembatumumab vedotin, CDX-014 and CDX-1401.</w:t>
      </w:r>
    </w:p>
    <w:p>
      <w:pPr>
        <w:spacing w:after="0" w:line="171"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several years or more, and the length of time generally varies substantially according to the type, complexity, novelty and intended use of a drug candidate.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not unusual for the clinical development of these types of drug candidates to each take five years or more, and for total development costs to exceed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each drug candidate. We estimate that clinical trials of the type we generally conduct are typically completed over the following timelines: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5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Completion</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57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Phase 1</w:t>
            </w:r>
          </w:p>
        </w:tc>
        <w:tc>
          <w:tcPr>
            <w:tcW w:w="5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1 - 2 Years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Phase 2</w:t>
            </w:r>
          </w:p>
        </w:tc>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1 - 5 Years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Phase 3</w:t>
            </w:r>
          </w:p>
        </w:tc>
        <w:tc>
          <w:tcPr>
            <w:tcW w:w="5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1 - 5 Years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700" w:type="dxa"/>
            <w:vAlign w:val="bottom"/>
          </w:tcPr>
          <w:p>
            <w:pPr>
              <w:jc w:val="right"/>
              <w:ind w:right="323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During the past five years through December 31, 2017, we incurred an aggregate of $470.9 million in research and development expenses. The following table indicates the amount incurred for each of our significant research programs and for other identified research and development activities during the nine months ended September 30, 2018 and 2017. The amounts disclosed in the following table reflect direct research and development costs, license fees associated with the underlying technology and an allocation of indirect research and development costs to each program.</w:t>
      </w:r>
    </w:p>
    <w:p>
      <w:pPr>
        <w:spacing w:after="0" w:line="13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Nine Months Ended</w:t>
            </w:r>
          </w:p>
        </w:tc>
        <w:tc>
          <w:tcPr>
            <w:tcW w:w="180" w:type="dxa"/>
            <w:vAlign w:val="bottom"/>
          </w:tcPr>
          <w:p>
            <w:pPr>
              <w:spacing w:after="0"/>
              <w:rPr>
                <w:sz w:val="14"/>
                <w:szCs w:val="14"/>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September 30, 2018</w:t>
            </w:r>
          </w:p>
        </w:tc>
        <w:tc>
          <w:tcPr>
            <w:tcW w:w="180" w:type="dxa"/>
            <w:vAlign w:val="bottom"/>
          </w:tcPr>
          <w:p>
            <w:pPr>
              <w:spacing w:after="0"/>
              <w:rPr>
                <w:sz w:val="14"/>
                <w:szCs w:val="14"/>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September 30, 2017</w:t>
            </w:r>
          </w:p>
        </w:tc>
      </w:tr>
      <w:tr>
        <w:trPr>
          <w:trHeight w:val="142"/>
        </w:trPr>
        <w:tc>
          <w:tcPr>
            <w:tcW w:w="7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540" w:type="dxa"/>
            <w:vAlign w:val="bottom"/>
            <w:tcBorders>
              <w:top w:val="single" w:sz="8" w:color="auto"/>
            </w:tcBorders>
            <w:gridSpan w:val="4"/>
          </w:tcPr>
          <w:p>
            <w:pPr>
              <w:jc w:val="right"/>
              <w:ind w:right="131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5,788</w:t>
            </w: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CDX-3379</w:t>
            </w: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2,935</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1,616</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Varlilumab</w:t>
            </w: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7,222</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11,956</w:t>
            </w: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Anti-KIT Program</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6,436</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w:t>
            </w: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TAM Program</w:t>
            </w: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4,245</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3,914</w:t>
            </w: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Glembatumumab vedotin</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16,355</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26,240</w:t>
            </w: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CDX-014</w:t>
            </w: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1,412</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1,925</w:t>
            </w: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10,845</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14,375</w:t>
            </w:r>
          </w:p>
        </w:tc>
      </w:tr>
      <w:tr>
        <w:trPr>
          <w:trHeight w:val="210"/>
        </w:trPr>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rapidly identify the dose for characterizing single-agent and combination activity.</w:t>
      </w:r>
    </w:p>
    <w:p>
      <w:pPr>
        <w:spacing w:after="0" w:line="17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initiated a Phase 1 study of CDX-1140 in November 2017. This study is expected to enroll up to approximately 150 patients with recurrent, locally advanced or metastatic solid tumors and was recently amended to also include lymphoma.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 To this end, in the second quarter of 2018, we amended the Phase 1 study protocol to also explore CDX-1140 in combination with CDX-301 and are considering additional combinations, including with varlilumab.</w:t>
      </w:r>
    </w:p>
    <w:p>
      <w:pPr>
        <w:spacing w:after="0" w:line="16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Interim data from the Phase 1 study has been accepted for presentation on Friday, November 9, 2018 at the Society for Immunotherapy of Cancer (SITC)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CDX-3379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We believe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 CDX-3379 has been evaluated in three Phase 1 studies for the treatment of multiple solid tumors that express ErbB3 and is currently being evaluated in a Phase 2 study in combination with Erbitux in Erbitux-resistant, advanced head and neck squamous cell carcinoma.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6"/>
          <w:szCs w:val="16"/>
          <w:color w:val="auto"/>
        </w:rPr>
        <w:t>A Phase 1a/1b study of CDX-3379 was conducted in solid tumors. The study included a single-agent, dose-escalation portion and combination expansion cohorts. The single-agent, dose-escalation portion of the study did not identify an MTD, and there were no dose limiting toxicities. Four combination arms across multiple tumor types were added to evaluate CDX-3379 with several drugs that target EGFR, HER2 or BRAF. They include combinations with Erbitux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(n=16), Tarceva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(n=8), Zelboraf</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(n=9) and Herceptin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(n=10). Patients had advanced disease and were generally heavily pretreated. Across the combination arms, the most frequent adverse events were diarrhea, nausea, rash and fatigue. Objective responses were observed in the Erbitux and Zelboraf combination arms. In the Erbitux arm, there was one durable complete response in a patient with head and neck cancer, who had been previously treated with Erbitux and was refractory. In the Zelboraf arm, there were two partial responses in patients who had lung cancer, one of whom had been previously treated with Tafinlar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was considered refractory, as well as an unconfirmed partial response in a patient with thyroid cancer. Initial data were presented at the 2016 American Society of Clinical Oncology (ASCO) Annual Meeting.</w:t>
      </w:r>
    </w:p>
    <w:p>
      <w:pPr>
        <w:spacing w:after="0" w:line="17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April 2018, results from a window-of-opportunity study evaluating the effect of CDX-3379 on potential biomarkers in patients with head and neck squamous cell carcinoma (HNSCC) were presented at the American Association for Cancer Research (AACR) Annual Meeting. The study enrolled 12 patients with newly diagnosed HNSCC who received two doses of CDX-3379, at a two-week interval prior to tumor resection. CDX-3379 reduced phosphorylated ErbB3 (pErbB3) levels in 83% (10/12) of patient samples, with greater than or equal to 50% decreases in 58% of patients (7/12), which met the primary study objective. Stable disease was observed in 92% (11/12) of patients prior to surgery, and a patient with HPV-negative disease experienced significant tumor shrinkage (92% in primary tumor; 26% in metastatic lesion). CDX-3379 was well-tolerated, and no treatment-related adverse events were observed.</w:t>
      </w:r>
    </w:p>
    <w:p>
      <w:pPr>
        <w:spacing w:after="0" w:line="1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Preclinical data from the combination of CDX-3379 and Erbitux in xenograft models of head and neck squamous cell carcinoma were also presented at the AACR Annual Meeting in April 2018. Combining CDX-3379 and Erbitux inhibited tumor growth more potently than Erbitux alone. Mechanistic studies demonstrated a reduction of PD-L1 expression from the combination.</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have initiated an open-label Phase 2 study in combination with Erbitux in approximately 30 patients with human papillomavirus (HPV) negative, Erbitux-resistant, advanced head and neck squamous cell carcinoma who have previously been treated with an anti-PD1 checkpoint inhibitor, a population with limited options and a particularly poor prognosis. We opened the study to enrollment in November 2017. The study employs a two-stage design with an interim futility analysis following enrollment of the first 13 patients. Enrollment to the first stage of the Phase 2 study (n=13) is nearing completion with a number of patients still undergoing treatment and not yet eligible for response evaluation. The primary objective of the study is objective response rate. Secondary objectives include assessments of clinical benefit response (CBR), duration of response (DOR), PFS and overall survival (OS), and safety and pharmacokinetics associated with the combination. CDX-3379 is also being studied in an investigator-sponsored study.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Varlilumab is a fully human agonist monoclonal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We have entered into license agreements with the University of Southampton, UK for intellectual property to use anti-CD27 antibodies and with Medarex (acquired by Bristol-Myers Squibb Company, or BMS) for access to the UltiMab technology to develop and commercialize human antibodies to CD27. Varlilumab was initially studied as a single-agent to establish a safety profile and assess immunologic and clinical activity in patients with cancer, but we believe the greatest opportunity for varlilumab is as an immune activator in combination with other agents.</w:t>
      </w:r>
    </w:p>
    <w:p>
      <w:pPr>
        <w:spacing w:after="0" w:line="16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Single-Agent Phase 1 Study: </w:t>
      </w:r>
      <w:r>
        <w:rPr>
          <w:rFonts w:ascii="Arial" w:cs="Arial" w:eastAsia="Arial" w:hAnsi="Arial"/>
          <w:sz w:val="17"/>
          <w:szCs w:val="17"/>
          <w:color w:val="auto"/>
        </w:rPr>
        <w:t>In an open-label Phase 1 study of varlilumab in patients with selected malignant solid tumors or hematologic cancers,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varlilumab demonstrated an acceptable safety profile and induced immunologic activity in patients that is consistent with both its proposed mechanism of action and data in preclinical models. A total of 90 patients received varlilumab in the study at multiple clinical sites in the U.S. In both the solid tumor and hematologic dose escalations, the pre-specified maximum dose level (10 mg/kg) was reached without identification of an MTD. The majority of adverse events, or AEs, related to treatment were mild to moderate (Grade 1/2) in severity, and no significant immune-mediated adverse events typically associated with checkpoint blockade were observed. Durable, multi-year clinical benefit was demonstrated in select patients without additional anti-cancer therapy. Final results from the study in patients with solid tumors were published in the </w:t>
      </w:r>
      <w:r>
        <w:rPr>
          <w:rFonts w:ascii="Arial" w:cs="Arial" w:eastAsia="Arial" w:hAnsi="Arial"/>
          <w:sz w:val="17"/>
          <w:szCs w:val="17"/>
          <w:i w:val="1"/>
          <w:iCs w:val="1"/>
          <w:color w:val="auto"/>
        </w:rPr>
        <w:t>Journal of Clinical Oncology</w:t>
      </w:r>
      <w:r>
        <w:rPr>
          <w:rFonts w:ascii="Arial" w:cs="Arial" w:eastAsia="Arial" w:hAnsi="Arial"/>
          <w:sz w:val="17"/>
          <w:szCs w:val="17"/>
          <w:color w:val="auto"/>
        </w:rPr>
        <w:t xml:space="preserve"> in April 2017.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 xml:space="preserve">Phase 1/2 Varlilumab/Opdivo Combination Study: </w:t>
      </w:r>
      <w:r>
        <w:rPr>
          <w:rFonts w:ascii="Arial" w:cs="Arial" w:eastAsia="Arial" w:hAnsi="Arial"/>
          <w:sz w:val="17"/>
          <w:szCs w:val="17"/>
          <w:color w:val="auto"/>
        </w:rPr>
        <w:t>In 2014, we entered into a clinical trial collaboration with BMS to evaluate the safety,</w:t>
      </w:r>
      <w:r>
        <w:rPr>
          <w:rFonts w:ascii="Arial" w:cs="Arial" w:eastAsia="Arial" w:hAnsi="Arial"/>
          <w:sz w:val="17"/>
          <w:szCs w:val="17"/>
          <w:b w:val="1"/>
          <w:bCs w:val="1"/>
          <w:color w:val="auto"/>
        </w:rPr>
        <w:t xml:space="preserve"> </w:t>
      </w:r>
      <w:r>
        <w:rPr>
          <w:rFonts w:ascii="Arial" w:cs="Arial" w:eastAsia="Arial" w:hAnsi="Arial"/>
          <w:sz w:val="17"/>
          <w:szCs w:val="17"/>
          <w:color w:val="auto"/>
        </w:rPr>
        <w:t>tolerability and preliminary efficacy of varlilumab and Opdivo, BMS’ PD-1 immune checkpoint inhibitor, in a Phase 1/2 study. The Phase 1 portion of the study was initiated in January 2015 and conducted in adult patients with multiple solid tumors to assess the safety and tolerability of varlilumab at varying doses when administered with Opdivo. It was followed by a Phase 2 expansion to evaluate the activity of the combination in disease specific cohorts. Enrollment to the Phase 2 portion of the study was completed in January 2018 with cohorts in colorectal cancer (n=21), ovarian cancer (n=58), head and neck squamous cell carcinoma (n=24), renal cell carcinoma (n=14) and glioblastoma (n=22). The primary objective of the Phase 2 cohorts is objective response rate, or ORR, except glioblastoma, where the primary objective is the rate of 12-month OS.</w:t>
      </w:r>
    </w:p>
    <w:p>
      <w:pPr>
        <w:spacing w:after="0" w:line="17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Data from the ovarian and colorectal cancer cohorts were presented in an oral presentation at the 2018 ASCO Annual Meeting. Sixty-six patients with ovarian cancer were treated in the study (8 patients in Phase 1; 58 patients in Phase 2). Patients had a median of three prior lines of therapy, 91% had Stage IV disease and 66% had PD-L1 negative tumors. The overall response rate was 14% (n=9; 7 confirmed, 2 unconfirmed) across 64 response-evaluable patients. For patients with paired tumor samples (n=24) from before and during treatment, increases in tumor expression of PD-L1 and CD8+ TIL levels were observed. These increases were associated with improved clinical outcome, including improved progression-free survival (PFS) and response rate.</w:t>
      </w:r>
    </w:p>
    <w:p>
      <w:pPr>
        <w:spacing w:after="0" w:line="158" w:lineRule="exact"/>
        <w:rPr>
          <w:sz w:val="20"/>
          <w:szCs w:val="20"/>
          <w:color w:val="auto"/>
        </w:rPr>
      </w:pPr>
    </w:p>
    <w:p>
      <w:pPr>
        <w:ind w:firstLine="689"/>
        <w:spacing w:after="0" w:line="272" w:lineRule="auto"/>
        <w:rPr>
          <w:sz w:val="20"/>
          <w:szCs w:val="20"/>
          <w:color w:val="auto"/>
        </w:rPr>
      </w:pPr>
      <w:r>
        <w:rPr>
          <w:rFonts w:ascii="Arial" w:cs="Arial" w:eastAsia="Arial" w:hAnsi="Arial"/>
          <w:sz w:val="17"/>
          <w:szCs w:val="17"/>
          <w:color w:val="auto"/>
        </w:rPr>
        <w:t>Forty-two patients with colorectal cancer were treated in the study (21 patients in Phase 1; 21 patients in Phase 2). Patients had a median of four prior lines of therapy, 100% had Stage IV disease and 87% had PD-L1 negative tumors. One patient had disease that was MSI-high and 21 patients had disease that was MSI-low/mismatch repair (MMR) proficient; MSI status for the remaining 20 patients was unknown. One patient with PD-L1 negative, MSI-high disease experienced a confirmed partial response in the Phase 2 study portion. Of note, a patient with PD-L1 negative disease, initially considered MMR proficient as determined by standard screening laboratory analysis, achieved a near complete response in the Phase 1 portion of the study, which continued at last follow-up at 35 months. This patient’s tumor had a high mutational burden and mutations in genes regulating DNA repair, which together likely contributed to the response. Disease control rate for the response-evaluable population was 20% (8/41).</w:t>
      </w:r>
    </w:p>
    <w:p>
      <w:pPr>
        <w:spacing w:after="0" w:line="178"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In the second quarter of 2018, we reported preliminary data from the head and neck squamous cell carcinoma (HNSCC) and renal cell carcinoma (RCC) cohorts. Twenty-seven patients with HNSCC were treated in the study (3 patients in Phase 1; 24 patients in Phase 2). Patients had a median of two prior lines of therapy, 96% had Stage IV disease, 63% had PD-L1 negative tumors and 52% had HPV positive tumors. The overall response rate was 15% (n=4 confirmed) across 27 response-evaluable patients. In this small sample size, no correlation between PDL-1 status and clinical outcome was observed. Given the changing treatment paradigm in renal cell carcinoma, only fourteen patients with RCC were treated in the study, all in Phase 2. All patients had experienced prior angiogenic therapy, with a range of 1 to 4 prior treatments, 100% had Stage IV disease and 50% had PD-L1 negative tumors. 39% of patients experienced stable disease.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Data from the GBM cohort has been accepted for presentation on Saturday, November 17, 2018 at the Society for Neuro-oncology (SNO) Annual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Meeting.</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Future development of varlilumab is focused on inclusion in internal combination studies, including potentially in the ongoing Phase 1 trial of CDX-1140, and several external investigator-initiated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CDX-301, a recombinant FMS-like tyrosine kinase 3 ligand, or Flt3L, is a hematopoietic cytokine that uniquely expands dendritic cells and hematopoietic stem cells, and in combination with other agents may potentiate anti-tumor responses. Depending on the setting, cells expanded by CDX-301 promote either enhanced or permissive immunity. We licensed CDX-301 from Amgen Inc. and believe CDX-301 may hold significant opportunity for synergistic development in combination with other proprietary molecules in our portfolio, as well as with approved or investigational therapies for the treatment of cancer.</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dendritic cell and hematopoietic stem cell populations in healthy volunteers. The study was published in the journal Bone Marrow Transplantation in 2015.</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CDX-301 is being used as a priming agent to potentially increase the number of cells available to respond to CDX-1140 in the ongoing Phase 1 trial of CDX-1140. CDX-301 is also in clinical development for multiple cancers in ongoing and planned investigator-sponsored and collaborative studies, including in combination with treatments that release tumor antigens, such as radiation therapy.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See Note 3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2017 for a discussion of our critical accounting policies. There have been no material changes to such critical accounting policies except for the adoption of the updated revenue recognition standard on January 1, 2018. We believe our most critical accounting policies include accounting for business combinations, revenue recognition, intangible and long-lived assets, research and development expenses and stock-based compensation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Compared with Three Months Ended September 30,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Increase/</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(Decrease)</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5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gridSpan w:val="7"/>
          </w:tcPr>
          <w:p>
            <w:pPr>
              <w:jc w:val="right"/>
              <w:ind w:right="98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9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(1,107)</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r>
      <w:tr>
        <w:trPr>
          <w:trHeight w:val="216"/>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(1,876)</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r>
      <w:tr>
        <w:trPr>
          <w:trHeight w:val="250"/>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6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280" w:type="dxa"/>
            <w:vAlign w:val="bottom"/>
            <w:tcBorders>
              <w:bottom w:val="single" w:sz="8" w:color="CCEEFF"/>
            </w:tcBorders>
            <w:gridSpan w:val="2"/>
          </w:tcPr>
          <w:p>
            <w:pPr>
              <w:spacing w:after="0"/>
              <w:rPr>
                <w:sz w:val="21"/>
                <w:szCs w:val="21"/>
                <w:color w:val="auto"/>
              </w:rPr>
            </w:pPr>
          </w:p>
        </w:tc>
        <w:tc>
          <w:tcPr>
            <w:tcW w:w="1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(76)%</w:t>
            </w:r>
          </w:p>
        </w:tc>
      </w:tr>
      <w:tr>
        <w:trPr>
          <w:trHeight w:val="170"/>
        </w:trPr>
        <w:tc>
          <w:tcPr>
            <w:tcW w:w="55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11,918</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21,915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(9,997)</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r>
      <w:tr>
        <w:trPr>
          <w:trHeight w:val="216"/>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(1,624)</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Intangible Asset Impairment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(13,000)</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Fair Value Remeasurement of Contingent Consideration</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(224)</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(27,180)</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Operating Loss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(7,764)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(31,961)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(24,197)</w:t>
            </w:r>
          </w:p>
        </w:tc>
        <w:tc>
          <w:tcPr>
            <w:tcW w:w="280" w:type="dxa"/>
            <w:vAlign w:val="bottom"/>
            <w:gridSpan w:val="2"/>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68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(7,243)</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(31,563)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(24,320)</w:t>
            </w:r>
          </w:p>
        </w:tc>
        <w:tc>
          <w:tcPr>
            <w:tcW w:w="280" w:type="dxa"/>
            <w:vAlign w:val="bottom"/>
            <w:gridSpan w:val="2"/>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(5,200)</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Net Loss</w:t>
            </w:r>
          </w:p>
        </w:tc>
        <w:tc>
          <w:tcPr>
            <w:tcW w:w="6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(26,363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(19,120</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r>
      <w:tr>
        <w:trPr>
          <w:trHeight w:val="20"/>
        </w:trPr>
        <w:tc>
          <w:tcPr>
            <w:tcW w:w="5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$19.1 million decrease in net loss for the three months ended September 30, 2018, as compared to the three months ended September 30, 2017, was primarily the result of a decrease in intangible asset impairment expense and a decrease in research and development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$1.1 million decrease in product development and licensing agreements revenue for the three months ended September 30, 2018, as compared to the three months ended September 30, 2017, was primarily due to a decrease in revenue related to our BMS agreement. The $1.9 million decrease in contracts and grants revenue for the three months ended September 30, 2018, as compared to the three months ended September 30, 2017, was primarily related to a decrease in services performed under our contract manufacturing and research and development agreement with the International AIDS Vaccine Initiative.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drug candidates as follows:</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88"/>
              </w:rPr>
              <w:t>Increase/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2"/>
              </w:rPr>
              <w:t>(Decrease)</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7"/>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5,810</w:t>
            </w:r>
          </w:p>
        </w:tc>
        <w:tc>
          <w:tcPr>
            <w:tcW w:w="66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(3,123)</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886</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3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1,819</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License Fees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1,764</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(5,552)</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$3.1 million decrease in personnel expenses for the three months ended September 30, 2018, as compared to the three months ended September 30, 2017, was primarily due to a decrease in headcount and lower stock-based compensation expense. We expect personnel expenses to remain relatively consistent over the next twelve months, although there may be fluctuations on a quarterly basis.</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Laboratory supplies expenses include laboratory materials and supplies, services, and other related expenses incurred in the development of our technology. The $0.3 million decrease in laboratory supply expenses for the three months ended September 30, 2018, as compared to the three months ended September 30, 2017, was primarily due to lower laboratory materials and supplies purchases. We expect laboratory supplies expenses to remain relatively consistent over the next twelve months, although there may be fluctuations on a quarterly basis.</w:t>
      </w:r>
    </w:p>
    <w:p>
      <w:pPr>
        <w:spacing w:after="0" w:line="17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$0.2 million decrease in facility expenses for the three months ended September 30, 2018, as compared to the three months ended September 30, 2017, was primarily due to lower depreciation expense. We expect facility expenses to remain relatively consistent over the next twelve months, although there may be fluctuations on a quarterly basis.</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License fee expenses include annual license maintenance fees and milestone payments due upon the achievement of certain development, regulatory and/or commercial milestones. The $0.1 million decrease in license fee expenses for the three months ended September 30, 2018, as compared to the three months ended September 30, 2017, was due to the timing of certain development and/or regulatory milestones achieved by our drug candidates. We expect license fee expense to remain relatively consistent over the next twelve months, although there may be fluctuations on a quarterly basis.</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$5.6 million decrease in product development expenses for the three months ended September 30, 2018, as compared to the three months ended September 30, 2017, was primarily due to a decrease in clinical trial expenses of $3.2 million and a decrease in contract manufacturing expenses of $1.9 million. We expect product development expenses to remain relatively consistent over the next twelve months, although there may be fluctuations on a quarterly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$1.6 million decrease in general and administrative expenses for the three months ended September 30, 2018, as compared to the three months ended September 30, 2017, was primarily due to a decrease in headcount and lower legal expense and marketing expense. We expect general and administrative expenses to remain relatively consistent over the next twelve months, although there may be fluctuations on a quarterly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$6.9 million gain on fair value remeasurement of contingent consideration for the three months ended September 30, 2018 was primarily due to lower probability that milestones related to our anti-KIT program would be triggered by the Company’s current anti-KIT program development.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decrease in amortization expense for the three months ended September 30, 2018, as compared to the three months ended September 30, 2017, was the result of impairing the remaining balance of our intangible assets subject to amortization during the first quarter of 2018 due to the discontinuation of the Glemba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$0.1 million increase in investment and other income, net for the three months ended September 30, 2018, as compared to the three months ended September 30, 2017, was primarily due to higher interest rates on fixed income investments. We anticipate investment income to decrease over the next twelve months due to lower levels of cash and investment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Compared with Nine Months Ended September 30,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Increase/</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(Decrease)</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5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gridSpan w:val="6"/>
          </w:tcPr>
          <w:p>
            <w:pPr>
              <w:jc w:val="right"/>
              <w:ind w:right="98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9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2,792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r>
      <w:tr>
        <w:trPr>
          <w:trHeight w:val="216"/>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(1,817)</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r>
      <w:tr>
        <w:trPr>
          <w:trHeight w:val="250"/>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6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7,774</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9,287</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2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(16)%</w:t>
            </w:r>
          </w:p>
        </w:tc>
      </w:tr>
      <w:tr>
        <w:trPr>
          <w:trHeight w:val="170"/>
        </w:trPr>
        <w:tc>
          <w:tcPr>
            <w:tcW w:w="55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55,242</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72,707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(17,465)</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r>
      <w:tr>
        <w:trPr>
          <w:trHeight w:val="216"/>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14,936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(4,173)</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90,976</w:t>
            </w: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90,976</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r>
      <w:tr>
        <w:trPr>
          <w:trHeight w:val="216"/>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 Impairment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18,677</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Gain on Fair Value Remeasurement of Contingent Consideration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(27,968)</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27,768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r>
      <w:tr>
        <w:trPr>
          <w:trHeight w:val="210"/>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6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152,087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105,288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46,799</w:t>
            </w:r>
          </w:p>
        </w:tc>
        <w:tc>
          <w:tcPr>
            <w:tcW w:w="28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44%</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(144,313)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(96,001)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48,312</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1,767</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(142,546)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(94,390)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48,156</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Income Tax Benefit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(4,435)</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(141,781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(89,190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r>
      <w:tr>
        <w:trPr>
          <w:trHeight w:val="20"/>
        </w:trPr>
        <w:tc>
          <w:tcPr>
            <w:tcW w:w="5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$52.6 million increase in net loss for the nine months ended September 30, 2018, as compared to the nine months ended September 30, 2017, was primarily the result of the non-cash charges related to fully impairing our goodwill asset and Glemba-related intangible assets. This increase was partially offset by the gain on fair value remeasurement of contingent consideration and a decrease in research and development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$0.3 million increase in product development and licensing agreements revenue for the nine months ended September 30, 2018, as compared to the nine months ended September 30, 2017, was primarily due to an increase in revenue related to our BMS agreement. The $1.8 million decrease in contracts and grants revenue for the nine months ended September 30, 2018, as compared to the nine months ended September 30, 2017, was primarily related to a decrease in services performed under our contract manufacturing and research and development agreement with International AIDS Vaccine Initiative.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drug candidates as follows:</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88"/>
              </w:rPr>
              <w:t>Increase/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2"/>
              </w:rPr>
              <w:t>(Decrease)</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7"/>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0"/>
              </w:rPr>
              <w:t>22,586</w:t>
            </w:r>
          </w:p>
        </w:tc>
        <w:tc>
          <w:tcPr>
            <w:tcW w:w="64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28,079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(5,493)</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3,354</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(187)</w:t>
            </w:r>
          </w:p>
        </w:tc>
        <w:tc>
          <w:tcPr>
            <w:tcW w:w="3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5,901</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(748)</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License Fees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214</w:t>
            </w:r>
          </w:p>
        </w:tc>
        <w:tc>
          <w:tcPr>
            <w:tcW w:w="6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3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0"/>
              </w:rPr>
              <w:t>16,689</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26,965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(10,276)</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bl>
    <w:p>
      <w:pPr>
        <w:spacing w:after="0" w:line="20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$5.5 million decrease in personnel expenses for the nine months ended September 30, 2018, as compared to the nine months ended September 30, 2017, was primarily due to a decrease in headcount and lower stock-based compensation expense partially offset by severance expense of $1.0 million.</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$0.2 million decrease in laboratory supply expenses for the nine months ended September 30, 2018, as compared to the nine months ended September 30, 2017, was primarily due to lower laboratory materials and supplies purchases.</w:t>
      </w:r>
    </w:p>
    <w:p>
      <w:pPr>
        <w:spacing w:after="0" w:line="181"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$0.7 million decrease in facility expenses for the nine months ended September 30, 2018, as compared to the nine months ended September 30, 2017, was primarily due to lower depreciation expense.</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License fee expenses include annual license maintenance fees and milestone payments due upon the achievement of certain development, regulatory and/or commercial milestones. The $0.3 million decrease in license fee expenses for the nine months ended September 30, 2018, as compared to the nine months ended September 30, 2017, was due to the timing of certain development and/or regulatory milestones achieved by our drug candidates.</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$10.3 million decrease in product development expenses for the nine months ended September 30, 2018, as compared to the nine months ended September 30, 2017, was primarily due to a decrease in clinical trial expenses of $5.8 million and a decrease in contract manufacturing expenses of $3.2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$4.2 million decrease in general and administrative expenses for the nine months ended September 30, 2018, as compared to the nine months ended September 30, 2017, was primarily due to a decrease in headcount and lower stock-based compensation expense and marketing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$28.0 million gain on fair value remeasurement of contingent consideration for the nine months ended September 30, 2018 was due to discontinuation of the Glemba and CDX-014 programs, updated assumptions for the varlilumab program, and lower probability that milestones related to our anti-KIT program would be triggered by the Company’s current anti-KIT program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decrease in amortization expense for the nine months ended September 30, 2018, as compared to the nine months ended September 30, 2017, was the result of impairing the remaining balance of our intangible assets subject to amortization during the first quarter of 2018 due to the discontinuation of the Glemba program.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$0.2 million increase in investment and other income, net for the nine months ended September 30, 2018, as compared to the nine months ended September 30, 2017, was primarily due to higher interest rates on fixed income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6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At September 30, 2018, our principal sources of liquidity consisted of cash, cash equivalents and marketable securities of $105.6 million. We have had recurring losses and incurred a loss of $141.8 million for the nine months ended September 30, 2018. Net cash used in operations for the nine months ended September 30, 2018 was $59.8 million. We believe that the cash, cash equivalents and marketable securities at September 30, 2018, combined with the anticipated proceeds from future sales of our common stock under the Cantor agreement, are sufficient to meet estimated working capital requirements and fund planned operations through 2020. This could be impacted if we elected to pay Kolltan contingent milestones, if any, in cash.</w:t>
      </w:r>
    </w:p>
    <w:p>
      <w:pPr>
        <w:spacing w:after="0" w:line="15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During the next twelve months, we will take further steps to raise additional capital to meet our liquidity needs. Our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May 29, 2018, we received a written notice from the Listing Qualifications department of The NASDAQ Stock Market (the “Notice”) indicating that we are not in compliance with the $1.00 Minimum Bid Price requirement set forth in NASDAQ Listing Rule 5450(a)(1) for continued listing on the NASDAQ Global Market. If we do not regain compliance with Listing Rule 5450(a)(1) by November 26, 2018, we intend to apply to transfer to the NASDAQ Capital Market where we should be afforded an additional 180-day period in which to regain compliance, provided that (i) we meet the applicable market value of publicly held shares requirement for continued listing and all other applicable requirements for initial listing on the NASDAQ Capital Market (except for the bid price requirement) based on our most recent public filings and market information and (ii) we notify NASDAQ of our intent to cure the bid price requirement deficiency prior to the completion of the second 180-day compliance period by effecting a reverse stock split, if necessary. At our 2018 Annual Meeting of Stockholders, our stockholders approved a proposal to grant discretionary authority to our board of directors to amend our certificate of incorporation to effect a reverse split of our outstanding shares of common stock within a range of one share of common stock for every ten shares of common stock to one share of common stock for every fifteen shares of common stock, with the exact reverse split ratio to be decided and publicly announced by the board of directors prior to the effective time of the amendment to the Company’s certificate of incorporation.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Net cash used in operating activities was $59.8 million for the nine months ended September 30, 2018 as compared to $80.4 million for the nine months ended September 30, 2017. The decrease in net cash used in operating activities was primarily due to decreases in both general and administrative and research and development expenses. We expect that cash used in operating activities will remain relatively consistent over the next twelve months, although there may be fluctuations on a quarterly basis.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Net cash provided by investing activities was $26.5 million for the nine months ended September 30, 2018 as compared to $59.9 million for the nine months ended September 30, 2017. The decrease in net cash provided by investing activities was primarily due to net sales and maturities of marketable securities for the nine months ended September 30, 2018 of $26.8 million as compared to $61.4 million for the nine months ended September 30,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Net cash provided by financing activities was $25.9 million for the nine months ended September 30, 2018 as compared to $32.8 million for the nine months ended September 30, 2017. Net proceeds from stock issuances pursuant to employee benefit plans were $0.4 million during the nine months ended September 30, 2018 as compared to $0.2 million for the nine months ended September 30, 2017.</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May 2016, we entered into an agreement with Cantor Fitzgerald &amp; Co. (“Cantor”) to allow us to issue and sell shares of our common stock having an aggregate offering price of up to $60.0 million from time to time through Cantor, acting as agent. In November 2017, we filed a prospectus supplement registering the offer and sale of shares of common stock of up to an additional $75.0 million under the agreement with Cantor. During the nine months ended September 30, 2018, we issued 29,760,486 shares of common stock under this controlled equity offering sales agreement with Cantor resulting in net proceeds of $25.5 million after deducting commission and offering expenses. At September 30, 2018, we had $41.3 million remaining in aggregate gross offering price available under the Cantor agreement. In October 2018, we issued 3,884,597 shares of its common stock resulting in net proceeds to us of $1.6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2017 which was filed with the SEC on March 7, 2018 have not materially changed since we filed that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September 30, 2018 due to the short-term maturities of these instruments.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September 30, 2018,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2018.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2018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Any investment in our business involves a high degree of risk. Before making an investment decision, you should carefully consider the information we include in this Quarterly Report on Form 10-Q, including the risks described below and our condensed financial statements and accompanying notes, and the additional information in the other reports we file with the Securities and Exchange Commission along with the risks described in our Annual Report on Form 10-K for the fiscal year ended December 31, 2017.</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risks described below and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1"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Except as set forth below, there have been no material changes to the risk factors previously disclosed and included in our Annual Report on Form 10-K for the fiscal year ended December 31, 2017 and as updated in our quarterly report on Form 10-Q for the quarter ended June 30, 2018.</w:t>
      </w:r>
    </w:p>
    <w:p>
      <w:pPr>
        <w:spacing w:after="0" w:line="124" w:lineRule="exact"/>
        <w:rPr>
          <w:sz w:val="20"/>
          <w:szCs w:val="20"/>
          <w:color w:val="auto"/>
        </w:rPr>
      </w:pPr>
    </w:p>
    <w:p>
      <w:pPr>
        <w:jc w:val="both"/>
        <w:ind w:right="420"/>
        <w:spacing w:after="0" w:line="340" w:lineRule="auto"/>
        <w:rPr>
          <w:sz w:val="20"/>
          <w:szCs w:val="20"/>
          <w:color w:val="auto"/>
        </w:rPr>
      </w:pPr>
      <w:r>
        <w:rPr>
          <w:rFonts w:ascii="Arial" w:cs="Arial" w:eastAsia="Arial" w:hAnsi="Arial"/>
          <w:sz w:val="15"/>
          <w:szCs w:val="15"/>
          <w:b w:val="1"/>
          <w:bCs w:val="1"/>
          <w:i w:val="1"/>
          <w:iCs w:val="1"/>
          <w:color w:val="auto"/>
        </w:rPr>
        <w:t>We are not currently in compliance with the continued listing requirements for NASDAQ. If the price of our common stock continues to trade below $1.00 per share for a sustained period or we do not meet other continued listing requirements, our common stock may be delisted from the NASDAQ Global Market, which could affect the market price and liquidity for our common stock and reduce our ability to raise additional capital.</w:t>
      </w:r>
    </w:p>
    <w:p>
      <w:pPr>
        <w:spacing w:after="0" w:line="13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common stock is listed on the NASDAQ Global Market. In order to maintain that listing, we must satisfy minimum financial and other requirements including, without limitation, a requirement that our closing bid price be at least $1.00 per share. On May 29, 2018, we received a written notice from NASDAQ indicating that we are not in compliance with the minimum bid price requirement for continued listing on the NASDAQ Global Market. We have until November 26, 2018 to regain compliance. We can regain compliance if at any time prior to November 26, 2018 the bid price of our common stock closes at or above $1.00 per share for a minimum of ten consecutive business days.</w:t>
      </w:r>
    </w:p>
    <w:p>
      <w:pPr>
        <w:spacing w:after="0" w:line="18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If we fail to regain compliance with the minimum bid price requirement by November 26, 2018, we may apply to transfer to The NASDAQ Capital Market where we should be afforded an additional 180-day period to regain compliance provided that (i) we meet the applicable market value of publicly held shares requirement for continued listing and all other applicable requirements for initial listing on the NASDAQ Capital Market (except for the bid price requirement) based on our most recent public filings and market information and (ii) we notify NASDAQ of our intent to cure the bid price requirement deficiency prior to the completion of the second 180-day compliance period by effecting a reverse stock split, if necessary. At our annual meeting of stockholders in June 2018, our stockholders approved a proposal to grant discretionary authority to our board of directors to amend our certificate of incorporation to effect a reverse split of our outstanding shares of common stock within a range of one share of common stock for every ten shares of common stock to one share of common stock for every fifteen shares of common stock, with the exact reverse split ratio to be decided and publicly announced by the board of directors prior to the effective time of the amendment to our certificate of incorporation. We intend to monitor the closing bid price of our common stock and consider our available options to resolve our noncompliance with the minimum bid price requirement. No determination regarding our response has been made at this time. There can be no assurance that we will be able to regain compliance with the minimum bid price requirement or we will otherwise be in compliance with other NASDAQ listing criteria. If we fail to regain compliance with the minimum bid requirement or to meet the other applicable continued listing requirements for the NASDAQ Global Market in the future and NASDAQ determines to delist our common stock, the delisting could adversely affect the market price and liquidity of our common stock and reduce our ability to raise additional capital. In addition, if our common stock is delisted from NASDAQ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filed as part of this quarterly report on Form 10-Q are listed in the exhibit index included herewith and are incorporated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960" w:type="dxa"/>
            <w:vAlign w:val="bottom"/>
            <w:gridSpan w:val="3"/>
          </w:tcPr>
          <w:p>
            <w:pPr>
              <w:ind w:left="1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4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auto"/>
            </w:tcBorders>
            <w:gridSpan w:val="4"/>
          </w:tcPr>
          <w:p>
            <w:pPr>
              <w:spacing w:after="0" w:line="170" w:lineRule="exact"/>
              <w:rPr>
                <w:rFonts w:ascii="Arial" w:cs="Arial" w:eastAsia="Arial" w:hAnsi="Arial"/>
                <w:sz w:val="18"/>
                <w:szCs w:val="18"/>
                <w:color w:val="0000EE"/>
              </w:rPr>
            </w:pPr>
            <w:hyperlink w:anchor="page31">
              <w:r>
                <w:rPr>
                  <w:rFonts w:ascii="Arial" w:cs="Arial" w:eastAsia="Arial" w:hAnsi="Arial"/>
                  <w:sz w:val="18"/>
                  <w:szCs w:val="18"/>
                  <w:color w:val="0000EE"/>
                </w:rPr>
                <w:t>Certification of President and Chief Executive Officer</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Certification of Senior Vice President and Chief Financial Officer</w:t>
              </w:r>
            </w:hyperlink>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4720" w:type="dxa"/>
            <w:vAlign w:val="bottom"/>
            <w:tcBorders>
              <w:top w:val="single" w:sz="8" w:color="0000EE"/>
            </w:tcBorders>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Section 1350 Certifications</w:t>
              </w:r>
            </w:hyperlink>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9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1"/>
              </w:rPr>
              <w:t>XBRL Instance Document.</w:t>
            </w:r>
          </w:p>
        </w:tc>
        <w:tc>
          <w:tcPr>
            <w:tcW w:w="79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7, 2018</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SAM MARTIN</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7, 2018</w:t>
      </w:r>
      <w:r>
        <w:rPr>
          <w:sz w:val="20"/>
          <w:szCs w:val="20"/>
          <w:color w:val="auto"/>
        </w:rPr>
        <w:tab/>
      </w:r>
      <w:r>
        <w:rPr>
          <w:rFonts w:ascii="Arial" w:cs="Arial" w:eastAsia="Arial" w:hAnsi="Arial"/>
          <w:sz w:val="16"/>
          <w:szCs w:val="16"/>
          <w:color w:val="auto"/>
        </w:rPr>
        <w:t>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November 7, 2018</w:t>
            </w:r>
          </w:p>
        </w:tc>
        <w:tc>
          <w:tcPr>
            <w:tcW w:w="2760" w:type="dxa"/>
            <w:vAlign w:val="bottom"/>
          </w:tcPr>
          <w:p>
            <w:pPr>
              <w:ind w:left="20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720" w:type="dxa"/>
            <w:vAlign w:val="bottom"/>
          </w:tcPr>
          <w:p>
            <w:pPr>
              <w:spacing w:after="0"/>
              <w:rPr>
                <w:sz w:val="16"/>
                <w:szCs w:val="16"/>
                <w:color w:val="auto"/>
              </w:rPr>
            </w:pPr>
          </w:p>
        </w:tc>
        <w:tc>
          <w:tcPr>
            <w:tcW w:w="27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760" w:type="dxa"/>
            <w:vAlign w:val="bottom"/>
          </w:tcPr>
          <w:p>
            <w:pPr>
              <w:ind w:left="200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760" w:type="dxa"/>
            <w:vAlign w:val="bottom"/>
          </w:tcPr>
          <w:p>
            <w:pPr>
              <w:jc w:val="right"/>
              <w:ind w:right="630"/>
              <w:spacing w:after="0"/>
              <w:rPr>
                <w:sz w:val="20"/>
                <w:szCs w:val="20"/>
                <w:color w:val="auto"/>
              </w:rPr>
            </w:pPr>
            <w:r>
              <w:rPr>
                <w:rFonts w:ascii="Arial" w:cs="Arial" w:eastAsia="Arial" w:hAnsi="Arial"/>
                <w:sz w:val="18"/>
                <w:szCs w:val="18"/>
                <w:color w:val="auto"/>
              </w:rPr>
              <w:t>1</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88"/>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November 7, 2018</w:t>
            </w:r>
          </w:p>
        </w:tc>
        <w:tc>
          <w:tcPr>
            <w:tcW w:w="2760" w:type="dxa"/>
            <w:vAlign w:val="bottom"/>
          </w:tcPr>
          <w:p>
            <w:pPr>
              <w:ind w:left="20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c>
          <w:tcPr>
            <w:tcW w:w="40" w:type="dxa"/>
            <w:vAlign w:val="bottom"/>
          </w:tcPr>
          <w:p>
            <w:pPr>
              <w:spacing w:after="0"/>
              <w:rPr>
                <w:sz w:val="20"/>
                <w:szCs w:val="20"/>
                <w:color w:val="auto"/>
              </w:rPr>
            </w:pPr>
          </w:p>
        </w:tc>
      </w:tr>
      <w:tr>
        <w:trPr>
          <w:trHeight w:val="195"/>
        </w:trPr>
        <w:tc>
          <w:tcPr>
            <w:tcW w:w="3720" w:type="dxa"/>
            <w:vAlign w:val="bottom"/>
          </w:tcPr>
          <w:p>
            <w:pPr>
              <w:spacing w:after="0"/>
              <w:rPr>
                <w:sz w:val="16"/>
                <w:szCs w:val="16"/>
                <w:color w:val="auto"/>
              </w:rPr>
            </w:pPr>
          </w:p>
        </w:tc>
        <w:tc>
          <w:tcPr>
            <w:tcW w:w="27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Sam Martin</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760" w:type="dxa"/>
            <w:vAlign w:val="bottom"/>
          </w:tcPr>
          <w:p>
            <w:pPr>
              <w:ind w:left="200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760" w:type="dxa"/>
            <w:vAlign w:val="bottom"/>
          </w:tcPr>
          <w:p>
            <w:pPr>
              <w:jc w:val="right"/>
              <w:ind w:right="630"/>
              <w:spacing w:after="0"/>
              <w:rPr>
                <w:sz w:val="20"/>
                <w:szCs w:val="20"/>
                <w:color w:val="auto"/>
              </w:rPr>
            </w:pPr>
            <w:r>
              <w:rPr>
                <w:rFonts w:ascii="Arial" w:cs="Arial" w:eastAsia="Arial" w:hAnsi="Arial"/>
                <w:sz w:val="18"/>
                <w:szCs w:val="18"/>
                <w:color w:val="auto"/>
              </w:rPr>
              <w:t>1</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7, 2018</w:t>
            </w:r>
          </w:p>
        </w:tc>
        <w:tc>
          <w:tcPr>
            <w:tcW w:w="2720" w:type="dxa"/>
            <w:vAlign w:val="bottom"/>
          </w:tcPr>
          <w:p>
            <w:pPr>
              <w:ind w:left="19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760" w:type="dxa"/>
            <w:vAlign w:val="bottom"/>
          </w:tcPr>
          <w:p>
            <w:pPr>
              <w:spacing w:after="0"/>
              <w:rPr>
                <w:sz w:val="16"/>
                <w:szCs w:val="16"/>
                <w:color w:val="auto"/>
              </w:rPr>
            </w:pPr>
          </w:p>
        </w:tc>
        <w:tc>
          <w:tcPr>
            <w:tcW w:w="272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760" w:type="dxa"/>
            <w:vAlign w:val="bottom"/>
          </w:tcPr>
          <w:p>
            <w:pPr>
              <w:spacing w:after="0"/>
              <w:rPr>
                <w:sz w:val="20"/>
                <w:szCs w:val="20"/>
                <w:color w:val="auto"/>
              </w:rPr>
            </w:pPr>
          </w:p>
        </w:tc>
        <w:tc>
          <w:tcPr>
            <w:tcW w:w="2720" w:type="dxa"/>
            <w:vAlign w:val="bottom"/>
          </w:tcPr>
          <w:p>
            <w:pPr>
              <w:ind w:left="196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7, 2018</w:t>
            </w:r>
          </w:p>
        </w:tc>
        <w:tc>
          <w:tcPr>
            <w:tcW w:w="2720" w:type="dxa"/>
            <w:vAlign w:val="bottom"/>
          </w:tcPr>
          <w:p>
            <w:pPr>
              <w:ind w:left="19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760" w:type="dxa"/>
            <w:vAlign w:val="bottom"/>
          </w:tcPr>
          <w:p>
            <w:pPr>
              <w:spacing w:after="0"/>
              <w:rPr>
                <w:sz w:val="16"/>
                <w:szCs w:val="16"/>
                <w:color w:val="auto"/>
              </w:rPr>
            </w:pPr>
          </w:p>
        </w:tc>
        <w:tc>
          <w:tcPr>
            <w:tcW w:w="272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760" w:type="dxa"/>
            <w:vAlign w:val="bottom"/>
          </w:tcPr>
          <w:p>
            <w:pPr>
              <w:spacing w:after="0"/>
              <w:rPr>
                <w:sz w:val="20"/>
                <w:szCs w:val="20"/>
                <w:color w:val="auto"/>
              </w:rPr>
            </w:pPr>
          </w:p>
        </w:tc>
        <w:tc>
          <w:tcPr>
            <w:tcW w:w="2720" w:type="dxa"/>
            <w:vAlign w:val="bottom"/>
          </w:tcPr>
          <w:p>
            <w:pPr>
              <w:ind w:left="196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2019-12-28T18:31:06Z</dcterms:created>
  <dcterms:modified xsi:type="dcterms:W3CDTF">2019-12-28T18:31:06Z</dcterms:modified>
</cp:coreProperties>
</file>