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5" w:lineRule="exact"/>
        <w:rPr>
          <w:sz w:val="24"/>
          <w:szCs w:val="24"/>
          <w:color w:val="auto"/>
        </w:rPr>
      </w:pPr>
    </w:p>
    <w:p>
      <w:pPr>
        <w:spacing w:after="0"/>
        <w:rPr>
          <w:rFonts w:ascii="Arial" w:cs="Arial" w:eastAsia="Arial" w:hAnsi="Arial"/>
          <w:sz w:val="12"/>
          <w:szCs w:val="12"/>
          <w:u w:val="single" w:color="auto"/>
          <w:color w:val="0000EE"/>
        </w:rPr>
      </w:pPr>
      <w:hyperlink w:anchor="page1">
        <w:r>
          <w:rPr>
            <w:rFonts w:ascii="Arial" w:cs="Arial" w:eastAsia="Arial" w:hAnsi="Arial"/>
            <w:sz w:val="12"/>
            <w:szCs w:val="12"/>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100965</wp:posOffset>
            </wp:positionV>
            <wp:extent cx="7292340" cy="228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92340" cy="2286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146685</wp:posOffset>
            </wp:positionV>
            <wp:extent cx="72923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337"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UNITED STATES</w:t>
      </w:r>
    </w:p>
    <w:p>
      <w:pPr>
        <w:spacing w:after="0" w:line="14" w:lineRule="exact"/>
        <w:rPr>
          <w:sz w:val="24"/>
          <w:szCs w:val="24"/>
          <w:color w:val="auto"/>
        </w:rPr>
      </w:pPr>
    </w:p>
    <w:p>
      <w:pPr>
        <w:jc w:val="center"/>
        <w:ind w:right="40"/>
        <w:spacing w:after="0"/>
        <w:rPr>
          <w:sz w:val="20"/>
          <w:szCs w:val="20"/>
          <w:color w:val="auto"/>
        </w:rPr>
      </w:pPr>
      <w:r>
        <w:rPr>
          <w:rFonts w:ascii="Arial" w:cs="Arial" w:eastAsia="Arial" w:hAnsi="Arial"/>
          <w:sz w:val="21"/>
          <w:szCs w:val="21"/>
          <w:b w:val="1"/>
          <w:bCs w:val="1"/>
          <w:color w:val="auto"/>
        </w:rPr>
        <w:t>SECURITIES AND EXCHANGE COMMISSION</w:t>
      </w:r>
    </w:p>
    <w:p>
      <w:pPr>
        <w:spacing w:after="0" w:line="6" w:lineRule="exact"/>
        <w:rPr>
          <w:sz w:val="24"/>
          <w:szCs w:val="24"/>
          <w:color w:val="auto"/>
        </w:rPr>
      </w:pPr>
    </w:p>
    <w:p>
      <w:pPr>
        <w:jc w:val="center"/>
        <w:ind w:right="40"/>
        <w:spacing w:after="0"/>
        <w:rPr>
          <w:sz w:val="20"/>
          <w:szCs w:val="20"/>
          <w:color w:val="auto"/>
        </w:rPr>
      </w:pPr>
      <w:r>
        <w:rPr>
          <w:rFonts w:ascii="Arial" w:cs="Arial" w:eastAsia="Arial" w:hAnsi="Arial"/>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2722880</wp:posOffset>
            </wp:positionH>
            <wp:positionV relativeFrom="paragraph">
              <wp:posOffset>140335</wp:posOffset>
            </wp:positionV>
            <wp:extent cx="183578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35785" cy="5715"/>
                    </a:xfrm>
                    <a:prstGeom prst="rect">
                      <a:avLst/>
                    </a:prstGeom>
                    <a:noFill/>
                  </pic:spPr>
                </pic:pic>
              </a:graphicData>
            </a:graphic>
          </wp:anchor>
        </w:drawing>
      </w:r>
    </w:p>
    <w:p>
      <w:pPr>
        <w:spacing w:after="0" w:line="399"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FORM 10-Q</w:t>
      </w:r>
    </w:p>
    <w:p>
      <w:pPr>
        <w:spacing w:after="0" w:line="143" w:lineRule="exact"/>
        <w:rPr>
          <w:sz w:val="24"/>
          <w:szCs w:val="24"/>
          <w:color w:val="auto"/>
        </w:rPr>
      </w:pPr>
    </w:p>
    <w:p>
      <w:pPr>
        <w:ind w:left="200"/>
        <w:spacing w:after="0"/>
        <w:rPr>
          <w:sz w:val="20"/>
          <w:szCs w:val="20"/>
          <w:color w:val="auto"/>
        </w:rPr>
      </w:pPr>
      <w:r>
        <w:rPr>
          <w:rFonts w:ascii="Arial" w:cs="Arial" w:eastAsia="Arial" w:hAnsi="Arial"/>
          <w:sz w:val="14"/>
          <w:szCs w:val="14"/>
          <w:b w:val="1"/>
          <w:bCs w:val="1"/>
          <w:color w:val="auto"/>
        </w:rPr>
        <w:t>x QUARTERLY REPORT PURSUANT TO SECTION 13 OR 15(d) OF THE SECURITIES EXCHANGE ACT OF 1934</w:t>
      </w:r>
    </w:p>
    <w:p>
      <w:pPr>
        <w:spacing w:after="0" w:line="151" w:lineRule="exact"/>
        <w:rPr>
          <w:sz w:val="24"/>
          <w:szCs w:val="24"/>
          <w:color w:val="auto"/>
        </w:rPr>
      </w:pPr>
    </w:p>
    <w:p>
      <w:pPr>
        <w:jc w:val="center"/>
        <w:ind w:right="40"/>
        <w:spacing w:after="0"/>
        <w:rPr>
          <w:sz w:val="20"/>
          <w:szCs w:val="20"/>
          <w:color w:val="auto"/>
        </w:rPr>
      </w:pPr>
      <w:r>
        <w:rPr>
          <w:rFonts w:ascii="Arial" w:cs="Arial" w:eastAsia="Arial" w:hAnsi="Arial"/>
          <w:sz w:val="12"/>
          <w:szCs w:val="12"/>
          <w:b w:val="1"/>
          <w:bCs w:val="1"/>
          <w:color w:val="auto"/>
        </w:rPr>
        <w:t>For the quarterly period ended June 30, 2017</w:t>
      </w:r>
    </w:p>
    <w:p>
      <w:pPr>
        <w:spacing w:after="0" w:line="150" w:lineRule="exact"/>
        <w:rPr>
          <w:sz w:val="24"/>
          <w:szCs w:val="24"/>
          <w:color w:val="auto"/>
        </w:rPr>
      </w:pPr>
    </w:p>
    <w:p>
      <w:pPr>
        <w:jc w:val="center"/>
        <w:ind w:right="40"/>
        <w:spacing w:after="0"/>
        <w:rPr>
          <w:sz w:val="20"/>
          <w:szCs w:val="20"/>
          <w:color w:val="auto"/>
        </w:rPr>
      </w:pPr>
      <w:r>
        <w:rPr>
          <w:rFonts w:ascii="Arial" w:cs="Arial" w:eastAsia="Arial" w:hAnsi="Arial"/>
          <w:sz w:val="12"/>
          <w:szCs w:val="12"/>
          <w:b w:val="1"/>
          <w:bCs w:val="1"/>
          <w:color w:val="auto"/>
        </w:rPr>
        <w:t>OR</w:t>
      </w:r>
    </w:p>
    <w:p>
      <w:pPr>
        <w:spacing w:after="0" w:line="145" w:lineRule="exact"/>
        <w:rPr>
          <w:sz w:val="24"/>
          <w:szCs w:val="24"/>
          <w:color w:val="auto"/>
        </w:rPr>
      </w:pPr>
    </w:p>
    <w:p>
      <w:pPr>
        <w:ind w:left="200"/>
        <w:spacing w:after="0"/>
        <w:rPr>
          <w:sz w:val="20"/>
          <w:szCs w:val="20"/>
          <w:color w:val="auto"/>
        </w:rPr>
      </w:pPr>
      <w:r>
        <w:rPr>
          <w:rFonts w:ascii="Arial" w:cs="Arial" w:eastAsia="Arial" w:hAnsi="Arial"/>
          <w:sz w:val="14"/>
          <w:szCs w:val="14"/>
          <w:b w:val="1"/>
          <w:bCs w:val="1"/>
          <w:color w:val="auto"/>
        </w:rPr>
        <w:t>o TRANSITION REPORT PURSUANT TO SECTION 13 OR 15(d) OF THE SECURITIES EXCHANGE ACT OF 1934</w:t>
      </w:r>
    </w:p>
    <w:p>
      <w:pPr>
        <w:spacing w:after="0" w:line="151" w:lineRule="exact"/>
        <w:rPr>
          <w:sz w:val="24"/>
          <w:szCs w:val="24"/>
          <w:color w:val="auto"/>
        </w:rPr>
      </w:pPr>
    </w:p>
    <w:p>
      <w:pPr>
        <w:jc w:val="center"/>
        <w:ind w:right="40"/>
        <w:spacing w:after="0"/>
        <w:rPr>
          <w:sz w:val="20"/>
          <w:szCs w:val="20"/>
          <w:color w:val="auto"/>
        </w:rPr>
      </w:pPr>
      <w:r>
        <w:rPr>
          <w:rFonts w:ascii="Arial" w:cs="Arial" w:eastAsia="Arial" w:hAnsi="Arial"/>
          <w:sz w:val="12"/>
          <w:szCs w:val="12"/>
          <w:b w:val="1"/>
          <w:bCs w:val="1"/>
          <w:color w:val="auto"/>
        </w:rPr>
        <w:t>Commission File Number: 000-15006</w:t>
      </w:r>
    </w:p>
    <w:p>
      <w:pPr>
        <w:spacing w:after="0" w:line="136"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CELLDEX THERAPEUTICS, INC.</w:t>
      </w:r>
    </w:p>
    <w:p>
      <w:pPr>
        <w:spacing w:after="0" w:line="19" w:lineRule="exact"/>
        <w:rPr>
          <w:sz w:val="24"/>
          <w:szCs w:val="24"/>
          <w:color w:val="auto"/>
        </w:rPr>
      </w:pPr>
    </w:p>
    <w:p>
      <w:pPr>
        <w:jc w:val="center"/>
        <w:ind w:right="40"/>
        <w:spacing w:after="0"/>
        <w:rPr>
          <w:sz w:val="20"/>
          <w:szCs w:val="20"/>
          <w:color w:val="auto"/>
        </w:rPr>
      </w:pPr>
      <w:r>
        <w:rPr>
          <w:rFonts w:ascii="Arial" w:cs="Arial" w:eastAsia="Arial" w:hAnsi="Arial"/>
          <w:sz w:val="12"/>
          <w:szCs w:val="12"/>
          <w:color w:val="auto"/>
        </w:rPr>
        <w:t>(Exact name of registrant as specified in its charter)</w:t>
      </w:r>
    </w:p>
    <w:p>
      <w:pPr>
        <w:sectPr>
          <w:pgSz w:w="11900" w:h="16894" w:orient="portrait"/>
          <w:cols w:equalWidth="0" w:num="1">
            <w:col w:w="11500"/>
          </w:cols>
          <w:pgMar w:left="220" w:top="203" w:right="179" w:bottom="0" w:gutter="0" w:footer="0" w:header="0"/>
        </w:sectPr>
      </w:pPr>
    </w:p>
    <w:p>
      <w:pPr>
        <w:spacing w:after="0" w:line="136" w:lineRule="exact"/>
        <w:rPr>
          <w:sz w:val="24"/>
          <w:szCs w:val="24"/>
          <w:color w:val="auto"/>
        </w:rPr>
      </w:pPr>
    </w:p>
    <w:p>
      <w:pPr>
        <w:jc w:val="center"/>
        <w:ind w:right="1480"/>
        <w:spacing w:after="0"/>
        <w:rPr>
          <w:sz w:val="20"/>
          <w:szCs w:val="20"/>
          <w:color w:val="auto"/>
        </w:rPr>
      </w:pPr>
      <w:r>
        <w:rPr>
          <w:rFonts w:ascii="Arial" w:cs="Arial" w:eastAsia="Arial" w:hAnsi="Arial"/>
          <w:sz w:val="12"/>
          <w:szCs w:val="12"/>
          <w:b w:val="1"/>
          <w:bCs w:val="1"/>
          <w:color w:val="auto"/>
        </w:rPr>
        <w:t>Delaware</w:t>
      </w:r>
    </w:p>
    <w:p>
      <w:pPr>
        <w:spacing w:after="0" w:line="19" w:lineRule="exact"/>
        <w:rPr>
          <w:sz w:val="24"/>
          <w:szCs w:val="24"/>
          <w:color w:val="auto"/>
        </w:rPr>
      </w:pPr>
    </w:p>
    <w:p>
      <w:pPr>
        <w:jc w:val="center"/>
        <w:ind w:right="1480"/>
        <w:spacing w:after="0"/>
        <w:rPr>
          <w:sz w:val="20"/>
          <w:szCs w:val="20"/>
          <w:color w:val="auto"/>
        </w:rPr>
      </w:pPr>
      <w:r>
        <w:rPr>
          <w:rFonts w:ascii="Arial" w:cs="Arial" w:eastAsia="Arial" w:hAnsi="Arial"/>
          <w:sz w:val="11"/>
          <w:szCs w:val="11"/>
          <w:color w:val="auto"/>
        </w:rPr>
        <w:t>(State or other jurisdiction of incorporation or</w:t>
      </w:r>
    </w:p>
    <w:p>
      <w:pPr>
        <w:spacing w:after="0" w:line="18" w:lineRule="exact"/>
        <w:rPr>
          <w:sz w:val="24"/>
          <w:szCs w:val="24"/>
          <w:color w:val="auto"/>
        </w:rPr>
      </w:pPr>
    </w:p>
    <w:p>
      <w:pPr>
        <w:jc w:val="center"/>
        <w:ind w:right="1480"/>
        <w:spacing w:after="0"/>
        <w:rPr>
          <w:sz w:val="20"/>
          <w:szCs w:val="20"/>
          <w:color w:val="auto"/>
        </w:rPr>
      </w:pPr>
      <w:r>
        <w:rPr>
          <w:rFonts w:ascii="Arial" w:cs="Arial" w:eastAsia="Arial" w:hAnsi="Arial"/>
          <w:sz w:val="12"/>
          <w:szCs w:val="12"/>
          <w:color w:val="auto"/>
        </w:rPr>
        <w:t>organization)</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jc w:val="center"/>
        <w:ind w:right="1960"/>
        <w:spacing w:after="0"/>
        <w:rPr>
          <w:sz w:val="20"/>
          <w:szCs w:val="20"/>
          <w:color w:val="auto"/>
        </w:rPr>
      </w:pPr>
      <w:r>
        <w:rPr>
          <w:rFonts w:ascii="Arial" w:cs="Arial" w:eastAsia="Arial" w:hAnsi="Arial"/>
          <w:sz w:val="12"/>
          <w:szCs w:val="12"/>
          <w:b w:val="1"/>
          <w:bCs w:val="1"/>
          <w:color w:val="auto"/>
        </w:rPr>
        <w:t>No. 13-3191702</w:t>
      </w:r>
    </w:p>
    <w:p>
      <w:pPr>
        <w:spacing w:after="0" w:line="19" w:lineRule="exact"/>
        <w:rPr>
          <w:sz w:val="24"/>
          <w:szCs w:val="24"/>
          <w:color w:val="auto"/>
        </w:rPr>
      </w:pPr>
    </w:p>
    <w:p>
      <w:pPr>
        <w:jc w:val="center"/>
        <w:ind w:right="1960"/>
        <w:spacing w:after="0"/>
        <w:rPr>
          <w:sz w:val="20"/>
          <w:szCs w:val="20"/>
          <w:color w:val="auto"/>
        </w:rPr>
      </w:pPr>
      <w:r>
        <w:rPr>
          <w:rFonts w:ascii="Arial" w:cs="Arial" w:eastAsia="Arial" w:hAnsi="Arial"/>
          <w:sz w:val="11"/>
          <w:szCs w:val="11"/>
          <w:color w:val="auto"/>
        </w:rPr>
        <w:t>(I.R.S. Employer Identification No.)</w:t>
      </w:r>
    </w:p>
    <w:p>
      <w:pPr>
        <w:spacing w:after="0" w:line="292" w:lineRule="exact"/>
        <w:rPr>
          <w:sz w:val="24"/>
          <w:szCs w:val="24"/>
          <w:color w:val="auto"/>
        </w:rPr>
      </w:pPr>
    </w:p>
    <w:p>
      <w:pPr>
        <w:sectPr>
          <w:pgSz w:w="11900" w:h="16894" w:orient="portrait"/>
          <w:cols w:equalWidth="0" w:num="2">
            <w:col w:w="7080" w:space="720"/>
            <w:col w:w="3700"/>
          </w:cols>
          <w:pgMar w:left="220" w:top="203" w:right="179" w:bottom="0" w:gutter="0" w:footer="0" w:header="0"/>
          <w:type w:val="continuous"/>
        </w:sectPr>
      </w:pPr>
    </w:p>
    <w:p>
      <w:pPr>
        <w:jc w:val="center"/>
        <w:ind w:right="20"/>
        <w:spacing w:after="0"/>
        <w:rPr>
          <w:sz w:val="20"/>
          <w:szCs w:val="20"/>
          <w:color w:val="auto"/>
        </w:rPr>
      </w:pPr>
      <w:r>
        <w:rPr>
          <w:rFonts w:ascii="Arial" w:cs="Arial" w:eastAsia="Arial" w:hAnsi="Arial"/>
          <w:sz w:val="12"/>
          <w:szCs w:val="12"/>
          <w:b w:val="1"/>
          <w:bCs w:val="1"/>
          <w:color w:val="auto"/>
        </w:rPr>
        <w:t>Perryville III Building, 53 Frontage Road, Suite 220, Hampton, New Jersey 08827</w:t>
      </w:r>
    </w:p>
    <w:p>
      <w:pPr>
        <w:spacing w:after="0" w:line="19" w:lineRule="exact"/>
        <w:rPr>
          <w:sz w:val="24"/>
          <w:szCs w:val="24"/>
          <w:color w:val="auto"/>
        </w:rPr>
      </w:pPr>
    </w:p>
    <w:p>
      <w:pPr>
        <w:jc w:val="center"/>
        <w:ind w:right="20"/>
        <w:spacing w:after="0"/>
        <w:rPr>
          <w:sz w:val="20"/>
          <w:szCs w:val="20"/>
          <w:color w:val="auto"/>
        </w:rPr>
      </w:pPr>
      <w:r>
        <w:rPr>
          <w:rFonts w:ascii="Arial" w:cs="Arial" w:eastAsia="Arial" w:hAnsi="Arial"/>
          <w:sz w:val="12"/>
          <w:szCs w:val="12"/>
          <w:color w:val="auto"/>
        </w:rPr>
        <w:t>(Address of principal executive offices) (Zip Code)</w:t>
      </w:r>
    </w:p>
    <w:p>
      <w:pPr>
        <w:spacing w:after="0" w:line="137"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(908) 200-7500</w:t>
      </w:r>
    </w:p>
    <w:p>
      <w:pPr>
        <w:spacing w:after="0" w:line="19" w:lineRule="exact"/>
        <w:rPr>
          <w:sz w:val="24"/>
          <w:szCs w:val="24"/>
          <w:color w:val="auto"/>
        </w:rPr>
      </w:pPr>
    </w:p>
    <w:p>
      <w:pPr>
        <w:jc w:val="center"/>
        <w:ind w:right="20"/>
        <w:spacing w:after="0"/>
        <w:rPr>
          <w:sz w:val="20"/>
          <w:szCs w:val="20"/>
          <w:color w:val="auto"/>
        </w:rPr>
      </w:pPr>
      <w:r>
        <w:rPr>
          <w:rFonts w:ascii="Arial" w:cs="Arial" w:eastAsia="Arial" w:hAnsi="Arial"/>
          <w:sz w:val="12"/>
          <w:szCs w:val="12"/>
          <w:color w:val="auto"/>
        </w:rPr>
        <w:t>(Registrant’s telephone number, including area code)</w:t>
      </w:r>
    </w:p>
    <w:p>
      <w:pPr>
        <w:spacing w:after="0" w:line="141" w:lineRule="exact"/>
        <w:rPr>
          <w:sz w:val="24"/>
          <w:szCs w:val="24"/>
          <w:color w:val="auto"/>
        </w:rPr>
      </w:pPr>
    </w:p>
    <w:p>
      <w:pPr>
        <w:ind w:right="60" w:firstLine="216"/>
        <w:spacing w:after="0" w:line="276" w:lineRule="auto"/>
        <w:rPr>
          <w:sz w:val="20"/>
          <w:szCs w:val="20"/>
          <w:color w:val="auto"/>
        </w:rPr>
      </w:pPr>
      <w:r>
        <w:rPr>
          <w:rFonts w:ascii="Arial" w:cs="Arial" w:eastAsia="Arial" w:hAnsi="Arial"/>
          <w:sz w:val="12"/>
          <w:szCs w:val="12"/>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15" w:lineRule="exact"/>
        <w:rPr>
          <w:sz w:val="24"/>
          <w:szCs w:val="24"/>
          <w:color w:val="auto"/>
        </w:rPr>
      </w:pPr>
    </w:p>
    <w:p>
      <w:pPr>
        <w:ind w:right="80" w:firstLine="216"/>
        <w:spacing w:after="0" w:line="276" w:lineRule="auto"/>
        <w:rPr>
          <w:sz w:val="20"/>
          <w:szCs w:val="20"/>
          <w:color w:val="auto"/>
        </w:rPr>
      </w:pPr>
      <w:r>
        <w:rPr>
          <w:rFonts w:ascii="Arial" w:cs="Arial" w:eastAsia="Arial" w:hAnsi="Arial"/>
          <w:sz w:val="12"/>
          <w:szCs w:val="12"/>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15" w:lineRule="exact"/>
        <w:rPr>
          <w:sz w:val="24"/>
          <w:szCs w:val="24"/>
          <w:color w:val="auto"/>
        </w:rPr>
      </w:pPr>
    </w:p>
    <w:p>
      <w:pPr>
        <w:ind w:right="500" w:firstLine="216"/>
        <w:spacing w:after="0" w:line="276"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pacing w:after="0" w:line="115" w:lineRule="exact"/>
        <w:rPr>
          <w:sz w:val="24"/>
          <w:szCs w:val="24"/>
          <w:color w:val="auto"/>
        </w:rPr>
      </w:pPr>
    </w:p>
    <w:tbl>
      <w:tblPr>
        <w:tblLayout w:type="fixed"/>
        <w:tblInd w:w="1700" w:type="dxa"/>
        <w:tblCellMar>
          <w:top w:w="0" w:type="dxa"/>
          <w:left w:w="0" w:type="dxa"/>
          <w:bottom w:w="0" w:type="dxa"/>
          <w:right w:w="0" w:type="dxa"/>
        </w:tblCellMar>
      </w:tblPr>
      <w:tr>
        <w:trPr>
          <w:trHeight w:val="153"/>
        </w:trPr>
        <w:tc>
          <w:tcPr>
            <w:tcW w:w="4240" w:type="dxa"/>
            <w:vAlign w:val="bottom"/>
          </w:tcPr>
          <w:p>
            <w:pPr>
              <w:jc w:val="center"/>
              <w:ind w:right="1960"/>
              <w:spacing w:after="0"/>
              <w:rPr>
                <w:sz w:val="20"/>
                <w:szCs w:val="20"/>
                <w:color w:val="auto"/>
              </w:rPr>
            </w:pPr>
            <w:r>
              <w:rPr>
                <w:rFonts w:ascii="Arial" w:cs="Arial" w:eastAsia="Arial" w:hAnsi="Arial"/>
                <w:sz w:val="12"/>
                <w:szCs w:val="12"/>
                <w:color w:val="auto"/>
                <w:w w:val="91"/>
              </w:rPr>
              <w:t>Large accelerated filer o</w:t>
            </w:r>
          </w:p>
        </w:tc>
        <w:tc>
          <w:tcPr>
            <w:tcW w:w="3420" w:type="dxa"/>
            <w:vAlign w:val="bottom"/>
          </w:tcPr>
          <w:p>
            <w:pPr>
              <w:jc w:val="center"/>
              <w:ind w:left="1980"/>
              <w:spacing w:after="0"/>
              <w:rPr>
                <w:sz w:val="20"/>
                <w:szCs w:val="20"/>
                <w:color w:val="auto"/>
              </w:rPr>
            </w:pPr>
            <w:r>
              <w:rPr>
                <w:rFonts w:ascii="Arial" w:cs="Arial" w:eastAsia="Arial" w:hAnsi="Arial"/>
                <w:sz w:val="12"/>
                <w:szCs w:val="12"/>
                <w:color w:val="auto"/>
                <w:w w:val="94"/>
              </w:rPr>
              <w:t>Accelerated filer x</w:t>
            </w:r>
          </w:p>
        </w:tc>
      </w:tr>
      <w:tr>
        <w:trPr>
          <w:trHeight w:val="279"/>
        </w:trPr>
        <w:tc>
          <w:tcPr>
            <w:tcW w:w="4240" w:type="dxa"/>
            <w:vAlign w:val="bottom"/>
          </w:tcPr>
          <w:p>
            <w:pPr>
              <w:jc w:val="center"/>
              <w:ind w:right="1960"/>
              <w:spacing w:after="0"/>
              <w:rPr>
                <w:sz w:val="20"/>
                <w:szCs w:val="20"/>
                <w:color w:val="auto"/>
              </w:rPr>
            </w:pPr>
            <w:r>
              <w:rPr>
                <w:rFonts w:ascii="Arial" w:cs="Arial" w:eastAsia="Arial" w:hAnsi="Arial"/>
                <w:sz w:val="12"/>
                <w:szCs w:val="12"/>
                <w:color w:val="auto"/>
                <w:w w:val="91"/>
              </w:rPr>
              <w:t>Non-accelerated filer o</w:t>
            </w:r>
          </w:p>
        </w:tc>
        <w:tc>
          <w:tcPr>
            <w:tcW w:w="3420" w:type="dxa"/>
            <w:vAlign w:val="bottom"/>
          </w:tcPr>
          <w:p>
            <w:pPr>
              <w:jc w:val="center"/>
              <w:ind w:left="1960"/>
              <w:spacing w:after="0"/>
              <w:rPr>
                <w:sz w:val="20"/>
                <w:szCs w:val="20"/>
                <w:color w:val="auto"/>
              </w:rPr>
            </w:pPr>
            <w:r>
              <w:rPr>
                <w:rFonts w:ascii="Arial" w:cs="Arial" w:eastAsia="Arial" w:hAnsi="Arial"/>
                <w:sz w:val="12"/>
                <w:szCs w:val="12"/>
                <w:color w:val="auto"/>
                <w:w w:val="91"/>
              </w:rPr>
              <w:t>Smaller reporting company o</w:t>
            </w:r>
          </w:p>
        </w:tc>
      </w:tr>
      <w:tr>
        <w:trPr>
          <w:trHeight w:val="153"/>
        </w:trPr>
        <w:tc>
          <w:tcPr>
            <w:tcW w:w="4240" w:type="dxa"/>
            <w:vAlign w:val="bottom"/>
          </w:tcPr>
          <w:p>
            <w:pPr>
              <w:jc w:val="center"/>
              <w:ind w:right="1960"/>
              <w:spacing w:after="0"/>
              <w:rPr>
                <w:sz w:val="20"/>
                <w:szCs w:val="20"/>
                <w:color w:val="auto"/>
              </w:rPr>
            </w:pPr>
            <w:r>
              <w:rPr>
                <w:rFonts w:ascii="Arial" w:cs="Arial" w:eastAsia="Arial" w:hAnsi="Arial"/>
                <w:sz w:val="12"/>
                <w:szCs w:val="12"/>
                <w:color w:val="auto"/>
                <w:w w:val="91"/>
              </w:rPr>
              <w:t>(Do not check if a smaller reporting company)</w:t>
            </w:r>
          </w:p>
        </w:tc>
        <w:tc>
          <w:tcPr>
            <w:tcW w:w="3420" w:type="dxa"/>
            <w:vAlign w:val="bottom"/>
          </w:tcPr>
          <w:p>
            <w:pPr>
              <w:jc w:val="center"/>
              <w:ind w:left="1980"/>
              <w:spacing w:after="0"/>
              <w:rPr>
                <w:sz w:val="20"/>
                <w:szCs w:val="20"/>
                <w:color w:val="auto"/>
              </w:rPr>
            </w:pPr>
            <w:r>
              <w:rPr>
                <w:rFonts w:ascii="Arial" w:cs="Arial" w:eastAsia="Arial" w:hAnsi="Arial"/>
                <w:sz w:val="12"/>
                <w:szCs w:val="12"/>
                <w:color w:val="auto"/>
                <w:w w:val="92"/>
              </w:rPr>
              <w:t>Emerging growth companyo</w:t>
            </w:r>
          </w:p>
        </w:tc>
      </w:tr>
    </w:tbl>
    <w:p>
      <w:pPr>
        <w:spacing w:after="0" w:line="135" w:lineRule="exact"/>
        <w:rPr>
          <w:sz w:val="24"/>
          <w:szCs w:val="24"/>
          <w:color w:val="auto"/>
        </w:rPr>
      </w:pPr>
    </w:p>
    <w:p>
      <w:pPr>
        <w:ind w:right="80" w:firstLine="216"/>
        <w:spacing w:after="0" w:line="276" w:lineRule="auto"/>
        <w:rPr>
          <w:sz w:val="20"/>
          <w:szCs w:val="20"/>
          <w:color w:val="auto"/>
        </w:rPr>
      </w:pPr>
      <w:r>
        <w:rPr>
          <w:rFonts w:ascii="Arial" w:cs="Arial" w:eastAsia="Arial" w:hAnsi="Arial"/>
          <w:sz w:val="12"/>
          <w:szCs w:val="12"/>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15" w:lineRule="exact"/>
        <w:rPr>
          <w:sz w:val="24"/>
          <w:szCs w:val="24"/>
          <w:color w:val="auto"/>
        </w:rPr>
      </w:pPr>
    </w:p>
    <w:p>
      <w:pPr>
        <w:ind w:left="200"/>
        <w:spacing w:after="0"/>
        <w:rPr>
          <w:sz w:val="20"/>
          <w:szCs w:val="20"/>
          <w:color w:val="auto"/>
        </w:rPr>
      </w:pPr>
      <w:r>
        <w:rPr>
          <w:rFonts w:ascii="Arial" w:cs="Arial" w:eastAsia="Arial" w:hAnsi="Arial"/>
          <w:sz w:val="12"/>
          <w:szCs w:val="12"/>
          <w:color w:val="auto"/>
        </w:rPr>
        <w:t>Indicate by check mark whether the registrant is a shell company (as defined in Rule 12b-2 of the Exchange Act). Yes o No x</w:t>
      </w:r>
    </w:p>
    <w:p>
      <w:pPr>
        <w:spacing w:after="0" w:line="150" w:lineRule="exact"/>
        <w:rPr>
          <w:sz w:val="24"/>
          <w:szCs w:val="24"/>
          <w:color w:val="auto"/>
        </w:rPr>
      </w:pPr>
    </w:p>
    <w:p>
      <w:pPr>
        <w:ind w:left="200"/>
        <w:spacing w:after="0"/>
        <w:rPr>
          <w:sz w:val="20"/>
          <w:szCs w:val="20"/>
          <w:color w:val="auto"/>
        </w:rPr>
      </w:pPr>
      <w:r>
        <w:rPr>
          <w:rFonts w:ascii="Arial" w:cs="Arial" w:eastAsia="Arial" w:hAnsi="Arial"/>
          <w:sz w:val="12"/>
          <w:szCs w:val="12"/>
          <w:color w:val="auto"/>
        </w:rPr>
        <w:t>As of July 31, 2017, 128,341,785 shares of common stock, $.001 par value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100965</wp:posOffset>
            </wp:positionV>
            <wp:extent cx="72923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923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129540</wp:posOffset>
            </wp:positionV>
            <wp:extent cx="7292340" cy="228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92340" cy="2286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286385</wp:posOffset>
            </wp:positionV>
            <wp:extent cx="7310755" cy="24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310755" cy="241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spacing w:after="0"/>
        <w:rPr>
          <w:rFonts w:ascii="Arial" w:cs="Arial" w:eastAsia="Arial" w:hAnsi="Arial"/>
          <w:sz w:val="12"/>
          <w:szCs w:val="12"/>
          <w:u w:val="single" w:color="auto"/>
          <w:color w:val="0000EE"/>
        </w:rPr>
      </w:pPr>
      <w:hyperlink w:anchor="page1">
        <w:r>
          <w:rPr>
            <w:rFonts w:ascii="Arial" w:cs="Arial" w:eastAsia="Arial" w:hAnsi="Arial"/>
            <w:sz w:val="12"/>
            <w:szCs w:val="12"/>
            <w:u w:val="single" w:color="auto"/>
            <w:color w:val="0000EE"/>
          </w:rPr>
          <w:t>Table of Contents</w:t>
        </w:r>
      </w:hyperlink>
    </w:p>
    <w:p>
      <w:pPr>
        <w:spacing w:after="0" w:line="146"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CELLDEX THERAPEUTICS, INC.</w:t>
      </w:r>
    </w:p>
    <w:p>
      <w:pPr>
        <w:spacing w:after="0" w:line="150"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FORM 10-Q</w:t>
      </w:r>
    </w:p>
    <w:p>
      <w:pPr>
        <w:spacing w:after="0" w:line="150"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Quarter Ended June 30, 2017</w:t>
      </w:r>
    </w:p>
    <w:p>
      <w:pPr>
        <w:spacing w:after="0" w:line="150"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Table of Contents</w:t>
      </w:r>
    </w:p>
    <w:p>
      <w:pPr>
        <w:spacing w:after="0" w:line="147"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1560" w:type="dxa"/>
            <w:vAlign w:val="bottom"/>
            <w:gridSpan w:val="9"/>
            <w:vMerge w:val="restart"/>
          </w:tcPr>
          <w:p>
            <w:pPr>
              <w:spacing w:after="0"/>
              <w:rPr>
                <w:rFonts w:ascii="Arial" w:cs="Arial" w:eastAsia="Arial" w:hAnsi="Arial"/>
                <w:sz w:val="12"/>
                <w:szCs w:val="12"/>
                <w:b w:val="1"/>
                <w:bCs w:val="1"/>
                <w:color w:val="0000EE"/>
                <w:w w:val="94"/>
              </w:rPr>
            </w:pPr>
            <w:hyperlink w:anchor="page1">
              <w:r>
                <w:rPr>
                  <w:rFonts w:ascii="Arial" w:cs="Arial" w:eastAsia="Arial" w:hAnsi="Arial"/>
                  <w:sz w:val="12"/>
                  <w:szCs w:val="12"/>
                  <w:b w:val="1"/>
                  <w:bCs w:val="1"/>
                  <w:color w:val="0000EE"/>
                  <w:w w:val="94"/>
                </w:rPr>
                <w:t>Part I—Financial Information</w:t>
              </w:r>
            </w:hyperlink>
          </w:p>
        </w:tc>
        <w:tc>
          <w:tcPr>
            <w:tcW w:w="8880" w:type="dxa"/>
            <w:vAlign w:val="bottom"/>
            <w:gridSpan w:val="8"/>
            <w:vMerge w:val="restart"/>
          </w:tcPr>
          <w:p>
            <w:pPr>
              <w:spacing w:after="0"/>
              <w:rPr>
                <w:sz w:val="10"/>
                <w:szCs w:val="10"/>
                <w:color w:val="auto"/>
              </w:rPr>
            </w:pPr>
          </w:p>
        </w:tc>
        <w:tc>
          <w:tcPr>
            <w:tcW w:w="1060" w:type="dxa"/>
            <w:vAlign w:val="bottom"/>
            <w:gridSpan w:val="2"/>
          </w:tcPr>
          <w:p>
            <w:pPr>
              <w:ind w:left="420"/>
              <w:spacing w:after="0"/>
              <w:rPr>
                <w:sz w:val="20"/>
                <w:szCs w:val="20"/>
                <w:color w:val="auto"/>
              </w:rPr>
            </w:pPr>
            <w:r>
              <w:rPr>
                <w:rFonts w:ascii="Arial" w:cs="Arial" w:eastAsia="Arial" w:hAnsi="Arial"/>
                <w:sz w:val="10"/>
                <w:szCs w:val="10"/>
                <w:b w:val="1"/>
                <w:bCs w:val="1"/>
                <w:color w:val="auto"/>
              </w:rPr>
              <w:t>Page</w:t>
            </w:r>
          </w:p>
        </w:tc>
        <w:tc>
          <w:tcPr>
            <w:tcW w:w="0" w:type="dxa"/>
            <w:vAlign w:val="bottom"/>
          </w:tcPr>
          <w:p>
            <w:pPr>
              <w:spacing w:after="0"/>
              <w:rPr>
                <w:sz w:val="1"/>
                <w:szCs w:val="1"/>
                <w:color w:val="auto"/>
              </w:rPr>
            </w:pPr>
          </w:p>
        </w:tc>
      </w:tr>
      <w:tr>
        <w:trPr>
          <w:trHeight w:val="102"/>
        </w:trPr>
        <w:tc>
          <w:tcPr>
            <w:tcW w:w="1560" w:type="dxa"/>
            <w:vAlign w:val="bottom"/>
            <w:tcBorders>
              <w:bottom w:val="single" w:sz="8" w:color="0000EE"/>
            </w:tcBorders>
            <w:gridSpan w:val="9"/>
            <w:vMerge w:val="continue"/>
          </w:tcPr>
          <w:p>
            <w:pPr>
              <w:spacing w:after="0"/>
              <w:rPr>
                <w:sz w:val="8"/>
                <w:szCs w:val="8"/>
                <w:color w:val="auto"/>
              </w:rPr>
            </w:pPr>
          </w:p>
        </w:tc>
        <w:tc>
          <w:tcPr>
            <w:tcW w:w="8880" w:type="dxa"/>
            <w:vAlign w:val="bottom"/>
            <w:gridSpan w:val="8"/>
            <w:vMerge w:val="continue"/>
          </w:tcPr>
          <w:p>
            <w:pPr>
              <w:spacing w:after="0"/>
              <w:rPr>
                <w:sz w:val="8"/>
                <w:szCs w:val="8"/>
                <w:color w:val="auto"/>
              </w:rPr>
            </w:pPr>
          </w:p>
        </w:tc>
        <w:tc>
          <w:tcPr>
            <w:tcW w:w="104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8"/>
        </w:trPr>
        <w:tc>
          <w:tcPr>
            <w:tcW w:w="120" w:type="dxa"/>
            <w:vAlign w:val="bottom"/>
          </w:tcPr>
          <w:p>
            <w:pPr>
              <w:spacing w:after="0"/>
              <w:rPr>
                <w:sz w:val="23"/>
                <w:szCs w:val="23"/>
                <w:color w:val="auto"/>
              </w:rPr>
            </w:pPr>
          </w:p>
        </w:tc>
        <w:tc>
          <w:tcPr>
            <w:tcW w:w="1900" w:type="dxa"/>
            <w:vAlign w:val="bottom"/>
            <w:tcBorders>
              <w:bottom w:val="single" w:sz="8" w:color="0000EE"/>
            </w:tcBorders>
            <w:gridSpan w:val="10"/>
          </w:tcPr>
          <w:p>
            <w:pPr>
              <w:spacing w:after="0"/>
              <w:rPr>
                <w:rFonts w:ascii="Arial" w:cs="Arial" w:eastAsia="Arial" w:hAnsi="Arial"/>
                <w:sz w:val="12"/>
                <w:szCs w:val="12"/>
                <w:color w:val="0000EE"/>
                <w:w w:val="89"/>
              </w:rPr>
            </w:pPr>
            <w:hyperlink w:anchor="page1">
              <w:r>
                <w:rPr>
                  <w:rFonts w:ascii="Arial" w:cs="Arial" w:eastAsia="Arial" w:hAnsi="Arial"/>
                  <w:sz w:val="12"/>
                  <w:szCs w:val="12"/>
                  <w:color w:val="0000EE"/>
                  <w:w w:val="89"/>
                </w:rPr>
                <w:t>Item 1. Unaudited Financial Statements</w:t>
              </w:r>
            </w:hyperlink>
          </w:p>
        </w:tc>
        <w:tc>
          <w:tcPr>
            <w:tcW w:w="8420" w:type="dxa"/>
            <w:vAlign w:val="bottom"/>
            <w:gridSpan w:val="6"/>
          </w:tcPr>
          <w:p>
            <w:pPr>
              <w:spacing w:after="0"/>
              <w:rPr>
                <w:sz w:val="23"/>
                <w:szCs w:val="23"/>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268"/>
        </w:trPr>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0" w:type="dxa"/>
            <w:vAlign w:val="bottom"/>
            <w:gridSpan w:val="15"/>
          </w:tcPr>
          <w:p>
            <w:pPr>
              <w:spacing w:after="0"/>
              <w:rPr>
                <w:rFonts w:ascii="Arial" w:cs="Arial" w:eastAsia="Arial" w:hAnsi="Arial"/>
                <w:sz w:val="12"/>
                <w:szCs w:val="12"/>
                <w:color w:val="0000EE"/>
              </w:rPr>
            </w:pPr>
            <w:hyperlink w:anchor="page1">
              <w:r>
                <w:rPr>
                  <w:rFonts w:ascii="Arial" w:cs="Arial" w:eastAsia="Arial" w:hAnsi="Arial"/>
                  <w:sz w:val="12"/>
                  <w:szCs w:val="12"/>
                  <w:color w:val="0000EE"/>
                </w:rPr>
                <w:t>Condensed Consolidated Balance Sheets at June 30, 2017 and December 31, 2016</w:t>
              </w:r>
            </w:hyperlink>
          </w:p>
        </w:tc>
        <w:tc>
          <w:tcPr>
            <w:tcW w:w="1060" w:type="dxa"/>
            <w:vAlign w:val="bottom"/>
            <w:gridSpan w:val="2"/>
          </w:tcPr>
          <w:p>
            <w:pPr>
              <w:jc w:val="right"/>
              <w:ind w:right="20"/>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760" w:type="dxa"/>
            <w:vAlign w:val="bottom"/>
            <w:tcBorders>
              <w:right w:val="single" w:sz="8" w:color="0000EE"/>
            </w:tcBorders>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40" w:type="dxa"/>
            <w:vAlign w:val="bottom"/>
            <w:tcBorders>
              <w:bottom w:val="single" w:sz="8" w:color="0000EE"/>
            </w:tcBorders>
            <w:gridSpan w:val="14"/>
          </w:tcPr>
          <w:p>
            <w:pPr>
              <w:spacing w:after="0"/>
              <w:rPr>
                <w:rFonts w:ascii="Arial" w:cs="Arial" w:eastAsia="Arial" w:hAnsi="Arial"/>
                <w:sz w:val="12"/>
                <w:szCs w:val="12"/>
                <w:color w:val="0000EE"/>
                <w:w w:val="89"/>
              </w:rPr>
            </w:pPr>
            <w:hyperlink w:anchor="page2">
              <w:r>
                <w:rPr>
                  <w:rFonts w:ascii="Arial" w:cs="Arial" w:eastAsia="Arial" w:hAnsi="Arial"/>
                  <w:sz w:val="12"/>
                  <w:szCs w:val="12"/>
                  <w:color w:val="0000EE"/>
                  <w:w w:val="89"/>
                </w:rPr>
                <w:t>Condensed Consolidated Statements of Operations and Comprehensive Loss for the Three and Six Months Ended June 30, 2017 and 2016</w:t>
              </w:r>
            </w:hyperlink>
          </w:p>
        </w:tc>
        <w:tc>
          <w:tcPr>
            <w:tcW w:w="3560" w:type="dxa"/>
            <w:vAlign w:val="bottom"/>
          </w:tcPr>
          <w:p>
            <w:pPr>
              <w:spacing w:after="0"/>
              <w:rPr>
                <w:sz w:val="23"/>
                <w:szCs w:val="23"/>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268"/>
        </w:trPr>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920" w:type="dxa"/>
            <w:vAlign w:val="bottom"/>
            <w:tcBorders>
              <w:bottom w:val="single" w:sz="8" w:color="0000EE"/>
            </w:tcBorders>
            <w:gridSpan w:val="13"/>
          </w:tcPr>
          <w:p>
            <w:pPr>
              <w:spacing w:after="0"/>
              <w:rPr>
                <w:rFonts w:ascii="Arial" w:cs="Arial" w:eastAsia="Arial" w:hAnsi="Arial"/>
                <w:sz w:val="12"/>
                <w:szCs w:val="12"/>
                <w:color w:val="0000EE"/>
                <w:w w:val="89"/>
              </w:rPr>
            </w:pPr>
            <w:hyperlink w:anchor="page2">
              <w:r>
                <w:rPr>
                  <w:rFonts w:ascii="Arial" w:cs="Arial" w:eastAsia="Arial" w:hAnsi="Arial"/>
                  <w:sz w:val="12"/>
                  <w:szCs w:val="12"/>
                  <w:color w:val="0000EE"/>
                  <w:w w:val="89"/>
                </w:rPr>
                <w:t>Condensed Consolidated Statements of Cash Flows for the Six Months Ended June 30, 2017 and 2016</w:t>
              </w:r>
            </w:hyperlink>
          </w:p>
        </w:tc>
        <w:tc>
          <w:tcPr>
            <w:tcW w:w="5280" w:type="dxa"/>
            <w:vAlign w:val="bottom"/>
            <w:gridSpan w:val="2"/>
          </w:tcPr>
          <w:p>
            <w:pPr>
              <w:spacing w:after="0"/>
              <w:rPr>
                <w:sz w:val="23"/>
                <w:szCs w:val="23"/>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268"/>
        </w:trPr>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0" w:type="dxa"/>
            <w:vAlign w:val="bottom"/>
            <w:gridSpan w:val="15"/>
          </w:tcPr>
          <w:p>
            <w:pPr>
              <w:spacing w:after="0"/>
              <w:rPr>
                <w:rFonts w:ascii="Arial" w:cs="Arial" w:eastAsia="Arial" w:hAnsi="Arial"/>
                <w:sz w:val="12"/>
                <w:szCs w:val="12"/>
                <w:color w:val="0000EE"/>
              </w:rPr>
            </w:pPr>
            <w:hyperlink w:anchor="page3">
              <w:r>
                <w:rPr>
                  <w:rFonts w:ascii="Arial" w:cs="Arial" w:eastAsia="Arial" w:hAnsi="Arial"/>
                  <w:sz w:val="12"/>
                  <w:szCs w:val="12"/>
                  <w:color w:val="0000EE"/>
                </w:rPr>
                <w:t>Notes to Unaudited Condensed Consolidated Financial Statements</w:t>
              </w:r>
            </w:hyperlink>
          </w:p>
        </w:tc>
        <w:tc>
          <w:tcPr>
            <w:tcW w:w="1060" w:type="dxa"/>
            <w:vAlign w:val="bottom"/>
            <w:gridSpan w:val="2"/>
          </w:tcPr>
          <w:p>
            <w:pPr>
              <w:jc w:val="right"/>
              <w:ind w:right="20"/>
              <w:spacing w:after="0"/>
              <w:rPr>
                <w:sz w:val="20"/>
                <w:szCs w:val="20"/>
                <w:color w:val="auto"/>
              </w:rPr>
            </w:pP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760" w:type="dxa"/>
            <w:vAlign w:val="bottom"/>
            <w:tcBorders>
              <w:right w:val="single" w:sz="8" w:color="0000EE"/>
            </w:tcBorders>
            <w:gridSpan w:val="2"/>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566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120" w:type="dxa"/>
            <w:vAlign w:val="bottom"/>
          </w:tcPr>
          <w:p>
            <w:pPr>
              <w:spacing w:after="0"/>
              <w:rPr>
                <w:sz w:val="23"/>
                <w:szCs w:val="23"/>
                <w:color w:val="auto"/>
              </w:rPr>
            </w:pPr>
          </w:p>
        </w:tc>
        <w:tc>
          <w:tcPr>
            <w:tcW w:w="340" w:type="dxa"/>
            <w:vAlign w:val="bottom"/>
            <w:gridSpan w:val="2"/>
          </w:tcPr>
          <w:p>
            <w:pPr>
              <w:spacing w:after="0"/>
              <w:rPr>
                <w:rFonts w:ascii="Arial" w:cs="Arial" w:eastAsia="Arial" w:hAnsi="Arial"/>
                <w:sz w:val="12"/>
                <w:szCs w:val="12"/>
                <w:color w:val="0000EE"/>
                <w:w w:val="87"/>
              </w:rPr>
            </w:pPr>
            <w:hyperlink w:anchor="page6">
              <w:r>
                <w:rPr>
                  <w:rFonts w:ascii="Arial" w:cs="Arial" w:eastAsia="Arial" w:hAnsi="Arial"/>
                  <w:sz w:val="12"/>
                  <w:szCs w:val="12"/>
                  <w:color w:val="0000EE"/>
                  <w:w w:val="87"/>
                </w:rPr>
                <w:t>Item 2.</w:t>
              </w:r>
            </w:hyperlink>
          </w:p>
        </w:tc>
        <w:tc>
          <w:tcPr>
            <w:tcW w:w="9980" w:type="dxa"/>
            <w:vAlign w:val="bottom"/>
            <w:gridSpan w:val="14"/>
          </w:tcPr>
          <w:p>
            <w:pPr>
              <w:ind w:left="20"/>
              <w:spacing w:after="0"/>
              <w:rPr>
                <w:rFonts w:ascii="Arial" w:cs="Arial" w:eastAsia="Arial" w:hAnsi="Arial"/>
                <w:sz w:val="12"/>
                <w:szCs w:val="12"/>
                <w:color w:val="0000EE"/>
              </w:rPr>
            </w:pPr>
            <w:hyperlink w:anchor="page6">
              <w:r>
                <w:rPr>
                  <w:rFonts w:ascii="Arial" w:cs="Arial" w:eastAsia="Arial" w:hAnsi="Arial"/>
                  <w:sz w:val="12"/>
                  <w:szCs w:val="12"/>
                  <w:color w:val="0000EE"/>
                </w:rPr>
                <w:t>Management’s Discussion and Analysis of Financial Condition and Results of Operations</w:t>
              </w:r>
            </w:hyperlink>
          </w:p>
        </w:tc>
        <w:tc>
          <w:tcPr>
            <w:tcW w:w="1060" w:type="dxa"/>
            <w:vAlign w:val="bottom"/>
            <w:gridSpan w:val="2"/>
          </w:tcPr>
          <w:p>
            <w:pPr>
              <w:jc w:val="right"/>
              <w:ind w:right="20"/>
              <w:spacing w:after="0"/>
              <w:rPr>
                <w:sz w:val="20"/>
                <w:szCs w:val="20"/>
                <w:color w:val="auto"/>
              </w:rPr>
            </w:pPr>
            <w:r>
              <w:rPr>
                <w:rFonts w:ascii="Arial" w:cs="Arial" w:eastAsia="Arial" w:hAnsi="Arial"/>
                <w:sz w:val="12"/>
                <w:szCs w:val="12"/>
                <w:color w:val="auto"/>
              </w:rPr>
              <w:t>14</w:t>
            </w:r>
          </w:p>
        </w:tc>
        <w:tc>
          <w:tcPr>
            <w:tcW w:w="0" w:type="dxa"/>
            <w:vAlign w:val="bottom"/>
          </w:tcPr>
          <w:p>
            <w:pPr>
              <w:spacing w:after="0"/>
              <w:rPr>
                <w:sz w:val="1"/>
                <w:szCs w:val="1"/>
                <w:color w:val="auto"/>
              </w:rPr>
            </w:pPr>
          </w:p>
        </w:tc>
      </w:tr>
      <w:tr>
        <w:trPr>
          <w:trHeight w:val="268"/>
        </w:trPr>
        <w:tc>
          <w:tcPr>
            <w:tcW w:w="120" w:type="dxa"/>
            <w:vAlign w:val="bottom"/>
          </w:tcPr>
          <w:p>
            <w:pPr>
              <w:spacing w:after="0"/>
              <w:rPr>
                <w:sz w:val="23"/>
                <w:szCs w:val="23"/>
                <w:color w:val="auto"/>
              </w:rPr>
            </w:pPr>
          </w:p>
        </w:tc>
        <w:tc>
          <w:tcPr>
            <w:tcW w:w="340" w:type="dxa"/>
            <w:vAlign w:val="bottom"/>
            <w:tcBorders>
              <w:top w:val="single" w:sz="8" w:color="0000EE"/>
            </w:tcBorders>
            <w:gridSpan w:val="2"/>
          </w:tcPr>
          <w:p>
            <w:pPr>
              <w:spacing w:after="0"/>
              <w:rPr>
                <w:rFonts w:ascii="Arial" w:cs="Arial" w:eastAsia="Arial" w:hAnsi="Arial"/>
                <w:sz w:val="12"/>
                <w:szCs w:val="12"/>
                <w:color w:val="0000EE"/>
                <w:w w:val="87"/>
              </w:rPr>
            </w:pPr>
            <w:hyperlink w:anchor="page12">
              <w:r>
                <w:rPr>
                  <w:rFonts w:ascii="Arial" w:cs="Arial" w:eastAsia="Arial" w:hAnsi="Arial"/>
                  <w:sz w:val="12"/>
                  <w:szCs w:val="12"/>
                  <w:color w:val="0000EE"/>
                  <w:w w:val="87"/>
                </w:rPr>
                <w:t>Item 3.</w:t>
              </w:r>
            </w:hyperlink>
          </w:p>
        </w:tc>
        <w:tc>
          <w:tcPr>
            <w:tcW w:w="4320" w:type="dxa"/>
            <w:vAlign w:val="bottom"/>
            <w:tcBorders>
              <w:top w:val="single" w:sz="8" w:color="0000EE"/>
            </w:tcBorders>
            <w:gridSpan w:val="11"/>
          </w:tcPr>
          <w:p>
            <w:pPr>
              <w:ind w:left="20"/>
              <w:spacing w:after="0"/>
              <w:rPr>
                <w:rFonts w:ascii="Arial" w:cs="Arial" w:eastAsia="Arial" w:hAnsi="Arial"/>
                <w:sz w:val="12"/>
                <w:szCs w:val="12"/>
                <w:color w:val="0000EE"/>
              </w:rPr>
            </w:pPr>
            <w:hyperlink w:anchor="page12">
              <w:r>
                <w:rPr>
                  <w:rFonts w:ascii="Arial" w:cs="Arial" w:eastAsia="Arial" w:hAnsi="Arial"/>
                  <w:sz w:val="12"/>
                  <w:szCs w:val="12"/>
                  <w:color w:val="0000EE"/>
                </w:rPr>
                <w:t>Quantitative and Qualitative Disclosures About Market Risk</w:t>
              </w:r>
            </w:hyperlink>
          </w:p>
        </w:tc>
        <w:tc>
          <w:tcPr>
            <w:tcW w:w="5660" w:type="dxa"/>
            <w:vAlign w:val="bottom"/>
            <w:gridSpan w:val="3"/>
          </w:tcPr>
          <w:p>
            <w:pPr>
              <w:spacing w:after="0"/>
              <w:rPr>
                <w:sz w:val="23"/>
                <w:szCs w:val="23"/>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2"/>
                <w:szCs w:val="12"/>
                <w:color w:val="auto"/>
              </w:rPr>
              <w:t>28</w:t>
            </w:r>
          </w:p>
        </w:tc>
        <w:tc>
          <w:tcPr>
            <w:tcW w:w="0" w:type="dxa"/>
            <w:vAlign w:val="bottom"/>
          </w:tcPr>
          <w:p>
            <w:pPr>
              <w:spacing w:after="0"/>
              <w:rPr>
                <w:sz w:val="1"/>
                <w:szCs w:val="1"/>
                <w:color w:val="auto"/>
              </w:rPr>
            </w:pPr>
          </w:p>
        </w:tc>
      </w:tr>
      <w:tr>
        <w:trPr>
          <w:trHeight w:val="268"/>
        </w:trPr>
        <w:tc>
          <w:tcPr>
            <w:tcW w:w="120" w:type="dxa"/>
            <w:vAlign w:val="bottom"/>
          </w:tcPr>
          <w:p>
            <w:pPr>
              <w:spacing w:after="0"/>
              <w:rPr>
                <w:sz w:val="23"/>
                <w:szCs w:val="23"/>
                <w:color w:val="auto"/>
              </w:rPr>
            </w:pPr>
          </w:p>
        </w:tc>
        <w:tc>
          <w:tcPr>
            <w:tcW w:w="340" w:type="dxa"/>
            <w:vAlign w:val="bottom"/>
            <w:tcBorders>
              <w:top w:val="single" w:sz="8" w:color="0000EE"/>
            </w:tcBorders>
            <w:gridSpan w:val="2"/>
          </w:tcPr>
          <w:p>
            <w:pPr>
              <w:spacing w:after="0"/>
              <w:rPr>
                <w:rFonts w:ascii="Arial" w:cs="Arial" w:eastAsia="Arial" w:hAnsi="Arial"/>
                <w:sz w:val="12"/>
                <w:szCs w:val="12"/>
                <w:color w:val="0000EE"/>
                <w:w w:val="87"/>
              </w:rPr>
            </w:pPr>
            <w:hyperlink w:anchor="page12">
              <w:r>
                <w:rPr>
                  <w:rFonts w:ascii="Arial" w:cs="Arial" w:eastAsia="Arial" w:hAnsi="Arial"/>
                  <w:sz w:val="12"/>
                  <w:szCs w:val="12"/>
                  <w:color w:val="0000EE"/>
                  <w:w w:val="87"/>
                </w:rPr>
                <w:t>Item 4.</w:t>
              </w:r>
            </w:hyperlink>
          </w:p>
        </w:tc>
        <w:tc>
          <w:tcPr>
            <w:tcW w:w="2960" w:type="dxa"/>
            <w:vAlign w:val="bottom"/>
            <w:tcBorders>
              <w:top w:val="single" w:sz="8" w:color="0000EE"/>
            </w:tcBorders>
            <w:gridSpan w:val="9"/>
          </w:tcPr>
          <w:p>
            <w:pPr>
              <w:ind w:left="20"/>
              <w:spacing w:after="0"/>
              <w:rPr>
                <w:rFonts w:ascii="Arial" w:cs="Arial" w:eastAsia="Arial" w:hAnsi="Arial"/>
                <w:sz w:val="12"/>
                <w:szCs w:val="12"/>
                <w:color w:val="0000EE"/>
              </w:rPr>
            </w:pPr>
            <w:hyperlink w:anchor="page12">
              <w:r>
                <w:rPr>
                  <w:rFonts w:ascii="Arial" w:cs="Arial" w:eastAsia="Arial" w:hAnsi="Arial"/>
                  <w:sz w:val="12"/>
                  <w:szCs w:val="12"/>
                  <w:color w:val="0000EE"/>
                </w:rPr>
                <w:t>Controls and Procedures</w:t>
              </w:r>
            </w:hyperlink>
          </w:p>
        </w:tc>
        <w:tc>
          <w:tcPr>
            <w:tcW w:w="7020" w:type="dxa"/>
            <w:vAlign w:val="bottom"/>
            <w:gridSpan w:val="5"/>
          </w:tcPr>
          <w:p>
            <w:pPr>
              <w:spacing w:after="0"/>
              <w:rPr>
                <w:sz w:val="23"/>
                <w:szCs w:val="23"/>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2"/>
                <w:szCs w:val="12"/>
                <w:color w:val="auto"/>
              </w:rPr>
              <w:t>29</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780" w:type="dxa"/>
            <w:vAlign w:val="bottom"/>
            <w:gridSpan w:val="7"/>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10440" w:type="dxa"/>
            <w:vAlign w:val="bottom"/>
            <w:gridSpan w:val="17"/>
          </w:tcPr>
          <w:p>
            <w:pPr>
              <w:spacing w:after="0"/>
              <w:rPr>
                <w:rFonts w:ascii="Arial" w:cs="Arial" w:eastAsia="Arial" w:hAnsi="Arial"/>
                <w:sz w:val="12"/>
                <w:szCs w:val="12"/>
                <w:b w:val="1"/>
                <w:bCs w:val="1"/>
                <w:color w:val="0000EE"/>
              </w:rPr>
            </w:pPr>
            <w:hyperlink w:anchor="page13">
              <w:r>
                <w:rPr>
                  <w:rFonts w:ascii="Arial" w:cs="Arial" w:eastAsia="Arial" w:hAnsi="Arial"/>
                  <w:sz w:val="12"/>
                  <w:szCs w:val="12"/>
                  <w:b w:val="1"/>
                  <w:bCs w:val="1"/>
                  <w:color w:val="0000EE"/>
                </w:rPr>
                <w:t>Part II—Other Information</w:t>
              </w:r>
            </w:hyperlink>
          </w:p>
        </w:tc>
        <w:tc>
          <w:tcPr>
            <w:tcW w:w="10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8"/>
        </w:trPr>
        <w:tc>
          <w:tcPr>
            <w:tcW w:w="120" w:type="dxa"/>
            <w:vAlign w:val="bottom"/>
            <w:tcBorders>
              <w:top w:val="single" w:sz="8" w:color="0000EE"/>
            </w:tcBorders>
          </w:tcPr>
          <w:p>
            <w:pPr>
              <w:spacing w:after="0"/>
              <w:rPr>
                <w:sz w:val="23"/>
                <w:szCs w:val="23"/>
                <w:color w:val="auto"/>
              </w:rPr>
            </w:pPr>
          </w:p>
        </w:tc>
        <w:tc>
          <w:tcPr>
            <w:tcW w:w="1060" w:type="dxa"/>
            <w:vAlign w:val="bottom"/>
            <w:tcBorders>
              <w:top w:val="single" w:sz="8" w:color="0000EE"/>
              <w:bottom w:val="single" w:sz="8" w:color="0000EE"/>
            </w:tcBorders>
            <w:gridSpan w:val="6"/>
          </w:tcPr>
          <w:p>
            <w:pPr>
              <w:spacing w:after="0"/>
              <w:rPr>
                <w:rFonts w:ascii="Arial" w:cs="Arial" w:eastAsia="Arial" w:hAnsi="Arial"/>
                <w:sz w:val="12"/>
                <w:szCs w:val="12"/>
                <w:color w:val="0000EE"/>
                <w:w w:val="90"/>
              </w:rPr>
            </w:pPr>
            <w:hyperlink w:anchor="page13">
              <w:r>
                <w:rPr>
                  <w:rFonts w:ascii="Arial" w:cs="Arial" w:eastAsia="Arial" w:hAnsi="Arial"/>
                  <w:sz w:val="12"/>
                  <w:szCs w:val="12"/>
                  <w:color w:val="0000EE"/>
                  <w:w w:val="90"/>
                </w:rPr>
                <w:t>Item 1A. Risk Factors</w:t>
              </w:r>
            </w:hyperlink>
          </w:p>
        </w:tc>
        <w:tc>
          <w:tcPr>
            <w:tcW w:w="240" w:type="dxa"/>
            <w:vAlign w:val="bottom"/>
            <w:tcBorders>
              <w:top w:val="single" w:sz="8" w:color="0000EE"/>
            </w:tcBorders>
          </w:tcPr>
          <w:p>
            <w:pPr>
              <w:spacing w:after="0"/>
              <w:rPr>
                <w:sz w:val="23"/>
                <w:szCs w:val="23"/>
                <w:color w:val="auto"/>
              </w:rPr>
            </w:pPr>
          </w:p>
        </w:tc>
        <w:tc>
          <w:tcPr>
            <w:tcW w:w="9020" w:type="dxa"/>
            <w:vAlign w:val="bottom"/>
            <w:gridSpan w:val="9"/>
          </w:tcPr>
          <w:p>
            <w:pPr>
              <w:spacing w:after="0"/>
              <w:rPr>
                <w:sz w:val="23"/>
                <w:szCs w:val="23"/>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2"/>
                <w:szCs w:val="12"/>
                <w:color w:val="auto"/>
              </w:rPr>
              <w:t>30</w:t>
            </w:r>
          </w:p>
        </w:tc>
        <w:tc>
          <w:tcPr>
            <w:tcW w:w="0" w:type="dxa"/>
            <w:vAlign w:val="bottom"/>
          </w:tcPr>
          <w:p>
            <w:pPr>
              <w:spacing w:after="0"/>
              <w:rPr>
                <w:sz w:val="1"/>
                <w:szCs w:val="1"/>
                <w:color w:val="auto"/>
              </w:rPr>
            </w:pPr>
          </w:p>
        </w:tc>
      </w:tr>
      <w:tr>
        <w:trPr>
          <w:trHeight w:val="268"/>
        </w:trPr>
        <w:tc>
          <w:tcPr>
            <w:tcW w:w="120" w:type="dxa"/>
            <w:vAlign w:val="bottom"/>
          </w:tcPr>
          <w:p>
            <w:pPr>
              <w:spacing w:after="0"/>
              <w:rPr>
                <w:sz w:val="23"/>
                <w:szCs w:val="23"/>
                <w:color w:val="auto"/>
              </w:rPr>
            </w:pPr>
          </w:p>
        </w:tc>
        <w:tc>
          <w:tcPr>
            <w:tcW w:w="340" w:type="dxa"/>
            <w:vAlign w:val="bottom"/>
            <w:gridSpan w:val="2"/>
          </w:tcPr>
          <w:p>
            <w:pPr>
              <w:spacing w:after="0"/>
              <w:rPr>
                <w:rFonts w:ascii="Arial" w:cs="Arial" w:eastAsia="Arial" w:hAnsi="Arial"/>
                <w:sz w:val="12"/>
                <w:szCs w:val="12"/>
                <w:color w:val="0000EE"/>
                <w:w w:val="87"/>
              </w:rPr>
            </w:pPr>
            <w:hyperlink w:anchor="page13">
              <w:r>
                <w:rPr>
                  <w:rFonts w:ascii="Arial" w:cs="Arial" w:eastAsia="Arial" w:hAnsi="Arial"/>
                  <w:sz w:val="12"/>
                  <w:szCs w:val="12"/>
                  <w:color w:val="0000EE"/>
                  <w:w w:val="87"/>
                </w:rPr>
                <w:t>Item 6.</w:t>
              </w:r>
            </w:hyperlink>
          </w:p>
        </w:tc>
        <w:tc>
          <w:tcPr>
            <w:tcW w:w="9980" w:type="dxa"/>
            <w:vAlign w:val="bottom"/>
            <w:gridSpan w:val="14"/>
          </w:tcPr>
          <w:p>
            <w:pPr>
              <w:ind w:left="20"/>
              <w:spacing w:after="0"/>
              <w:rPr>
                <w:rFonts w:ascii="Arial" w:cs="Arial" w:eastAsia="Arial" w:hAnsi="Arial"/>
                <w:sz w:val="12"/>
                <w:szCs w:val="12"/>
                <w:color w:val="0000EE"/>
              </w:rPr>
            </w:pPr>
            <w:hyperlink w:anchor="page13">
              <w:r>
                <w:rPr>
                  <w:rFonts w:ascii="Arial" w:cs="Arial" w:eastAsia="Arial" w:hAnsi="Arial"/>
                  <w:sz w:val="12"/>
                  <w:szCs w:val="12"/>
                  <w:color w:val="0000EE"/>
                </w:rPr>
                <w:t>Exhibits</w:t>
              </w:r>
            </w:hyperlink>
          </w:p>
        </w:tc>
        <w:tc>
          <w:tcPr>
            <w:tcW w:w="1060" w:type="dxa"/>
            <w:vAlign w:val="bottom"/>
            <w:gridSpan w:val="2"/>
          </w:tcPr>
          <w:p>
            <w:pPr>
              <w:jc w:val="right"/>
              <w:ind w:right="20"/>
              <w:spacing w:after="0"/>
              <w:rPr>
                <w:sz w:val="20"/>
                <w:szCs w:val="20"/>
                <w:color w:val="auto"/>
              </w:rPr>
            </w:pPr>
            <w:r>
              <w:rPr>
                <w:rFonts w:ascii="Arial" w:cs="Arial" w:eastAsia="Arial" w:hAnsi="Arial"/>
                <w:sz w:val="12"/>
                <w:szCs w:val="12"/>
                <w:color w:val="auto"/>
              </w:rPr>
              <w:t>30</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560" w:type="dxa"/>
            <w:vAlign w:val="bottom"/>
            <w:gridSpan w:val="11"/>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540" w:type="dxa"/>
            <w:vAlign w:val="bottom"/>
            <w:tcBorders>
              <w:bottom w:val="single" w:sz="8" w:color="0000EE"/>
            </w:tcBorders>
            <w:gridSpan w:val="4"/>
          </w:tcPr>
          <w:p>
            <w:pPr>
              <w:spacing w:after="0"/>
              <w:rPr>
                <w:rFonts w:ascii="Arial" w:cs="Arial" w:eastAsia="Arial" w:hAnsi="Arial"/>
                <w:sz w:val="12"/>
                <w:szCs w:val="12"/>
                <w:b w:val="1"/>
                <w:bCs w:val="1"/>
                <w:color w:val="0000EE"/>
                <w:w w:val="83"/>
              </w:rPr>
            </w:pPr>
            <w:hyperlink w:anchor="page13">
              <w:r>
                <w:rPr>
                  <w:rFonts w:ascii="Arial" w:cs="Arial" w:eastAsia="Arial" w:hAnsi="Arial"/>
                  <w:sz w:val="12"/>
                  <w:szCs w:val="12"/>
                  <w:b w:val="1"/>
                  <w:bCs w:val="1"/>
                  <w:color w:val="0000EE"/>
                  <w:w w:val="83"/>
                </w:rPr>
                <w:t>Signatures</w:t>
              </w:r>
            </w:hyperlink>
          </w:p>
        </w:tc>
        <w:tc>
          <w:tcPr>
            <w:tcW w:w="9900" w:type="dxa"/>
            <w:vAlign w:val="bottom"/>
            <w:gridSpan w:val="13"/>
          </w:tcPr>
          <w:p>
            <w:pPr>
              <w:spacing w:after="0"/>
              <w:rPr>
                <w:sz w:val="23"/>
                <w:szCs w:val="23"/>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268"/>
        </w:trPr>
        <w:tc>
          <w:tcPr>
            <w:tcW w:w="700" w:type="dxa"/>
            <w:vAlign w:val="bottom"/>
            <w:tcBorders>
              <w:bottom w:val="single" w:sz="8" w:color="0000EE"/>
            </w:tcBorders>
            <w:gridSpan w:val="5"/>
          </w:tcPr>
          <w:p>
            <w:pPr>
              <w:spacing w:after="0"/>
              <w:rPr>
                <w:rFonts w:ascii="Arial" w:cs="Arial" w:eastAsia="Arial" w:hAnsi="Arial"/>
                <w:sz w:val="12"/>
                <w:szCs w:val="12"/>
                <w:b w:val="1"/>
                <w:bCs w:val="1"/>
                <w:color w:val="0000EE"/>
                <w:w w:val="90"/>
              </w:rPr>
            </w:pPr>
            <w:hyperlink w:anchor="page13">
              <w:r>
                <w:rPr>
                  <w:rFonts w:ascii="Arial" w:cs="Arial" w:eastAsia="Arial" w:hAnsi="Arial"/>
                  <w:sz w:val="12"/>
                  <w:szCs w:val="12"/>
                  <w:b w:val="1"/>
                  <w:bCs w:val="1"/>
                  <w:color w:val="0000EE"/>
                  <w:w w:val="90"/>
                </w:rPr>
                <w:t>Exhibit Index</w:t>
              </w:r>
            </w:hyperlink>
          </w:p>
        </w:tc>
        <w:tc>
          <w:tcPr>
            <w:tcW w:w="9740" w:type="dxa"/>
            <w:vAlign w:val="bottom"/>
            <w:gridSpan w:val="12"/>
          </w:tcPr>
          <w:p>
            <w:pPr>
              <w:spacing w:after="0"/>
              <w:rPr>
                <w:sz w:val="23"/>
                <w:szCs w:val="23"/>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2"/>
                <w:szCs w:val="12"/>
                <w:color w:val="auto"/>
              </w:rPr>
              <w:t>32</w:t>
            </w:r>
          </w:p>
        </w:tc>
        <w:tc>
          <w:tcPr>
            <w:tcW w:w="0" w:type="dxa"/>
            <w:vAlign w:val="bottom"/>
          </w:tcPr>
          <w:p>
            <w:pPr>
              <w:spacing w:after="0"/>
              <w:rPr>
                <w:sz w:val="1"/>
                <w:szCs w:val="1"/>
                <w:color w:val="auto"/>
              </w:rPr>
            </w:pPr>
          </w:p>
        </w:tc>
      </w:tr>
      <w:tr>
        <w:trPr>
          <w:trHeight w:val="295"/>
        </w:trPr>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20" w:type="dxa"/>
            <w:vAlign w:val="bottom"/>
            <w:gridSpan w:val="13"/>
          </w:tcPr>
          <w:p>
            <w:pPr>
              <w:ind w:left="5240"/>
              <w:spacing w:after="0"/>
              <w:rPr>
                <w:sz w:val="20"/>
                <w:szCs w:val="20"/>
                <w:color w:val="auto"/>
              </w:rPr>
            </w:pPr>
            <w:r>
              <w:rPr>
                <w:rFonts w:ascii="Arial" w:cs="Arial" w:eastAsia="Arial" w:hAnsi="Arial"/>
                <w:sz w:val="12"/>
                <w:szCs w:val="12"/>
                <w:color w:val="auto"/>
              </w:rPr>
              <w:t>2</w:t>
            </w:r>
          </w:p>
        </w:tc>
        <w:tc>
          <w:tcPr>
            <w:tcW w:w="3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12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1400" w:type="dxa"/>
            <w:vAlign w:val="bottom"/>
            <w:tcBorders>
              <w:bottom w:val="single" w:sz="8" w:color="808080"/>
            </w:tcBorders>
          </w:tcPr>
          <w:p>
            <w:pPr>
              <w:spacing w:after="0"/>
              <w:rPr>
                <w:sz w:val="7"/>
                <w:szCs w:val="7"/>
                <w:color w:val="auto"/>
              </w:rPr>
            </w:pPr>
          </w:p>
        </w:tc>
        <w:tc>
          <w:tcPr>
            <w:tcW w:w="760" w:type="dxa"/>
            <w:vAlign w:val="bottom"/>
            <w:tcBorders>
              <w:bottom w:val="single" w:sz="8" w:color="808080"/>
            </w:tcBorders>
          </w:tcPr>
          <w:p>
            <w:pPr>
              <w:spacing w:after="0"/>
              <w:rPr>
                <w:sz w:val="7"/>
                <w:szCs w:val="7"/>
                <w:color w:val="auto"/>
              </w:rPr>
            </w:pPr>
          </w:p>
        </w:tc>
        <w:tc>
          <w:tcPr>
            <w:tcW w:w="600" w:type="dxa"/>
            <w:vAlign w:val="bottom"/>
            <w:tcBorders>
              <w:bottom w:val="single" w:sz="8" w:color="808080"/>
            </w:tcBorders>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1720" w:type="dxa"/>
            <w:vAlign w:val="bottom"/>
            <w:tcBorders>
              <w:bottom w:val="single" w:sz="8" w:color="808080"/>
            </w:tcBorders>
          </w:tcPr>
          <w:p>
            <w:pPr>
              <w:spacing w:after="0"/>
              <w:rPr>
                <w:sz w:val="7"/>
                <w:szCs w:val="7"/>
                <w:color w:val="auto"/>
              </w:rPr>
            </w:pPr>
          </w:p>
        </w:tc>
        <w:tc>
          <w:tcPr>
            <w:tcW w:w="3560" w:type="dxa"/>
            <w:vAlign w:val="bottom"/>
            <w:tcBorders>
              <w:bottom w:val="single" w:sz="8" w:color="808080"/>
            </w:tcBorders>
          </w:tcPr>
          <w:p>
            <w:pPr>
              <w:spacing w:after="0"/>
              <w:rPr>
                <w:sz w:val="7"/>
                <w:szCs w:val="7"/>
                <w:color w:val="auto"/>
              </w:rPr>
            </w:pPr>
          </w:p>
        </w:tc>
        <w:tc>
          <w:tcPr>
            <w:tcW w:w="104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7289165</wp:posOffset>
            </wp:positionH>
            <wp:positionV relativeFrom="paragraph">
              <wp:posOffset>-17145</wp:posOffset>
            </wp:positionV>
            <wp:extent cx="12700" cy="114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1143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-17145</wp:posOffset>
            </wp:positionV>
            <wp:extent cx="12700" cy="114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11430"/>
                    </a:xfrm>
                    <a:prstGeom prst="rect">
                      <a:avLst/>
                    </a:prstGeom>
                    <a:noFill/>
                  </pic:spPr>
                </pic:pic>
              </a:graphicData>
            </a:graphic>
          </wp:anchor>
        </w:drawing>
      </w:r>
    </w:p>
    <w:p>
      <w:pPr>
        <w:spacing w:after="0" w:line="200" w:lineRule="exact"/>
        <w:rPr>
          <w:sz w:val="20"/>
          <w:szCs w:val="20"/>
          <w:color w:val="auto"/>
        </w:rPr>
      </w:pPr>
    </w:p>
    <w:p>
      <w:pPr>
        <w:spacing w:after="0"/>
        <w:rPr>
          <w:rFonts w:ascii="Arial" w:cs="Arial" w:eastAsia="Arial" w:hAnsi="Arial"/>
          <w:sz w:val="12"/>
          <w:szCs w:val="12"/>
          <w:u w:val="single" w:color="auto"/>
          <w:color w:val="0000EE"/>
        </w:rPr>
      </w:pPr>
      <w:hyperlink w:anchor="page1">
        <w:r>
          <w:rPr>
            <w:rFonts w:ascii="Arial" w:cs="Arial" w:eastAsia="Arial" w:hAnsi="Arial"/>
            <w:sz w:val="12"/>
            <w:szCs w:val="12"/>
            <w:u w:val="single" w:color="auto"/>
            <w:color w:val="0000EE"/>
          </w:rPr>
          <w:t>Table of Contents</w:t>
        </w:r>
      </w:hyperlink>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PART I—FINANCIAL INFORMATION</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 Unaudited Financial Statements</w:t>
      </w:r>
    </w:p>
    <w:p>
      <w:pPr>
        <w:spacing w:after="0" w:line="137"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CELLDEX THERAPEUTICS, INC.</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CONDENSED CONSOLIDATED BALANCE SHEETS</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(Unaudited)</w:t>
      </w:r>
    </w:p>
    <w:p>
      <w:pPr>
        <w:spacing w:after="0" w:line="137"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(In thousands, except share and per share amounts)</w:t>
      </w:r>
    </w:p>
    <w:p>
      <w:pPr>
        <w:sectPr>
          <w:pgSz w:w="11900" w:h="16894" w:orient="portrait"/>
          <w:cols w:equalWidth="0" w:num="1">
            <w:col w:w="11500"/>
          </w:cols>
          <w:pgMar w:left="220" w:top="203" w:right="179" w:bottom="0" w:gutter="0" w:footer="0" w:header="0"/>
          <w:type w:val="continuous"/>
        </w:sectPr>
      </w:pPr>
    </w:p>
    <w:bookmarkStart w:id="1" w:name="page2"/>
    <w:bookmarkEnd w:id="1"/>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7620" w:type="dxa"/>
            <w:vAlign w:val="bottom"/>
          </w:tcPr>
          <w:p>
            <w:pPr>
              <w:spacing w:after="0"/>
              <w:rPr>
                <w:sz w:val="10"/>
                <w:szCs w:val="10"/>
                <w:color w:val="auto"/>
              </w:rPr>
            </w:pPr>
          </w:p>
        </w:tc>
        <w:tc>
          <w:tcPr>
            <w:tcW w:w="1200" w:type="dxa"/>
            <w:vAlign w:val="bottom"/>
          </w:tcPr>
          <w:p>
            <w:pPr>
              <w:jc w:val="right"/>
              <w:ind w:right="10"/>
              <w:spacing w:after="0"/>
              <w:rPr>
                <w:sz w:val="20"/>
                <w:szCs w:val="20"/>
                <w:color w:val="auto"/>
              </w:rPr>
            </w:pPr>
            <w:r>
              <w:rPr>
                <w:rFonts w:ascii="Arial" w:cs="Arial" w:eastAsia="Arial" w:hAnsi="Arial"/>
                <w:sz w:val="10"/>
                <w:szCs w:val="10"/>
                <w:b w:val="1"/>
                <w:bCs w:val="1"/>
                <w:color w:val="auto"/>
              </w:rPr>
              <w:t>June 30, 2017</w:t>
            </w: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560" w:type="dxa"/>
            <w:vAlign w:val="bottom"/>
            <w:gridSpan w:val="3"/>
          </w:tcPr>
          <w:p>
            <w:pPr>
              <w:jc w:val="right"/>
              <w:ind w:right="580"/>
              <w:spacing w:after="0"/>
              <w:rPr>
                <w:sz w:val="20"/>
                <w:szCs w:val="20"/>
                <w:color w:val="auto"/>
              </w:rPr>
            </w:pPr>
            <w:r>
              <w:rPr>
                <w:rFonts w:ascii="Arial" w:cs="Arial" w:eastAsia="Arial" w:hAnsi="Arial"/>
                <w:sz w:val="10"/>
                <w:szCs w:val="10"/>
                <w:b w:val="1"/>
                <w:bCs w:val="1"/>
                <w:color w:val="auto"/>
              </w:rPr>
              <w:t>December 31, 2016</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620" w:type="dxa"/>
            <w:vAlign w:val="bottom"/>
            <w:tcBorders>
              <w:top w:val="single" w:sz="8" w:color="CCEEFF"/>
            </w:tcBorders>
            <w:shd w:val="clear" w:color="auto" w:fill="CCEEFF"/>
          </w:tcPr>
          <w:p>
            <w:pPr>
              <w:spacing w:after="0" w:line="124" w:lineRule="exact"/>
              <w:rPr>
                <w:sz w:val="20"/>
                <w:szCs w:val="20"/>
                <w:color w:val="auto"/>
              </w:rPr>
            </w:pPr>
            <w:r>
              <w:rPr>
                <w:rFonts w:ascii="Arial" w:cs="Arial" w:eastAsia="Arial" w:hAnsi="Arial"/>
                <w:sz w:val="12"/>
                <w:szCs w:val="12"/>
                <w:b w:val="1"/>
                <w:bCs w:val="1"/>
                <w:color w:val="auto"/>
              </w:rPr>
              <w:t>ASSETS</w:t>
            </w:r>
          </w:p>
        </w:tc>
        <w:tc>
          <w:tcPr>
            <w:tcW w:w="120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144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620" w:type="dxa"/>
            <w:vAlign w:val="bottom"/>
          </w:tcPr>
          <w:p>
            <w:pPr>
              <w:spacing w:after="0"/>
              <w:rPr>
                <w:sz w:val="20"/>
                <w:szCs w:val="20"/>
                <w:color w:val="auto"/>
              </w:rPr>
            </w:pPr>
            <w:r>
              <w:rPr>
                <w:rFonts w:ascii="Arial" w:cs="Arial" w:eastAsia="Arial" w:hAnsi="Arial"/>
                <w:sz w:val="12"/>
                <w:szCs w:val="12"/>
                <w:color w:val="auto"/>
              </w:rPr>
              <w:t>Current Assets:</w:t>
            </w:r>
          </w:p>
        </w:tc>
        <w:tc>
          <w:tcPr>
            <w:tcW w:w="1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6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Cash and Cash Equivalents</w:t>
            </w:r>
          </w:p>
        </w:tc>
        <w:tc>
          <w:tcPr>
            <w:tcW w:w="1200" w:type="dxa"/>
            <w:vAlign w:val="bottom"/>
            <w:shd w:val="clear" w:color="auto" w:fill="CCEEFF"/>
          </w:tcPr>
          <w:p>
            <w:pPr>
              <w:jc w:val="right"/>
              <w:ind w:right="1090"/>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66,162</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42,461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620" w:type="dxa"/>
            <w:vAlign w:val="bottom"/>
          </w:tcPr>
          <w:p>
            <w:pPr>
              <w:ind w:left="100"/>
              <w:spacing w:after="0"/>
              <w:rPr>
                <w:sz w:val="20"/>
                <w:szCs w:val="20"/>
                <w:color w:val="auto"/>
              </w:rPr>
            </w:pPr>
            <w:r>
              <w:rPr>
                <w:rFonts w:ascii="Arial" w:cs="Arial" w:eastAsia="Arial" w:hAnsi="Arial"/>
                <w:sz w:val="12"/>
                <w:szCs w:val="12"/>
                <w:color w:val="auto"/>
              </w:rPr>
              <w:t>Marketable Securities</w:t>
            </w:r>
          </w:p>
        </w:tc>
        <w:tc>
          <w:tcPr>
            <w:tcW w:w="1200" w:type="dxa"/>
            <w:vAlign w:val="bottom"/>
          </w:tcPr>
          <w:p>
            <w:pPr>
              <w:spacing w:after="0"/>
              <w:rPr>
                <w:sz w:val="12"/>
                <w:szCs w:val="12"/>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2"/>
                <w:szCs w:val="12"/>
                <w:color w:val="auto"/>
              </w:rPr>
              <w:t>87,822</w:t>
            </w:r>
          </w:p>
        </w:tc>
        <w:tc>
          <w:tcPr>
            <w:tcW w:w="260" w:type="dxa"/>
            <w:vAlign w:val="bottom"/>
          </w:tcPr>
          <w:p>
            <w:pPr>
              <w:spacing w:after="0"/>
              <w:rPr>
                <w:sz w:val="12"/>
                <w:szCs w:val="12"/>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2"/>
                <w:szCs w:val="12"/>
                <w:color w:val="auto"/>
              </w:rPr>
              <w:t>147,315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6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Accounts and Other Receivables</w:t>
            </w:r>
          </w:p>
        </w:tc>
        <w:tc>
          <w:tcPr>
            <w:tcW w:w="1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1,359</w:t>
            </w:r>
          </w:p>
        </w:tc>
        <w:tc>
          <w:tcPr>
            <w:tcW w:w="26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1,784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620" w:type="dxa"/>
            <w:vAlign w:val="bottom"/>
          </w:tcPr>
          <w:p>
            <w:pPr>
              <w:ind w:left="100"/>
              <w:spacing w:after="0"/>
              <w:rPr>
                <w:sz w:val="20"/>
                <w:szCs w:val="20"/>
                <w:color w:val="auto"/>
              </w:rPr>
            </w:pPr>
            <w:r>
              <w:rPr>
                <w:rFonts w:ascii="Arial" w:cs="Arial" w:eastAsia="Arial" w:hAnsi="Arial"/>
                <w:sz w:val="12"/>
                <w:szCs w:val="12"/>
                <w:color w:val="auto"/>
              </w:rPr>
              <w:t>Prepaid and Other Current Assets</w:t>
            </w:r>
          </w:p>
        </w:tc>
        <w:tc>
          <w:tcPr>
            <w:tcW w:w="1200" w:type="dxa"/>
            <w:vAlign w:val="bottom"/>
          </w:tcPr>
          <w:p>
            <w:pPr>
              <w:spacing w:after="0"/>
              <w:rPr>
                <w:sz w:val="12"/>
                <w:szCs w:val="12"/>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2"/>
                <w:szCs w:val="12"/>
                <w:color w:val="auto"/>
              </w:rPr>
              <w:t>4,709</w:t>
            </w:r>
          </w:p>
        </w:tc>
        <w:tc>
          <w:tcPr>
            <w:tcW w:w="260" w:type="dxa"/>
            <w:vAlign w:val="bottom"/>
          </w:tcPr>
          <w:p>
            <w:pPr>
              <w:spacing w:after="0"/>
              <w:rPr>
                <w:sz w:val="12"/>
                <w:szCs w:val="12"/>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2"/>
                <w:szCs w:val="12"/>
                <w:color w:val="auto"/>
              </w:rPr>
              <w:t>4,009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20" w:type="dxa"/>
            <w:vAlign w:val="bottom"/>
            <w:tcBorders>
              <w:top w:val="single" w:sz="8" w:color="CCEEFF"/>
            </w:tcBorders>
            <w:shd w:val="clear" w:color="auto" w:fill="CCEEFF"/>
          </w:tcPr>
          <w:p>
            <w:pPr>
              <w:ind w:left="220"/>
              <w:spacing w:after="0" w:line="133" w:lineRule="exact"/>
              <w:rPr>
                <w:sz w:val="20"/>
                <w:szCs w:val="20"/>
                <w:color w:val="auto"/>
              </w:rPr>
            </w:pPr>
            <w:r>
              <w:rPr>
                <w:rFonts w:ascii="Arial" w:cs="Arial" w:eastAsia="Arial" w:hAnsi="Arial"/>
                <w:sz w:val="12"/>
                <w:szCs w:val="12"/>
                <w:color w:val="auto"/>
              </w:rPr>
              <w:t>Total Current Assets</w:t>
            </w:r>
          </w:p>
        </w:tc>
        <w:tc>
          <w:tcPr>
            <w:tcW w:w="1200" w:type="dxa"/>
            <w:vAlign w:val="bottom"/>
            <w:tcBorders>
              <w:top w:val="single" w:sz="8" w:color="auto"/>
              <w:bottom w:val="single" w:sz="8" w:color="auto"/>
            </w:tcBorders>
            <w:shd w:val="clear" w:color="auto" w:fill="CCEEFF"/>
          </w:tcPr>
          <w:p>
            <w:pPr>
              <w:spacing w:after="0"/>
              <w:rPr>
                <w:sz w:val="11"/>
                <w:szCs w:val="11"/>
                <w:color w:val="auto"/>
              </w:rPr>
            </w:pPr>
          </w:p>
        </w:tc>
        <w:tc>
          <w:tcPr>
            <w:tcW w:w="5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160,052</w:t>
            </w:r>
          </w:p>
        </w:tc>
        <w:tc>
          <w:tcPr>
            <w:tcW w:w="30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bottom w:val="single" w:sz="8" w:color="auto"/>
            </w:tcBorders>
            <w:shd w:val="clear" w:color="auto" w:fill="CCEEFF"/>
          </w:tcPr>
          <w:p>
            <w:pPr>
              <w:spacing w:after="0"/>
              <w:rPr>
                <w:sz w:val="11"/>
                <w:szCs w:val="11"/>
                <w:color w:val="auto"/>
              </w:rPr>
            </w:pPr>
          </w:p>
        </w:tc>
        <w:tc>
          <w:tcPr>
            <w:tcW w:w="14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195,569</w:t>
            </w: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20" w:type="dxa"/>
            <w:vAlign w:val="bottom"/>
          </w:tcPr>
          <w:p>
            <w:pPr>
              <w:spacing w:after="0" w:line="133" w:lineRule="exact"/>
              <w:rPr>
                <w:sz w:val="20"/>
                <w:szCs w:val="20"/>
                <w:color w:val="auto"/>
              </w:rPr>
            </w:pPr>
            <w:r>
              <w:rPr>
                <w:rFonts w:ascii="Arial" w:cs="Arial" w:eastAsia="Arial" w:hAnsi="Arial"/>
                <w:sz w:val="12"/>
                <w:szCs w:val="12"/>
                <w:color w:val="auto"/>
              </w:rPr>
              <w:t>Property and Equipment, Net</w:t>
            </w:r>
          </w:p>
        </w:tc>
        <w:tc>
          <w:tcPr>
            <w:tcW w:w="1200" w:type="dxa"/>
            <w:vAlign w:val="bottom"/>
          </w:tcPr>
          <w:p>
            <w:pPr>
              <w:spacing w:after="0"/>
              <w:rPr>
                <w:sz w:val="11"/>
                <w:szCs w:val="11"/>
                <w:color w:val="auto"/>
              </w:rPr>
            </w:pPr>
          </w:p>
        </w:tc>
        <w:tc>
          <w:tcPr>
            <w:tcW w:w="520" w:type="dxa"/>
            <w:vAlign w:val="bottom"/>
          </w:tcPr>
          <w:p>
            <w:pPr>
              <w:jc w:val="right"/>
              <w:spacing w:after="0" w:line="133" w:lineRule="exact"/>
              <w:rPr>
                <w:sz w:val="20"/>
                <w:szCs w:val="20"/>
                <w:color w:val="auto"/>
              </w:rPr>
            </w:pPr>
            <w:r>
              <w:rPr>
                <w:rFonts w:ascii="Arial" w:cs="Arial" w:eastAsia="Arial" w:hAnsi="Arial"/>
                <w:sz w:val="12"/>
                <w:szCs w:val="12"/>
                <w:color w:val="auto"/>
              </w:rPr>
              <w:t>12,069</w:t>
            </w: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40" w:type="dxa"/>
            <w:vAlign w:val="bottom"/>
          </w:tcPr>
          <w:p>
            <w:pPr>
              <w:jc w:val="right"/>
              <w:spacing w:after="0" w:line="133" w:lineRule="exact"/>
              <w:rPr>
                <w:sz w:val="20"/>
                <w:szCs w:val="20"/>
                <w:color w:val="auto"/>
              </w:rPr>
            </w:pPr>
            <w:r>
              <w:rPr>
                <w:rFonts w:ascii="Arial" w:cs="Arial" w:eastAsia="Arial" w:hAnsi="Arial"/>
                <w:sz w:val="12"/>
                <w:szCs w:val="12"/>
                <w:color w:val="auto"/>
              </w:rPr>
              <w:t>13,192</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2"/>
                <w:szCs w:val="12"/>
                <w:color w:val="auto"/>
              </w:rPr>
              <w:t>Intangible Assets, Net</w:t>
            </w:r>
          </w:p>
        </w:tc>
        <w:tc>
          <w:tcPr>
            <w:tcW w:w="1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81,039</w:t>
            </w:r>
          </w:p>
        </w:tc>
        <w:tc>
          <w:tcPr>
            <w:tcW w:w="26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81,487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620" w:type="dxa"/>
            <w:vAlign w:val="bottom"/>
          </w:tcPr>
          <w:p>
            <w:pPr>
              <w:spacing w:after="0"/>
              <w:rPr>
                <w:sz w:val="20"/>
                <w:szCs w:val="20"/>
                <w:color w:val="auto"/>
              </w:rPr>
            </w:pPr>
            <w:r>
              <w:rPr>
                <w:rFonts w:ascii="Arial" w:cs="Arial" w:eastAsia="Arial" w:hAnsi="Arial"/>
                <w:sz w:val="12"/>
                <w:szCs w:val="12"/>
                <w:color w:val="auto"/>
              </w:rPr>
              <w:t>Other Assets</w:t>
            </w:r>
          </w:p>
        </w:tc>
        <w:tc>
          <w:tcPr>
            <w:tcW w:w="1200" w:type="dxa"/>
            <w:vAlign w:val="bottom"/>
          </w:tcPr>
          <w:p>
            <w:pPr>
              <w:spacing w:after="0"/>
              <w:rPr>
                <w:sz w:val="12"/>
                <w:szCs w:val="12"/>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2"/>
                <w:szCs w:val="12"/>
                <w:color w:val="auto"/>
              </w:rPr>
              <w:t>1,935</w:t>
            </w:r>
          </w:p>
        </w:tc>
        <w:tc>
          <w:tcPr>
            <w:tcW w:w="260" w:type="dxa"/>
            <w:vAlign w:val="bottom"/>
          </w:tcPr>
          <w:p>
            <w:pPr>
              <w:spacing w:after="0"/>
              <w:rPr>
                <w:sz w:val="12"/>
                <w:szCs w:val="12"/>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2"/>
                <w:szCs w:val="12"/>
                <w:color w:val="auto"/>
              </w:rPr>
              <w:t>2,134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2"/>
                <w:szCs w:val="12"/>
                <w:color w:val="auto"/>
              </w:rPr>
              <w:t>Goodwill</w:t>
            </w:r>
          </w:p>
        </w:tc>
        <w:tc>
          <w:tcPr>
            <w:tcW w:w="1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90,976</w:t>
            </w:r>
          </w:p>
        </w:tc>
        <w:tc>
          <w:tcPr>
            <w:tcW w:w="26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90,976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620" w:type="dxa"/>
            <w:vAlign w:val="bottom"/>
            <w:tcBorders>
              <w:bottom w:val="single" w:sz="8" w:color="CCEEFF"/>
            </w:tcBorders>
          </w:tcPr>
          <w:p>
            <w:pPr>
              <w:ind w:left="220"/>
              <w:spacing w:after="0" w:line="133" w:lineRule="exact"/>
              <w:rPr>
                <w:sz w:val="20"/>
                <w:szCs w:val="20"/>
                <w:color w:val="auto"/>
              </w:rPr>
            </w:pPr>
            <w:r>
              <w:rPr>
                <w:rFonts w:ascii="Arial" w:cs="Arial" w:eastAsia="Arial" w:hAnsi="Arial"/>
                <w:sz w:val="12"/>
                <w:szCs w:val="12"/>
                <w:color w:val="auto"/>
              </w:rPr>
              <w:t>Total Assets</w:t>
            </w:r>
          </w:p>
        </w:tc>
        <w:tc>
          <w:tcPr>
            <w:tcW w:w="1200" w:type="dxa"/>
            <w:vAlign w:val="bottom"/>
            <w:tcBorders>
              <w:top w:val="single" w:sz="8" w:color="auto"/>
              <w:bottom w:val="single" w:sz="8" w:color="auto"/>
            </w:tcBorders>
          </w:tcPr>
          <w:p>
            <w:pPr>
              <w:jc w:val="right"/>
              <w:ind w:right="1090"/>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346,071</w:t>
            </w:r>
          </w:p>
        </w:tc>
        <w:tc>
          <w:tcPr>
            <w:tcW w:w="30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144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383,358</w:t>
            </w: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62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7620" w:type="dxa"/>
            <w:vAlign w:val="bottom"/>
          </w:tcPr>
          <w:p>
            <w:pPr>
              <w:spacing w:after="0"/>
              <w:rPr>
                <w:sz w:val="20"/>
                <w:szCs w:val="20"/>
                <w:color w:val="auto"/>
              </w:rPr>
            </w:pPr>
            <w:r>
              <w:rPr>
                <w:rFonts w:ascii="Arial" w:cs="Arial" w:eastAsia="Arial" w:hAnsi="Arial"/>
                <w:sz w:val="12"/>
                <w:szCs w:val="12"/>
                <w:b w:val="1"/>
                <w:bCs w:val="1"/>
                <w:color w:val="auto"/>
              </w:rPr>
              <w:t>LIABILITIES AND STOCKHOLDERS’ EQUITY</w:t>
            </w:r>
          </w:p>
        </w:tc>
        <w:tc>
          <w:tcPr>
            <w:tcW w:w="1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2"/>
                <w:szCs w:val="12"/>
                <w:color w:val="auto"/>
              </w:rPr>
              <w:t>Current Liabilities:</w:t>
            </w:r>
          </w:p>
        </w:tc>
        <w:tc>
          <w:tcPr>
            <w:tcW w:w="12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620" w:type="dxa"/>
            <w:vAlign w:val="bottom"/>
          </w:tcPr>
          <w:p>
            <w:pPr>
              <w:ind w:left="100"/>
              <w:spacing w:after="0"/>
              <w:rPr>
                <w:sz w:val="20"/>
                <w:szCs w:val="20"/>
                <w:color w:val="auto"/>
              </w:rPr>
            </w:pPr>
            <w:r>
              <w:rPr>
                <w:rFonts w:ascii="Arial" w:cs="Arial" w:eastAsia="Arial" w:hAnsi="Arial"/>
                <w:sz w:val="12"/>
                <w:szCs w:val="12"/>
                <w:color w:val="auto"/>
              </w:rPr>
              <w:t>Accounts Payable</w:t>
            </w:r>
          </w:p>
        </w:tc>
        <w:tc>
          <w:tcPr>
            <w:tcW w:w="1200" w:type="dxa"/>
            <w:vAlign w:val="bottom"/>
          </w:tcPr>
          <w:p>
            <w:pPr>
              <w:jc w:val="right"/>
              <w:ind w:right="1090"/>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300"/>
              <w:spacing w:after="0"/>
              <w:rPr>
                <w:sz w:val="20"/>
                <w:szCs w:val="20"/>
                <w:color w:val="auto"/>
              </w:rPr>
            </w:pPr>
            <w:r>
              <w:rPr>
                <w:rFonts w:ascii="Arial" w:cs="Arial" w:eastAsia="Arial" w:hAnsi="Arial"/>
                <w:sz w:val="12"/>
                <w:szCs w:val="12"/>
                <w:color w:val="auto"/>
              </w:rPr>
              <w:t>1,975</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1460" w:type="dxa"/>
            <w:vAlign w:val="bottom"/>
            <w:gridSpan w:val="2"/>
          </w:tcPr>
          <w:p>
            <w:pPr>
              <w:jc w:val="right"/>
              <w:ind w:right="20"/>
              <w:spacing w:after="0"/>
              <w:rPr>
                <w:sz w:val="20"/>
                <w:szCs w:val="20"/>
                <w:color w:val="auto"/>
              </w:rPr>
            </w:pPr>
            <w:r>
              <w:rPr>
                <w:rFonts w:ascii="Arial" w:cs="Arial" w:eastAsia="Arial" w:hAnsi="Arial"/>
                <w:sz w:val="12"/>
                <w:szCs w:val="12"/>
                <w:color w:val="auto"/>
              </w:rPr>
              <w:t>1,740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6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Accrued Expenses</w:t>
            </w:r>
          </w:p>
        </w:tc>
        <w:tc>
          <w:tcPr>
            <w:tcW w:w="1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21,275</w:t>
            </w:r>
          </w:p>
        </w:tc>
        <w:tc>
          <w:tcPr>
            <w:tcW w:w="26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28,657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620" w:type="dxa"/>
            <w:vAlign w:val="bottom"/>
          </w:tcPr>
          <w:p>
            <w:pPr>
              <w:ind w:left="100"/>
              <w:spacing w:after="0"/>
              <w:rPr>
                <w:sz w:val="20"/>
                <w:szCs w:val="20"/>
                <w:color w:val="auto"/>
              </w:rPr>
            </w:pPr>
            <w:r>
              <w:rPr>
                <w:rFonts w:ascii="Arial" w:cs="Arial" w:eastAsia="Arial" w:hAnsi="Arial"/>
                <w:sz w:val="12"/>
                <w:szCs w:val="12"/>
                <w:color w:val="auto"/>
              </w:rPr>
              <w:t>Current Portion of Long-Term Liabilities</w:t>
            </w:r>
          </w:p>
        </w:tc>
        <w:tc>
          <w:tcPr>
            <w:tcW w:w="1200" w:type="dxa"/>
            <w:vAlign w:val="bottom"/>
          </w:tcPr>
          <w:p>
            <w:pPr>
              <w:spacing w:after="0"/>
              <w:rPr>
                <w:sz w:val="12"/>
                <w:szCs w:val="12"/>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2"/>
                <w:szCs w:val="12"/>
                <w:color w:val="auto"/>
              </w:rPr>
              <w:t>5,538</w:t>
            </w:r>
          </w:p>
        </w:tc>
        <w:tc>
          <w:tcPr>
            <w:tcW w:w="260" w:type="dxa"/>
            <w:vAlign w:val="bottom"/>
          </w:tcPr>
          <w:p>
            <w:pPr>
              <w:spacing w:after="0"/>
              <w:rPr>
                <w:sz w:val="12"/>
                <w:szCs w:val="12"/>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2"/>
                <w:szCs w:val="12"/>
                <w:color w:val="auto"/>
              </w:rPr>
              <w:t>4,826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20" w:type="dxa"/>
            <w:vAlign w:val="bottom"/>
            <w:tcBorders>
              <w:top w:val="single" w:sz="8" w:color="CCEEFF"/>
            </w:tcBorders>
            <w:shd w:val="clear" w:color="auto" w:fill="CCEEFF"/>
          </w:tcPr>
          <w:p>
            <w:pPr>
              <w:ind w:left="220"/>
              <w:spacing w:after="0" w:line="133" w:lineRule="exact"/>
              <w:rPr>
                <w:sz w:val="20"/>
                <w:szCs w:val="20"/>
                <w:color w:val="auto"/>
              </w:rPr>
            </w:pPr>
            <w:r>
              <w:rPr>
                <w:rFonts w:ascii="Arial" w:cs="Arial" w:eastAsia="Arial" w:hAnsi="Arial"/>
                <w:sz w:val="12"/>
                <w:szCs w:val="12"/>
                <w:color w:val="auto"/>
              </w:rPr>
              <w:t>Total Current Liabilities</w:t>
            </w:r>
          </w:p>
        </w:tc>
        <w:tc>
          <w:tcPr>
            <w:tcW w:w="1200" w:type="dxa"/>
            <w:vAlign w:val="bottom"/>
            <w:tcBorders>
              <w:top w:val="single" w:sz="8" w:color="auto"/>
              <w:bottom w:val="single" w:sz="8" w:color="auto"/>
            </w:tcBorders>
            <w:shd w:val="clear" w:color="auto" w:fill="CCEEFF"/>
          </w:tcPr>
          <w:p>
            <w:pPr>
              <w:spacing w:after="0"/>
              <w:rPr>
                <w:sz w:val="11"/>
                <w:szCs w:val="11"/>
                <w:color w:val="auto"/>
              </w:rPr>
            </w:pPr>
          </w:p>
        </w:tc>
        <w:tc>
          <w:tcPr>
            <w:tcW w:w="5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28,788</w:t>
            </w:r>
          </w:p>
        </w:tc>
        <w:tc>
          <w:tcPr>
            <w:tcW w:w="30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bottom w:val="single" w:sz="8" w:color="auto"/>
            </w:tcBorders>
            <w:shd w:val="clear" w:color="auto" w:fill="CCEEFF"/>
          </w:tcPr>
          <w:p>
            <w:pPr>
              <w:spacing w:after="0"/>
              <w:rPr>
                <w:sz w:val="11"/>
                <w:szCs w:val="11"/>
                <w:color w:val="auto"/>
              </w:rPr>
            </w:pPr>
          </w:p>
        </w:tc>
        <w:tc>
          <w:tcPr>
            <w:tcW w:w="14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35,223</w:t>
            </w: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20" w:type="dxa"/>
            <w:vAlign w:val="bottom"/>
            <w:tcBorders>
              <w:bottom w:val="single" w:sz="8" w:color="CCEEFF"/>
            </w:tcBorders>
          </w:tcPr>
          <w:p>
            <w:pPr>
              <w:spacing w:after="0" w:line="133" w:lineRule="exact"/>
              <w:rPr>
                <w:sz w:val="20"/>
                <w:szCs w:val="20"/>
                <w:color w:val="auto"/>
              </w:rPr>
            </w:pPr>
            <w:r>
              <w:rPr>
                <w:rFonts w:ascii="Arial" w:cs="Arial" w:eastAsia="Arial" w:hAnsi="Arial"/>
                <w:sz w:val="12"/>
                <w:szCs w:val="12"/>
                <w:color w:val="auto"/>
              </w:rPr>
              <w:t>Other Long-Term Liabilities</w:t>
            </w:r>
          </w:p>
        </w:tc>
        <w:tc>
          <w:tcPr>
            <w:tcW w:w="12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85,826</w:t>
            </w:r>
          </w:p>
        </w:tc>
        <w:tc>
          <w:tcPr>
            <w:tcW w:w="30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82,704</w:t>
            </w:r>
          </w:p>
        </w:tc>
        <w:tc>
          <w:tcPr>
            <w:tcW w:w="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20" w:type="dxa"/>
            <w:vAlign w:val="bottom"/>
            <w:shd w:val="clear" w:color="auto" w:fill="CCEEFF"/>
          </w:tcPr>
          <w:p>
            <w:pPr>
              <w:ind w:left="220"/>
              <w:spacing w:after="0" w:line="133" w:lineRule="exact"/>
              <w:rPr>
                <w:sz w:val="20"/>
                <w:szCs w:val="20"/>
                <w:color w:val="auto"/>
              </w:rPr>
            </w:pPr>
            <w:r>
              <w:rPr>
                <w:rFonts w:ascii="Arial" w:cs="Arial" w:eastAsia="Arial" w:hAnsi="Arial"/>
                <w:sz w:val="12"/>
                <w:szCs w:val="12"/>
                <w:color w:val="auto"/>
              </w:rPr>
              <w:t>Total Liabilities</w:t>
            </w:r>
          </w:p>
        </w:tc>
        <w:tc>
          <w:tcPr>
            <w:tcW w:w="120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114,614</w:t>
            </w:r>
          </w:p>
        </w:tc>
        <w:tc>
          <w:tcPr>
            <w:tcW w:w="30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144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117,927</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76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2"/>
                <w:szCs w:val="12"/>
                <w:color w:val="auto"/>
              </w:rPr>
              <w:t>Commitments and Contingent Liabilities</w:t>
            </w:r>
          </w:p>
        </w:tc>
        <w:tc>
          <w:tcPr>
            <w:tcW w:w="12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6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2"/>
                <w:szCs w:val="12"/>
                <w:color w:val="auto"/>
              </w:rPr>
              <w:t>Stockholders’ Equity:</w:t>
            </w:r>
          </w:p>
        </w:tc>
        <w:tc>
          <w:tcPr>
            <w:tcW w:w="12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20" w:type="dxa"/>
            <w:vAlign w:val="bottom"/>
          </w:tcPr>
          <w:p>
            <w:pPr>
              <w:ind w:left="100"/>
              <w:spacing w:after="0" w:line="136" w:lineRule="exact"/>
              <w:rPr>
                <w:sz w:val="20"/>
                <w:szCs w:val="20"/>
                <w:color w:val="auto"/>
              </w:rPr>
            </w:pPr>
            <w:r>
              <w:rPr>
                <w:rFonts w:ascii="Arial" w:cs="Arial" w:eastAsia="Arial" w:hAnsi="Arial"/>
                <w:sz w:val="12"/>
                <w:szCs w:val="12"/>
                <w:color w:val="auto"/>
                <w:w w:val="95"/>
              </w:rPr>
              <w:t>Convertible Preferred Stock, $.01 Par Value; 3,000,000 Shares Authorized; No Shares Issued and Outstanding at June 30, 2017 and December 31,</w:t>
            </w:r>
          </w:p>
        </w:tc>
        <w:tc>
          <w:tcPr>
            <w:tcW w:w="1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7640" w:type="dxa"/>
            <w:vAlign w:val="bottom"/>
            <w:gridSpan w:val="2"/>
          </w:tcPr>
          <w:p>
            <w:pPr>
              <w:ind w:left="240"/>
              <w:spacing w:after="0"/>
              <w:rPr>
                <w:sz w:val="20"/>
                <w:szCs w:val="20"/>
                <w:color w:val="auto"/>
              </w:rPr>
            </w:pPr>
            <w:r>
              <w:rPr>
                <w:rFonts w:ascii="Arial" w:cs="Arial" w:eastAsia="Arial" w:hAnsi="Arial"/>
                <w:sz w:val="12"/>
                <w:szCs w:val="12"/>
                <w:color w:val="auto"/>
              </w:rPr>
              <w:t>2016</w:t>
            </w:r>
          </w:p>
        </w:tc>
        <w:tc>
          <w:tcPr>
            <w:tcW w:w="1200" w:type="dxa"/>
            <w:vAlign w:val="bottom"/>
          </w:tcPr>
          <w:p>
            <w:pPr>
              <w:spacing w:after="0"/>
              <w:rPr>
                <w:sz w:val="13"/>
                <w:szCs w:val="13"/>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156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20" w:type="dxa"/>
            <w:vAlign w:val="bottom"/>
            <w:shd w:val="clear" w:color="auto" w:fill="CCEEFF"/>
          </w:tcPr>
          <w:p>
            <w:pPr>
              <w:ind w:left="100"/>
              <w:spacing w:after="0" w:line="136" w:lineRule="exact"/>
              <w:rPr>
                <w:sz w:val="20"/>
                <w:szCs w:val="20"/>
                <w:color w:val="auto"/>
              </w:rPr>
            </w:pPr>
            <w:r>
              <w:rPr>
                <w:rFonts w:ascii="Arial" w:cs="Arial" w:eastAsia="Arial" w:hAnsi="Arial"/>
                <w:sz w:val="12"/>
                <w:szCs w:val="12"/>
                <w:color w:val="auto"/>
                <w:w w:val="93"/>
              </w:rPr>
              <w:t>Common Stock, $.001 Par Value; 297,000,000 Shares Authorized; 127,411,975 and 120,516,654 Shares Issued and Outstanding at June 30, 2017 and</w:t>
            </w:r>
          </w:p>
        </w:tc>
        <w:tc>
          <w:tcPr>
            <w:tcW w:w="12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620" w:type="dxa"/>
            <w:vAlign w:val="bottom"/>
            <w:shd w:val="clear" w:color="auto" w:fill="CCEEFF"/>
          </w:tcPr>
          <w:p>
            <w:pPr>
              <w:ind w:left="220"/>
              <w:spacing w:after="0"/>
              <w:rPr>
                <w:sz w:val="20"/>
                <w:szCs w:val="20"/>
                <w:color w:val="auto"/>
              </w:rPr>
            </w:pPr>
            <w:r>
              <w:rPr>
                <w:rFonts w:ascii="Arial" w:cs="Arial" w:eastAsia="Arial" w:hAnsi="Arial"/>
                <w:sz w:val="12"/>
                <w:szCs w:val="12"/>
                <w:color w:val="auto"/>
              </w:rPr>
              <w:t>December 31, 2016, respectively</w:t>
            </w:r>
          </w:p>
        </w:tc>
        <w:tc>
          <w:tcPr>
            <w:tcW w:w="12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127</w:t>
            </w:r>
          </w:p>
        </w:tc>
        <w:tc>
          <w:tcPr>
            <w:tcW w:w="260" w:type="dxa"/>
            <w:vAlign w:val="bottom"/>
            <w:shd w:val="clear" w:color="auto" w:fill="CCEEFF"/>
          </w:tcPr>
          <w:p>
            <w:pPr>
              <w:spacing w:after="0"/>
              <w:rPr>
                <w:sz w:val="13"/>
                <w:szCs w:val="13"/>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121</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620" w:type="dxa"/>
            <w:vAlign w:val="bottom"/>
          </w:tcPr>
          <w:p>
            <w:pPr>
              <w:ind w:left="100"/>
              <w:spacing w:after="0"/>
              <w:rPr>
                <w:sz w:val="20"/>
                <w:szCs w:val="20"/>
                <w:color w:val="auto"/>
              </w:rPr>
            </w:pPr>
            <w:r>
              <w:rPr>
                <w:rFonts w:ascii="Arial" w:cs="Arial" w:eastAsia="Arial" w:hAnsi="Arial"/>
                <w:sz w:val="12"/>
                <w:szCs w:val="12"/>
                <w:color w:val="auto"/>
              </w:rPr>
              <w:t>Additional Paid-In Capital</w:t>
            </w:r>
          </w:p>
        </w:tc>
        <w:tc>
          <w:tcPr>
            <w:tcW w:w="1200" w:type="dxa"/>
            <w:vAlign w:val="bottom"/>
          </w:tcPr>
          <w:p>
            <w:pPr>
              <w:spacing w:after="0"/>
              <w:rPr>
                <w:sz w:val="12"/>
                <w:szCs w:val="12"/>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2"/>
                <w:szCs w:val="12"/>
                <w:color w:val="auto"/>
                <w:w w:val="93"/>
              </w:rPr>
              <w:t>1,011,066</w:t>
            </w:r>
          </w:p>
        </w:tc>
        <w:tc>
          <w:tcPr>
            <w:tcW w:w="260" w:type="dxa"/>
            <w:vAlign w:val="bottom"/>
          </w:tcPr>
          <w:p>
            <w:pPr>
              <w:spacing w:after="0"/>
              <w:rPr>
                <w:sz w:val="12"/>
                <w:szCs w:val="12"/>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2"/>
                <w:szCs w:val="12"/>
                <w:color w:val="auto"/>
              </w:rPr>
              <w:t>982,255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6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Accumulated Other Comprehensive Income</w:t>
            </w:r>
          </w:p>
        </w:tc>
        <w:tc>
          <w:tcPr>
            <w:tcW w:w="1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2,577</w:t>
            </w:r>
          </w:p>
        </w:tc>
        <w:tc>
          <w:tcPr>
            <w:tcW w:w="26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2,541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620" w:type="dxa"/>
            <w:vAlign w:val="bottom"/>
          </w:tcPr>
          <w:p>
            <w:pPr>
              <w:ind w:left="100"/>
              <w:spacing w:after="0"/>
              <w:rPr>
                <w:sz w:val="20"/>
                <w:szCs w:val="20"/>
                <w:color w:val="auto"/>
              </w:rPr>
            </w:pPr>
            <w:r>
              <w:rPr>
                <w:rFonts w:ascii="Arial" w:cs="Arial" w:eastAsia="Arial" w:hAnsi="Arial"/>
                <w:sz w:val="12"/>
                <w:szCs w:val="12"/>
                <w:color w:val="auto"/>
              </w:rPr>
              <w:t>Accumulated Deficit</w:t>
            </w:r>
          </w:p>
        </w:tc>
        <w:tc>
          <w:tcPr>
            <w:tcW w:w="1200" w:type="dxa"/>
            <w:vAlign w:val="bottom"/>
          </w:tcPr>
          <w:p>
            <w:pPr>
              <w:spacing w:after="0"/>
              <w:rPr>
                <w:sz w:val="12"/>
                <w:szCs w:val="12"/>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2"/>
                <w:szCs w:val="12"/>
                <w:color w:val="auto"/>
              </w:rPr>
              <w:t>(782,313)</w:t>
            </w:r>
          </w:p>
        </w:tc>
        <w:tc>
          <w:tcPr>
            <w:tcW w:w="260" w:type="dxa"/>
            <w:vAlign w:val="bottom"/>
          </w:tcPr>
          <w:p>
            <w:pPr>
              <w:spacing w:after="0"/>
              <w:rPr>
                <w:sz w:val="12"/>
                <w:szCs w:val="12"/>
                <w:color w:val="auto"/>
              </w:rPr>
            </w:pPr>
          </w:p>
        </w:tc>
        <w:tc>
          <w:tcPr>
            <w:tcW w:w="1560" w:type="dxa"/>
            <w:vAlign w:val="bottom"/>
            <w:gridSpan w:val="3"/>
          </w:tcPr>
          <w:p>
            <w:pPr>
              <w:jc w:val="right"/>
              <w:ind w:right="80"/>
              <w:spacing w:after="0"/>
              <w:rPr>
                <w:sz w:val="20"/>
                <w:szCs w:val="20"/>
                <w:color w:val="auto"/>
              </w:rPr>
            </w:pPr>
            <w:r>
              <w:rPr>
                <w:rFonts w:ascii="Arial" w:cs="Arial" w:eastAsia="Arial" w:hAnsi="Arial"/>
                <w:sz w:val="12"/>
                <w:szCs w:val="12"/>
                <w:color w:val="auto"/>
              </w:rPr>
              <w:t>(719,486)</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20" w:type="dxa"/>
            <w:vAlign w:val="bottom"/>
            <w:tcBorders>
              <w:top w:val="single" w:sz="8" w:color="CCEEFF"/>
            </w:tcBorders>
            <w:shd w:val="clear" w:color="auto" w:fill="CCEEFF"/>
          </w:tcPr>
          <w:p>
            <w:pPr>
              <w:ind w:left="220"/>
              <w:spacing w:after="0" w:line="133" w:lineRule="exact"/>
              <w:rPr>
                <w:sz w:val="20"/>
                <w:szCs w:val="20"/>
                <w:color w:val="auto"/>
              </w:rPr>
            </w:pPr>
            <w:r>
              <w:rPr>
                <w:rFonts w:ascii="Arial" w:cs="Arial" w:eastAsia="Arial" w:hAnsi="Arial"/>
                <w:sz w:val="12"/>
                <w:szCs w:val="12"/>
                <w:color w:val="auto"/>
              </w:rPr>
              <w:t>Total Stockholders’ Equity</w:t>
            </w:r>
          </w:p>
        </w:tc>
        <w:tc>
          <w:tcPr>
            <w:tcW w:w="1200" w:type="dxa"/>
            <w:vAlign w:val="bottom"/>
            <w:tcBorders>
              <w:top w:val="single" w:sz="8" w:color="auto"/>
              <w:bottom w:val="single" w:sz="8" w:color="auto"/>
            </w:tcBorders>
            <w:shd w:val="clear" w:color="auto" w:fill="CCEEFF"/>
          </w:tcPr>
          <w:p>
            <w:pPr>
              <w:spacing w:after="0"/>
              <w:rPr>
                <w:sz w:val="11"/>
                <w:szCs w:val="11"/>
                <w:color w:val="auto"/>
              </w:rPr>
            </w:pPr>
          </w:p>
        </w:tc>
        <w:tc>
          <w:tcPr>
            <w:tcW w:w="5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231,457</w:t>
            </w:r>
          </w:p>
        </w:tc>
        <w:tc>
          <w:tcPr>
            <w:tcW w:w="30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bottom w:val="single" w:sz="8" w:color="auto"/>
            </w:tcBorders>
            <w:shd w:val="clear" w:color="auto" w:fill="CCEEFF"/>
          </w:tcPr>
          <w:p>
            <w:pPr>
              <w:spacing w:after="0"/>
              <w:rPr>
                <w:sz w:val="11"/>
                <w:szCs w:val="11"/>
                <w:color w:val="auto"/>
              </w:rPr>
            </w:pPr>
          </w:p>
        </w:tc>
        <w:tc>
          <w:tcPr>
            <w:tcW w:w="14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265,431</w:t>
            </w: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620" w:type="dxa"/>
            <w:vAlign w:val="bottom"/>
          </w:tcPr>
          <w:p>
            <w:pPr>
              <w:ind w:left="220"/>
              <w:spacing w:after="0" w:line="133" w:lineRule="exact"/>
              <w:rPr>
                <w:sz w:val="20"/>
                <w:szCs w:val="20"/>
                <w:color w:val="auto"/>
              </w:rPr>
            </w:pPr>
            <w:r>
              <w:rPr>
                <w:rFonts w:ascii="Arial" w:cs="Arial" w:eastAsia="Arial" w:hAnsi="Arial"/>
                <w:sz w:val="12"/>
                <w:szCs w:val="12"/>
                <w:color w:val="auto"/>
              </w:rPr>
              <w:t>Total Liabilities and Stockholders’ Equity</w:t>
            </w:r>
          </w:p>
        </w:tc>
        <w:tc>
          <w:tcPr>
            <w:tcW w:w="1200" w:type="dxa"/>
            <w:vAlign w:val="bottom"/>
            <w:tcBorders>
              <w:bottom w:val="single" w:sz="8" w:color="auto"/>
            </w:tcBorders>
          </w:tcPr>
          <w:p>
            <w:pPr>
              <w:jc w:val="right"/>
              <w:ind w:right="1090"/>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346,071</w:t>
            </w:r>
          </w:p>
        </w:tc>
        <w:tc>
          <w:tcPr>
            <w:tcW w:w="300" w:type="dxa"/>
            <w:vAlign w:val="bottom"/>
          </w:tcPr>
          <w:p>
            <w:pPr>
              <w:spacing w:after="0"/>
              <w:rPr>
                <w:sz w:val="12"/>
                <w:szCs w:val="12"/>
                <w:color w:val="auto"/>
              </w:rPr>
            </w:pPr>
          </w:p>
        </w:tc>
        <w:tc>
          <w:tcPr>
            <w:tcW w:w="260" w:type="dxa"/>
            <w:vAlign w:val="bottom"/>
            <w:tcBorders>
              <w:bottom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144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383,358</w:t>
            </w:r>
          </w:p>
        </w:tc>
        <w:tc>
          <w:tcPr>
            <w:tcW w:w="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See accompanying notes to unaudited condensed consolidated financial statements</w:t>
      </w:r>
    </w:p>
    <w:p>
      <w:pPr>
        <w:spacing w:after="0" w:line="150"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310755" cy="241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10755" cy="24130"/>
                    </a:xfrm>
                    <a:prstGeom prst="rect">
                      <a:avLst/>
                    </a:prstGeom>
                    <a:noFill/>
                  </pic:spPr>
                </pic:pic>
              </a:graphicData>
            </a:graphic>
          </wp:anchor>
        </w:drawing>
      </w:r>
    </w:p>
    <w:p>
      <w:pPr>
        <w:spacing w:after="0" w:line="319" w:lineRule="exact"/>
        <w:rPr>
          <w:sz w:val="20"/>
          <w:szCs w:val="20"/>
          <w:color w:val="auto"/>
        </w:rPr>
      </w:pPr>
    </w:p>
    <w:p>
      <w:pPr>
        <w:spacing w:after="0"/>
        <w:rPr>
          <w:rFonts w:ascii="Arial" w:cs="Arial" w:eastAsia="Arial" w:hAnsi="Arial"/>
          <w:sz w:val="12"/>
          <w:szCs w:val="12"/>
          <w:u w:val="single" w:color="auto"/>
          <w:color w:val="0000EE"/>
        </w:rPr>
      </w:pPr>
      <w:hyperlink w:anchor="page1">
        <w:r>
          <w:rPr>
            <w:rFonts w:ascii="Arial" w:cs="Arial" w:eastAsia="Arial" w:hAnsi="Arial"/>
            <w:sz w:val="12"/>
            <w:szCs w:val="12"/>
            <w:u w:val="single" w:color="auto"/>
            <w:color w:val="0000EE"/>
          </w:rPr>
          <w:t>Table of Contents</w:t>
        </w:r>
      </w:hyperlink>
    </w:p>
    <w:p>
      <w:pPr>
        <w:spacing w:after="0" w:line="146"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CELLDEX THERAPEUTICS, INC.</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CONDENSED CONSOLIDATED STATEMENTS OF OPERATIONS AND COMPREHENSIVE LOSS</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(Unaudited)</w:t>
      </w:r>
    </w:p>
    <w:p>
      <w:pPr>
        <w:spacing w:after="0" w:line="137"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(In thousands, except per share amounts)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980" w:type="dxa"/>
            <w:vAlign w:val="bottom"/>
          </w:tcPr>
          <w:p>
            <w:pPr>
              <w:jc w:val="center"/>
              <w:ind w:left="348"/>
              <w:spacing w:after="0"/>
              <w:rPr>
                <w:sz w:val="20"/>
                <w:szCs w:val="20"/>
                <w:color w:val="auto"/>
              </w:rPr>
            </w:pPr>
            <w:r>
              <w:rPr>
                <w:rFonts w:ascii="Arial" w:cs="Arial" w:eastAsia="Arial" w:hAnsi="Arial"/>
                <w:sz w:val="10"/>
                <w:szCs w:val="10"/>
                <w:b w:val="1"/>
                <w:bCs w:val="1"/>
                <w:color w:val="auto"/>
                <w:w w:val="88"/>
              </w:rPr>
              <w:t>Three Months</w:t>
            </w: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tcPr>
          <w:p>
            <w:pPr>
              <w:jc w:val="center"/>
              <w:ind w:left="351"/>
              <w:spacing w:after="0"/>
              <w:rPr>
                <w:sz w:val="20"/>
                <w:szCs w:val="20"/>
                <w:color w:val="auto"/>
              </w:rPr>
            </w:pPr>
            <w:r>
              <w:rPr>
                <w:rFonts w:ascii="Arial" w:cs="Arial" w:eastAsia="Arial" w:hAnsi="Arial"/>
                <w:sz w:val="10"/>
                <w:szCs w:val="10"/>
                <w:b w:val="1"/>
                <w:bCs w:val="1"/>
                <w:color w:val="auto"/>
                <w:w w:val="91"/>
              </w:rPr>
              <w:t>Three Months</w:t>
            </w: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tcPr>
          <w:p>
            <w:pPr>
              <w:jc w:val="center"/>
              <w:ind w:left="353"/>
              <w:spacing w:after="0"/>
              <w:rPr>
                <w:sz w:val="20"/>
                <w:szCs w:val="20"/>
                <w:color w:val="auto"/>
              </w:rPr>
            </w:pPr>
            <w:r>
              <w:rPr>
                <w:rFonts w:ascii="Arial" w:cs="Arial" w:eastAsia="Arial" w:hAnsi="Arial"/>
                <w:sz w:val="10"/>
                <w:szCs w:val="10"/>
                <w:b w:val="1"/>
                <w:bCs w:val="1"/>
                <w:color w:val="auto"/>
                <w:w w:val="86"/>
              </w:rPr>
              <w:t>Six Months</w:t>
            </w: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86"/>
              </w:rPr>
              <w:t>Six Months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7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980" w:type="dxa"/>
            <w:vAlign w:val="bottom"/>
          </w:tcPr>
          <w:p>
            <w:pPr>
              <w:jc w:val="center"/>
              <w:ind w:left="348"/>
              <w:spacing w:after="0" w:line="99" w:lineRule="exact"/>
              <w:rPr>
                <w:sz w:val="20"/>
                <w:szCs w:val="20"/>
                <w:color w:val="auto"/>
              </w:rPr>
            </w:pPr>
            <w:r>
              <w:rPr>
                <w:rFonts w:ascii="Arial" w:cs="Arial" w:eastAsia="Arial" w:hAnsi="Arial"/>
                <w:sz w:val="10"/>
                <w:szCs w:val="10"/>
                <w:b w:val="1"/>
                <w:bCs w:val="1"/>
                <w:color w:val="auto"/>
                <w:w w:val="84"/>
              </w:rPr>
              <w:t>Ended</w:t>
            </w: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0" w:type="dxa"/>
            <w:vAlign w:val="bottom"/>
          </w:tcPr>
          <w:p>
            <w:pPr>
              <w:jc w:val="center"/>
              <w:ind w:left="351"/>
              <w:spacing w:after="0" w:line="99" w:lineRule="exact"/>
              <w:rPr>
                <w:sz w:val="20"/>
                <w:szCs w:val="20"/>
                <w:color w:val="auto"/>
              </w:rPr>
            </w:pPr>
            <w:r>
              <w:rPr>
                <w:rFonts w:ascii="Arial" w:cs="Arial" w:eastAsia="Arial" w:hAnsi="Arial"/>
                <w:sz w:val="10"/>
                <w:szCs w:val="10"/>
                <w:b w:val="1"/>
                <w:bCs w:val="1"/>
                <w:color w:val="auto"/>
                <w:w w:val="91"/>
              </w:rPr>
              <w:t>Ended</w:t>
            </w: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80" w:type="dxa"/>
            <w:vAlign w:val="bottom"/>
          </w:tcPr>
          <w:p>
            <w:pPr>
              <w:jc w:val="center"/>
              <w:ind w:left="353"/>
              <w:spacing w:after="0" w:line="99" w:lineRule="exact"/>
              <w:rPr>
                <w:sz w:val="20"/>
                <w:szCs w:val="20"/>
                <w:color w:val="auto"/>
              </w:rPr>
            </w:pPr>
            <w:r>
              <w:rPr>
                <w:rFonts w:ascii="Arial" w:cs="Arial" w:eastAsia="Arial" w:hAnsi="Arial"/>
                <w:sz w:val="10"/>
                <w:szCs w:val="10"/>
                <w:b w:val="1"/>
                <w:bCs w:val="1"/>
                <w:color w:val="auto"/>
                <w:w w:val="84"/>
              </w:rPr>
              <w:t>Ended</w:t>
            </w: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40" w:type="dxa"/>
            <w:vAlign w:val="bottom"/>
            <w:gridSpan w:val="2"/>
          </w:tcPr>
          <w:p>
            <w:pPr>
              <w:jc w:val="center"/>
              <w:ind w:right="300"/>
              <w:spacing w:after="0" w:line="99" w:lineRule="exact"/>
              <w:rPr>
                <w:sz w:val="20"/>
                <w:szCs w:val="20"/>
                <w:color w:val="auto"/>
              </w:rPr>
            </w:pPr>
            <w:r>
              <w:rPr>
                <w:rFonts w:ascii="Arial" w:cs="Arial" w:eastAsia="Arial" w:hAnsi="Arial"/>
                <w:sz w:val="10"/>
                <w:szCs w:val="10"/>
                <w:b w:val="1"/>
                <w:bCs w:val="1"/>
                <w:color w:val="auto"/>
                <w:w w:val="84"/>
              </w:rPr>
              <w:t>Ended</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7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980" w:type="dxa"/>
            <w:vAlign w:val="bottom"/>
          </w:tcPr>
          <w:p>
            <w:pPr>
              <w:jc w:val="center"/>
              <w:ind w:left="328"/>
              <w:spacing w:after="0" w:line="114" w:lineRule="exact"/>
              <w:rPr>
                <w:sz w:val="20"/>
                <w:szCs w:val="20"/>
                <w:color w:val="auto"/>
              </w:rPr>
            </w:pPr>
            <w:r>
              <w:rPr>
                <w:rFonts w:ascii="Arial" w:cs="Arial" w:eastAsia="Arial" w:hAnsi="Arial"/>
                <w:sz w:val="10"/>
                <w:szCs w:val="10"/>
                <w:b w:val="1"/>
                <w:bCs w:val="1"/>
                <w:color w:val="auto"/>
                <w:w w:val="86"/>
              </w:rPr>
              <w:t>June 30, 2017</w:t>
            </w: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tcPr>
          <w:p>
            <w:pPr>
              <w:jc w:val="center"/>
              <w:ind w:left="351"/>
              <w:spacing w:after="0" w:line="114" w:lineRule="exact"/>
              <w:rPr>
                <w:sz w:val="20"/>
                <w:szCs w:val="20"/>
                <w:color w:val="auto"/>
              </w:rPr>
            </w:pPr>
            <w:r>
              <w:rPr>
                <w:rFonts w:ascii="Arial" w:cs="Arial" w:eastAsia="Arial" w:hAnsi="Arial"/>
                <w:sz w:val="10"/>
                <w:szCs w:val="10"/>
                <w:b w:val="1"/>
                <w:bCs w:val="1"/>
                <w:color w:val="auto"/>
                <w:w w:val="86"/>
              </w:rPr>
              <w:t>June 30, 2016</w:t>
            </w: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jc w:val="center"/>
              <w:ind w:left="353"/>
              <w:spacing w:after="0" w:line="114" w:lineRule="exact"/>
              <w:rPr>
                <w:sz w:val="20"/>
                <w:szCs w:val="20"/>
                <w:color w:val="auto"/>
              </w:rPr>
            </w:pPr>
            <w:r>
              <w:rPr>
                <w:rFonts w:ascii="Arial" w:cs="Arial" w:eastAsia="Arial" w:hAnsi="Arial"/>
                <w:sz w:val="10"/>
                <w:szCs w:val="10"/>
                <w:b w:val="1"/>
                <w:bCs w:val="1"/>
                <w:color w:val="auto"/>
                <w:w w:val="82"/>
              </w:rPr>
              <w:t>June 30, 2017</w:t>
            </w: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gridSpan w:val="2"/>
          </w:tcPr>
          <w:p>
            <w:pPr>
              <w:jc w:val="center"/>
              <w:ind w:right="320"/>
              <w:spacing w:after="0" w:line="114" w:lineRule="exact"/>
              <w:rPr>
                <w:sz w:val="20"/>
                <w:szCs w:val="20"/>
                <w:color w:val="auto"/>
              </w:rPr>
            </w:pPr>
            <w:r>
              <w:rPr>
                <w:rFonts w:ascii="Arial" w:cs="Arial" w:eastAsia="Arial" w:hAnsi="Arial"/>
                <w:sz w:val="10"/>
                <w:szCs w:val="10"/>
                <w:b w:val="1"/>
                <w:bCs w:val="1"/>
                <w:color w:val="auto"/>
                <w:w w:val="86"/>
              </w:rPr>
              <w:t>June 30, 2016</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520" w:type="dxa"/>
            <w:vAlign w:val="bottom"/>
            <w:tcBorders>
              <w:top w:val="single" w:sz="8" w:color="CCEEFF"/>
            </w:tcBorders>
            <w:gridSpan w:val="2"/>
            <w:shd w:val="clear" w:color="auto" w:fill="CCEEFF"/>
          </w:tcPr>
          <w:p>
            <w:pPr>
              <w:spacing w:after="0" w:line="124" w:lineRule="exact"/>
              <w:rPr>
                <w:sz w:val="20"/>
                <w:szCs w:val="20"/>
                <w:color w:val="auto"/>
              </w:rPr>
            </w:pPr>
            <w:r>
              <w:rPr>
                <w:rFonts w:ascii="Arial" w:cs="Arial" w:eastAsia="Arial" w:hAnsi="Arial"/>
                <w:sz w:val="12"/>
                <w:szCs w:val="12"/>
                <w:b w:val="1"/>
                <w:bCs w:val="1"/>
                <w:color w:val="auto"/>
              </w:rPr>
              <w:t>REVENUE:</w:t>
            </w:r>
          </w:p>
        </w:tc>
        <w:tc>
          <w:tcPr>
            <w:tcW w:w="1460" w:type="dxa"/>
            <w:vAlign w:val="bottom"/>
            <w:tcBorders>
              <w:top w:val="single" w:sz="8" w:color="CCEEFF"/>
            </w:tcBorders>
            <w:shd w:val="clear" w:color="auto" w:fill="CCEEFF"/>
          </w:tcPr>
          <w:p>
            <w:pPr>
              <w:spacing w:after="0"/>
              <w:rPr>
                <w:sz w:val="10"/>
                <w:szCs w:val="10"/>
                <w:color w:val="auto"/>
              </w:rPr>
            </w:pPr>
          </w:p>
        </w:tc>
        <w:tc>
          <w:tcPr>
            <w:tcW w:w="980" w:type="dxa"/>
            <w:vAlign w:val="bottom"/>
            <w:tcBorders>
              <w:top w:val="single" w:sz="8" w:color="auto"/>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CCEEFF"/>
            </w:tcBorders>
            <w:shd w:val="clear" w:color="auto" w:fill="CCEEFF"/>
          </w:tcPr>
          <w:p>
            <w:pPr>
              <w:spacing w:after="0"/>
              <w:rPr>
                <w:sz w:val="10"/>
                <w:szCs w:val="10"/>
                <w:color w:val="auto"/>
              </w:rPr>
            </w:pPr>
          </w:p>
        </w:tc>
        <w:tc>
          <w:tcPr>
            <w:tcW w:w="1000" w:type="dxa"/>
            <w:vAlign w:val="bottom"/>
            <w:tcBorders>
              <w:top w:val="single" w:sz="8" w:color="auto"/>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CCEEFF"/>
              <w:right w:val="single" w:sz="8" w:color="CCEEFF"/>
            </w:tcBorders>
            <w:shd w:val="clear" w:color="auto" w:fill="CCEEFF"/>
          </w:tcPr>
          <w:p>
            <w:pPr>
              <w:spacing w:after="0"/>
              <w:rPr>
                <w:sz w:val="10"/>
                <w:szCs w:val="10"/>
                <w:color w:val="auto"/>
              </w:rPr>
            </w:pPr>
          </w:p>
        </w:tc>
        <w:tc>
          <w:tcPr>
            <w:tcW w:w="980" w:type="dxa"/>
            <w:vAlign w:val="bottom"/>
            <w:tcBorders>
              <w:top w:val="single" w:sz="8" w:color="auto"/>
            </w:tcBorders>
            <w:shd w:val="clear" w:color="auto" w:fill="CCEEFF"/>
          </w:tcPr>
          <w:p>
            <w:pPr>
              <w:spacing w:after="0"/>
              <w:rPr>
                <w:sz w:val="10"/>
                <w:szCs w:val="10"/>
                <w:color w:val="auto"/>
              </w:rPr>
            </w:pPr>
          </w:p>
        </w:tc>
        <w:tc>
          <w:tcPr>
            <w:tcW w:w="420" w:type="dxa"/>
            <w:vAlign w:val="bottom"/>
            <w:tcBorders>
              <w:top w:val="single" w:sz="8" w:color="auto"/>
              <w:right w:val="single" w:sz="8" w:color="CCEEFF"/>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11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520" w:type="dxa"/>
            <w:vAlign w:val="bottom"/>
            <w:gridSpan w:val="2"/>
          </w:tcPr>
          <w:p>
            <w:pPr>
              <w:spacing w:after="0"/>
              <w:rPr>
                <w:sz w:val="20"/>
                <w:szCs w:val="20"/>
                <w:color w:val="auto"/>
              </w:rPr>
            </w:pPr>
            <w:r>
              <w:rPr>
                <w:rFonts w:ascii="Arial" w:cs="Arial" w:eastAsia="Arial" w:hAnsi="Arial"/>
                <w:sz w:val="12"/>
                <w:szCs w:val="12"/>
                <w:color w:val="auto"/>
              </w:rPr>
              <w:t>Product Development and Licensing Agreements</w:t>
            </w:r>
          </w:p>
        </w:tc>
        <w:tc>
          <w:tcPr>
            <w:tcW w:w="2440" w:type="dxa"/>
            <w:vAlign w:val="bottom"/>
            <w:gridSpan w:val="2"/>
          </w:tcPr>
          <w:p>
            <w:pPr>
              <w:jc w:val="right"/>
              <w:ind w:right="868"/>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240"/>
              <w:spacing w:after="0"/>
              <w:rPr>
                <w:sz w:val="20"/>
                <w:szCs w:val="20"/>
                <w:color w:val="auto"/>
              </w:rPr>
            </w:pPr>
            <w:r>
              <w:rPr>
                <w:rFonts w:ascii="Arial" w:cs="Arial" w:eastAsia="Arial" w:hAnsi="Arial"/>
                <w:sz w:val="12"/>
                <w:szCs w:val="12"/>
                <w:color w:val="auto"/>
              </w:rPr>
              <w:t>694</w:t>
            </w:r>
          </w:p>
        </w:tc>
        <w:tc>
          <w:tcPr>
            <w:tcW w:w="1000" w:type="dxa"/>
            <w:vAlign w:val="bottom"/>
          </w:tcPr>
          <w:p>
            <w:pPr>
              <w:jc w:val="right"/>
              <w:ind w:right="891"/>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240"/>
              <w:spacing w:after="0"/>
              <w:rPr>
                <w:sz w:val="20"/>
                <w:szCs w:val="20"/>
                <w:color w:val="auto"/>
              </w:rPr>
            </w:pPr>
            <w:r>
              <w:rPr>
                <w:rFonts w:ascii="Arial" w:cs="Arial" w:eastAsia="Arial" w:hAnsi="Arial"/>
                <w:sz w:val="12"/>
                <w:szCs w:val="12"/>
                <w:color w:val="auto"/>
              </w:rPr>
              <w:t>604</w:t>
            </w:r>
          </w:p>
        </w:tc>
        <w:tc>
          <w:tcPr>
            <w:tcW w:w="980" w:type="dxa"/>
            <w:vAlign w:val="bottom"/>
          </w:tcPr>
          <w:p>
            <w:pPr>
              <w:jc w:val="right"/>
              <w:ind w:right="873"/>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275"/>
              <w:spacing w:after="0"/>
              <w:rPr>
                <w:sz w:val="20"/>
                <w:szCs w:val="20"/>
                <w:color w:val="auto"/>
              </w:rPr>
            </w:pPr>
            <w:r>
              <w:rPr>
                <w:rFonts w:ascii="Arial" w:cs="Arial" w:eastAsia="Arial" w:hAnsi="Arial"/>
                <w:sz w:val="12"/>
                <w:szCs w:val="12"/>
                <w:color w:val="auto"/>
              </w:rPr>
              <w:t>1,250</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80"/>
              <w:spacing w:after="0"/>
              <w:rPr>
                <w:sz w:val="20"/>
                <w:szCs w:val="20"/>
                <w:color w:val="auto"/>
              </w:rPr>
            </w:pPr>
            <w:r>
              <w:rPr>
                <w:rFonts w:ascii="Arial" w:cs="Arial" w:eastAsia="Arial" w:hAnsi="Arial"/>
                <w:sz w:val="12"/>
                <w:szCs w:val="12"/>
                <w:color w:val="auto"/>
              </w:rPr>
              <w:t>1,057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Contracts and Grants</w:t>
            </w:r>
          </w:p>
        </w:tc>
        <w:tc>
          <w:tcPr>
            <w:tcW w:w="14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3,135</w:t>
            </w:r>
          </w:p>
        </w:tc>
        <w:tc>
          <w:tcPr>
            <w:tcW w:w="1000" w:type="dxa"/>
            <w:vAlign w:val="bottom"/>
            <w:shd w:val="clear" w:color="auto" w:fill="CCEEFF"/>
          </w:tcPr>
          <w:p>
            <w:pPr>
              <w:spacing w:after="0"/>
              <w:rPr>
                <w:sz w:val="12"/>
                <w:szCs w:val="12"/>
                <w:color w:val="auto"/>
              </w:rPr>
            </w:pPr>
          </w:p>
        </w:tc>
        <w:tc>
          <w:tcPr>
            <w:tcW w:w="6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785</w:t>
            </w:r>
          </w:p>
        </w:tc>
        <w:tc>
          <w:tcPr>
            <w:tcW w:w="9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75"/>
              <w:spacing w:after="0"/>
              <w:rPr>
                <w:sz w:val="20"/>
                <w:szCs w:val="20"/>
                <w:color w:val="auto"/>
              </w:rPr>
            </w:pPr>
            <w:r>
              <w:rPr>
                <w:rFonts w:ascii="Arial" w:cs="Arial" w:eastAsia="Arial" w:hAnsi="Arial"/>
                <w:sz w:val="12"/>
                <w:szCs w:val="12"/>
                <w:color w:val="auto"/>
              </w:rPr>
              <w:t>4,113</w:t>
            </w:r>
          </w:p>
        </w:tc>
        <w:tc>
          <w:tcPr>
            <w:tcW w:w="2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1,635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520" w:type="dxa"/>
            <w:vAlign w:val="bottom"/>
            <w:tcBorders>
              <w:bottom w:val="single" w:sz="8" w:color="CCEEFF"/>
            </w:tcBorders>
            <w:gridSpan w:val="2"/>
          </w:tcPr>
          <w:p>
            <w:pPr>
              <w:spacing w:after="0" w:line="133" w:lineRule="exact"/>
              <w:rPr>
                <w:sz w:val="20"/>
                <w:szCs w:val="20"/>
                <w:color w:val="auto"/>
              </w:rPr>
            </w:pPr>
            <w:r>
              <w:rPr>
                <w:rFonts w:ascii="Arial" w:cs="Arial" w:eastAsia="Arial" w:hAnsi="Arial"/>
                <w:sz w:val="12"/>
                <w:szCs w:val="12"/>
                <w:color w:val="auto"/>
              </w:rPr>
              <w:t>Total Revenue</w:t>
            </w:r>
          </w:p>
        </w:tc>
        <w:tc>
          <w:tcPr>
            <w:tcW w:w="1460" w:type="dxa"/>
            <w:vAlign w:val="bottom"/>
            <w:tcBorders>
              <w:bottom w:val="single" w:sz="8" w:color="CCEEFF"/>
            </w:tcBorders>
          </w:tcPr>
          <w:p>
            <w:pPr>
              <w:spacing w:after="0"/>
              <w:rPr>
                <w:sz w:val="11"/>
                <w:szCs w:val="11"/>
                <w:color w:val="auto"/>
              </w:rPr>
            </w:pPr>
          </w:p>
        </w:tc>
        <w:tc>
          <w:tcPr>
            <w:tcW w:w="98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3,829</w:t>
            </w:r>
          </w:p>
        </w:tc>
        <w:tc>
          <w:tcPr>
            <w:tcW w:w="280" w:type="dxa"/>
            <w:vAlign w:val="bottom"/>
            <w:tcBorders>
              <w:bottom w:val="single" w:sz="8" w:color="CCEEFF"/>
            </w:tcBorders>
          </w:tcPr>
          <w:p>
            <w:pPr>
              <w:spacing w:after="0"/>
              <w:rPr>
                <w:sz w:val="11"/>
                <w:szCs w:val="11"/>
                <w:color w:val="auto"/>
              </w:rPr>
            </w:pPr>
          </w:p>
        </w:tc>
        <w:tc>
          <w:tcPr>
            <w:tcW w:w="100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1,389</w:t>
            </w:r>
          </w:p>
        </w:tc>
        <w:tc>
          <w:tcPr>
            <w:tcW w:w="280" w:type="dxa"/>
            <w:vAlign w:val="bottom"/>
            <w:tcBorders>
              <w:bottom w:val="single" w:sz="8" w:color="CCEEFF"/>
            </w:tcBorders>
          </w:tcPr>
          <w:p>
            <w:pPr>
              <w:spacing w:after="0"/>
              <w:rPr>
                <w:sz w:val="11"/>
                <w:szCs w:val="11"/>
                <w:color w:val="auto"/>
              </w:rPr>
            </w:pPr>
          </w:p>
        </w:tc>
        <w:tc>
          <w:tcPr>
            <w:tcW w:w="98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5,363</w:t>
            </w:r>
          </w:p>
        </w:tc>
        <w:tc>
          <w:tcPr>
            <w:tcW w:w="260" w:type="dxa"/>
            <w:vAlign w:val="bottom"/>
            <w:tcBorders>
              <w:bottom w:val="single" w:sz="8" w:color="CCEEFF"/>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112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2,692</w:t>
            </w:r>
          </w:p>
        </w:tc>
        <w:tc>
          <w:tcPr>
            <w:tcW w:w="120" w:type="dxa"/>
            <w:vAlign w:val="bottom"/>
            <w:tcBorders>
              <w:bottom w:val="single" w:sz="8" w:color="CCEEFF"/>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70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80" w:type="dxa"/>
            <w:vAlign w:val="bottom"/>
            <w:tcBorders>
              <w:right w:val="single" w:sz="8" w:color="CCEEFF"/>
            </w:tcBorders>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420" w:type="dxa"/>
            <w:vAlign w:val="bottom"/>
            <w:tcBorders>
              <w:right w:val="single" w:sz="8" w:color="CCEEFF"/>
            </w:tcBorders>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520" w:type="dxa"/>
            <w:vAlign w:val="bottom"/>
            <w:gridSpan w:val="2"/>
          </w:tcPr>
          <w:p>
            <w:pPr>
              <w:spacing w:after="0"/>
              <w:rPr>
                <w:sz w:val="20"/>
                <w:szCs w:val="20"/>
                <w:color w:val="auto"/>
              </w:rPr>
            </w:pPr>
            <w:r>
              <w:rPr>
                <w:rFonts w:ascii="Arial" w:cs="Arial" w:eastAsia="Arial" w:hAnsi="Arial"/>
                <w:sz w:val="12"/>
                <w:szCs w:val="12"/>
                <w:b w:val="1"/>
                <w:bCs w:val="1"/>
                <w:color w:val="auto"/>
              </w:rPr>
              <w:t>OPERATING EXPENSE:</w:t>
            </w:r>
          </w:p>
        </w:tc>
        <w:tc>
          <w:tcPr>
            <w:tcW w:w="14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Research and Development</w:t>
            </w:r>
          </w:p>
        </w:tc>
        <w:tc>
          <w:tcPr>
            <w:tcW w:w="14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24,999</w:t>
            </w:r>
          </w:p>
        </w:tc>
        <w:tc>
          <w:tcPr>
            <w:tcW w:w="1000" w:type="dxa"/>
            <w:vAlign w:val="bottom"/>
            <w:shd w:val="clear" w:color="auto" w:fill="CCEEFF"/>
          </w:tcPr>
          <w:p>
            <w:pPr>
              <w:spacing w:after="0"/>
              <w:rPr>
                <w:sz w:val="12"/>
                <w:szCs w:val="12"/>
                <w:color w:val="auto"/>
              </w:rPr>
            </w:pPr>
          </w:p>
        </w:tc>
        <w:tc>
          <w:tcPr>
            <w:tcW w:w="6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25,711</w:t>
            </w:r>
          </w:p>
        </w:tc>
        <w:tc>
          <w:tcPr>
            <w:tcW w:w="9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75"/>
              <w:spacing w:after="0"/>
              <w:rPr>
                <w:sz w:val="20"/>
                <w:szCs w:val="20"/>
                <w:color w:val="auto"/>
              </w:rPr>
            </w:pPr>
            <w:r>
              <w:rPr>
                <w:rFonts w:ascii="Arial" w:cs="Arial" w:eastAsia="Arial" w:hAnsi="Arial"/>
                <w:sz w:val="12"/>
                <w:szCs w:val="12"/>
                <w:color w:val="auto"/>
              </w:rPr>
              <w:t>50,792</w:t>
            </w:r>
          </w:p>
        </w:tc>
        <w:tc>
          <w:tcPr>
            <w:tcW w:w="2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53,158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520" w:type="dxa"/>
            <w:vAlign w:val="bottom"/>
            <w:gridSpan w:val="2"/>
          </w:tcPr>
          <w:p>
            <w:pPr>
              <w:spacing w:after="0"/>
              <w:rPr>
                <w:sz w:val="20"/>
                <w:szCs w:val="20"/>
                <w:color w:val="auto"/>
              </w:rPr>
            </w:pPr>
            <w:r>
              <w:rPr>
                <w:rFonts w:ascii="Arial" w:cs="Arial" w:eastAsia="Arial" w:hAnsi="Arial"/>
                <w:sz w:val="12"/>
                <w:szCs w:val="12"/>
                <w:color w:val="auto"/>
              </w:rPr>
              <w:t>General and Administrative</w:t>
            </w:r>
          </w:p>
        </w:tc>
        <w:tc>
          <w:tcPr>
            <w:tcW w:w="14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2"/>
                <w:szCs w:val="12"/>
                <w:color w:val="auto"/>
              </w:rPr>
              <w:t>6,534</w:t>
            </w:r>
          </w:p>
        </w:tc>
        <w:tc>
          <w:tcPr>
            <w:tcW w:w="1000" w:type="dxa"/>
            <w:vAlign w:val="bottom"/>
          </w:tcPr>
          <w:p>
            <w:pPr>
              <w:spacing w:after="0"/>
              <w:rPr>
                <w:sz w:val="12"/>
                <w:szCs w:val="1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2"/>
                <w:szCs w:val="12"/>
                <w:color w:val="auto"/>
              </w:rPr>
              <w:t>7,790</w:t>
            </w:r>
          </w:p>
        </w:tc>
        <w:tc>
          <w:tcPr>
            <w:tcW w:w="980" w:type="dxa"/>
            <w:vAlign w:val="bottom"/>
          </w:tcPr>
          <w:p>
            <w:pPr>
              <w:spacing w:after="0"/>
              <w:rPr>
                <w:sz w:val="12"/>
                <w:szCs w:val="12"/>
                <w:color w:val="auto"/>
              </w:rPr>
            </w:pPr>
          </w:p>
        </w:tc>
        <w:tc>
          <w:tcPr>
            <w:tcW w:w="680" w:type="dxa"/>
            <w:vAlign w:val="bottom"/>
            <w:gridSpan w:val="2"/>
          </w:tcPr>
          <w:p>
            <w:pPr>
              <w:jc w:val="right"/>
              <w:ind w:right="275"/>
              <w:spacing w:after="0"/>
              <w:rPr>
                <w:sz w:val="20"/>
                <w:szCs w:val="20"/>
                <w:color w:val="auto"/>
              </w:rPr>
            </w:pPr>
            <w:r>
              <w:rPr>
                <w:rFonts w:ascii="Arial" w:cs="Arial" w:eastAsia="Arial" w:hAnsi="Arial"/>
                <w:sz w:val="12"/>
                <w:szCs w:val="12"/>
                <w:color w:val="auto"/>
              </w:rPr>
              <w:t>13,763</w:t>
            </w:r>
          </w:p>
        </w:tc>
        <w:tc>
          <w:tcPr>
            <w:tcW w:w="240" w:type="dxa"/>
            <w:vAlign w:val="bottom"/>
          </w:tcPr>
          <w:p>
            <w:pPr>
              <w:spacing w:after="0"/>
              <w:rPr>
                <w:sz w:val="12"/>
                <w:szCs w:val="12"/>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2"/>
                <w:szCs w:val="12"/>
                <w:color w:val="auto"/>
              </w:rPr>
              <w:t>17,097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Loss on Fair Value Remeasurement of Contingent Consideration</w:t>
            </w:r>
          </w:p>
        </w:tc>
        <w:tc>
          <w:tcPr>
            <w:tcW w:w="14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1,000</w:t>
            </w:r>
          </w:p>
        </w:tc>
        <w:tc>
          <w:tcPr>
            <w:tcW w:w="1000" w:type="dxa"/>
            <w:vAlign w:val="bottom"/>
            <w:shd w:val="clear" w:color="auto" w:fill="CCEEFF"/>
          </w:tcPr>
          <w:p>
            <w:pPr>
              <w:spacing w:after="0"/>
              <w:rPr>
                <w:sz w:val="12"/>
                <w:szCs w:val="12"/>
                <w:color w:val="auto"/>
              </w:rPr>
            </w:pPr>
          </w:p>
        </w:tc>
        <w:tc>
          <w:tcPr>
            <w:tcW w:w="6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9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75"/>
              <w:spacing w:after="0"/>
              <w:rPr>
                <w:sz w:val="20"/>
                <w:szCs w:val="20"/>
                <w:color w:val="auto"/>
              </w:rPr>
            </w:pPr>
            <w:r>
              <w:rPr>
                <w:rFonts w:ascii="Arial" w:cs="Arial" w:eastAsia="Arial" w:hAnsi="Arial"/>
                <w:sz w:val="12"/>
                <w:szCs w:val="12"/>
                <w:color w:val="auto"/>
              </w:rPr>
              <w:t>4,400</w:t>
            </w:r>
          </w:p>
        </w:tc>
        <w:tc>
          <w:tcPr>
            <w:tcW w:w="2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520" w:type="dxa"/>
            <w:vAlign w:val="bottom"/>
            <w:gridSpan w:val="2"/>
          </w:tcPr>
          <w:p>
            <w:pPr>
              <w:spacing w:after="0"/>
              <w:rPr>
                <w:sz w:val="20"/>
                <w:szCs w:val="20"/>
                <w:color w:val="auto"/>
              </w:rPr>
            </w:pPr>
            <w:r>
              <w:rPr>
                <w:rFonts w:ascii="Arial" w:cs="Arial" w:eastAsia="Arial" w:hAnsi="Arial"/>
                <w:sz w:val="12"/>
                <w:szCs w:val="12"/>
                <w:color w:val="auto"/>
              </w:rPr>
              <w:t>Amortization of Acquired Intangible Assets</w:t>
            </w:r>
          </w:p>
        </w:tc>
        <w:tc>
          <w:tcPr>
            <w:tcW w:w="14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2"/>
                <w:szCs w:val="12"/>
                <w:color w:val="auto"/>
              </w:rPr>
              <w:t>224</w:t>
            </w:r>
          </w:p>
        </w:tc>
        <w:tc>
          <w:tcPr>
            <w:tcW w:w="1000" w:type="dxa"/>
            <w:vAlign w:val="bottom"/>
          </w:tcPr>
          <w:p>
            <w:pPr>
              <w:spacing w:after="0"/>
              <w:rPr>
                <w:sz w:val="12"/>
                <w:szCs w:val="1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2"/>
                <w:szCs w:val="12"/>
                <w:color w:val="auto"/>
              </w:rPr>
              <w:t>254</w:t>
            </w:r>
          </w:p>
        </w:tc>
        <w:tc>
          <w:tcPr>
            <w:tcW w:w="980" w:type="dxa"/>
            <w:vAlign w:val="bottom"/>
          </w:tcPr>
          <w:p>
            <w:pPr>
              <w:spacing w:after="0"/>
              <w:rPr>
                <w:sz w:val="12"/>
                <w:szCs w:val="12"/>
                <w:color w:val="auto"/>
              </w:rPr>
            </w:pPr>
          </w:p>
        </w:tc>
        <w:tc>
          <w:tcPr>
            <w:tcW w:w="680" w:type="dxa"/>
            <w:vAlign w:val="bottom"/>
            <w:gridSpan w:val="2"/>
          </w:tcPr>
          <w:p>
            <w:pPr>
              <w:jc w:val="right"/>
              <w:ind w:right="275"/>
              <w:spacing w:after="0"/>
              <w:rPr>
                <w:sz w:val="20"/>
                <w:szCs w:val="20"/>
                <w:color w:val="auto"/>
              </w:rPr>
            </w:pPr>
            <w:r>
              <w:rPr>
                <w:rFonts w:ascii="Arial" w:cs="Arial" w:eastAsia="Arial" w:hAnsi="Arial"/>
                <w:sz w:val="12"/>
                <w:szCs w:val="12"/>
                <w:color w:val="auto"/>
              </w:rPr>
              <w:t>448</w:t>
            </w:r>
          </w:p>
        </w:tc>
        <w:tc>
          <w:tcPr>
            <w:tcW w:w="240" w:type="dxa"/>
            <w:vAlign w:val="bottom"/>
          </w:tcPr>
          <w:p>
            <w:pPr>
              <w:spacing w:after="0"/>
              <w:rPr>
                <w:sz w:val="12"/>
                <w:szCs w:val="12"/>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2"/>
                <w:szCs w:val="12"/>
                <w:color w:val="auto"/>
              </w:rPr>
              <w:t>507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520" w:type="dxa"/>
            <w:vAlign w:val="bottom"/>
            <w:tcBorders>
              <w:top w:val="single" w:sz="8" w:color="CCEEFF"/>
            </w:tcBorders>
            <w:gridSpan w:val="2"/>
            <w:shd w:val="clear" w:color="auto" w:fill="CCEEFF"/>
          </w:tcPr>
          <w:p>
            <w:pPr>
              <w:spacing w:after="0" w:line="133" w:lineRule="exact"/>
              <w:rPr>
                <w:sz w:val="20"/>
                <w:szCs w:val="20"/>
                <w:color w:val="auto"/>
              </w:rPr>
            </w:pPr>
            <w:r>
              <w:rPr>
                <w:rFonts w:ascii="Arial" w:cs="Arial" w:eastAsia="Arial" w:hAnsi="Arial"/>
                <w:sz w:val="12"/>
                <w:szCs w:val="12"/>
                <w:color w:val="auto"/>
              </w:rPr>
              <w:t>Total Operating Expense</w:t>
            </w:r>
          </w:p>
        </w:tc>
        <w:tc>
          <w:tcPr>
            <w:tcW w:w="1460" w:type="dxa"/>
            <w:vAlign w:val="bottom"/>
            <w:tcBorders>
              <w:top w:val="single" w:sz="8" w:color="CCEEFF"/>
            </w:tcBorders>
            <w:shd w:val="clear" w:color="auto" w:fill="CCEEFF"/>
          </w:tcPr>
          <w:p>
            <w:pPr>
              <w:spacing w:after="0"/>
              <w:rPr>
                <w:sz w:val="11"/>
                <w:szCs w:val="11"/>
                <w:color w:val="auto"/>
              </w:rPr>
            </w:pPr>
          </w:p>
        </w:tc>
        <w:tc>
          <w:tcPr>
            <w:tcW w:w="980" w:type="dxa"/>
            <w:vAlign w:val="bottom"/>
            <w:tcBorders>
              <w:top w:val="single" w:sz="8" w:color="auto"/>
              <w:bottom w:val="single" w:sz="8" w:color="auto"/>
            </w:tcBorders>
            <w:shd w:val="clear" w:color="auto" w:fill="CCEEFF"/>
          </w:tcPr>
          <w:p>
            <w:pPr>
              <w:spacing w:after="0"/>
              <w:rPr>
                <w:sz w:val="11"/>
                <w:szCs w:val="11"/>
                <w:color w:val="auto"/>
              </w:rPr>
            </w:pPr>
          </w:p>
        </w:tc>
        <w:tc>
          <w:tcPr>
            <w:tcW w:w="4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32,757</w:t>
            </w:r>
          </w:p>
        </w:tc>
        <w:tc>
          <w:tcPr>
            <w:tcW w:w="280" w:type="dxa"/>
            <w:vAlign w:val="bottom"/>
            <w:tcBorders>
              <w:top w:val="single" w:sz="8" w:color="CCEEFF"/>
            </w:tcBorders>
            <w:shd w:val="clear" w:color="auto" w:fill="CCEEFF"/>
          </w:tcPr>
          <w:p>
            <w:pPr>
              <w:spacing w:after="0"/>
              <w:rPr>
                <w:sz w:val="11"/>
                <w:szCs w:val="11"/>
                <w:color w:val="auto"/>
              </w:rPr>
            </w:pPr>
          </w:p>
        </w:tc>
        <w:tc>
          <w:tcPr>
            <w:tcW w:w="1000" w:type="dxa"/>
            <w:vAlign w:val="bottom"/>
            <w:tcBorders>
              <w:top w:val="single" w:sz="8" w:color="auto"/>
              <w:bottom w:val="single" w:sz="8" w:color="auto"/>
            </w:tcBorders>
            <w:shd w:val="clear" w:color="auto" w:fill="CCEEFF"/>
          </w:tcPr>
          <w:p>
            <w:pPr>
              <w:spacing w:after="0"/>
              <w:rPr>
                <w:sz w:val="11"/>
                <w:szCs w:val="11"/>
                <w:color w:val="auto"/>
              </w:rPr>
            </w:pPr>
          </w:p>
        </w:tc>
        <w:tc>
          <w:tcPr>
            <w:tcW w:w="4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33,755</w:t>
            </w:r>
          </w:p>
        </w:tc>
        <w:tc>
          <w:tcPr>
            <w:tcW w:w="280" w:type="dxa"/>
            <w:vAlign w:val="bottom"/>
            <w:tcBorders>
              <w:top w:val="single" w:sz="8" w:color="CCEEFF"/>
              <w:right w:val="single" w:sz="8" w:color="CCEEFF"/>
            </w:tcBorders>
            <w:shd w:val="clear" w:color="auto" w:fill="CCEEFF"/>
          </w:tcPr>
          <w:p>
            <w:pPr>
              <w:spacing w:after="0"/>
              <w:rPr>
                <w:sz w:val="11"/>
                <w:szCs w:val="11"/>
                <w:color w:val="auto"/>
              </w:rPr>
            </w:pPr>
          </w:p>
        </w:tc>
        <w:tc>
          <w:tcPr>
            <w:tcW w:w="980" w:type="dxa"/>
            <w:vAlign w:val="bottom"/>
            <w:tcBorders>
              <w:top w:val="single" w:sz="8" w:color="auto"/>
              <w:bottom w:val="single" w:sz="8" w:color="auto"/>
            </w:tcBorders>
            <w:shd w:val="clear" w:color="auto" w:fill="CCEEFF"/>
          </w:tcPr>
          <w:p>
            <w:pPr>
              <w:spacing w:after="0"/>
              <w:rPr>
                <w:sz w:val="11"/>
                <w:szCs w:val="11"/>
                <w:color w:val="auto"/>
              </w:rPr>
            </w:pPr>
          </w:p>
        </w:tc>
        <w:tc>
          <w:tcPr>
            <w:tcW w:w="420" w:type="dxa"/>
            <w:vAlign w:val="bottom"/>
            <w:tcBorders>
              <w:top w:val="single" w:sz="8" w:color="auto"/>
              <w:bottom w:val="single" w:sz="8" w:color="auto"/>
              <w:right w:val="single" w:sz="8" w:color="CCEEFF"/>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69,403</w:t>
            </w:r>
          </w:p>
        </w:tc>
        <w:tc>
          <w:tcPr>
            <w:tcW w:w="26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11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70,762</w:t>
            </w: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82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Operating Loss</w:t>
            </w:r>
          </w:p>
        </w:tc>
        <w:tc>
          <w:tcPr>
            <w:tcW w:w="14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w w:val="93"/>
              </w:rPr>
              <w:t>(28,928)</w:t>
            </w:r>
          </w:p>
        </w:tc>
        <w:tc>
          <w:tcPr>
            <w:tcW w:w="1000" w:type="dxa"/>
            <w:vAlign w:val="bottom"/>
            <w:shd w:val="clear" w:color="auto" w:fill="CCEEFF"/>
          </w:tcPr>
          <w:p>
            <w:pPr>
              <w:spacing w:after="0"/>
              <w:rPr>
                <w:sz w:val="12"/>
                <w:szCs w:val="12"/>
                <w:color w:val="auto"/>
              </w:rPr>
            </w:pPr>
          </w:p>
        </w:tc>
        <w:tc>
          <w:tcPr>
            <w:tcW w:w="6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w w:val="93"/>
              </w:rPr>
              <w:t>(32,366)</w:t>
            </w:r>
          </w:p>
        </w:tc>
        <w:tc>
          <w:tcPr>
            <w:tcW w:w="9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35"/>
              <w:spacing w:after="0"/>
              <w:rPr>
                <w:sz w:val="20"/>
                <w:szCs w:val="20"/>
                <w:color w:val="auto"/>
              </w:rPr>
            </w:pPr>
            <w:r>
              <w:rPr>
                <w:rFonts w:ascii="Arial" w:cs="Arial" w:eastAsia="Arial" w:hAnsi="Arial"/>
                <w:sz w:val="12"/>
                <w:szCs w:val="12"/>
                <w:color w:val="auto"/>
                <w:w w:val="93"/>
              </w:rPr>
              <w:t>(64,040)</w:t>
            </w:r>
          </w:p>
        </w:tc>
        <w:tc>
          <w:tcPr>
            <w:tcW w:w="2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(68,070)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520" w:type="dxa"/>
            <w:vAlign w:val="bottom"/>
            <w:gridSpan w:val="2"/>
          </w:tcPr>
          <w:p>
            <w:pPr>
              <w:spacing w:after="0"/>
              <w:rPr>
                <w:sz w:val="20"/>
                <w:szCs w:val="20"/>
                <w:color w:val="auto"/>
              </w:rPr>
            </w:pPr>
            <w:r>
              <w:rPr>
                <w:rFonts w:ascii="Arial" w:cs="Arial" w:eastAsia="Arial" w:hAnsi="Arial"/>
                <w:sz w:val="12"/>
                <w:szCs w:val="12"/>
                <w:color w:val="auto"/>
              </w:rPr>
              <w:t>Investment and Other Income, Net</w:t>
            </w:r>
          </w:p>
        </w:tc>
        <w:tc>
          <w:tcPr>
            <w:tcW w:w="14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2"/>
                <w:szCs w:val="12"/>
                <w:color w:val="auto"/>
              </w:rPr>
              <w:t>362</w:t>
            </w:r>
          </w:p>
        </w:tc>
        <w:tc>
          <w:tcPr>
            <w:tcW w:w="1000" w:type="dxa"/>
            <w:vAlign w:val="bottom"/>
          </w:tcPr>
          <w:p>
            <w:pPr>
              <w:spacing w:after="0"/>
              <w:rPr>
                <w:sz w:val="12"/>
                <w:szCs w:val="1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2"/>
                <w:szCs w:val="12"/>
                <w:color w:val="auto"/>
              </w:rPr>
              <w:t>414</w:t>
            </w:r>
          </w:p>
        </w:tc>
        <w:tc>
          <w:tcPr>
            <w:tcW w:w="980" w:type="dxa"/>
            <w:vAlign w:val="bottom"/>
          </w:tcPr>
          <w:p>
            <w:pPr>
              <w:spacing w:after="0"/>
              <w:rPr>
                <w:sz w:val="12"/>
                <w:szCs w:val="12"/>
                <w:color w:val="auto"/>
              </w:rPr>
            </w:pPr>
          </w:p>
        </w:tc>
        <w:tc>
          <w:tcPr>
            <w:tcW w:w="680" w:type="dxa"/>
            <w:vAlign w:val="bottom"/>
            <w:gridSpan w:val="2"/>
          </w:tcPr>
          <w:p>
            <w:pPr>
              <w:jc w:val="right"/>
              <w:ind w:right="275"/>
              <w:spacing w:after="0"/>
              <w:rPr>
                <w:sz w:val="20"/>
                <w:szCs w:val="20"/>
                <w:color w:val="auto"/>
              </w:rPr>
            </w:pPr>
            <w:r>
              <w:rPr>
                <w:rFonts w:ascii="Arial" w:cs="Arial" w:eastAsia="Arial" w:hAnsi="Arial"/>
                <w:sz w:val="12"/>
                <w:szCs w:val="12"/>
                <w:color w:val="auto"/>
              </w:rPr>
              <w:t>1,213</w:t>
            </w:r>
          </w:p>
        </w:tc>
        <w:tc>
          <w:tcPr>
            <w:tcW w:w="240" w:type="dxa"/>
            <w:vAlign w:val="bottom"/>
          </w:tcPr>
          <w:p>
            <w:pPr>
              <w:spacing w:after="0"/>
              <w:rPr>
                <w:sz w:val="12"/>
                <w:szCs w:val="12"/>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2"/>
                <w:szCs w:val="12"/>
                <w:color w:val="auto"/>
              </w:rPr>
              <w:t>1,445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520" w:type="dxa"/>
            <w:vAlign w:val="bottom"/>
            <w:tcBorders>
              <w:top w:val="single" w:sz="8" w:color="CCEEFF"/>
              <w:bottom w:val="single" w:sz="8" w:color="CCEEFF"/>
            </w:tcBorders>
            <w:gridSpan w:val="2"/>
            <w:shd w:val="clear" w:color="auto" w:fill="CCEEFF"/>
          </w:tcPr>
          <w:p>
            <w:pPr>
              <w:spacing w:after="0" w:line="133" w:lineRule="exact"/>
              <w:rPr>
                <w:sz w:val="20"/>
                <w:szCs w:val="20"/>
                <w:color w:val="auto"/>
              </w:rPr>
            </w:pPr>
            <w:r>
              <w:rPr>
                <w:rFonts w:ascii="Arial" w:cs="Arial" w:eastAsia="Arial" w:hAnsi="Arial"/>
                <w:sz w:val="12"/>
                <w:szCs w:val="12"/>
                <w:color w:val="auto"/>
              </w:rPr>
              <w:t>Net Loss</w:t>
            </w:r>
          </w:p>
        </w:tc>
        <w:tc>
          <w:tcPr>
            <w:tcW w:w="1460" w:type="dxa"/>
            <w:vAlign w:val="bottom"/>
            <w:tcBorders>
              <w:top w:val="single" w:sz="8" w:color="CCEEFF"/>
              <w:bottom w:val="single" w:sz="8" w:color="CCEEFF"/>
            </w:tcBorders>
            <w:shd w:val="clear" w:color="auto" w:fill="CCEEFF"/>
          </w:tcPr>
          <w:p>
            <w:pPr>
              <w:spacing w:after="0"/>
              <w:rPr>
                <w:sz w:val="12"/>
                <w:szCs w:val="12"/>
                <w:color w:val="auto"/>
              </w:rPr>
            </w:pPr>
          </w:p>
        </w:tc>
        <w:tc>
          <w:tcPr>
            <w:tcW w:w="980" w:type="dxa"/>
            <w:vAlign w:val="bottom"/>
            <w:tcBorders>
              <w:top w:val="single" w:sz="8" w:color="auto"/>
              <w:bottom w:val="single" w:sz="8" w:color="auto"/>
            </w:tcBorders>
            <w:shd w:val="clear" w:color="auto" w:fill="CCEEFF"/>
          </w:tcPr>
          <w:p>
            <w:pPr>
              <w:jc w:val="right"/>
              <w:ind w:right="868"/>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w w:val="84"/>
              </w:rPr>
              <w:t>(28,566)</w:t>
            </w:r>
          </w:p>
        </w:tc>
        <w:tc>
          <w:tcPr>
            <w:tcW w:w="280" w:type="dxa"/>
            <w:vAlign w:val="bottom"/>
            <w:tcBorders>
              <w:top w:val="single" w:sz="8" w:color="CCEEFF"/>
              <w:bottom w:val="single" w:sz="8" w:color="CCEEFF"/>
            </w:tcBorders>
            <w:shd w:val="clear" w:color="auto" w:fill="CCEEFF"/>
          </w:tcPr>
          <w:p>
            <w:pPr>
              <w:spacing w:after="0"/>
              <w:rPr>
                <w:sz w:val="12"/>
                <w:szCs w:val="12"/>
                <w:color w:val="auto"/>
              </w:rPr>
            </w:pPr>
          </w:p>
        </w:tc>
        <w:tc>
          <w:tcPr>
            <w:tcW w:w="1000" w:type="dxa"/>
            <w:vAlign w:val="bottom"/>
            <w:tcBorders>
              <w:top w:val="single" w:sz="8" w:color="auto"/>
              <w:bottom w:val="single" w:sz="8" w:color="auto"/>
            </w:tcBorders>
            <w:shd w:val="clear" w:color="auto" w:fill="CCEEFF"/>
          </w:tcPr>
          <w:p>
            <w:pPr>
              <w:jc w:val="right"/>
              <w:ind w:right="891"/>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w w:val="84"/>
              </w:rPr>
              <w:t>(31,952)</w:t>
            </w:r>
          </w:p>
        </w:tc>
        <w:tc>
          <w:tcPr>
            <w:tcW w:w="280" w:type="dxa"/>
            <w:vAlign w:val="bottom"/>
            <w:tcBorders>
              <w:top w:val="single" w:sz="8" w:color="CCEEFF"/>
              <w:bottom w:val="single" w:sz="8" w:color="CCEEFF"/>
              <w:right w:val="single" w:sz="8" w:color="CCEEFF"/>
            </w:tcBorders>
            <w:shd w:val="clear" w:color="auto" w:fill="CCEEFF"/>
          </w:tcPr>
          <w:p>
            <w:pPr>
              <w:spacing w:after="0"/>
              <w:rPr>
                <w:sz w:val="12"/>
                <w:szCs w:val="12"/>
                <w:color w:val="auto"/>
              </w:rPr>
            </w:pPr>
          </w:p>
        </w:tc>
        <w:tc>
          <w:tcPr>
            <w:tcW w:w="980" w:type="dxa"/>
            <w:vAlign w:val="bottom"/>
            <w:tcBorders>
              <w:top w:val="single" w:sz="8" w:color="auto"/>
              <w:bottom w:val="single" w:sz="8" w:color="auto"/>
            </w:tcBorders>
            <w:shd w:val="clear" w:color="auto" w:fill="CCEEFF"/>
          </w:tcPr>
          <w:p>
            <w:pPr>
              <w:jc w:val="right"/>
              <w:ind w:right="873"/>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bottom w:val="single" w:sz="8" w:color="auto"/>
              <w:right w:val="single" w:sz="8" w:color="CCEEFF"/>
            </w:tcBorders>
            <w:shd w:val="clear" w:color="auto" w:fill="CCEEFF"/>
          </w:tcPr>
          <w:p>
            <w:pPr>
              <w:jc w:val="right"/>
              <w:spacing w:after="0" w:line="133" w:lineRule="exact"/>
              <w:rPr>
                <w:sz w:val="20"/>
                <w:szCs w:val="20"/>
                <w:color w:val="auto"/>
              </w:rPr>
            </w:pPr>
            <w:r>
              <w:rPr>
                <w:rFonts w:ascii="Arial" w:cs="Arial" w:eastAsia="Arial" w:hAnsi="Arial"/>
                <w:sz w:val="12"/>
                <w:szCs w:val="12"/>
                <w:color w:val="auto"/>
                <w:w w:val="84"/>
              </w:rPr>
              <w:t>(62,827)</w:t>
            </w:r>
          </w:p>
        </w:tc>
        <w:tc>
          <w:tcPr>
            <w:tcW w:w="260" w:type="dxa"/>
            <w:vAlign w:val="bottom"/>
            <w:tcBorders>
              <w:top w:val="single" w:sz="8" w:color="CCEEFF"/>
              <w:bottom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(66,625)</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8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 w:type="dxa"/>
            <w:vAlign w:val="bottom"/>
            <w:vMerge w:val="continue"/>
          </w:tcPr>
          <w:p>
            <w:pPr>
              <w:spacing w:after="0"/>
              <w:rPr>
                <w:sz w:val="13"/>
                <w:szCs w:val="13"/>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Basic and Diluted Net Loss Per Common Share</w:t>
            </w:r>
          </w:p>
        </w:tc>
        <w:tc>
          <w:tcPr>
            <w:tcW w:w="2440" w:type="dxa"/>
            <w:vAlign w:val="bottom"/>
            <w:gridSpan w:val="2"/>
            <w:shd w:val="clear" w:color="auto" w:fill="CCEEFF"/>
          </w:tcPr>
          <w:p>
            <w:pPr>
              <w:jc w:val="right"/>
              <w:ind w:right="868"/>
              <w:spacing w:after="0"/>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(0.23)</w:t>
            </w:r>
          </w:p>
        </w:tc>
        <w:tc>
          <w:tcPr>
            <w:tcW w:w="1000" w:type="dxa"/>
            <w:vAlign w:val="bottom"/>
            <w:shd w:val="clear" w:color="auto" w:fill="CCEEFF"/>
          </w:tcPr>
          <w:p>
            <w:pPr>
              <w:jc w:val="right"/>
              <w:ind w:right="891"/>
              <w:spacing w:after="0"/>
              <w:rPr>
                <w:sz w:val="20"/>
                <w:szCs w:val="20"/>
                <w:color w:val="auto"/>
              </w:rPr>
            </w:pPr>
            <w:r>
              <w:rPr>
                <w:rFonts w:ascii="Arial" w:cs="Arial" w:eastAsia="Arial" w:hAnsi="Arial"/>
                <w:sz w:val="10"/>
                <w:szCs w:val="10"/>
                <w:color w:val="auto"/>
                <w:w w:val="71"/>
              </w:rPr>
              <w:t>$</w:t>
            </w:r>
          </w:p>
        </w:tc>
        <w:tc>
          <w:tcPr>
            <w:tcW w:w="6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(0.32)</w:t>
            </w:r>
          </w:p>
        </w:tc>
        <w:tc>
          <w:tcPr>
            <w:tcW w:w="980" w:type="dxa"/>
            <w:vAlign w:val="bottom"/>
            <w:shd w:val="clear" w:color="auto" w:fill="CCEEFF"/>
          </w:tcPr>
          <w:p>
            <w:pPr>
              <w:jc w:val="right"/>
              <w:ind w:right="873"/>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235"/>
              <w:spacing w:after="0"/>
              <w:rPr>
                <w:sz w:val="20"/>
                <w:szCs w:val="20"/>
                <w:color w:val="auto"/>
              </w:rPr>
            </w:pPr>
            <w:r>
              <w:rPr>
                <w:rFonts w:ascii="Arial" w:cs="Arial" w:eastAsia="Arial" w:hAnsi="Arial"/>
                <w:sz w:val="12"/>
                <w:szCs w:val="12"/>
                <w:color w:val="auto"/>
              </w:rPr>
              <w:t>(0.51)</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(0.67)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820" w:type="dxa"/>
            <w:vAlign w:val="bottom"/>
            <w:tcBorders>
              <w:top w:val="single" w:sz="8" w:color="CCEEFF"/>
            </w:tcBorders>
          </w:tcPr>
          <w:p>
            <w:pPr>
              <w:spacing w:after="0"/>
              <w:rPr>
                <w:sz w:val="12"/>
                <w:szCs w:val="12"/>
                <w:color w:val="auto"/>
              </w:rPr>
            </w:pPr>
          </w:p>
        </w:tc>
        <w:tc>
          <w:tcPr>
            <w:tcW w:w="2700" w:type="dxa"/>
            <w:vAlign w:val="bottom"/>
            <w:tcBorders>
              <w:top w:val="single" w:sz="8" w:color="CCEEFF"/>
            </w:tcBorders>
          </w:tcPr>
          <w:p>
            <w:pPr>
              <w:spacing w:after="0"/>
              <w:rPr>
                <w:sz w:val="12"/>
                <w:szCs w:val="12"/>
                <w:color w:val="auto"/>
              </w:rPr>
            </w:pPr>
          </w:p>
        </w:tc>
        <w:tc>
          <w:tcPr>
            <w:tcW w:w="1460" w:type="dxa"/>
            <w:vAlign w:val="bottom"/>
            <w:tcBorders>
              <w:top w:val="single" w:sz="8" w:color="CCEEFF"/>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80" w:type="dxa"/>
            <w:vAlign w:val="bottom"/>
            <w:tcBorders>
              <w:top w:val="single" w:sz="8" w:color="CCEEFF"/>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80" w:type="dxa"/>
            <w:vAlign w:val="bottom"/>
            <w:tcBorders>
              <w:top w:val="single" w:sz="8" w:color="CCEEFF"/>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 w:type="dxa"/>
            <w:vAlign w:val="bottom"/>
            <w:vMerge w:val="continue"/>
          </w:tcPr>
          <w:p>
            <w:pPr>
              <w:spacing w:after="0"/>
              <w:rPr>
                <w:sz w:val="13"/>
                <w:szCs w:val="13"/>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Shares Used in Calculating Basic and Diluted Net Loss per Share</w:t>
            </w:r>
          </w:p>
        </w:tc>
        <w:tc>
          <w:tcPr>
            <w:tcW w:w="14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w w:val="87"/>
              </w:rPr>
              <w:t>125,202</w:t>
            </w:r>
          </w:p>
        </w:tc>
        <w:tc>
          <w:tcPr>
            <w:tcW w:w="1000" w:type="dxa"/>
            <w:vAlign w:val="bottom"/>
            <w:shd w:val="clear" w:color="auto" w:fill="CCEEFF"/>
          </w:tcPr>
          <w:p>
            <w:pPr>
              <w:spacing w:after="0"/>
              <w:rPr>
                <w:sz w:val="13"/>
                <w:szCs w:val="13"/>
                <w:color w:val="auto"/>
              </w:rPr>
            </w:pPr>
          </w:p>
        </w:tc>
        <w:tc>
          <w:tcPr>
            <w:tcW w:w="6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98,817</w:t>
            </w:r>
          </w:p>
        </w:tc>
        <w:tc>
          <w:tcPr>
            <w:tcW w:w="9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75"/>
              <w:spacing w:after="0"/>
              <w:rPr>
                <w:sz w:val="20"/>
                <w:szCs w:val="20"/>
                <w:color w:val="auto"/>
              </w:rPr>
            </w:pPr>
            <w:r>
              <w:rPr>
                <w:rFonts w:ascii="Arial" w:cs="Arial" w:eastAsia="Arial" w:hAnsi="Arial"/>
                <w:sz w:val="12"/>
                <w:szCs w:val="12"/>
                <w:color w:val="auto"/>
                <w:w w:val="87"/>
              </w:rPr>
              <w:t>123,932</w:t>
            </w:r>
          </w:p>
        </w:tc>
        <w:tc>
          <w:tcPr>
            <w:tcW w:w="24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98,753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820" w:type="dxa"/>
            <w:vAlign w:val="bottom"/>
            <w:tcBorders>
              <w:top w:val="single" w:sz="8" w:color="CCEEFF"/>
            </w:tcBorders>
          </w:tcPr>
          <w:p>
            <w:pPr>
              <w:spacing w:after="0"/>
              <w:rPr>
                <w:sz w:val="12"/>
                <w:szCs w:val="12"/>
                <w:color w:val="auto"/>
              </w:rPr>
            </w:pPr>
          </w:p>
        </w:tc>
        <w:tc>
          <w:tcPr>
            <w:tcW w:w="2700" w:type="dxa"/>
            <w:vAlign w:val="bottom"/>
            <w:tcBorders>
              <w:top w:val="single" w:sz="8" w:color="CCEEFF"/>
            </w:tcBorders>
          </w:tcPr>
          <w:p>
            <w:pPr>
              <w:spacing w:after="0"/>
              <w:rPr>
                <w:sz w:val="12"/>
                <w:szCs w:val="12"/>
                <w:color w:val="auto"/>
              </w:rPr>
            </w:pPr>
          </w:p>
        </w:tc>
        <w:tc>
          <w:tcPr>
            <w:tcW w:w="1460" w:type="dxa"/>
            <w:vAlign w:val="bottom"/>
            <w:tcBorders>
              <w:top w:val="single" w:sz="8" w:color="CCEEFF"/>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80" w:type="dxa"/>
            <w:vAlign w:val="bottom"/>
            <w:tcBorders>
              <w:top w:val="single" w:sz="8" w:color="CCEEFF"/>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80" w:type="dxa"/>
            <w:vAlign w:val="bottom"/>
            <w:tcBorders>
              <w:top w:val="single" w:sz="8" w:color="CCEEFF"/>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COMPREHENSIVE LOSS:</w:t>
            </w:r>
          </w:p>
        </w:tc>
        <w:tc>
          <w:tcPr>
            <w:tcW w:w="14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20" w:type="dxa"/>
            <w:vAlign w:val="bottom"/>
            <w:tcBorders>
              <w:right w:val="single" w:sz="8" w:color="CCEEFF"/>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520" w:type="dxa"/>
            <w:vAlign w:val="bottom"/>
            <w:gridSpan w:val="2"/>
          </w:tcPr>
          <w:p>
            <w:pPr>
              <w:spacing w:after="0"/>
              <w:rPr>
                <w:sz w:val="20"/>
                <w:szCs w:val="20"/>
                <w:color w:val="auto"/>
              </w:rPr>
            </w:pPr>
            <w:r>
              <w:rPr>
                <w:rFonts w:ascii="Arial" w:cs="Arial" w:eastAsia="Arial" w:hAnsi="Arial"/>
                <w:sz w:val="12"/>
                <w:szCs w:val="12"/>
                <w:color w:val="auto"/>
              </w:rPr>
              <w:t>Net Loss</w:t>
            </w:r>
          </w:p>
        </w:tc>
        <w:tc>
          <w:tcPr>
            <w:tcW w:w="2440" w:type="dxa"/>
            <w:vAlign w:val="bottom"/>
            <w:gridSpan w:val="2"/>
          </w:tcPr>
          <w:p>
            <w:pPr>
              <w:jc w:val="right"/>
              <w:ind w:right="868"/>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2"/>
                <w:szCs w:val="12"/>
                <w:color w:val="auto"/>
                <w:w w:val="93"/>
              </w:rPr>
              <w:t>(28,566)</w:t>
            </w:r>
          </w:p>
        </w:tc>
        <w:tc>
          <w:tcPr>
            <w:tcW w:w="1000" w:type="dxa"/>
            <w:vAlign w:val="bottom"/>
          </w:tcPr>
          <w:p>
            <w:pPr>
              <w:jc w:val="right"/>
              <w:ind w:right="891"/>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200"/>
              <w:spacing w:after="0"/>
              <w:rPr>
                <w:sz w:val="20"/>
                <w:szCs w:val="20"/>
                <w:color w:val="auto"/>
              </w:rPr>
            </w:pPr>
            <w:r>
              <w:rPr>
                <w:rFonts w:ascii="Arial" w:cs="Arial" w:eastAsia="Arial" w:hAnsi="Arial"/>
                <w:sz w:val="12"/>
                <w:szCs w:val="12"/>
                <w:color w:val="auto"/>
                <w:w w:val="93"/>
              </w:rPr>
              <w:t>(31,952)</w:t>
            </w:r>
          </w:p>
        </w:tc>
        <w:tc>
          <w:tcPr>
            <w:tcW w:w="980" w:type="dxa"/>
            <w:vAlign w:val="bottom"/>
          </w:tcPr>
          <w:p>
            <w:pPr>
              <w:jc w:val="right"/>
              <w:ind w:right="873"/>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235"/>
              <w:spacing w:after="0"/>
              <w:rPr>
                <w:sz w:val="20"/>
                <w:szCs w:val="20"/>
                <w:color w:val="auto"/>
              </w:rPr>
            </w:pPr>
            <w:r>
              <w:rPr>
                <w:rFonts w:ascii="Arial" w:cs="Arial" w:eastAsia="Arial" w:hAnsi="Arial"/>
                <w:sz w:val="12"/>
                <w:szCs w:val="12"/>
                <w:color w:val="auto"/>
                <w:w w:val="93"/>
              </w:rPr>
              <w:t>(62,827)</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40"/>
              <w:spacing w:after="0"/>
              <w:rPr>
                <w:sz w:val="20"/>
                <w:szCs w:val="20"/>
                <w:color w:val="auto"/>
              </w:rPr>
            </w:pPr>
            <w:r>
              <w:rPr>
                <w:rFonts w:ascii="Arial" w:cs="Arial" w:eastAsia="Arial" w:hAnsi="Arial"/>
                <w:sz w:val="12"/>
                <w:szCs w:val="12"/>
                <w:color w:val="auto"/>
              </w:rPr>
              <w:t>(66,625)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Other Comprehensive Income:</w:t>
            </w:r>
          </w:p>
        </w:tc>
        <w:tc>
          <w:tcPr>
            <w:tcW w:w="14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20" w:type="dxa"/>
            <w:vAlign w:val="bottom"/>
            <w:tcBorders>
              <w:right w:val="single" w:sz="8" w:color="CCEEFF"/>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520" w:type="dxa"/>
            <w:vAlign w:val="bottom"/>
            <w:gridSpan w:val="2"/>
          </w:tcPr>
          <w:p>
            <w:pPr>
              <w:ind w:left="100"/>
              <w:spacing w:after="0"/>
              <w:rPr>
                <w:sz w:val="20"/>
                <w:szCs w:val="20"/>
                <w:color w:val="auto"/>
              </w:rPr>
            </w:pPr>
            <w:r>
              <w:rPr>
                <w:rFonts w:ascii="Arial" w:cs="Arial" w:eastAsia="Arial" w:hAnsi="Arial"/>
                <w:sz w:val="12"/>
                <w:szCs w:val="12"/>
                <w:color w:val="auto"/>
              </w:rPr>
              <w:t>Unrealized Gain on Marketable Securities</w:t>
            </w:r>
          </w:p>
        </w:tc>
        <w:tc>
          <w:tcPr>
            <w:tcW w:w="14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15</w:t>
            </w: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36</w:t>
            </w: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36</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2"/>
                <w:szCs w:val="12"/>
                <w:color w:val="auto"/>
              </w:rPr>
              <w:t>416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gridSpan w:val="2"/>
            <w:vMerge w:val="restart"/>
            <w:shd w:val="clear" w:color="auto" w:fill="CCEEFF"/>
          </w:tcPr>
          <w:p>
            <w:pPr>
              <w:spacing w:after="0"/>
              <w:rPr>
                <w:sz w:val="20"/>
                <w:szCs w:val="20"/>
                <w:color w:val="auto"/>
              </w:rPr>
            </w:pPr>
            <w:r>
              <w:rPr>
                <w:rFonts w:ascii="Arial" w:cs="Arial" w:eastAsia="Arial" w:hAnsi="Arial"/>
                <w:sz w:val="12"/>
                <w:szCs w:val="12"/>
                <w:color w:val="auto"/>
              </w:rPr>
              <w:t>Comprehensive Loss</w:t>
            </w:r>
          </w:p>
        </w:tc>
        <w:tc>
          <w:tcPr>
            <w:tcW w:w="146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jc w:val="right"/>
              <w:ind w:right="200"/>
              <w:spacing w:after="0"/>
              <w:rPr>
                <w:sz w:val="20"/>
                <w:szCs w:val="20"/>
                <w:color w:val="auto"/>
              </w:rPr>
            </w:pPr>
            <w:r>
              <w:rPr>
                <w:rFonts w:ascii="Arial" w:cs="Arial" w:eastAsia="Arial" w:hAnsi="Arial"/>
                <w:sz w:val="8"/>
                <w:szCs w:val="8"/>
                <w:color w:val="auto"/>
                <w:w w:val="73"/>
              </w:rPr>
              <w:t>)</w:t>
            </w:r>
          </w:p>
        </w:tc>
        <w:tc>
          <w:tcPr>
            <w:tcW w:w="10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vMerge w:val="restart"/>
            <w:shd w:val="clear" w:color="auto" w:fill="CCEEFF"/>
          </w:tcPr>
          <w:p>
            <w:pPr>
              <w:jc w:val="right"/>
              <w:ind w:right="200"/>
              <w:spacing w:after="0"/>
              <w:rPr>
                <w:sz w:val="20"/>
                <w:szCs w:val="20"/>
                <w:color w:val="auto"/>
              </w:rPr>
            </w:pPr>
            <w:r>
              <w:rPr>
                <w:rFonts w:ascii="Arial" w:cs="Arial" w:eastAsia="Arial" w:hAnsi="Arial"/>
                <w:sz w:val="8"/>
                <w:szCs w:val="8"/>
                <w:color w:val="auto"/>
                <w:w w:val="73"/>
              </w:rPr>
              <w:t>)</w:t>
            </w:r>
          </w:p>
        </w:tc>
        <w:tc>
          <w:tcPr>
            <w:tcW w:w="98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vMerge w:val="restart"/>
            <w:shd w:val="clear" w:color="auto" w:fill="CCEEFF"/>
          </w:tcPr>
          <w:p>
            <w:pPr>
              <w:jc w:val="right"/>
              <w:ind w:right="235"/>
              <w:spacing w:after="0"/>
              <w:rPr>
                <w:sz w:val="20"/>
                <w:szCs w:val="20"/>
                <w:color w:val="auto"/>
              </w:rPr>
            </w:pPr>
            <w:r>
              <w:rPr>
                <w:rFonts w:ascii="Arial" w:cs="Arial" w:eastAsia="Arial" w:hAnsi="Arial"/>
                <w:sz w:val="1"/>
                <w:szCs w:val="1"/>
                <w:color w:val="auto"/>
                <w:w w:val="4294967281"/>
              </w:rPr>
              <w:t>)</w:t>
            </w: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jc w:val="right"/>
              <w:ind w:right="40"/>
              <w:spacing w:after="0"/>
              <w:rPr>
                <w:sz w:val="20"/>
                <w:szCs w:val="20"/>
                <w:color w:val="auto"/>
              </w:rPr>
            </w:pPr>
            <w:r>
              <w:rPr>
                <w:rFonts w:ascii="Arial" w:cs="Arial" w:eastAsia="Arial" w:hAnsi="Arial"/>
                <w:sz w:val="8"/>
                <w:szCs w:val="8"/>
                <w:color w:val="auto"/>
                <w:w w:val="73"/>
              </w:rPr>
              <w:t>)</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520" w:type="dxa"/>
            <w:vAlign w:val="bottom"/>
            <w:gridSpan w:val="2"/>
            <w:vMerge w:val="continue"/>
            <w:shd w:val="clear" w:color="auto" w:fill="CCEEFF"/>
          </w:tcPr>
          <w:p>
            <w:pPr>
              <w:spacing w:after="0"/>
              <w:rPr>
                <w:sz w:val="12"/>
                <w:szCs w:val="12"/>
                <w:color w:val="auto"/>
              </w:rPr>
            </w:pPr>
          </w:p>
        </w:tc>
        <w:tc>
          <w:tcPr>
            <w:tcW w:w="2440" w:type="dxa"/>
            <w:vAlign w:val="bottom"/>
            <w:gridSpan w:val="2"/>
            <w:shd w:val="clear" w:color="auto" w:fill="CCEEFF"/>
          </w:tcPr>
          <w:p>
            <w:pPr>
              <w:jc w:val="right"/>
              <w:ind w:right="868"/>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3"/>
              </w:rPr>
              <w:t>(28,551</w:t>
            </w:r>
          </w:p>
        </w:tc>
        <w:tc>
          <w:tcPr>
            <w:tcW w:w="280" w:type="dxa"/>
            <w:vAlign w:val="bottom"/>
            <w:vMerge w:val="continue"/>
            <w:shd w:val="clear" w:color="auto" w:fill="CCEEFF"/>
          </w:tcPr>
          <w:p>
            <w:pPr>
              <w:spacing w:after="0"/>
              <w:rPr>
                <w:sz w:val="12"/>
                <w:szCs w:val="12"/>
                <w:color w:val="auto"/>
              </w:rPr>
            </w:pPr>
          </w:p>
        </w:tc>
        <w:tc>
          <w:tcPr>
            <w:tcW w:w="1000" w:type="dxa"/>
            <w:vAlign w:val="bottom"/>
            <w:shd w:val="clear" w:color="auto" w:fill="CCEEFF"/>
          </w:tcPr>
          <w:p>
            <w:pPr>
              <w:jc w:val="right"/>
              <w:ind w:right="891"/>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3"/>
              </w:rPr>
              <w:t>(31,916</w:t>
            </w:r>
          </w:p>
        </w:tc>
        <w:tc>
          <w:tcPr>
            <w:tcW w:w="280" w:type="dxa"/>
            <w:vAlign w:val="bottom"/>
            <w:tcBorders>
              <w:right w:val="single" w:sz="8" w:color="CCEEFF"/>
            </w:tcBorders>
            <w:vMerge w:val="continue"/>
            <w:shd w:val="clear" w:color="auto" w:fill="CCEEFF"/>
          </w:tcPr>
          <w:p>
            <w:pPr>
              <w:spacing w:after="0"/>
              <w:rPr>
                <w:sz w:val="12"/>
                <w:szCs w:val="12"/>
                <w:color w:val="auto"/>
              </w:rPr>
            </w:pPr>
          </w:p>
        </w:tc>
        <w:tc>
          <w:tcPr>
            <w:tcW w:w="980" w:type="dxa"/>
            <w:vAlign w:val="bottom"/>
            <w:shd w:val="clear" w:color="auto" w:fill="CCEEFF"/>
          </w:tcPr>
          <w:p>
            <w:pPr>
              <w:jc w:val="right"/>
              <w:ind w:right="873"/>
              <w:spacing w:after="0"/>
              <w:rPr>
                <w:sz w:val="20"/>
                <w:szCs w:val="20"/>
                <w:color w:val="auto"/>
              </w:rPr>
            </w:pPr>
            <w:r>
              <w:rPr>
                <w:rFonts w:ascii="Arial" w:cs="Arial" w:eastAsia="Arial" w:hAnsi="Arial"/>
                <w:sz w:val="10"/>
                <w:szCs w:val="10"/>
                <w:color w:val="auto"/>
                <w:w w:val="71"/>
              </w:rPr>
              <w:t>$</w:t>
            </w: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93"/>
              </w:rPr>
              <w:t>(62,791</w:t>
            </w:r>
          </w:p>
        </w:tc>
        <w:tc>
          <w:tcPr>
            <w:tcW w:w="260" w:type="dxa"/>
            <w:vAlign w:val="bottom"/>
            <w:vMerge w:val="continue"/>
            <w:shd w:val="clear" w:color="auto" w:fill="CCEEFF"/>
          </w:tcPr>
          <w:p>
            <w:pPr>
              <w:spacing w:after="0"/>
              <w:rPr>
                <w:sz w:val="12"/>
                <w:szCs w:val="12"/>
                <w:color w:val="auto"/>
              </w:rPr>
            </w:pP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(66,209</w:t>
            </w:r>
          </w:p>
        </w:tc>
        <w:tc>
          <w:tcPr>
            <w:tcW w:w="120" w:type="dxa"/>
            <w:vAlign w:val="bottom"/>
            <w:vMerge w:val="continue"/>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7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380" w:type="dxa"/>
            <w:vAlign w:val="bottom"/>
            <w:gridSpan w:val="2"/>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00" w:type="dxa"/>
            <w:vAlign w:val="bottom"/>
            <w:gridSpan w:val="2"/>
            <w:shd w:val="clear" w:color="auto" w:fill="000000"/>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20" w:type="dxa"/>
            <w:vAlign w:val="bottom"/>
            <w:tcBorders>
              <w:right w:val="single" w:sz="8" w:color="auto"/>
            </w:tcBorders>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4800" w:type="dxa"/>
            <w:vAlign w:val="bottom"/>
            <w:gridSpan w:val="7"/>
          </w:tcPr>
          <w:p>
            <w:pPr>
              <w:jc w:val="center"/>
              <w:ind w:right="380"/>
              <w:spacing w:after="0"/>
              <w:rPr>
                <w:sz w:val="20"/>
                <w:szCs w:val="20"/>
                <w:color w:val="auto"/>
              </w:rPr>
            </w:pPr>
            <w:r>
              <w:rPr>
                <w:rFonts w:ascii="Arial" w:cs="Arial" w:eastAsia="Arial" w:hAnsi="Arial"/>
                <w:sz w:val="12"/>
                <w:szCs w:val="12"/>
                <w:color w:val="auto"/>
                <w:w w:val="89"/>
              </w:rPr>
              <w:t>See accompanying notes to unaudited condensed consolidated financial statements</w:t>
            </w: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440" w:type="dxa"/>
            <w:vAlign w:val="bottom"/>
            <w:gridSpan w:val="2"/>
          </w:tcPr>
          <w:p>
            <w:pPr>
              <w:jc w:val="center"/>
              <w:ind w:left="1880"/>
              <w:spacing w:after="0"/>
              <w:rPr>
                <w:sz w:val="20"/>
                <w:szCs w:val="20"/>
                <w:color w:val="auto"/>
              </w:rPr>
            </w:pPr>
            <w:r>
              <w:rPr>
                <w:rFonts w:ascii="Arial" w:cs="Arial" w:eastAsia="Arial" w:hAnsi="Arial"/>
                <w:sz w:val="12"/>
                <w:szCs w:val="12"/>
                <w:color w:val="auto"/>
                <w:w w:val="89"/>
              </w:rPr>
              <w:t>4</w:t>
            </w: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20" w:type="dxa"/>
            <w:vAlign w:val="bottom"/>
            <w:tcBorders>
              <w:bottom w:val="single" w:sz="8" w:color="808080"/>
            </w:tcBorders>
          </w:tcPr>
          <w:p>
            <w:pPr>
              <w:spacing w:after="0"/>
              <w:rPr>
                <w:sz w:val="7"/>
                <w:szCs w:val="7"/>
                <w:color w:val="auto"/>
              </w:rPr>
            </w:pPr>
          </w:p>
        </w:tc>
        <w:tc>
          <w:tcPr>
            <w:tcW w:w="2700" w:type="dxa"/>
            <w:vAlign w:val="bottom"/>
            <w:tcBorders>
              <w:bottom w:val="single" w:sz="8" w:color="808080"/>
            </w:tcBorders>
          </w:tcPr>
          <w:p>
            <w:pPr>
              <w:spacing w:after="0"/>
              <w:rPr>
                <w:sz w:val="7"/>
                <w:szCs w:val="7"/>
                <w:color w:val="auto"/>
              </w:rPr>
            </w:pPr>
          </w:p>
        </w:tc>
        <w:tc>
          <w:tcPr>
            <w:tcW w:w="1460" w:type="dxa"/>
            <w:vAlign w:val="bottom"/>
            <w:tcBorders>
              <w:bottom w:val="single" w:sz="8" w:color="808080"/>
            </w:tcBorders>
          </w:tcPr>
          <w:p>
            <w:pPr>
              <w:spacing w:after="0"/>
              <w:rPr>
                <w:sz w:val="7"/>
                <w:szCs w:val="7"/>
                <w:color w:val="auto"/>
              </w:rPr>
            </w:pPr>
          </w:p>
        </w:tc>
        <w:tc>
          <w:tcPr>
            <w:tcW w:w="980" w:type="dxa"/>
            <w:vAlign w:val="bottom"/>
            <w:tcBorders>
              <w:bottom w:val="single" w:sz="8" w:color="808080"/>
            </w:tcBorders>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1000" w:type="dxa"/>
            <w:vAlign w:val="bottom"/>
            <w:tcBorders>
              <w:bottom w:val="single" w:sz="8" w:color="808080"/>
            </w:tcBorders>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980" w:type="dxa"/>
            <w:vAlign w:val="bottom"/>
            <w:tcBorders>
              <w:bottom w:val="single" w:sz="8" w:color="808080"/>
            </w:tcBorders>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112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346"/>
        </w:trPr>
        <w:tc>
          <w:tcPr>
            <w:tcW w:w="3540" w:type="dxa"/>
            <w:vAlign w:val="bottom"/>
            <w:gridSpan w:val="3"/>
          </w:tcPr>
          <w:p>
            <w:pPr>
              <w:spacing w:after="0"/>
              <w:rPr>
                <w:rFonts w:ascii="Arial" w:cs="Arial" w:eastAsia="Arial" w:hAnsi="Arial"/>
                <w:sz w:val="12"/>
                <w:szCs w:val="12"/>
                <w:color w:val="0000EE"/>
              </w:rPr>
            </w:pPr>
            <w:hyperlink w:anchor="page1">
              <w:r>
                <w:rPr>
                  <w:rFonts w:ascii="Arial" w:cs="Arial" w:eastAsia="Arial" w:hAnsi="Arial"/>
                  <w:sz w:val="12"/>
                  <w:szCs w:val="12"/>
                  <w:color w:val="0000EE"/>
                </w:rPr>
                <w:t>Table of Contents</w:t>
              </w:r>
            </w:hyperlink>
          </w:p>
        </w:tc>
        <w:tc>
          <w:tcPr>
            <w:tcW w:w="1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2700" w:type="dxa"/>
            <w:vAlign w:val="bottom"/>
          </w:tcPr>
          <w:p>
            <w:pPr>
              <w:spacing w:after="0"/>
              <w:rPr>
                <w:sz w:val="24"/>
                <w:szCs w:val="24"/>
                <w:color w:val="auto"/>
              </w:rPr>
            </w:pPr>
          </w:p>
        </w:tc>
        <w:tc>
          <w:tcPr>
            <w:tcW w:w="3120" w:type="dxa"/>
            <w:vAlign w:val="bottom"/>
            <w:gridSpan w:val="4"/>
          </w:tcPr>
          <w:p>
            <w:pPr>
              <w:jc w:val="center"/>
              <w:ind w:left="1200"/>
              <w:spacing w:after="0"/>
              <w:rPr>
                <w:sz w:val="20"/>
                <w:szCs w:val="20"/>
                <w:color w:val="auto"/>
              </w:rPr>
            </w:pPr>
            <w:r>
              <w:rPr>
                <w:rFonts w:ascii="Arial" w:cs="Arial" w:eastAsia="Arial" w:hAnsi="Arial"/>
                <w:sz w:val="12"/>
                <w:szCs w:val="12"/>
                <w:b w:val="1"/>
                <w:bCs w:val="1"/>
                <w:color w:val="auto"/>
              </w:rPr>
              <w:t>CELLDEX THERAPEUTICS, INC.</w:t>
            </w: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4120" w:type="dxa"/>
            <w:vAlign w:val="bottom"/>
            <w:gridSpan w:val="5"/>
          </w:tcPr>
          <w:p>
            <w:pPr>
              <w:jc w:val="center"/>
              <w:ind w:left="220"/>
              <w:spacing w:after="0"/>
              <w:rPr>
                <w:sz w:val="20"/>
                <w:szCs w:val="20"/>
                <w:color w:val="auto"/>
              </w:rPr>
            </w:pPr>
            <w:r>
              <w:rPr>
                <w:rFonts w:ascii="Arial" w:cs="Arial" w:eastAsia="Arial" w:hAnsi="Arial"/>
                <w:sz w:val="12"/>
                <w:szCs w:val="12"/>
                <w:b w:val="1"/>
                <w:bCs w:val="1"/>
                <w:color w:val="auto"/>
                <w:w w:val="98"/>
              </w:rPr>
              <w:t>CONDENSED CONSOLIDATED STATEMENTS OF CASH FLOWS</w:t>
            </w: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660" w:type="dxa"/>
            <w:vAlign w:val="bottom"/>
            <w:gridSpan w:val="3"/>
          </w:tcPr>
          <w:p>
            <w:pPr>
              <w:jc w:val="center"/>
              <w:ind w:right="160"/>
              <w:spacing w:after="0"/>
              <w:rPr>
                <w:sz w:val="20"/>
                <w:szCs w:val="20"/>
                <w:color w:val="auto"/>
              </w:rPr>
            </w:pPr>
            <w:r>
              <w:rPr>
                <w:rFonts w:ascii="Arial" w:cs="Arial" w:eastAsia="Arial" w:hAnsi="Arial"/>
                <w:sz w:val="12"/>
                <w:szCs w:val="12"/>
                <w:b w:val="1"/>
                <w:bCs w:val="1"/>
                <w:color w:val="auto"/>
                <w:w w:val="92"/>
              </w:rPr>
              <w:t>(Unaudited)</w:t>
            </w:r>
          </w:p>
        </w:tc>
        <w:tc>
          <w:tcPr>
            <w:tcW w:w="10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60" w:type="dxa"/>
            <w:vAlign w:val="bottom"/>
            <w:gridSpan w:val="3"/>
          </w:tcPr>
          <w:p>
            <w:pPr>
              <w:jc w:val="center"/>
              <w:ind w:right="160"/>
              <w:spacing w:after="0"/>
              <w:rPr>
                <w:sz w:val="20"/>
                <w:szCs w:val="20"/>
                <w:color w:val="auto"/>
              </w:rPr>
            </w:pPr>
            <w:r>
              <w:rPr>
                <w:rFonts w:ascii="Arial" w:cs="Arial" w:eastAsia="Arial" w:hAnsi="Arial"/>
                <w:sz w:val="12"/>
                <w:szCs w:val="12"/>
                <w:b w:val="1"/>
                <w:bCs w:val="1"/>
                <w:color w:val="auto"/>
                <w:w w:val="89"/>
              </w:rPr>
              <w:t>(In thousands)</w:t>
            </w: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center"/>
              <w:ind w:left="333"/>
              <w:spacing w:after="0"/>
              <w:rPr>
                <w:sz w:val="20"/>
                <w:szCs w:val="20"/>
                <w:color w:val="auto"/>
              </w:rPr>
            </w:pPr>
            <w:r>
              <w:rPr>
                <w:rFonts w:ascii="Arial" w:cs="Arial" w:eastAsia="Arial" w:hAnsi="Arial"/>
                <w:sz w:val="10"/>
                <w:szCs w:val="10"/>
                <w:b w:val="1"/>
                <w:bCs w:val="1"/>
                <w:color w:val="auto"/>
                <w:w w:val="89"/>
              </w:rPr>
              <w:t>Six Months</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86"/>
              </w:rPr>
              <w:t>Six Months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7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80" w:type="dxa"/>
            <w:vAlign w:val="bottom"/>
          </w:tcPr>
          <w:p>
            <w:pPr>
              <w:jc w:val="center"/>
              <w:ind w:left="333"/>
              <w:spacing w:after="0" w:line="99" w:lineRule="exact"/>
              <w:rPr>
                <w:sz w:val="20"/>
                <w:szCs w:val="20"/>
                <w:color w:val="auto"/>
              </w:rPr>
            </w:pPr>
            <w:r>
              <w:rPr>
                <w:rFonts w:ascii="Arial" w:cs="Arial" w:eastAsia="Arial" w:hAnsi="Arial"/>
                <w:sz w:val="10"/>
                <w:szCs w:val="10"/>
                <w:b w:val="1"/>
                <w:bCs w:val="1"/>
                <w:color w:val="auto"/>
                <w:w w:val="91"/>
              </w:rPr>
              <w:t>Ended</w:t>
            </w: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40" w:type="dxa"/>
            <w:vAlign w:val="bottom"/>
            <w:gridSpan w:val="2"/>
          </w:tcPr>
          <w:p>
            <w:pPr>
              <w:jc w:val="center"/>
              <w:ind w:right="300"/>
              <w:spacing w:after="0" w:line="99" w:lineRule="exact"/>
              <w:rPr>
                <w:sz w:val="20"/>
                <w:szCs w:val="20"/>
                <w:color w:val="auto"/>
              </w:rPr>
            </w:pPr>
            <w:r>
              <w:rPr>
                <w:rFonts w:ascii="Arial" w:cs="Arial" w:eastAsia="Arial" w:hAnsi="Arial"/>
                <w:sz w:val="10"/>
                <w:szCs w:val="10"/>
                <w:b w:val="1"/>
                <w:bCs w:val="1"/>
                <w:color w:val="auto"/>
                <w:w w:val="84"/>
              </w:rPr>
              <w:t>Ended</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7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9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jc w:val="center"/>
              <w:ind w:left="333"/>
              <w:spacing w:after="0" w:line="114" w:lineRule="exact"/>
              <w:rPr>
                <w:sz w:val="20"/>
                <w:szCs w:val="20"/>
                <w:color w:val="auto"/>
              </w:rPr>
            </w:pPr>
            <w:r>
              <w:rPr>
                <w:rFonts w:ascii="Arial" w:cs="Arial" w:eastAsia="Arial" w:hAnsi="Arial"/>
                <w:sz w:val="10"/>
                <w:szCs w:val="10"/>
                <w:b w:val="1"/>
                <w:bCs w:val="1"/>
                <w:color w:val="auto"/>
                <w:w w:val="86"/>
              </w:rPr>
              <w:t>June 30, 2017</w:t>
            </w: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gridSpan w:val="2"/>
          </w:tcPr>
          <w:p>
            <w:pPr>
              <w:jc w:val="center"/>
              <w:ind w:right="320"/>
              <w:spacing w:after="0" w:line="114" w:lineRule="exact"/>
              <w:rPr>
                <w:sz w:val="20"/>
                <w:szCs w:val="20"/>
                <w:color w:val="auto"/>
              </w:rPr>
            </w:pPr>
            <w:r>
              <w:rPr>
                <w:rFonts w:ascii="Arial" w:cs="Arial" w:eastAsia="Arial" w:hAnsi="Arial"/>
                <w:sz w:val="10"/>
                <w:szCs w:val="10"/>
                <w:b w:val="1"/>
                <w:bCs w:val="1"/>
                <w:color w:val="auto"/>
                <w:w w:val="86"/>
              </w:rPr>
              <w:t>June 30, 2016</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520" w:type="dxa"/>
            <w:vAlign w:val="bottom"/>
            <w:tcBorders>
              <w:top w:val="single" w:sz="8" w:color="CCEEFF"/>
            </w:tcBorders>
            <w:gridSpan w:val="2"/>
            <w:shd w:val="clear" w:color="auto" w:fill="CCEEFF"/>
          </w:tcPr>
          <w:p>
            <w:pPr>
              <w:spacing w:after="0" w:line="124" w:lineRule="exact"/>
              <w:rPr>
                <w:sz w:val="20"/>
                <w:szCs w:val="20"/>
                <w:color w:val="auto"/>
              </w:rPr>
            </w:pPr>
            <w:r>
              <w:rPr>
                <w:rFonts w:ascii="Arial" w:cs="Arial" w:eastAsia="Arial" w:hAnsi="Arial"/>
                <w:sz w:val="12"/>
                <w:szCs w:val="12"/>
                <w:b w:val="1"/>
                <w:bCs w:val="1"/>
                <w:color w:val="auto"/>
              </w:rPr>
              <w:t>Cash Flows from Operating Activities:</w:t>
            </w:r>
          </w:p>
        </w:tc>
        <w:tc>
          <w:tcPr>
            <w:tcW w:w="1460" w:type="dxa"/>
            <w:vAlign w:val="bottom"/>
            <w:tcBorders>
              <w:top w:val="single" w:sz="8" w:color="CCEEFF"/>
            </w:tcBorders>
            <w:shd w:val="clear" w:color="auto" w:fill="CCEEFF"/>
          </w:tcPr>
          <w:p>
            <w:pPr>
              <w:spacing w:after="0"/>
              <w:rPr>
                <w:sz w:val="10"/>
                <w:szCs w:val="10"/>
                <w:color w:val="auto"/>
              </w:rPr>
            </w:pPr>
          </w:p>
        </w:tc>
        <w:tc>
          <w:tcPr>
            <w:tcW w:w="980" w:type="dxa"/>
            <w:vAlign w:val="bottom"/>
            <w:tcBorders>
              <w:top w:val="single" w:sz="8" w:color="CCEEFF"/>
            </w:tcBorders>
            <w:shd w:val="clear" w:color="auto" w:fill="CCEEFF"/>
          </w:tcPr>
          <w:p>
            <w:pPr>
              <w:spacing w:after="0"/>
              <w:rPr>
                <w:sz w:val="10"/>
                <w:szCs w:val="10"/>
                <w:color w:val="auto"/>
              </w:rPr>
            </w:pPr>
          </w:p>
        </w:tc>
        <w:tc>
          <w:tcPr>
            <w:tcW w:w="40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CCEEFF"/>
            </w:tcBorders>
            <w:shd w:val="clear" w:color="auto" w:fill="CCEEFF"/>
          </w:tcPr>
          <w:p>
            <w:pPr>
              <w:spacing w:after="0"/>
              <w:rPr>
                <w:sz w:val="10"/>
                <w:szCs w:val="10"/>
                <w:color w:val="auto"/>
              </w:rPr>
            </w:pPr>
          </w:p>
        </w:tc>
        <w:tc>
          <w:tcPr>
            <w:tcW w:w="1000" w:type="dxa"/>
            <w:vAlign w:val="bottom"/>
            <w:tcBorders>
              <w:top w:val="single" w:sz="8" w:color="CCEEFF"/>
            </w:tcBorders>
            <w:shd w:val="clear" w:color="auto" w:fill="CCEEFF"/>
          </w:tcPr>
          <w:p>
            <w:pPr>
              <w:spacing w:after="0"/>
              <w:rPr>
                <w:sz w:val="10"/>
                <w:szCs w:val="10"/>
                <w:color w:val="auto"/>
              </w:rPr>
            </w:pPr>
          </w:p>
        </w:tc>
        <w:tc>
          <w:tcPr>
            <w:tcW w:w="40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CCEEFF"/>
              <w:right w:val="single" w:sz="8" w:color="CCEEFF"/>
            </w:tcBorders>
            <w:shd w:val="clear" w:color="auto" w:fill="CCEEFF"/>
          </w:tcPr>
          <w:p>
            <w:pPr>
              <w:spacing w:after="0"/>
              <w:rPr>
                <w:sz w:val="10"/>
                <w:szCs w:val="10"/>
                <w:color w:val="auto"/>
              </w:rPr>
            </w:pPr>
          </w:p>
        </w:tc>
        <w:tc>
          <w:tcPr>
            <w:tcW w:w="980" w:type="dxa"/>
            <w:vAlign w:val="bottom"/>
            <w:tcBorders>
              <w:top w:val="single" w:sz="8" w:color="auto"/>
            </w:tcBorders>
            <w:shd w:val="clear" w:color="auto" w:fill="CCEEFF"/>
          </w:tcPr>
          <w:p>
            <w:pPr>
              <w:spacing w:after="0"/>
              <w:rPr>
                <w:sz w:val="10"/>
                <w:szCs w:val="10"/>
                <w:color w:val="auto"/>
              </w:rPr>
            </w:pPr>
          </w:p>
        </w:tc>
        <w:tc>
          <w:tcPr>
            <w:tcW w:w="420" w:type="dxa"/>
            <w:vAlign w:val="bottom"/>
            <w:tcBorders>
              <w:top w:val="single" w:sz="8" w:color="auto"/>
              <w:right w:val="single" w:sz="8" w:color="CCEEFF"/>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11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520" w:type="dxa"/>
            <w:vAlign w:val="bottom"/>
            <w:gridSpan w:val="2"/>
          </w:tcPr>
          <w:p>
            <w:pPr>
              <w:ind w:left="100"/>
              <w:spacing w:after="0"/>
              <w:rPr>
                <w:sz w:val="20"/>
                <w:szCs w:val="20"/>
                <w:color w:val="auto"/>
              </w:rPr>
            </w:pPr>
            <w:r>
              <w:rPr>
                <w:rFonts w:ascii="Arial" w:cs="Arial" w:eastAsia="Arial" w:hAnsi="Arial"/>
                <w:sz w:val="12"/>
                <w:szCs w:val="12"/>
                <w:color w:val="auto"/>
              </w:rPr>
              <w:t>Net Loss</w:t>
            </w:r>
          </w:p>
        </w:tc>
        <w:tc>
          <w:tcPr>
            <w:tcW w:w="14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jc w:val="right"/>
              <w:ind w:right="893"/>
              <w:spacing w:after="0"/>
              <w:rPr>
                <w:sz w:val="20"/>
                <w:szCs w:val="20"/>
                <w:color w:val="auto"/>
              </w:rPr>
            </w:pPr>
            <w:r>
              <w:rPr>
                <w:rFonts w:ascii="Arial" w:cs="Arial" w:eastAsia="Arial" w:hAnsi="Arial"/>
                <w:sz w:val="5"/>
                <w:szCs w:val="5"/>
                <w:color w:val="auto"/>
                <w:w w:val="70"/>
              </w:rPr>
              <w:t>$</w:t>
            </w:r>
          </w:p>
        </w:tc>
        <w:tc>
          <w:tcPr>
            <w:tcW w:w="680" w:type="dxa"/>
            <w:vAlign w:val="bottom"/>
            <w:gridSpan w:val="2"/>
          </w:tcPr>
          <w:p>
            <w:pPr>
              <w:jc w:val="right"/>
              <w:ind w:right="235"/>
              <w:spacing w:after="0"/>
              <w:rPr>
                <w:sz w:val="20"/>
                <w:szCs w:val="20"/>
                <w:color w:val="auto"/>
              </w:rPr>
            </w:pPr>
            <w:r>
              <w:rPr>
                <w:rFonts w:ascii="Arial" w:cs="Arial" w:eastAsia="Arial" w:hAnsi="Arial"/>
                <w:sz w:val="12"/>
                <w:szCs w:val="12"/>
                <w:color w:val="auto"/>
                <w:w w:val="93"/>
              </w:rPr>
              <w:t>(62,827)</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40"/>
              <w:spacing w:after="0"/>
              <w:rPr>
                <w:sz w:val="20"/>
                <w:szCs w:val="20"/>
                <w:color w:val="auto"/>
              </w:rPr>
            </w:pPr>
            <w:r>
              <w:rPr>
                <w:rFonts w:ascii="Arial" w:cs="Arial" w:eastAsia="Arial" w:hAnsi="Arial"/>
                <w:sz w:val="12"/>
                <w:szCs w:val="12"/>
                <w:color w:val="auto"/>
              </w:rPr>
              <w:t>(66,625)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960" w:type="dxa"/>
            <w:vAlign w:val="bottom"/>
            <w:gridSpan w:val="4"/>
            <w:shd w:val="clear" w:color="auto" w:fill="CCEEFF"/>
          </w:tcPr>
          <w:p>
            <w:pPr>
              <w:ind w:left="100"/>
              <w:spacing w:after="0"/>
              <w:rPr>
                <w:sz w:val="20"/>
                <w:szCs w:val="20"/>
                <w:color w:val="auto"/>
              </w:rPr>
            </w:pPr>
            <w:r>
              <w:rPr>
                <w:rFonts w:ascii="Arial" w:cs="Arial" w:eastAsia="Arial" w:hAnsi="Arial"/>
                <w:sz w:val="12"/>
                <w:szCs w:val="12"/>
                <w:color w:val="auto"/>
              </w:rPr>
              <w:t>Adjustments to Reconcile Net Loss to Net Cash Used in Operating Activities:</w:t>
            </w: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20" w:type="dxa"/>
            <w:vAlign w:val="bottom"/>
            <w:tcBorders>
              <w:right w:val="single" w:sz="8" w:color="CCEEFF"/>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520" w:type="dxa"/>
            <w:vAlign w:val="bottom"/>
            <w:gridSpan w:val="2"/>
          </w:tcPr>
          <w:p>
            <w:pPr>
              <w:ind w:left="220"/>
              <w:spacing w:after="0"/>
              <w:rPr>
                <w:sz w:val="20"/>
                <w:szCs w:val="20"/>
                <w:color w:val="auto"/>
              </w:rPr>
            </w:pPr>
            <w:r>
              <w:rPr>
                <w:rFonts w:ascii="Arial" w:cs="Arial" w:eastAsia="Arial" w:hAnsi="Arial"/>
                <w:sz w:val="12"/>
                <w:szCs w:val="12"/>
                <w:color w:val="auto"/>
              </w:rPr>
              <w:t>Depreciation and Amortization</w:t>
            </w:r>
          </w:p>
        </w:tc>
        <w:tc>
          <w:tcPr>
            <w:tcW w:w="14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2,367</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2"/>
                <w:szCs w:val="12"/>
                <w:color w:val="auto"/>
              </w:rPr>
              <w:t>1,434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52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Amortization of Intangible Assets</w:t>
            </w:r>
          </w:p>
        </w:tc>
        <w:tc>
          <w:tcPr>
            <w:tcW w:w="14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448</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507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520" w:type="dxa"/>
            <w:vAlign w:val="bottom"/>
            <w:gridSpan w:val="2"/>
          </w:tcPr>
          <w:p>
            <w:pPr>
              <w:ind w:left="220"/>
              <w:spacing w:after="0"/>
              <w:rPr>
                <w:sz w:val="20"/>
                <w:szCs w:val="20"/>
                <w:color w:val="auto"/>
              </w:rPr>
            </w:pPr>
            <w:r>
              <w:rPr>
                <w:rFonts w:ascii="Arial" w:cs="Arial" w:eastAsia="Arial" w:hAnsi="Arial"/>
                <w:sz w:val="12"/>
                <w:szCs w:val="12"/>
                <w:color w:val="auto"/>
              </w:rPr>
              <w:t>Amortization and Premium of Marketable Securities, Net</w:t>
            </w:r>
          </w:p>
        </w:tc>
        <w:tc>
          <w:tcPr>
            <w:tcW w:w="14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80" w:type="dxa"/>
            <w:vAlign w:val="bottom"/>
            <w:gridSpan w:val="2"/>
          </w:tcPr>
          <w:p>
            <w:pPr>
              <w:jc w:val="right"/>
              <w:ind w:right="235"/>
              <w:spacing w:after="0"/>
              <w:rPr>
                <w:sz w:val="20"/>
                <w:szCs w:val="20"/>
                <w:color w:val="auto"/>
              </w:rPr>
            </w:pPr>
            <w:r>
              <w:rPr>
                <w:rFonts w:ascii="Arial" w:cs="Arial" w:eastAsia="Arial" w:hAnsi="Arial"/>
                <w:sz w:val="12"/>
                <w:szCs w:val="12"/>
                <w:color w:val="auto"/>
              </w:rPr>
              <w:t>(161)</w:t>
            </w:r>
          </w:p>
        </w:tc>
        <w:tc>
          <w:tcPr>
            <w:tcW w:w="240" w:type="dxa"/>
            <w:vAlign w:val="bottom"/>
          </w:tcPr>
          <w:p>
            <w:pPr>
              <w:spacing w:after="0"/>
              <w:rPr>
                <w:sz w:val="12"/>
                <w:szCs w:val="12"/>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2"/>
                <w:szCs w:val="12"/>
                <w:color w:val="auto"/>
              </w:rPr>
              <w:t>612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52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Loss on Sale or Disposal of Assets</w:t>
            </w:r>
          </w:p>
        </w:tc>
        <w:tc>
          <w:tcPr>
            <w:tcW w:w="14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75"/>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74</w:t>
            </w:r>
          </w:p>
        </w:tc>
        <w:tc>
          <w:tcPr>
            <w:tcW w:w="1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520" w:type="dxa"/>
            <w:vAlign w:val="bottom"/>
            <w:gridSpan w:val="2"/>
          </w:tcPr>
          <w:p>
            <w:pPr>
              <w:ind w:left="220"/>
              <w:spacing w:after="0"/>
              <w:rPr>
                <w:sz w:val="20"/>
                <w:szCs w:val="20"/>
                <w:color w:val="auto"/>
              </w:rPr>
            </w:pPr>
            <w:r>
              <w:rPr>
                <w:rFonts w:ascii="Arial" w:cs="Arial" w:eastAsia="Arial" w:hAnsi="Arial"/>
                <w:sz w:val="12"/>
                <w:szCs w:val="12"/>
                <w:color w:val="auto"/>
                <w:w w:val="95"/>
              </w:rPr>
              <w:t>Loss on Fair Value Remeasurement of Contingent Consideration</w:t>
            </w:r>
          </w:p>
        </w:tc>
        <w:tc>
          <w:tcPr>
            <w:tcW w:w="14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4,400</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52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Stock-Based Compensation Expense</w:t>
            </w:r>
          </w:p>
        </w:tc>
        <w:tc>
          <w:tcPr>
            <w:tcW w:w="14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6,989</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7,913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520" w:type="dxa"/>
            <w:vAlign w:val="bottom"/>
            <w:gridSpan w:val="2"/>
          </w:tcPr>
          <w:p>
            <w:pPr>
              <w:ind w:left="220"/>
              <w:spacing w:after="0"/>
              <w:rPr>
                <w:sz w:val="20"/>
                <w:szCs w:val="20"/>
                <w:color w:val="auto"/>
              </w:rPr>
            </w:pPr>
            <w:r>
              <w:rPr>
                <w:rFonts w:ascii="Arial" w:cs="Arial" w:eastAsia="Arial" w:hAnsi="Arial"/>
                <w:sz w:val="12"/>
                <w:szCs w:val="12"/>
                <w:color w:val="auto"/>
              </w:rPr>
              <w:t>Non-Cash Expense</w:t>
            </w:r>
          </w:p>
        </w:tc>
        <w:tc>
          <w:tcPr>
            <w:tcW w:w="14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80" w:type="dxa"/>
            <w:vAlign w:val="bottom"/>
            <w:gridSpan w:val="2"/>
          </w:tcPr>
          <w:p>
            <w:pPr>
              <w:jc w:val="right"/>
              <w:ind w:right="275"/>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2"/>
                <w:szCs w:val="12"/>
                <w:color w:val="auto"/>
              </w:rPr>
              <w:t>1,638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52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Changes in Operating Assets and Liabilities:</w:t>
            </w:r>
          </w:p>
        </w:tc>
        <w:tc>
          <w:tcPr>
            <w:tcW w:w="14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20" w:type="dxa"/>
            <w:vAlign w:val="bottom"/>
            <w:tcBorders>
              <w:right w:val="single" w:sz="8" w:color="CCEEFF"/>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520" w:type="dxa"/>
            <w:vAlign w:val="bottom"/>
            <w:gridSpan w:val="2"/>
          </w:tcPr>
          <w:p>
            <w:pPr>
              <w:ind w:left="340"/>
              <w:spacing w:after="0"/>
              <w:rPr>
                <w:sz w:val="20"/>
                <w:szCs w:val="20"/>
                <w:color w:val="auto"/>
              </w:rPr>
            </w:pPr>
            <w:r>
              <w:rPr>
                <w:rFonts w:ascii="Arial" w:cs="Arial" w:eastAsia="Arial" w:hAnsi="Arial"/>
                <w:sz w:val="12"/>
                <w:szCs w:val="12"/>
                <w:color w:val="auto"/>
              </w:rPr>
              <w:t>Accounts and Other Receivables</w:t>
            </w:r>
          </w:p>
        </w:tc>
        <w:tc>
          <w:tcPr>
            <w:tcW w:w="14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425</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2"/>
                <w:szCs w:val="12"/>
                <w:color w:val="auto"/>
              </w:rPr>
              <w:t>(146)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520" w:type="dxa"/>
            <w:vAlign w:val="bottom"/>
            <w:gridSpan w:val="2"/>
            <w:shd w:val="clear" w:color="auto" w:fill="CCEEFF"/>
          </w:tcPr>
          <w:p>
            <w:pPr>
              <w:ind w:left="340"/>
              <w:spacing w:after="0"/>
              <w:rPr>
                <w:sz w:val="20"/>
                <w:szCs w:val="20"/>
                <w:color w:val="auto"/>
              </w:rPr>
            </w:pPr>
            <w:r>
              <w:rPr>
                <w:rFonts w:ascii="Arial" w:cs="Arial" w:eastAsia="Arial" w:hAnsi="Arial"/>
                <w:sz w:val="12"/>
                <w:szCs w:val="12"/>
                <w:color w:val="auto"/>
              </w:rPr>
              <w:t>Prepaid and Other Current Assets</w:t>
            </w:r>
          </w:p>
        </w:tc>
        <w:tc>
          <w:tcPr>
            <w:tcW w:w="14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35"/>
              <w:spacing w:after="0"/>
              <w:rPr>
                <w:sz w:val="20"/>
                <w:szCs w:val="20"/>
                <w:color w:val="auto"/>
              </w:rPr>
            </w:pPr>
            <w:r>
              <w:rPr>
                <w:rFonts w:ascii="Arial" w:cs="Arial" w:eastAsia="Arial" w:hAnsi="Arial"/>
                <w:sz w:val="12"/>
                <w:szCs w:val="12"/>
                <w:color w:val="auto"/>
              </w:rPr>
              <w:t>(511)</w:t>
            </w:r>
          </w:p>
        </w:tc>
        <w:tc>
          <w:tcPr>
            <w:tcW w:w="2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(3,124)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520" w:type="dxa"/>
            <w:vAlign w:val="bottom"/>
            <w:gridSpan w:val="2"/>
          </w:tcPr>
          <w:p>
            <w:pPr>
              <w:ind w:left="340"/>
              <w:spacing w:after="0"/>
              <w:rPr>
                <w:sz w:val="20"/>
                <w:szCs w:val="20"/>
                <w:color w:val="auto"/>
              </w:rPr>
            </w:pPr>
            <w:r>
              <w:rPr>
                <w:rFonts w:ascii="Arial" w:cs="Arial" w:eastAsia="Arial" w:hAnsi="Arial"/>
                <w:sz w:val="12"/>
                <w:szCs w:val="12"/>
                <w:color w:val="auto"/>
              </w:rPr>
              <w:t>Other Assets</w:t>
            </w:r>
          </w:p>
        </w:tc>
        <w:tc>
          <w:tcPr>
            <w:tcW w:w="14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199</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520" w:type="dxa"/>
            <w:vAlign w:val="bottom"/>
            <w:gridSpan w:val="2"/>
            <w:shd w:val="clear" w:color="auto" w:fill="CCEEFF"/>
          </w:tcPr>
          <w:p>
            <w:pPr>
              <w:ind w:left="340"/>
              <w:spacing w:after="0"/>
              <w:rPr>
                <w:sz w:val="20"/>
                <w:szCs w:val="20"/>
                <w:color w:val="auto"/>
              </w:rPr>
            </w:pPr>
            <w:r>
              <w:rPr>
                <w:rFonts w:ascii="Arial" w:cs="Arial" w:eastAsia="Arial" w:hAnsi="Arial"/>
                <w:sz w:val="12"/>
                <w:szCs w:val="12"/>
                <w:color w:val="auto"/>
              </w:rPr>
              <w:t>Accounts Payable and Accrued Expenses</w:t>
            </w:r>
          </w:p>
        </w:tc>
        <w:tc>
          <w:tcPr>
            <w:tcW w:w="14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35"/>
              <w:spacing w:after="0"/>
              <w:rPr>
                <w:sz w:val="20"/>
                <w:szCs w:val="20"/>
                <w:color w:val="auto"/>
              </w:rPr>
            </w:pPr>
            <w:r>
              <w:rPr>
                <w:rFonts w:ascii="Arial" w:cs="Arial" w:eastAsia="Arial" w:hAnsi="Arial"/>
                <w:sz w:val="12"/>
                <w:szCs w:val="12"/>
                <w:color w:val="auto"/>
              </w:rPr>
              <w:t>(6,812)</w:t>
            </w:r>
          </w:p>
        </w:tc>
        <w:tc>
          <w:tcPr>
            <w:tcW w:w="2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(10,212)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520" w:type="dxa"/>
            <w:vAlign w:val="bottom"/>
            <w:gridSpan w:val="2"/>
          </w:tcPr>
          <w:p>
            <w:pPr>
              <w:ind w:left="340"/>
              <w:spacing w:after="0"/>
              <w:rPr>
                <w:sz w:val="20"/>
                <w:szCs w:val="20"/>
                <w:color w:val="auto"/>
              </w:rPr>
            </w:pPr>
            <w:r>
              <w:rPr>
                <w:rFonts w:ascii="Arial" w:cs="Arial" w:eastAsia="Arial" w:hAnsi="Arial"/>
                <w:sz w:val="12"/>
                <w:szCs w:val="12"/>
                <w:color w:val="auto"/>
              </w:rPr>
              <w:t>Other Liabilities</w:t>
            </w:r>
          </w:p>
        </w:tc>
        <w:tc>
          <w:tcPr>
            <w:tcW w:w="14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80" w:type="dxa"/>
            <w:vAlign w:val="bottom"/>
            <w:gridSpan w:val="2"/>
          </w:tcPr>
          <w:p>
            <w:pPr>
              <w:jc w:val="right"/>
              <w:ind w:right="235"/>
              <w:spacing w:after="0"/>
              <w:rPr>
                <w:sz w:val="20"/>
                <w:szCs w:val="20"/>
                <w:color w:val="auto"/>
              </w:rPr>
            </w:pPr>
            <w:r>
              <w:rPr>
                <w:rFonts w:ascii="Arial" w:cs="Arial" w:eastAsia="Arial" w:hAnsi="Arial"/>
                <w:sz w:val="12"/>
                <w:szCs w:val="12"/>
                <w:color w:val="auto"/>
              </w:rPr>
              <w:t>(566)</w:t>
            </w:r>
          </w:p>
        </w:tc>
        <w:tc>
          <w:tcPr>
            <w:tcW w:w="240" w:type="dxa"/>
            <w:vAlign w:val="bottom"/>
          </w:tcPr>
          <w:p>
            <w:pPr>
              <w:spacing w:after="0"/>
              <w:rPr>
                <w:sz w:val="12"/>
                <w:szCs w:val="12"/>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2"/>
                <w:szCs w:val="12"/>
                <w:color w:val="auto"/>
              </w:rPr>
              <w:t>(803)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520" w:type="dxa"/>
            <w:vAlign w:val="bottom"/>
            <w:tcBorders>
              <w:top w:val="single" w:sz="8" w:color="CCEEFF"/>
            </w:tcBorders>
            <w:gridSpan w:val="2"/>
            <w:shd w:val="clear" w:color="auto" w:fill="CCEEFF"/>
          </w:tcPr>
          <w:p>
            <w:pPr>
              <w:ind w:left="100"/>
              <w:spacing w:after="0" w:line="133" w:lineRule="exact"/>
              <w:rPr>
                <w:sz w:val="20"/>
                <w:szCs w:val="20"/>
                <w:color w:val="auto"/>
              </w:rPr>
            </w:pPr>
            <w:r>
              <w:rPr>
                <w:rFonts w:ascii="Arial" w:cs="Arial" w:eastAsia="Arial" w:hAnsi="Arial"/>
                <w:sz w:val="12"/>
                <w:szCs w:val="12"/>
                <w:color w:val="auto"/>
              </w:rPr>
              <w:t>Net Cash Used in Operating Activities</w:t>
            </w:r>
          </w:p>
        </w:tc>
        <w:tc>
          <w:tcPr>
            <w:tcW w:w="1460" w:type="dxa"/>
            <w:vAlign w:val="bottom"/>
            <w:tcBorders>
              <w:top w:val="single" w:sz="8" w:color="CCEEFF"/>
            </w:tcBorders>
            <w:shd w:val="clear" w:color="auto" w:fill="CCEEFF"/>
          </w:tcPr>
          <w:p>
            <w:pPr>
              <w:spacing w:after="0"/>
              <w:rPr>
                <w:sz w:val="11"/>
                <w:szCs w:val="11"/>
                <w:color w:val="auto"/>
              </w:rPr>
            </w:pPr>
          </w:p>
        </w:tc>
        <w:tc>
          <w:tcPr>
            <w:tcW w:w="98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100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CCEEFF"/>
              <w:right w:val="single" w:sz="8" w:color="CCEEFF"/>
            </w:tcBorders>
            <w:shd w:val="clear" w:color="auto" w:fill="CCEEFF"/>
          </w:tcPr>
          <w:p>
            <w:pPr>
              <w:spacing w:after="0"/>
              <w:rPr>
                <w:sz w:val="11"/>
                <w:szCs w:val="11"/>
                <w:color w:val="auto"/>
              </w:rPr>
            </w:pPr>
          </w:p>
        </w:tc>
        <w:tc>
          <w:tcPr>
            <w:tcW w:w="980" w:type="dxa"/>
            <w:vAlign w:val="bottom"/>
            <w:tcBorders>
              <w:top w:val="single" w:sz="8" w:color="auto"/>
              <w:bottom w:val="single" w:sz="8" w:color="auto"/>
            </w:tcBorders>
            <w:shd w:val="clear" w:color="auto" w:fill="CCEEFF"/>
          </w:tcPr>
          <w:p>
            <w:pPr>
              <w:spacing w:after="0"/>
              <w:rPr>
                <w:sz w:val="11"/>
                <w:szCs w:val="11"/>
                <w:color w:val="auto"/>
              </w:rPr>
            </w:pPr>
          </w:p>
        </w:tc>
        <w:tc>
          <w:tcPr>
            <w:tcW w:w="420" w:type="dxa"/>
            <w:vAlign w:val="bottom"/>
            <w:tcBorders>
              <w:top w:val="single" w:sz="8" w:color="auto"/>
              <w:bottom w:val="single" w:sz="8" w:color="auto"/>
              <w:right w:val="single" w:sz="8" w:color="CCEEFF"/>
            </w:tcBorders>
            <w:shd w:val="clear" w:color="auto" w:fill="CCEEFF"/>
          </w:tcPr>
          <w:p>
            <w:pPr>
              <w:jc w:val="right"/>
              <w:spacing w:after="0" w:line="133" w:lineRule="exact"/>
              <w:rPr>
                <w:sz w:val="20"/>
                <w:szCs w:val="20"/>
                <w:color w:val="auto"/>
              </w:rPr>
            </w:pPr>
            <w:r>
              <w:rPr>
                <w:rFonts w:ascii="Arial" w:cs="Arial" w:eastAsia="Arial" w:hAnsi="Arial"/>
                <w:sz w:val="12"/>
                <w:szCs w:val="12"/>
                <w:color w:val="auto"/>
                <w:w w:val="84"/>
              </w:rPr>
              <w:t>(56,049)</w:t>
            </w:r>
          </w:p>
        </w:tc>
        <w:tc>
          <w:tcPr>
            <w:tcW w:w="26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11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(68,732)</w:t>
            </w: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7289165</wp:posOffset>
            </wp:positionH>
            <wp:positionV relativeFrom="paragraph">
              <wp:posOffset>-2650490</wp:posOffset>
            </wp:positionV>
            <wp:extent cx="12700" cy="114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1143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-2650490</wp:posOffset>
            </wp:positionV>
            <wp:extent cx="12700" cy="114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11430"/>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-78740</wp:posOffset>
            </wp:positionV>
            <wp:extent cx="7292340" cy="914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2340" cy="91440"/>
                    </a:xfrm>
                    <a:prstGeom prst="rect">
                      <a:avLst/>
                    </a:prstGeom>
                    <a:noFill/>
                  </pic:spPr>
                </pic:pic>
              </a:graphicData>
            </a:graphic>
          </wp:anchor>
        </w:drawing>
      </w:r>
    </w:p>
    <w:p>
      <w:pPr>
        <w:sectPr>
          <w:pgSz w:w="11900" w:h="16849" w:orient="portrait"/>
          <w:cols w:equalWidth="0" w:num="1">
            <w:col w:w="11500"/>
          </w:cols>
          <w:pgMar w:left="220" w:top="268" w:right="17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8300" w:type="dxa"/>
            <w:vAlign w:val="bottom"/>
          </w:tcPr>
          <w:p>
            <w:pPr>
              <w:ind w:left="100"/>
              <w:spacing w:after="0"/>
              <w:rPr>
                <w:sz w:val="20"/>
                <w:szCs w:val="20"/>
                <w:color w:val="auto"/>
              </w:rPr>
            </w:pPr>
            <w:r>
              <w:rPr>
                <w:rFonts w:ascii="Arial" w:cs="Arial" w:eastAsia="Arial" w:hAnsi="Arial"/>
                <w:sz w:val="12"/>
                <w:szCs w:val="12"/>
                <w:color w:val="auto"/>
              </w:rPr>
              <w:t>Sales and Maturities of Marketable Securities</w:t>
            </w:r>
          </w:p>
        </w:tc>
        <w:tc>
          <w:tcPr>
            <w:tcW w:w="540" w:type="dxa"/>
            <w:vAlign w:val="bottom"/>
          </w:tcPr>
          <w:p>
            <w:pPr>
              <w:spacing w:after="0"/>
              <w:rPr>
                <w:sz w:val="13"/>
                <w:szCs w:val="13"/>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2"/>
                <w:szCs w:val="12"/>
                <w:color w:val="auto"/>
              </w:rPr>
              <w:t>151,470</w:t>
            </w:r>
          </w:p>
        </w:tc>
        <w:tc>
          <w:tcPr>
            <w:tcW w:w="500" w:type="dxa"/>
            <w:vAlign w:val="bottom"/>
          </w:tcPr>
          <w:p>
            <w:pPr>
              <w:spacing w:after="0"/>
              <w:rPr>
                <w:sz w:val="13"/>
                <w:szCs w:val="13"/>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149,367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3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Purchases of Marketable Securities</w:t>
            </w:r>
          </w:p>
        </w:tc>
        <w:tc>
          <w:tcPr>
            <w:tcW w:w="5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(91,969)</w:t>
            </w:r>
          </w:p>
        </w:tc>
        <w:tc>
          <w:tcPr>
            <w:tcW w:w="5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(120,053)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300" w:type="dxa"/>
            <w:vAlign w:val="bottom"/>
          </w:tcPr>
          <w:p>
            <w:pPr>
              <w:ind w:left="100"/>
              <w:spacing w:after="0"/>
              <w:rPr>
                <w:sz w:val="20"/>
                <w:szCs w:val="20"/>
                <w:color w:val="auto"/>
              </w:rPr>
            </w:pPr>
            <w:r>
              <w:rPr>
                <w:rFonts w:ascii="Arial" w:cs="Arial" w:eastAsia="Arial" w:hAnsi="Arial"/>
                <w:sz w:val="12"/>
                <w:szCs w:val="12"/>
                <w:color w:val="auto"/>
              </w:rPr>
              <w:t>Investment in Other</w:t>
            </w:r>
          </w:p>
        </w:tc>
        <w:tc>
          <w:tcPr>
            <w:tcW w:w="540" w:type="dxa"/>
            <w:vAlign w:val="bottom"/>
          </w:tcPr>
          <w:p>
            <w:pPr>
              <w:spacing w:after="0"/>
              <w:rPr>
                <w:sz w:val="12"/>
                <w:szCs w:val="12"/>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50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2"/>
                <w:szCs w:val="12"/>
                <w:color w:val="auto"/>
              </w:rPr>
              <w:t>(1,801)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3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Acquisition of Property and Equipment</w:t>
            </w:r>
          </w:p>
        </w:tc>
        <w:tc>
          <w:tcPr>
            <w:tcW w:w="5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(1,316)</w:t>
            </w:r>
          </w:p>
        </w:tc>
        <w:tc>
          <w:tcPr>
            <w:tcW w:w="5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(1,307)</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300" w:type="dxa"/>
            <w:vAlign w:val="bottom"/>
            <w:tcBorders>
              <w:bottom w:val="single" w:sz="8" w:color="CCEEFF"/>
            </w:tcBorders>
          </w:tcPr>
          <w:p>
            <w:pPr>
              <w:ind w:left="100"/>
              <w:spacing w:after="0" w:line="133" w:lineRule="exact"/>
              <w:rPr>
                <w:sz w:val="20"/>
                <w:szCs w:val="20"/>
                <w:color w:val="auto"/>
              </w:rPr>
            </w:pPr>
            <w:r>
              <w:rPr>
                <w:rFonts w:ascii="Arial" w:cs="Arial" w:eastAsia="Arial" w:hAnsi="Arial"/>
                <w:sz w:val="12"/>
                <w:szCs w:val="12"/>
                <w:color w:val="auto"/>
              </w:rPr>
              <w:t>Net Cash Provided by Investing Activities</w:t>
            </w:r>
          </w:p>
        </w:tc>
        <w:tc>
          <w:tcPr>
            <w:tcW w:w="540" w:type="dxa"/>
            <w:vAlign w:val="bottom"/>
            <w:tcBorders>
              <w:top w:val="single" w:sz="8" w:color="auto"/>
              <w:bottom w:val="single" w:sz="8" w:color="auto"/>
            </w:tcBorders>
          </w:tcPr>
          <w:p>
            <w:pPr>
              <w:spacing w:after="0"/>
              <w:rPr>
                <w:sz w:val="11"/>
                <w:szCs w:val="11"/>
                <w:color w:val="auto"/>
              </w:rPr>
            </w:pPr>
          </w:p>
        </w:tc>
        <w:tc>
          <w:tcPr>
            <w:tcW w:w="86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58,185</w:t>
            </w:r>
          </w:p>
        </w:tc>
        <w:tc>
          <w:tcPr>
            <w:tcW w:w="280" w:type="dxa"/>
            <w:vAlign w:val="bottom"/>
            <w:tcBorders>
              <w:bottom w:val="single" w:sz="8" w:color="CCEEFF"/>
            </w:tcBorders>
          </w:tcPr>
          <w:p>
            <w:pPr>
              <w:spacing w:after="0"/>
              <w:rPr>
                <w:sz w:val="11"/>
                <w:szCs w:val="11"/>
                <w:color w:val="auto"/>
              </w:rPr>
            </w:pPr>
          </w:p>
        </w:tc>
        <w:tc>
          <w:tcPr>
            <w:tcW w:w="500" w:type="dxa"/>
            <w:vAlign w:val="bottom"/>
            <w:tcBorders>
              <w:top w:val="single" w:sz="8" w:color="auto"/>
              <w:bottom w:val="single" w:sz="8" w:color="auto"/>
            </w:tcBorders>
          </w:tcPr>
          <w:p>
            <w:pPr>
              <w:spacing w:after="0"/>
              <w:rPr>
                <w:sz w:val="11"/>
                <w:szCs w:val="11"/>
                <w:color w:val="auto"/>
              </w:rPr>
            </w:pPr>
          </w:p>
        </w:tc>
        <w:tc>
          <w:tcPr>
            <w:tcW w:w="86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26,206</w:t>
            </w:r>
          </w:p>
        </w:tc>
        <w:tc>
          <w:tcPr>
            <w:tcW w:w="1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83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300" w:type="dxa"/>
            <w:vAlign w:val="bottom"/>
          </w:tcPr>
          <w:p>
            <w:pPr>
              <w:spacing w:after="0"/>
              <w:rPr>
                <w:sz w:val="20"/>
                <w:szCs w:val="20"/>
                <w:color w:val="auto"/>
              </w:rPr>
            </w:pPr>
            <w:r>
              <w:rPr>
                <w:rFonts w:ascii="Arial" w:cs="Arial" w:eastAsia="Arial" w:hAnsi="Arial"/>
                <w:sz w:val="12"/>
                <w:szCs w:val="12"/>
                <w:b w:val="1"/>
                <w:bCs w:val="1"/>
                <w:color w:val="auto"/>
              </w:rPr>
              <w:t>Cash Flows from Financing Activities:</w:t>
            </w:r>
          </w:p>
        </w:tc>
        <w:tc>
          <w:tcPr>
            <w:tcW w:w="5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3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Net Proceeds from Stock Issuances</w:t>
            </w:r>
          </w:p>
        </w:tc>
        <w:tc>
          <w:tcPr>
            <w:tcW w:w="5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21,489</w:t>
            </w:r>
          </w:p>
        </w:tc>
        <w:tc>
          <w:tcPr>
            <w:tcW w:w="5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2,551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300" w:type="dxa"/>
            <w:vAlign w:val="bottom"/>
          </w:tcPr>
          <w:p>
            <w:pPr>
              <w:ind w:left="100"/>
              <w:spacing w:after="0"/>
              <w:rPr>
                <w:sz w:val="20"/>
                <w:szCs w:val="20"/>
                <w:color w:val="auto"/>
              </w:rPr>
            </w:pPr>
            <w:r>
              <w:rPr>
                <w:rFonts w:ascii="Arial" w:cs="Arial" w:eastAsia="Arial" w:hAnsi="Arial"/>
                <w:sz w:val="12"/>
                <w:szCs w:val="12"/>
                <w:color w:val="auto"/>
              </w:rPr>
              <w:t>Proceeds from Issuance of Stock from Employee Benefit Plans</w:t>
            </w:r>
          </w:p>
        </w:tc>
        <w:tc>
          <w:tcPr>
            <w:tcW w:w="540" w:type="dxa"/>
            <w:vAlign w:val="bottom"/>
          </w:tcPr>
          <w:p>
            <w:pPr>
              <w:spacing w:after="0"/>
              <w:rPr>
                <w:sz w:val="12"/>
                <w:szCs w:val="12"/>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2"/>
                <w:szCs w:val="12"/>
                <w:color w:val="auto"/>
              </w:rPr>
              <w:t>76</w:t>
            </w:r>
          </w:p>
        </w:tc>
        <w:tc>
          <w:tcPr>
            <w:tcW w:w="50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349</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300" w:type="dxa"/>
            <w:vAlign w:val="bottom"/>
            <w:tcBorders>
              <w:top w:val="single" w:sz="8" w:color="CCEEFF"/>
            </w:tcBorders>
            <w:shd w:val="clear" w:color="auto" w:fill="CCEEFF"/>
          </w:tcPr>
          <w:p>
            <w:pPr>
              <w:ind w:left="100"/>
              <w:spacing w:after="0" w:line="133" w:lineRule="exact"/>
              <w:rPr>
                <w:sz w:val="20"/>
                <w:szCs w:val="20"/>
                <w:color w:val="auto"/>
              </w:rPr>
            </w:pPr>
            <w:r>
              <w:rPr>
                <w:rFonts w:ascii="Arial" w:cs="Arial" w:eastAsia="Arial" w:hAnsi="Arial"/>
                <w:sz w:val="12"/>
                <w:szCs w:val="12"/>
                <w:color w:val="auto"/>
              </w:rPr>
              <w:t>Net Cash Provided by Financing Activities</w:t>
            </w:r>
          </w:p>
        </w:tc>
        <w:tc>
          <w:tcPr>
            <w:tcW w:w="540" w:type="dxa"/>
            <w:vAlign w:val="bottom"/>
            <w:tcBorders>
              <w:top w:val="single" w:sz="8" w:color="auto"/>
              <w:bottom w:val="single" w:sz="8" w:color="auto"/>
            </w:tcBorders>
            <w:shd w:val="clear" w:color="auto" w:fill="CCEEFF"/>
          </w:tcPr>
          <w:p>
            <w:pPr>
              <w:spacing w:after="0"/>
              <w:rPr>
                <w:sz w:val="11"/>
                <w:szCs w:val="11"/>
                <w:color w:val="auto"/>
              </w:rPr>
            </w:pPr>
          </w:p>
        </w:tc>
        <w:tc>
          <w:tcPr>
            <w:tcW w:w="8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21,565</w:t>
            </w:r>
          </w:p>
        </w:tc>
        <w:tc>
          <w:tcPr>
            <w:tcW w:w="28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bottom w:val="single" w:sz="8" w:color="auto"/>
            </w:tcBorders>
            <w:shd w:val="clear" w:color="auto" w:fill="CCEEFF"/>
          </w:tcPr>
          <w:p>
            <w:pPr>
              <w:spacing w:after="0"/>
              <w:rPr>
                <w:sz w:val="11"/>
                <w:szCs w:val="11"/>
                <w:color w:val="auto"/>
              </w:rPr>
            </w:pPr>
          </w:p>
        </w:tc>
        <w:tc>
          <w:tcPr>
            <w:tcW w:w="8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2,900</w:t>
            </w: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8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2"/>
                <w:szCs w:val="12"/>
                <w:color w:val="auto"/>
              </w:rPr>
              <w:t>Net Increase (Decrease) in Cash and Cash Equivalents</w:t>
            </w:r>
          </w:p>
        </w:tc>
        <w:tc>
          <w:tcPr>
            <w:tcW w:w="5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23,701</w:t>
            </w:r>
          </w:p>
        </w:tc>
        <w:tc>
          <w:tcPr>
            <w:tcW w:w="5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(39,626)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300" w:type="dxa"/>
            <w:vAlign w:val="bottom"/>
          </w:tcPr>
          <w:p>
            <w:pPr>
              <w:spacing w:after="0"/>
              <w:rPr>
                <w:sz w:val="20"/>
                <w:szCs w:val="20"/>
                <w:color w:val="auto"/>
              </w:rPr>
            </w:pPr>
            <w:r>
              <w:rPr>
                <w:rFonts w:ascii="Arial" w:cs="Arial" w:eastAsia="Arial" w:hAnsi="Arial"/>
                <w:sz w:val="12"/>
                <w:szCs w:val="12"/>
                <w:color w:val="auto"/>
              </w:rPr>
              <w:t>Cash and Cash Equivalents at Beginning of Period</w:t>
            </w:r>
          </w:p>
        </w:tc>
        <w:tc>
          <w:tcPr>
            <w:tcW w:w="540" w:type="dxa"/>
            <w:vAlign w:val="bottom"/>
          </w:tcPr>
          <w:p>
            <w:pPr>
              <w:spacing w:after="0"/>
              <w:rPr>
                <w:sz w:val="12"/>
                <w:szCs w:val="12"/>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2"/>
                <w:szCs w:val="12"/>
                <w:color w:val="auto"/>
              </w:rPr>
              <w:t>42,461</w:t>
            </w:r>
          </w:p>
        </w:tc>
        <w:tc>
          <w:tcPr>
            <w:tcW w:w="50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72,108</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300" w:type="dxa"/>
            <w:vAlign w:val="bottom"/>
            <w:tcBorders>
              <w:top w:val="single" w:sz="8" w:color="CCEEFF"/>
              <w:bottom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Cash and Cash Equivalents at End of Period</w:t>
            </w:r>
          </w:p>
        </w:tc>
        <w:tc>
          <w:tcPr>
            <w:tcW w:w="540" w:type="dxa"/>
            <w:vAlign w:val="bottom"/>
            <w:tcBorders>
              <w:top w:val="single" w:sz="8" w:color="auto"/>
              <w:bottom w:val="single" w:sz="8" w:color="auto"/>
            </w:tcBorders>
            <w:shd w:val="clear" w:color="auto" w:fill="CCEEFF"/>
          </w:tcPr>
          <w:p>
            <w:pPr>
              <w:jc w:val="right"/>
              <w:ind w:right="430"/>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66,162</w:t>
            </w:r>
          </w:p>
        </w:tc>
        <w:tc>
          <w:tcPr>
            <w:tcW w:w="280" w:type="dxa"/>
            <w:vAlign w:val="bottom"/>
            <w:tcBorders>
              <w:top w:val="single" w:sz="8" w:color="CCEEFF"/>
              <w:bottom w:val="single" w:sz="8" w:color="CCEEFF"/>
            </w:tcBorders>
            <w:shd w:val="clear" w:color="auto" w:fill="CCEEFF"/>
          </w:tcPr>
          <w:p>
            <w:pPr>
              <w:spacing w:after="0"/>
              <w:rPr>
                <w:sz w:val="12"/>
                <w:szCs w:val="12"/>
                <w:color w:val="auto"/>
              </w:rPr>
            </w:pPr>
          </w:p>
        </w:tc>
        <w:tc>
          <w:tcPr>
            <w:tcW w:w="500" w:type="dxa"/>
            <w:vAlign w:val="bottom"/>
            <w:tcBorders>
              <w:top w:val="single" w:sz="8" w:color="auto"/>
              <w:bottom w:val="single" w:sz="8" w:color="auto"/>
            </w:tcBorders>
            <w:shd w:val="clear" w:color="auto" w:fill="CCEEFF"/>
          </w:tcPr>
          <w:p>
            <w:pPr>
              <w:jc w:val="right"/>
              <w:ind w:right="390"/>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32,482</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8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2"/>
                <w:szCs w:val="12"/>
                <w:i w:val="1"/>
                <w:iCs w:val="1"/>
                <w:color w:val="auto"/>
              </w:rPr>
              <w:t>Non-cash Investing Activities</w:t>
            </w:r>
          </w:p>
        </w:tc>
        <w:tc>
          <w:tcPr>
            <w:tcW w:w="5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300" w:type="dxa"/>
            <w:vAlign w:val="bottom"/>
          </w:tcPr>
          <w:p>
            <w:pPr>
              <w:ind w:left="100"/>
              <w:spacing w:after="0"/>
              <w:rPr>
                <w:sz w:val="20"/>
                <w:szCs w:val="20"/>
                <w:color w:val="auto"/>
              </w:rPr>
            </w:pPr>
            <w:r>
              <w:rPr>
                <w:rFonts w:ascii="Arial" w:cs="Arial" w:eastAsia="Arial" w:hAnsi="Arial"/>
                <w:sz w:val="12"/>
                <w:szCs w:val="12"/>
                <w:color w:val="auto"/>
              </w:rPr>
              <w:t>Acquisition of Property and Equipment included in Accounts Payable and Accrued Expenses</w:t>
            </w:r>
          </w:p>
        </w:tc>
        <w:tc>
          <w:tcPr>
            <w:tcW w:w="540" w:type="dxa"/>
            <w:vAlign w:val="bottom"/>
          </w:tcPr>
          <w:p>
            <w:pPr>
              <w:jc w:val="right"/>
              <w:ind w:right="430"/>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280"/>
              <w:spacing w:after="0"/>
              <w:rPr>
                <w:sz w:val="20"/>
                <w:szCs w:val="20"/>
                <w:color w:val="auto"/>
              </w:rPr>
            </w:pPr>
            <w:r>
              <w:rPr>
                <w:rFonts w:ascii="Arial" w:cs="Arial" w:eastAsia="Arial" w:hAnsi="Arial"/>
                <w:sz w:val="12"/>
                <w:szCs w:val="12"/>
                <w:color w:val="auto"/>
              </w:rPr>
              <w:t>87</w:t>
            </w:r>
          </w:p>
        </w:tc>
        <w:tc>
          <w:tcPr>
            <w:tcW w:w="500" w:type="dxa"/>
            <w:vAlign w:val="bottom"/>
          </w:tcPr>
          <w:p>
            <w:pPr>
              <w:jc w:val="right"/>
              <w:ind w:right="390"/>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108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2"/>
                <w:szCs w:val="12"/>
                <w:i w:val="1"/>
                <w:iCs w:val="1"/>
                <w:color w:val="auto"/>
              </w:rPr>
              <w:t>Non-cash Supplemental Disclosure</w:t>
            </w:r>
          </w:p>
        </w:tc>
        <w:tc>
          <w:tcPr>
            <w:tcW w:w="5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300" w:type="dxa"/>
            <w:vAlign w:val="bottom"/>
          </w:tcPr>
          <w:p>
            <w:pPr>
              <w:ind w:left="100"/>
              <w:spacing w:after="0"/>
              <w:rPr>
                <w:sz w:val="20"/>
                <w:szCs w:val="20"/>
                <w:color w:val="auto"/>
              </w:rPr>
            </w:pPr>
            <w:r>
              <w:rPr>
                <w:rFonts w:ascii="Arial" w:cs="Arial" w:eastAsia="Arial" w:hAnsi="Arial"/>
                <w:sz w:val="12"/>
                <w:szCs w:val="12"/>
                <w:color w:val="auto"/>
              </w:rPr>
              <w:t>Shares issued to former Kolltan executive for settlement of severance</w:t>
            </w:r>
          </w:p>
        </w:tc>
        <w:tc>
          <w:tcPr>
            <w:tcW w:w="540" w:type="dxa"/>
            <w:vAlign w:val="bottom"/>
          </w:tcPr>
          <w:p>
            <w:pPr>
              <w:jc w:val="right"/>
              <w:ind w:right="430"/>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280"/>
              <w:spacing w:after="0"/>
              <w:rPr>
                <w:sz w:val="20"/>
                <w:szCs w:val="20"/>
                <w:color w:val="auto"/>
              </w:rPr>
            </w:pPr>
            <w:r>
              <w:rPr>
                <w:rFonts w:ascii="Arial" w:cs="Arial" w:eastAsia="Arial" w:hAnsi="Arial"/>
                <w:sz w:val="12"/>
                <w:szCs w:val="12"/>
                <w:color w:val="auto"/>
              </w:rPr>
              <w:t>263</w:t>
            </w:r>
          </w:p>
        </w:tc>
        <w:tc>
          <w:tcPr>
            <w:tcW w:w="500" w:type="dxa"/>
            <w:vAlign w:val="bottom"/>
          </w:tcPr>
          <w:p>
            <w:pPr>
              <w:jc w:val="right"/>
              <w:ind w:right="390"/>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bl>
    <w:p>
      <w:pPr>
        <w:spacing w:after="0" w:line="12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See accompanying notes to unaudited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310755" cy="241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10755" cy="24130"/>
                    </a:xfrm>
                    <a:prstGeom prst="rect">
                      <a:avLst/>
                    </a:prstGeom>
                    <a:noFill/>
                  </pic:spPr>
                </pic:pic>
              </a:graphicData>
            </a:graphic>
          </wp:anchor>
        </w:drawing>
      </w:r>
    </w:p>
    <w:p>
      <w:pPr>
        <w:spacing w:after="0" w:line="319" w:lineRule="exact"/>
        <w:rPr>
          <w:sz w:val="20"/>
          <w:szCs w:val="20"/>
          <w:color w:val="auto"/>
        </w:rPr>
      </w:pPr>
    </w:p>
    <w:p>
      <w:pPr>
        <w:spacing w:after="0"/>
        <w:rPr>
          <w:rFonts w:ascii="Arial" w:cs="Arial" w:eastAsia="Arial" w:hAnsi="Arial"/>
          <w:sz w:val="12"/>
          <w:szCs w:val="12"/>
          <w:u w:val="single" w:color="auto"/>
          <w:color w:val="0000EE"/>
        </w:rPr>
      </w:pPr>
      <w:hyperlink w:anchor="page1">
        <w:r>
          <w:rPr>
            <w:rFonts w:ascii="Arial" w:cs="Arial" w:eastAsia="Arial" w:hAnsi="Arial"/>
            <w:sz w:val="12"/>
            <w:szCs w:val="12"/>
            <w:u w:val="single" w:color="auto"/>
            <w:color w:val="0000EE"/>
          </w:rPr>
          <w:t>Table of Contents</w:t>
        </w:r>
      </w:hyperlink>
    </w:p>
    <w:p>
      <w:pPr>
        <w:spacing w:after="0" w:line="14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CELLDEX THERAPEUTICS,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Unaudited Condensed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June 30, 2017</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 Basis of Presentation</w:t>
      </w:r>
    </w:p>
    <w:p>
      <w:pPr>
        <w:spacing w:after="0" w:line="154" w:lineRule="exact"/>
        <w:rPr>
          <w:sz w:val="20"/>
          <w:szCs w:val="20"/>
          <w:color w:val="auto"/>
        </w:rPr>
      </w:pPr>
    </w:p>
    <w:p>
      <w:pPr>
        <w:ind w:right="340" w:firstLine="432"/>
        <w:spacing w:after="0" w:line="263" w:lineRule="auto"/>
        <w:rPr>
          <w:sz w:val="20"/>
          <w:szCs w:val="20"/>
          <w:color w:val="auto"/>
        </w:rPr>
      </w:pPr>
      <w:r>
        <w:rPr>
          <w:rFonts w:ascii="Arial" w:cs="Arial" w:eastAsia="Arial" w:hAnsi="Arial"/>
          <w:sz w:val="12"/>
          <w:szCs w:val="12"/>
          <w:color w:val="auto"/>
        </w:rPr>
        <w:t>The accompanying unaudited condensed consolidated financial statements have been prepared by Celldex Therapeutics, Inc. (the “Company” or “Celldex”) in accordance with accounting principles generally accepted in the United States of America (“U.S. GAAP”) and reflect the operations of the Company and its wholly-owned subsidiaries. In June 2017, the Company liquidated its wholly-owned subsidiary, Celldex Therapeutics Europe GmbH. All intercompany balances and transactions have been eliminated in consolidation.</w:t>
      </w:r>
    </w:p>
    <w:p>
      <w:pPr>
        <w:spacing w:after="0" w:line="123" w:lineRule="exact"/>
        <w:rPr>
          <w:sz w:val="20"/>
          <w:szCs w:val="20"/>
          <w:color w:val="auto"/>
        </w:rPr>
      </w:pPr>
    </w:p>
    <w:p>
      <w:pPr>
        <w:ind w:firstLine="432"/>
        <w:spacing w:after="0" w:line="259" w:lineRule="auto"/>
        <w:rPr>
          <w:sz w:val="20"/>
          <w:szCs w:val="20"/>
          <w:color w:val="auto"/>
        </w:rPr>
      </w:pPr>
      <w:r>
        <w:rPr>
          <w:rFonts w:ascii="Arial" w:cs="Arial" w:eastAsia="Arial" w:hAnsi="Arial"/>
          <w:sz w:val="12"/>
          <w:szCs w:val="12"/>
          <w:color w:val="auto"/>
        </w:rPr>
        <w:t>These interim financial statements do not include all the information and footnotes required by U.S. GAAP for annual financial statements and should be read in conjunction with the audited financial statements for the year ended December 31, 2016, which are included in the Company’s Annual Report on Form 10-K filed with the Securities and Exchange Commission on March 14, 2017. In the opinion of management, the interim financial statements reflect all normal recurring adjustments necessary to fairly state the Company’s financial position and results of operations for the interim periods presented. The year-end condensed balance sheet data presented for comparative purposes was derived from audited financial statements, but does not include all disclosures required by U.S. GAAP.</w:t>
      </w:r>
    </w:p>
    <w:p>
      <w:pPr>
        <w:spacing w:after="0" w:line="12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results of operations for the interim periods are not necessarily indicative of the results of operations to be expected for any future interim period or the fiscal year ending December 31, 2017.</w:t>
      </w:r>
    </w:p>
    <w:p>
      <w:pPr>
        <w:spacing w:after="0" w:line="150" w:lineRule="exact"/>
        <w:rPr>
          <w:sz w:val="20"/>
          <w:szCs w:val="20"/>
          <w:color w:val="auto"/>
        </w:rPr>
      </w:pPr>
    </w:p>
    <w:p>
      <w:pPr>
        <w:ind w:right="60" w:firstLine="432"/>
        <w:spacing w:after="0" w:line="263" w:lineRule="auto"/>
        <w:rPr>
          <w:sz w:val="20"/>
          <w:szCs w:val="20"/>
          <w:color w:val="auto"/>
        </w:rPr>
      </w:pPr>
      <w:r>
        <w:rPr>
          <w:rFonts w:ascii="Arial" w:cs="Arial" w:eastAsia="Arial" w:hAnsi="Arial"/>
          <w:sz w:val="12"/>
          <w:szCs w:val="12"/>
          <w:color w:val="auto"/>
        </w:rPr>
        <w:t>At June 30, 2017, the Company had cash, cash equivalents and marketable securities of $154.0 million. The Company has had recurring losses and incurred a loss of $62.8 million for the six months ended June 30, 2017. Net cash used in operations for the six months ended June 30, 2017 was $56.0 million. The Company believes that the cash, cash equivalents and marketable securities at August 8, 2017 will be sufficient to meet estimated working capital requirements and fund planned operations for at least the next twelve months from the date of issuance of these financial statements.</w:t>
      </w:r>
    </w:p>
    <w:p>
      <w:pPr>
        <w:spacing w:after="0" w:line="123" w:lineRule="exact"/>
        <w:rPr>
          <w:sz w:val="20"/>
          <w:szCs w:val="20"/>
          <w:color w:val="auto"/>
        </w:rPr>
      </w:pPr>
    </w:p>
    <w:p>
      <w:pPr>
        <w:ind w:right="40" w:firstLine="432"/>
        <w:spacing w:after="0" w:line="279" w:lineRule="auto"/>
        <w:rPr>
          <w:sz w:val="20"/>
          <w:szCs w:val="20"/>
          <w:color w:val="auto"/>
        </w:rPr>
      </w:pPr>
      <w:r>
        <w:rPr>
          <w:rFonts w:ascii="Arial" w:cs="Arial" w:eastAsia="Arial" w:hAnsi="Arial"/>
          <w:sz w:val="11"/>
          <w:szCs w:val="11"/>
          <w:color w:val="auto"/>
        </w:rPr>
        <w:t>During the next twelve months and beyond, the Company will take further steps to raise additional capital to meet its liquidity needs. These capital raising activities may include, but may not be limited to, one or more of the following: the licensing of drug candidates with existing or new collaborative partners, possible business combinations, issuance of debt, or the issuance of common stock or other securities via private placements or public offerings. While the Company may seek capital through a number of means, there can be no assurance that additional financing will be available on acceptable terms, if at all, and the Company’s negotiating position in capital-raising efforts may worsen as existing resources are used. There is also no assurance that the Company will be able to enter into further collaborative relationships. Additional equity financings may be dilutive to the Company’s stockholders; debt financing, if available, may involve significant cash payment obligations and covenants that restrict the Company’s ability to operate as a business; and licensing or strategic collaborations may result in royalties or other terms which reduce the Company’s economic potential from products under development. The Company’s ability to continue funding its planned operations into and beyond twelve months from the issuance date is also dependent on the timing and manner of payment of future contingent milestones from the Kolltan acquisition, in the event that the Company achieves the drug candidate milestones related to those payments. The Company, at its option, may decide to pay those milestone payments in cash, shares of its common stock or a combination thereof. If the Company is unable to raise the funds necessary to meet its liquidity needs, it may have to delay or discontinue the development of one or more programs, discontinue or delay ongoing or anticipated clinical trials, license out programs earlier than expected, raise funds at a significant discount or on other unfavorable terms, if at all, or sell all or a part of the Company.</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 Significant Accounting Policies</w:t>
      </w:r>
    </w:p>
    <w:p>
      <w:pPr>
        <w:spacing w:after="0" w:line="154" w:lineRule="exact"/>
        <w:rPr>
          <w:sz w:val="20"/>
          <w:szCs w:val="20"/>
          <w:color w:val="auto"/>
        </w:rPr>
      </w:pPr>
    </w:p>
    <w:p>
      <w:pPr>
        <w:ind w:firstLine="420"/>
        <w:spacing w:after="0" w:line="276" w:lineRule="auto"/>
        <w:rPr>
          <w:sz w:val="20"/>
          <w:szCs w:val="20"/>
          <w:color w:val="auto"/>
        </w:rPr>
      </w:pPr>
      <w:r>
        <w:rPr>
          <w:rFonts w:ascii="Arial" w:cs="Arial" w:eastAsia="Arial" w:hAnsi="Arial"/>
          <w:sz w:val="12"/>
          <w:szCs w:val="12"/>
          <w:color w:val="auto"/>
        </w:rPr>
        <w:t>The significant accounting policies used in preparation of these condensed consolidated financial statements for the three and six months ended June 30, 2017 are consistent with those discussed in Note 2 to the financial statements in our Annual Report on Form 10-K for the year ended December 31, 2016, except for the adoption of new accounting standards during the first six months of 2017 as discussed below.</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Newly-Adopted Accounting Pronouncements</w:t>
      </w:r>
    </w:p>
    <w:p>
      <w:pPr>
        <w:spacing w:after="0" w:line="150" w:lineRule="exact"/>
        <w:rPr>
          <w:sz w:val="20"/>
          <w:szCs w:val="20"/>
          <w:color w:val="auto"/>
        </w:rPr>
      </w:pPr>
    </w:p>
    <w:p>
      <w:pPr>
        <w:ind w:right="40" w:firstLine="432"/>
        <w:spacing w:after="0" w:line="259" w:lineRule="auto"/>
        <w:rPr>
          <w:sz w:val="20"/>
          <w:szCs w:val="20"/>
          <w:color w:val="auto"/>
        </w:rPr>
      </w:pPr>
      <w:r>
        <w:rPr>
          <w:rFonts w:ascii="Arial" w:cs="Arial" w:eastAsia="Arial" w:hAnsi="Arial"/>
          <w:sz w:val="12"/>
          <w:szCs w:val="12"/>
          <w:color w:val="auto"/>
        </w:rPr>
        <w:t>On January 1, 2017, the Company adopted a new U.S. GAAP accounting standard which involves several aspects of the accounting for share-based payment transactions, including the income tax consequences, classification of awards as either equity or liabilities and classification on the statement of cash flows. The Company elected to continue to estimate forfeitures expected to occur to determine stock-based compensation expense. Upon adoption, the Company’s gross deferred tax assets and corresponding valuation allowance each increased by $17.7 million related to tax deductions from the exercise of stock options that previously would have been credited to additional paid-in-capital when realized.</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310755" cy="241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10755" cy="24130"/>
                    </a:xfrm>
                    <a:prstGeom prst="rect">
                      <a:avLst/>
                    </a:prstGeom>
                    <a:noFill/>
                  </pic:spPr>
                </pic:pic>
              </a:graphicData>
            </a:graphic>
          </wp:anchor>
        </w:drawing>
      </w:r>
    </w:p>
    <w:p>
      <w:pPr>
        <w:spacing w:after="0" w:line="319" w:lineRule="exact"/>
        <w:rPr>
          <w:sz w:val="20"/>
          <w:szCs w:val="20"/>
          <w:color w:val="auto"/>
        </w:rPr>
      </w:pPr>
    </w:p>
    <w:p>
      <w:pPr>
        <w:spacing w:after="0"/>
        <w:rPr>
          <w:rFonts w:ascii="Arial" w:cs="Arial" w:eastAsia="Arial" w:hAnsi="Arial"/>
          <w:sz w:val="12"/>
          <w:szCs w:val="12"/>
          <w:u w:val="single" w:color="auto"/>
          <w:color w:val="0000EE"/>
        </w:rPr>
      </w:pPr>
      <w:hyperlink w:anchor="page1">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ind w:right="200" w:firstLine="432"/>
        <w:spacing w:after="0" w:line="276" w:lineRule="auto"/>
        <w:rPr>
          <w:sz w:val="20"/>
          <w:szCs w:val="20"/>
          <w:color w:val="auto"/>
        </w:rPr>
      </w:pPr>
      <w:r>
        <w:rPr>
          <w:rFonts w:ascii="Arial" w:cs="Arial" w:eastAsia="Arial" w:hAnsi="Arial"/>
          <w:sz w:val="12"/>
          <w:szCs w:val="12"/>
          <w:color w:val="auto"/>
        </w:rPr>
        <w:t>On January 1, 2017, the Company adopted a new U.S. GAAP accounting standard which simplifies how an entity is required to test goodwill for impairment. A goodwill impairment will be measured by the amount by which a reporting unit’s carrying value exceeds its fair value, with the amount of impairment not to exceed the carrying amount of goodwill.</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Recent Accounting Pronouncements</w:t>
      </w:r>
    </w:p>
    <w:p>
      <w:pPr>
        <w:spacing w:after="0" w:line="150" w:lineRule="exact"/>
        <w:rPr>
          <w:sz w:val="20"/>
          <w:szCs w:val="20"/>
          <w:color w:val="auto"/>
        </w:rPr>
      </w:pPr>
    </w:p>
    <w:p>
      <w:pPr>
        <w:ind w:right="200" w:firstLine="432"/>
        <w:spacing w:after="0" w:line="323" w:lineRule="auto"/>
        <w:rPr>
          <w:sz w:val="20"/>
          <w:szCs w:val="20"/>
          <w:color w:val="auto"/>
        </w:rPr>
      </w:pPr>
      <w:r>
        <w:rPr>
          <w:rFonts w:ascii="Arial" w:cs="Arial" w:eastAsia="Arial" w:hAnsi="Arial"/>
          <w:sz w:val="11"/>
          <w:szCs w:val="11"/>
          <w:color w:val="auto"/>
        </w:rPr>
        <w:t>From time to time, new accounting pronouncements are issued by the Financial Accounting Standards Board or other standard setting bodies that are adopted by the Company as of the specified effective date. Unless otherwise discussed, the Company believes that the impact of recently issued standards that are not yet effective will not have a material impact on the Company’s financial position or results of operations upon adoption.</w:t>
      </w:r>
    </w:p>
    <w:p>
      <w:pPr>
        <w:spacing w:after="0" w:line="92" w:lineRule="exact"/>
        <w:rPr>
          <w:sz w:val="20"/>
          <w:szCs w:val="20"/>
          <w:color w:val="auto"/>
        </w:rPr>
      </w:pPr>
    </w:p>
    <w:p>
      <w:pPr>
        <w:ind w:right="20" w:firstLine="432"/>
        <w:spacing w:after="0" w:line="255" w:lineRule="auto"/>
        <w:rPr>
          <w:sz w:val="20"/>
          <w:szCs w:val="20"/>
          <w:color w:val="auto"/>
        </w:rPr>
      </w:pPr>
      <w:r>
        <w:rPr>
          <w:rFonts w:ascii="Arial" w:cs="Arial" w:eastAsia="Arial" w:hAnsi="Arial"/>
          <w:sz w:val="12"/>
          <w:szCs w:val="12"/>
          <w:color w:val="auto"/>
        </w:rPr>
        <w:t>In May 2014, the FASB issued a new U.S GAAP accounting standard that updates guidance and disclosure requirements for recognizing revenue. The new revenue recognition standard provides a five-step model for recognizing revenue from contracts with customers. The core principle is that a company should recognize revenue when it transfers goods or services to customers in an amount that reflects the consideration to which the entity expects to be entitled in exchange for those goods and services. The new standard will be effective for the Company on January 1, 2018 and can be applied using one of two methods: retrospectively to each prior period presented or a modified retrospective application by recognizing a cumulative-effect adjustment as a component of equity as of the date of adoption. The Company expects to adopt the new revenue standard using the modified retrospective application method. As of June 30, 2017, the Company is still evaluating the impact the adoption of this standard will have on the Company’s financial statements and disclosure. During the second half of 2017, the Company plans to finalize its review of all applicable contracts that will be affected by the adoption of this standard.</w:t>
      </w:r>
    </w:p>
    <w:p>
      <w:pPr>
        <w:spacing w:after="0" w:line="129" w:lineRule="exact"/>
        <w:rPr>
          <w:sz w:val="20"/>
          <w:szCs w:val="20"/>
          <w:color w:val="auto"/>
        </w:rPr>
      </w:pPr>
    </w:p>
    <w:p>
      <w:pPr>
        <w:ind w:right="320" w:firstLine="432"/>
        <w:spacing w:after="0" w:line="263" w:lineRule="auto"/>
        <w:rPr>
          <w:sz w:val="20"/>
          <w:szCs w:val="20"/>
          <w:color w:val="auto"/>
        </w:rPr>
      </w:pPr>
      <w:r>
        <w:rPr>
          <w:rFonts w:ascii="Arial" w:cs="Arial" w:eastAsia="Arial" w:hAnsi="Arial"/>
          <w:sz w:val="12"/>
          <w:szCs w:val="12"/>
          <w:color w:val="auto"/>
        </w:rPr>
        <w:t>In February 2016, the FASB issued a new U.S. GAAP accounting standard which requires that all lessees recognize the assets and liabilities that arise from leases on the balance sheet and disclose qualitative and quantitative information about its leasing arrangements. The new standard will be effective for the Company on January 1, 2019. The Company is currently evaluating the potential impact that this standard may have on the Company’s financial statements.</w:t>
      </w:r>
    </w:p>
    <w:p>
      <w:pPr>
        <w:spacing w:after="0" w:line="123" w:lineRule="exact"/>
        <w:rPr>
          <w:sz w:val="20"/>
          <w:szCs w:val="20"/>
          <w:color w:val="auto"/>
        </w:rPr>
      </w:pPr>
    </w:p>
    <w:p>
      <w:pPr>
        <w:ind w:right="20" w:firstLine="432"/>
        <w:spacing w:after="0" w:line="276" w:lineRule="auto"/>
        <w:rPr>
          <w:sz w:val="20"/>
          <w:szCs w:val="20"/>
          <w:color w:val="auto"/>
        </w:rPr>
      </w:pPr>
      <w:r>
        <w:rPr>
          <w:rFonts w:ascii="Arial" w:cs="Arial" w:eastAsia="Arial" w:hAnsi="Arial"/>
          <w:sz w:val="12"/>
          <w:szCs w:val="12"/>
          <w:color w:val="auto"/>
        </w:rPr>
        <w:t>In August 2016, the FASB issued new U.S. GAAP guidance which clarifies the classification of certain cash receipts and payments in the statement of cash flows. This standard is effective for the company on January 1, 2018. The adoption of this new guidance is not expected to have a material impact on the Company’s financial statements.</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(3) Fair Value Measurements</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tables set forth the Company’s financial assets and liabilities subject to fair value measurements: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4980" w:type="dxa"/>
            <w:vAlign w:val="bottom"/>
          </w:tcPr>
          <w:p>
            <w:pPr>
              <w:spacing w:after="0"/>
              <w:rPr>
                <w:sz w:val="10"/>
                <w:szCs w:val="10"/>
                <w:color w:val="auto"/>
              </w:rPr>
            </w:pPr>
          </w:p>
        </w:tc>
        <w:tc>
          <w:tcPr>
            <w:tcW w:w="980" w:type="dxa"/>
            <w:vAlign w:val="bottom"/>
          </w:tcPr>
          <w:p>
            <w:pPr>
              <w:jc w:val="right"/>
              <w:ind w:right="151"/>
              <w:spacing w:after="0"/>
              <w:rPr>
                <w:sz w:val="20"/>
                <w:szCs w:val="20"/>
                <w:color w:val="auto"/>
              </w:rPr>
            </w:pPr>
            <w:r>
              <w:rPr>
                <w:rFonts w:ascii="Arial" w:cs="Arial" w:eastAsia="Arial" w:hAnsi="Arial"/>
                <w:sz w:val="10"/>
                <w:szCs w:val="10"/>
                <w:b w:val="1"/>
                <w:bCs w:val="1"/>
                <w:color w:val="auto"/>
              </w:rPr>
              <w:t>As of</w:t>
            </w: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4980" w:type="dxa"/>
            <w:vAlign w:val="bottom"/>
          </w:tcPr>
          <w:p>
            <w:pPr>
              <w:spacing w:after="0"/>
              <w:rPr>
                <w:sz w:val="9"/>
                <w:szCs w:val="9"/>
                <w:color w:val="auto"/>
              </w:rPr>
            </w:pPr>
          </w:p>
        </w:tc>
        <w:tc>
          <w:tcPr>
            <w:tcW w:w="980" w:type="dxa"/>
            <w:vAlign w:val="bottom"/>
          </w:tcPr>
          <w:p>
            <w:pPr>
              <w:jc w:val="right"/>
              <w:spacing w:after="0" w:line="114" w:lineRule="exact"/>
              <w:rPr>
                <w:sz w:val="20"/>
                <w:szCs w:val="20"/>
                <w:color w:val="auto"/>
              </w:rPr>
            </w:pPr>
            <w:r>
              <w:rPr>
                <w:rFonts w:ascii="Arial" w:cs="Arial" w:eastAsia="Arial" w:hAnsi="Arial"/>
                <w:sz w:val="10"/>
                <w:szCs w:val="10"/>
                <w:b w:val="1"/>
                <w:bCs w:val="1"/>
                <w:color w:val="auto"/>
              </w:rPr>
              <w:t>June 30, 2017</w:t>
            </w: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jc w:val="right"/>
              <w:ind w:right="151"/>
              <w:spacing w:after="0" w:line="114" w:lineRule="exact"/>
              <w:rPr>
                <w:sz w:val="20"/>
                <w:szCs w:val="20"/>
                <w:color w:val="auto"/>
              </w:rPr>
            </w:pPr>
            <w:r>
              <w:rPr>
                <w:rFonts w:ascii="Arial" w:cs="Arial" w:eastAsia="Arial" w:hAnsi="Arial"/>
                <w:sz w:val="10"/>
                <w:szCs w:val="10"/>
                <w:b w:val="1"/>
                <w:bCs w:val="1"/>
                <w:color w:val="auto"/>
              </w:rPr>
              <w:t>Level 1</w:t>
            </w: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320" w:type="dxa"/>
            <w:vAlign w:val="bottom"/>
            <w:gridSpan w:val="2"/>
          </w:tcPr>
          <w:p>
            <w:pPr>
              <w:ind w:left="200"/>
              <w:spacing w:after="0" w:line="114" w:lineRule="exact"/>
              <w:rPr>
                <w:sz w:val="20"/>
                <w:szCs w:val="20"/>
                <w:color w:val="auto"/>
              </w:rPr>
            </w:pPr>
            <w:r>
              <w:rPr>
                <w:rFonts w:ascii="Arial" w:cs="Arial" w:eastAsia="Arial" w:hAnsi="Arial"/>
                <w:sz w:val="10"/>
                <w:szCs w:val="10"/>
                <w:b w:val="1"/>
                <w:bCs w:val="1"/>
                <w:color w:val="auto"/>
              </w:rPr>
              <w:t>Level 2</w:t>
            </w:r>
          </w:p>
        </w:tc>
        <w:tc>
          <w:tcPr>
            <w:tcW w:w="300" w:type="dxa"/>
            <w:vAlign w:val="bottom"/>
          </w:tcPr>
          <w:p>
            <w:pPr>
              <w:spacing w:after="0"/>
              <w:rPr>
                <w:sz w:val="9"/>
                <w:szCs w:val="9"/>
                <w:color w:val="auto"/>
              </w:rPr>
            </w:pPr>
          </w:p>
        </w:tc>
        <w:tc>
          <w:tcPr>
            <w:tcW w:w="1180" w:type="dxa"/>
            <w:vAlign w:val="bottom"/>
            <w:gridSpan w:val="3"/>
          </w:tcPr>
          <w:p>
            <w:pPr>
              <w:ind w:left="240"/>
              <w:spacing w:after="0" w:line="114" w:lineRule="exact"/>
              <w:rPr>
                <w:sz w:val="20"/>
                <w:szCs w:val="20"/>
                <w:color w:val="auto"/>
              </w:rPr>
            </w:pPr>
            <w:r>
              <w:rPr>
                <w:rFonts w:ascii="Arial" w:cs="Arial" w:eastAsia="Arial" w:hAnsi="Arial"/>
                <w:sz w:val="10"/>
                <w:szCs w:val="10"/>
                <w:b w:val="1"/>
                <w:bCs w:val="1"/>
                <w:color w:val="auto"/>
              </w:rPr>
              <w:t>Level 3</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4980" w:type="dxa"/>
            <w:vAlign w:val="bottom"/>
          </w:tcPr>
          <w:p>
            <w:pPr>
              <w:spacing w:after="0"/>
              <w:rPr>
                <w:sz w:val="7"/>
                <w:szCs w:val="7"/>
                <w:color w:val="auto"/>
              </w:rPr>
            </w:pPr>
          </w:p>
        </w:tc>
        <w:tc>
          <w:tcPr>
            <w:tcW w:w="980" w:type="dxa"/>
            <w:vAlign w:val="bottom"/>
            <w:tcBorders>
              <w:top w:val="single" w:sz="8" w:color="auto"/>
            </w:tcBorders>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1040" w:type="dxa"/>
            <w:vAlign w:val="bottom"/>
            <w:tcBorders>
              <w:top w:val="single" w:sz="8" w:color="auto"/>
            </w:tcBorders>
          </w:tcPr>
          <w:p>
            <w:pPr>
              <w:spacing w:after="0"/>
              <w:rPr>
                <w:sz w:val="7"/>
                <w:szCs w:val="7"/>
                <w:color w:val="auto"/>
              </w:rPr>
            </w:pPr>
          </w:p>
        </w:tc>
        <w:tc>
          <w:tcPr>
            <w:tcW w:w="980" w:type="dxa"/>
            <w:vAlign w:val="bottom"/>
            <w:tcBorders>
              <w:top w:val="single" w:sz="8" w:color="auto"/>
            </w:tcBorders>
            <w:gridSpan w:val="3"/>
          </w:tcPr>
          <w:p>
            <w:pPr>
              <w:ind w:left="180"/>
              <w:spacing w:after="0" w:line="88" w:lineRule="exact"/>
              <w:rPr>
                <w:sz w:val="20"/>
                <w:szCs w:val="20"/>
                <w:color w:val="auto"/>
              </w:rPr>
            </w:pPr>
            <w:r>
              <w:rPr>
                <w:rFonts w:ascii="Arial" w:cs="Arial" w:eastAsia="Arial" w:hAnsi="Arial"/>
                <w:sz w:val="10"/>
                <w:szCs w:val="10"/>
                <w:b w:val="1"/>
                <w:bCs w:val="1"/>
                <w:color w:val="auto"/>
              </w:rPr>
              <w:t>(In thousands)</w:t>
            </w:r>
          </w:p>
        </w:tc>
        <w:tc>
          <w:tcPr>
            <w:tcW w:w="1040" w:type="dxa"/>
            <w:vAlign w:val="bottom"/>
            <w:tcBorders>
              <w:top w:val="single" w:sz="8" w:color="auto"/>
            </w:tcBorders>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106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2"/>
                <w:szCs w:val="12"/>
                <w:color w:val="auto"/>
              </w:rPr>
              <w:t>Assets:</w:t>
            </w:r>
          </w:p>
        </w:tc>
        <w:tc>
          <w:tcPr>
            <w:tcW w:w="9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980" w:type="dxa"/>
            <w:vAlign w:val="bottom"/>
          </w:tcPr>
          <w:p>
            <w:pPr>
              <w:ind w:left="100"/>
              <w:spacing w:after="0"/>
              <w:rPr>
                <w:sz w:val="20"/>
                <w:szCs w:val="20"/>
                <w:color w:val="auto"/>
              </w:rPr>
            </w:pPr>
            <w:r>
              <w:rPr>
                <w:rFonts w:ascii="Arial" w:cs="Arial" w:eastAsia="Arial" w:hAnsi="Arial"/>
                <w:sz w:val="12"/>
                <w:szCs w:val="12"/>
                <w:color w:val="auto"/>
              </w:rPr>
              <w:t>Money market funds and cash equivalents</w:t>
            </w:r>
          </w:p>
        </w:tc>
        <w:tc>
          <w:tcPr>
            <w:tcW w:w="980" w:type="dxa"/>
            <w:vAlign w:val="bottom"/>
          </w:tcPr>
          <w:p>
            <w:pPr>
              <w:jc w:val="right"/>
              <w:ind w:right="871"/>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140"/>
              <w:spacing w:after="0"/>
              <w:rPr>
                <w:sz w:val="20"/>
                <w:szCs w:val="20"/>
                <w:color w:val="auto"/>
              </w:rPr>
            </w:pPr>
            <w:r>
              <w:rPr>
                <w:rFonts w:ascii="Arial" w:cs="Arial" w:eastAsia="Arial" w:hAnsi="Arial"/>
                <w:sz w:val="12"/>
                <w:szCs w:val="12"/>
                <w:color w:val="auto"/>
              </w:rPr>
              <w:t>44,622</w:t>
            </w:r>
          </w:p>
        </w:tc>
        <w:tc>
          <w:tcPr>
            <w:tcW w:w="1180" w:type="dxa"/>
            <w:vAlign w:val="bottom"/>
            <w:gridSpan w:val="2"/>
          </w:tcPr>
          <w:p>
            <w:pPr>
              <w:jc w:val="right"/>
              <w:ind w:right="931"/>
              <w:spacing w:after="0"/>
              <w:rPr>
                <w:sz w:val="20"/>
                <w:szCs w:val="20"/>
                <w:color w:val="auto"/>
              </w:rPr>
            </w:pPr>
            <w:r>
              <w:rPr>
                <w:rFonts w:ascii="Arial" w:cs="Arial" w:eastAsia="Arial" w:hAnsi="Arial"/>
                <w:sz w:val="12"/>
                <w:szCs w:val="12"/>
                <w:color w:val="auto"/>
              </w:rPr>
              <w:t>$</w:t>
            </w:r>
          </w:p>
        </w:tc>
        <w:tc>
          <w:tcPr>
            <w:tcW w:w="640" w:type="dxa"/>
            <w:vAlign w:val="bottom"/>
            <w:gridSpan w:val="2"/>
          </w:tcPr>
          <w:p>
            <w:pPr>
              <w:ind w:left="240"/>
              <w:spacing w:after="0"/>
              <w:rPr>
                <w:sz w:val="20"/>
                <w:szCs w:val="20"/>
                <w:color w:val="auto"/>
              </w:rPr>
            </w:pPr>
            <w:r>
              <w:rPr>
                <w:rFonts w:ascii="Arial" w:cs="Arial" w:eastAsia="Arial" w:hAnsi="Arial"/>
                <w:sz w:val="12"/>
                <w:szCs w:val="12"/>
                <w:color w:val="auto"/>
              </w:rPr>
              <w:t>—</w:t>
            </w:r>
          </w:p>
        </w:tc>
        <w:tc>
          <w:tcPr>
            <w:tcW w:w="340" w:type="dxa"/>
            <w:vAlign w:val="bottom"/>
          </w:tcPr>
          <w:p>
            <w:pPr>
              <w:jc w:val="right"/>
              <w:ind w:right="230"/>
              <w:spacing w:after="0"/>
              <w:rPr>
                <w:sz w:val="20"/>
                <w:szCs w:val="20"/>
                <w:color w:val="auto"/>
              </w:rPr>
            </w:pPr>
            <w:r>
              <w:rPr>
                <w:rFonts w:ascii="Arial" w:cs="Arial" w:eastAsia="Arial" w:hAnsi="Arial"/>
                <w:sz w:val="10"/>
                <w:szCs w:val="10"/>
                <w:color w:val="auto"/>
                <w:w w:val="71"/>
              </w:rPr>
              <w:t>$</w:t>
            </w:r>
          </w:p>
        </w:tc>
        <w:tc>
          <w:tcPr>
            <w:tcW w:w="1320" w:type="dxa"/>
            <w:vAlign w:val="bottom"/>
            <w:gridSpan w:val="2"/>
          </w:tcPr>
          <w:p>
            <w:pPr>
              <w:jc w:val="right"/>
              <w:ind w:right="280"/>
              <w:spacing w:after="0"/>
              <w:rPr>
                <w:sz w:val="20"/>
                <w:szCs w:val="20"/>
                <w:color w:val="auto"/>
              </w:rPr>
            </w:pPr>
            <w:r>
              <w:rPr>
                <w:rFonts w:ascii="Arial" w:cs="Arial" w:eastAsia="Arial" w:hAnsi="Arial"/>
                <w:sz w:val="12"/>
                <w:szCs w:val="12"/>
                <w:color w:val="auto"/>
              </w:rPr>
              <w:t>44,622</w:t>
            </w:r>
          </w:p>
        </w:tc>
        <w:tc>
          <w:tcPr>
            <w:tcW w:w="300" w:type="dxa"/>
            <w:vAlign w:val="bottom"/>
          </w:tcPr>
          <w:p>
            <w:pPr>
              <w:jc w:val="right"/>
              <w:ind w:right="190"/>
              <w:spacing w:after="0"/>
              <w:rPr>
                <w:sz w:val="20"/>
                <w:szCs w:val="20"/>
                <w:color w:val="auto"/>
              </w:rPr>
            </w:pPr>
            <w:r>
              <w:rPr>
                <w:rFonts w:ascii="Arial" w:cs="Arial" w:eastAsia="Arial" w:hAnsi="Arial"/>
                <w:sz w:val="10"/>
                <w:szCs w:val="10"/>
                <w:color w:val="auto"/>
                <w:w w:val="71"/>
              </w:rPr>
              <w:t>$</w:t>
            </w:r>
          </w:p>
        </w:tc>
        <w:tc>
          <w:tcPr>
            <w:tcW w:w="1180" w:type="dxa"/>
            <w:vAlign w:val="bottom"/>
            <w:gridSpan w:val="3"/>
          </w:tcPr>
          <w:p>
            <w:pPr>
              <w:ind w:left="9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9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Marketable securities</w:t>
            </w:r>
          </w:p>
        </w:tc>
        <w:tc>
          <w:tcPr>
            <w:tcW w:w="9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87,822</w:t>
            </w: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87,822</w:t>
            </w:r>
          </w:p>
        </w:tc>
        <w:tc>
          <w:tcPr>
            <w:tcW w:w="30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ind w:left="9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980" w:type="dxa"/>
            <w:vAlign w:val="bottom"/>
            <w:tcBorders>
              <w:bottom w:val="single" w:sz="8" w:color="CCEEFF"/>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871"/>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w w:val="87"/>
              </w:rPr>
              <w:t>132,444</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931"/>
              <w:spacing w:after="0"/>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bottom w:val="single" w:sz="8" w:color="auto"/>
            </w:tcBorders>
          </w:tcPr>
          <w:p>
            <w:pPr>
              <w:ind w:left="240"/>
              <w:spacing w:after="0" w:line="133" w:lineRule="exact"/>
              <w:rPr>
                <w:sz w:val="20"/>
                <w:szCs w:val="20"/>
                <w:color w:val="auto"/>
              </w:rPr>
            </w:pPr>
            <w:r>
              <w:rPr>
                <w:rFonts w:ascii="Arial" w:cs="Arial" w:eastAsia="Arial" w:hAnsi="Arial"/>
                <w:sz w:val="12"/>
                <w:szCs w:val="12"/>
                <w:color w:val="auto"/>
                <w:w w:val="82"/>
              </w:rPr>
              <w:t>—</w:t>
            </w:r>
          </w:p>
        </w:tc>
        <w:tc>
          <w:tcPr>
            <w:tcW w:w="280" w:type="dxa"/>
            <w:vAlign w:val="bottom"/>
            <w:tcBorders>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132,444</w:t>
            </w:r>
          </w:p>
        </w:tc>
        <w:tc>
          <w:tcPr>
            <w:tcW w:w="280" w:type="dxa"/>
            <w:vAlign w:val="bottom"/>
            <w:tcBorders>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49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980" w:type="dxa"/>
            <w:vAlign w:val="bottom"/>
          </w:tcPr>
          <w:p>
            <w:pPr>
              <w:spacing w:after="0"/>
              <w:rPr>
                <w:sz w:val="20"/>
                <w:szCs w:val="20"/>
                <w:color w:val="auto"/>
              </w:rPr>
            </w:pPr>
            <w:r>
              <w:rPr>
                <w:rFonts w:ascii="Arial" w:cs="Arial" w:eastAsia="Arial" w:hAnsi="Arial"/>
                <w:sz w:val="12"/>
                <w:szCs w:val="12"/>
                <w:color w:val="auto"/>
              </w:rPr>
              <w:t>Liabilities:</w:t>
            </w:r>
          </w:p>
        </w:tc>
        <w:tc>
          <w:tcPr>
            <w:tcW w:w="9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980" w:type="dxa"/>
            <w:vAlign w:val="bottom"/>
            <w:shd w:val="clear" w:color="auto" w:fill="CCEEFF"/>
          </w:tcPr>
          <w:p>
            <w:pPr>
              <w:ind w:left="80"/>
              <w:spacing w:after="0"/>
              <w:rPr>
                <w:sz w:val="20"/>
                <w:szCs w:val="20"/>
                <w:color w:val="auto"/>
              </w:rPr>
            </w:pPr>
            <w:r>
              <w:rPr>
                <w:rFonts w:ascii="Arial" w:cs="Arial" w:eastAsia="Arial" w:hAnsi="Arial"/>
                <w:sz w:val="12"/>
                <w:szCs w:val="12"/>
                <w:color w:val="auto"/>
              </w:rPr>
              <w:t>Kolltan acquisition contingent consideration</w:t>
            </w:r>
          </w:p>
        </w:tc>
        <w:tc>
          <w:tcPr>
            <w:tcW w:w="980" w:type="dxa"/>
            <w:vAlign w:val="bottom"/>
            <w:shd w:val="clear" w:color="auto" w:fill="CCEEFF"/>
          </w:tcPr>
          <w:p>
            <w:pPr>
              <w:jc w:val="right"/>
              <w:ind w:right="871"/>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48,600</w:t>
            </w:r>
          </w:p>
        </w:tc>
        <w:tc>
          <w:tcPr>
            <w:tcW w:w="1180" w:type="dxa"/>
            <w:vAlign w:val="bottom"/>
            <w:gridSpan w:val="2"/>
            <w:shd w:val="clear" w:color="auto" w:fill="CCEEFF"/>
          </w:tcPr>
          <w:p>
            <w:pPr>
              <w:jc w:val="right"/>
              <w:ind w:right="931"/>
              <w:spacing w:after="0"/>
              <w:rPr>
                <w:sz w:val="20"/>
                <w:szCs w:val="20"/>
                <w:color w:val="auto"/>
              </w:rPr>
            </w:pPr>
            <w:r>
              <w:rPr>
                <w:rFonts w:ascii="Arial" w:cs="Arial" w:eastAsia="Arial" w:hAnsi="Arial"/>
                <w:sz w:val="12"/>
                <w:szCs w:val="12"/>
                <w:color w:val="auto"/>
              </w:rPr>
              <w:t>$</w:t>
            </w:r>
          </w:p>
        </w:tc>
        <w:tc>
          <w:tcPr>
            <w:tcW w:w="64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jc w:val="right"/>
              <w:ind w:right="230"/>
              <w:spacing w:after="0"/>
              <w:rPr>
                <w:sz w:val="20"/>
                <w:szCs w:val="20"/>
                <w:color w:val="auto"/>
              </w:rPr>
            </w:pPr>
            <w:r>
              <w:rPr>
                <w:rFonts w:ascii="Arial" w:cs="Arial" w:eastAsia="Arial" w:hAnsi="Arial"/>
                <w:sz w:val="10"/>
                <w:szCs w:val="10"/>
                <w:color w:val="auto"/>
                <w:w w:val="71"/>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jc w:val="right"/>
              <w:ind w:right="190"/>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48,600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980" w:type="dxa"/>
            <w:vAlign w:val="bottom"/>
            <w:tcBorders>
              <w:top w:val="single" w:sz="8" w:color="auto"/>
              <w:bottom w:val="single" w:sz="8" w:color="auto"/>
            </w:tcBorders>
          </w:tcPr>
          <w:p>
            <w:pPr>
              <w:jc w:val="right"/>
              <w:ind w:right="871"/>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48,600</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Borders>
              <w:top w:val="single" w:sz="8" w:color="auto"/>
              <w:bottom w:val="single" w:sz="8" w:color="auto"/>
            </w:tcBorders>
          </w:tcPr>
          <w:p>
            <w:pPr>
              <w:jc w:val="right"/>
              <w:ind w:right="931"/>
              <w:spacing w:after="0"/>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bottom w:val="single" w:sz="8" w:color="auto"/>
            </w:tcBorders>
          </w:tcPr>
          <w:p>
            <w:pPr>
              <w:ind w:left="240"/>
              <w:spacing w:after="0" w:line="133" w:lineRule="exact"/>
              <w:rPr>
                <w:sz w:val="20"/>
                <w:szCs w:val="20"/>
                <w:color w:val="auto"/>
              </w:rPr>
            </w:pPr>
            <w:r>
              <w:rPr>
                <w:rFonts w:ascii="Arial" w:cs="Arial" w:eastAsia="Arial" w:hAnsi="Arial"/>
                <w:sz w:val="12"/>
                <w:szCs w:val="12"/>
                <w:color w:val="auto"/>
                <w:w w:val="82"/>
              </w:rPr>
              <w:t>—</w:t>
            </w:r>
          </w:p>
        </w:tc>
        <w:tc>
          <w:tcPr>
            <w:tcW w:w="280" w:type="dxa"/>
            <w:vAlign w:val="bottom"/>
          </w:tcPr>
          <w:p>
            <w:pPr>
              <w:spacing w:after="0"/>
              <w:rPr>
                <w:sz w:val="12"/>
                <w:szCs w:val="12"/>
                <w:color w:val="auto"/>
              </w:rPr>
            </w:pPr>
          </w:p>
        </w:tc>
        <w:tc>
          <w:tcPr>
            <w:tcW w:w="3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w:t>
            </w:r>
          </w:p>
        </w:tc>
        <w:tc>
          <w:tcPr>
            <w:tcW w:w="280" w:type="dxa"/>
            <w:vAlign w:val="bottom"/>
          </w:tcPr>
          <w:p>
            <w:pPr>
              <w:spacing w:after="0"/>
              <w:rPr>
                <w:sz w:val="12"/>
                <w:szCs w:val="12"/>
                <w:color w:val="auto"/>
              </w:rPr>
            </w:pPr>
          </w:p>
        </w:tc>
        <w:tc>
          <w:tcPr>
            <w:tcW w:w="3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48,600</w:t>
            </w:r>
          </w:p>
        </w:tc>
        <w:tc>
          <w:tcPr>
            <w:tcW w:w="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sectPr>
          <w:pgSz w:w="11900" w:h="16838" w:orient="portrait"/>
          <w:cols w:equalWidth="0" w:num="1">
            <w:col w:w="11480"/>
          </w:cols>
          <w:pgMar w:left="220" w:top="131" w:right="199" w:bottom="0" w:gutter="0" w:footer="0" w:header="0"/>
        </w:sectPr>
      </w:pPr>
    </w:p>
    <w:p>
      <w:pPr>
        <w:ind w:left="5580"/>
        <w:spacing w:after="0"/>
        <w:tabs>
          <w:tab w:leader="none" w:pos="7200" w:val="left"/>
          <w:tab w:leader="none" w:pos="8860" w:val="left"/>
          <w:tab w:leader="none" w:pos="10520" w:val="left"/>
        </w:tabs>
        <w:rPr>
          <w:sz w:val="20"/>
          <w:szCs w:val="20"/>
          <w:color w:val="auto"/>
        </w:rPr>
      </w:pPr>
      <w:r>
        <w:rPr>
          <w:rFonts w:ascii="Arial" w:cs="Arial" w:eastAsia="Arial" w:hAnsi="Arial"/>
          <w:sz w:val="10"/>
          <w:szCs w:val="10"/>
          <w:b w:val="1"/>
          <w:bCs w:val="1"/>
          <w:color w:val="auto"/>
        </w:rPr>
        <w:t>As of</w:t>
      </w:r>
      <w:r>
        <w:rPr>
          <w:sz w:val="20"/>
          <w:szCs w:val="20"/>
          <w:color w:val="auto"/>
        </w:rPr>
        <w:tab/>
      </w:r>
      <w:r>
        <w:rPr>
          <w:rFonts w:ascii="Arial" w:cs="Arial" w:eastAsia="Arial" w:hAnsi="Arial"/>
          <w:sz w:val="10"/>
          <w:szCs w:val="10"/>
          <w:b w:val="1"/>
          <w:bCs w:val="1"/>
          <w:color w:val="auto"/>
        </w:rPr>
        <w:t>Level 1</w:t>
      </w:r>
      <w:r>
        <w:rPr>
          <w:sz w:val="20"/>
          <w:szCs w:val="20"/>
          <w:color w:val="auto"/>
        </w:rPr>
        <w:tab/>
      </w:r>
      <w:r>
        <w:rPr>
          <w:rFonts w:ascii="Arial" w:cs="Arial" w:eastAsia="Arial" w:hAnsi="Arial"/>
          <w:sz w:val="10"/>
          <w:szCs w:val="10"/>
          <w:b w:val="1"/>
          <w:bCs w:val="1"/>
          <w:color w:val="auto"/>
        </w:rPr>
        <w:t>Level 2</w:t>
      </w:r>
      <w:r>
        <w:rPr>
          <w:sz w:val="20"/>
          <w:szCs w:val="20"/>
          <w:color w:val="auto"/>
        </w:rPr>
        <w:tab/>
      </w:r>
      <w:r>
        <w:rPr>
          <w:rFonts w:ascii="Arial" w:cs="Arial" w:eastAsia="Arial" w:hAnsi="Arial"/>
          <w:sz w:val="8"/>
          <w:szCs w:val="8"/>
          <w:b w:val="1"/>
          <w:bCs w:val="1"/>
          <w:color w:val="auto"/>
        </w:rPr>
        <w:t>Level 3</w:t>
      </w:r>
    </w:p>
    <w:p>
      <w:pPr>
        <w:sectPr>
          <w:pgSz w:w="11900" w:h="16838" w:orient="portrait"/>
          <w:cols w:equalWidth="0" w:num="1">
            <w:col w:w="11480"/>
          </w:cols>
          <w:pgMar w:left="220" w:top="131" w:right="199" w:bottom="0" w:gutter="0" w:footer="0" w:header="0"/>
          <w:type w:val="continuous"/>
        </w:sectPr>
      </w:pPr>
    </w:p>
    <w:bookmarkStart w:id="3" w:name="page4"/>
    <w:bookmarkEnd w:id="3"/>
    <w:p>
      <w:pPr>
        <w:spacing w:after="0" w:line="83" w:lineRule="exact"/>
        <w:rPr>
          <w:sz w:val="20"/>
          <w:szCs w:val="20"/>
          <w:color w:val="auto"/>
        </w:rPr>
      </w:pPr>
    </w:p>
    <w:p>
      <w:pPr>
        <w:jc w:val="center"/>
        <w:ind w:right="120"/>
        <w:spacing w:after="0"/>
        <w:rPr>
          <w:sz w:val="20"/>
          <w:szCs w:val="20"/>
          <w:color w:val="auto"/>
        </w:rPr>
      </w:pPr>
      <w:r>
        <w:rPr>
          <w:rFonts w:ascii="Arial" w:cs="Arial" w:eastAsia="Arial" w:hAnsi="Arial"/>
          <w:sz w:val="10"/>
          <w:szCs w:val="10"/>
          <w:b w:val="1"/>
          <w:bCs w:val="1"/>
          <w:color w:val="auto"/>
        </w:rPr>
        <w:t>December 31, 2016</w:t>
      </w:r>
    </w:p>
    <w:tbl>
      <w:tblPr>
        <w:tblLayout w:type="fixed"/>
        <w:tblInd w:w="0" w:type="dxa"/>
        <w:tblCellMar>
          <w:top w:w="0" w:type="dxa"/>
          <w:left w:w="0" w:type="dxa"/>
          <w:bottom w:w="0" w:type="dxa"/>
          <w:right w:w="0" w:type="dxa"/>
        </w:tblCellMar>
      </w:tblPr>
      <w:tr>
        <w:trPr>
          <w:trHeight w:val="88"/>
        </w:trPr>
        <w:tc>
          <w:tcPr>
            <w:tcW w:w="5000" w:type="dxa"/>
            <w:vAlign w:val="bottom"/>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100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1600" w:type="dxa"/>
            <w:vAlign w:val="bottom"/>
            <w:tcBorders>
              <w:top w:val="single" w:sz="8" w:color="auto"/>
            </w:tcBorders>
            <w:gridSpan w:val="3"/>
          </w:tcPr>
          <w:p>
            <w:pPr>
              <w:ind w:left="580"/>
              <w:spacing w:after="0" w:line="88" w:lineRule="exact"/>
              <w:rPr>
                <w:sz w:val="20"/>
                <w:szCs w:val="20"/>
                <w:color w:val="auto"/>
              </w:rPr>
            </w:pPr>
            <w:r>
              <w:rPr>
                <w:rFonts w:ascii="Arial" w:cs="Arial" w:eastAsia="Arial" w:hAnsi="Arial"/>
                <w:sz w:val="10"/>
                <w:szCs w:val="10"/>
                <w:b w:val="1"/>
                <w:bCs w:val="1"/>
                <w:color w:val="auto"/>
              </w:rPr>
              <w:t>(In thousands)</w:t>
            </w:r>
          </w:p>
        </w:tc>
        <w:tc>
          <w:tcPr>
            <w:tcW w:w="820" w:type="dxa"/>
            <w:vAlign w:val="bottom"/>
            <w:tcBorders>
              <w:top w:val="single" w:sz="8" w:color="auto"/>
            </w:tcBorders>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82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144"/>
        </w:trPr>
        <w:tc>
          <w:tcPr>
            <w:tcW w:w="5000" w:type="dxa"/>
            <w:vAlign w:val="bottom"/>
            <w:shd w:val="clear" w:color="auto" w:fill="CCEEFF"/>
          </w:tcPr>
          <w:p>
            <w:pPr>
              <w:spacing w:after="0"/>
              <w:rPr>
                <w:sz w:val="20"/>
                <w:szCs w:val="20"/>
                <w:color w:val="auto"/>
              </w:rPr>
            </w:pPr>
            <w:r>
              <w:rPr>
                <w:rFonts w:ascii="Arial" w:cs="Arial" w:eastAsia="Arial" w:hAnsi="Arial"/>
                <w:sz w:val="12"/>
                <w:szCs w:val="12"/>
                <w:color w:val="auto"/>
              </w:rPr>
              <w:t>Assets:</w:t>
            </w:r>
          </w:p>
        </w:tc>
        <w:tc>
          <w:tcPr>
            <w:tcW w:w="3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5000" w:type="dxa"/>
            <w:vAlign w:val="bottom"/>
          </w:tcPr>
          <w:p>
            <w:pPr>
              <w:ind w:left="120"/>
              <w:spacing w:after="0"/>
              <w:rPr>
                <w:sz w:val="20"/>
                <w:szCs w:val="20"/>
                <w:color w:val="auto"/>
              </w:rPr>
            </w:pPr>
            <w:r>
              <w:rPr>
                <w:rFonts w:ascii="Arial" w:cs="Arial" w:eastAsia="Arial" w:hAnsi="Arial"/>
                <w:sz w:val="12"/>
                <w:szCs w:val="12"/>
                <w:color w:val="auto"/>
              </w:rPr>
              <w:t>Money market funds and cash equivalents</w:t>
            </w:r>
          </w:p>
        </w:tc>
        <w:tc>
          <w:tcPr>
            <w:tcW w:w="380" w:type="dxa"/>
            <w:vAlign w:val="bottom"/>
          </w:tcPr>
          <w:p>
            <w:pPr>
              <w:jc w:val="right"/>
              <w:ind w:right="270"/>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140"/>
              <w:spacing w:after="0"/>
              <w:rPr>
                <w:sz w:val="20"/>
                <w:szCs w:val="20"/>
                <w:color w:val="auto"/>
              </w:rPr>
            </w:pPr>
            <w:r>
              <w:rPr>
                <w:rFonts w:ascii="Arial" w:cs="Arial" w:eastAsia="Arial" w:hAnsi="Arial"/>
                <w:sz w:val="12"/>
                <w:szCs w:val="12"/>
                <w:color w:val="auto"/>
              </w:rPr>
              <w:t>20,445</w:t>
            </w:r>
          </w:p>
        </w:tc>
        <w:tc>
          <w:tcPr>
            <w:tcW w:w="780" w:type="dxa"/>
            <w:vAlign w:val="bottom"/>
            <w:gridSpan w:val="2"/>
          </w:tcPr>
          <w:p>
            <w:pPr>
              <w:jc w:val="right"/>
              <w:ind w:right="530"/>
              <w:spacing w:after="0"/>
              <w:rPr>
                <w:sz w:val="20"/>
                <w:szCs w:val="20"/>
                <w:color w:val="auto"/>
              </w:rPr>
            </w:pPr>
            <w:r>
              <w:rPr>
                <w:rFonts w:ascii="Arial" w:cs="Arial" w:eastAsia="Arial" w:hAnsi="Arial"/>
                <w:sz w:val="12"/>
                <w:szCs w:val="12"/>
                <w:color w:val="auto"/>
              </w:rPr>
              <w:t>$</w:t>
            </w:r>
          </w:p>
        </w:tc>
        <w:tc>
          <w:tcPr>
            <w:tcW w:w="1040" w:type="dxa"/>
            <w:vAlign w:val="bottom"/>
            <w:gridSpan w:val="2"/>
          </w:tcPr>
          <w:p>
            <w:pPr>
              <w:ind w:left="640"/>
              <w:spacing w:after="0"/>
              <w:rPr>
                <w:sz w:val="20"/>
                <w:szCs w:val="20"/>
                <w:color w:val="auto"/>
              </w:rPr>
            </w:pPr>
            <w:r>
              <w:rPr>
                <w:rFonts w:ascii="Arial" w:cs="Arial" w:eastAsia="Arial" w:hAnsi="Arial"/>
                <w:sz w:val="12"/>
                <w:szCs w:val="12"/>
                <w:color w:val="auto"/>
              </w:rPr>
              <w:t>—</w:t>
            </w:r>
          </w:p>
        </w:tc>
        <w:tc>
          <w:tcPr>
            <w:tcW w:w="560" w:type="dxa"/>
            <w:vAlign w:val="bottom"/>
          </w:tcPr>
          <w:p>
            <w:pPr>
              <w:jc w:val="right"/>
              <w:ind w:right="450"/>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280"/>
              <w:spacing w:after="0"/>
              <w:rPr>
                <w:sz w:val="20"/>
                <w:szCs w:val="20"/>
                <w:color w:val="auto"/>
              </w:rPr>
            </w:pPr>
            <w:r>
              <w:rPr>
                <w:rFonts w:ascii="Arial" w:cs="Arial" w:eastAsia="Arial" w:hAnsi="Arial"/>
                <w:sz w:val="12"/>
                <w:szCs w:val="12"/>
                <w:color w:val="auto"/>
              </w:rPr>
              <w:t>20,445</w:t>
            </w:r>
          </w:p>
        </w:tc>
        <w:tc>
          <w:tcPr>
            <w:tcW w:w="540" w:type="dxa"/>
            <w:vAlign w:val="bottom"/>
          </w:tcPr>
          <w:p>
            <w:pPr>
              <w:jc w:val="right"/>
              <w:ind w:right="430"/>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r>
      <w:tr>
        <w:trPr>
          <w:trHeight w:val="144"/>
        </w:trPr>
        <w:tc>
          <w:tcPr>
            <w:tcW w:w="50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Marketable securities</w:t>
            </w:r>
          </w:p>
        </w:tc>
        <w:tc>
          <w:tcPr>
            <w:tcW w:w="3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147,315</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640"/>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147,315</w:t>
            </w:r>
          </w:p>
        </w:tc>
        <w:tc>
          <w:tcPr>
            <w:tcW w:w="5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r>
      <w:tr>
        <w:trPr>
          <w:trHeight w:val="140"/>
        </w:trPr>
        <w:tc>
          <w:tcPr>
            <w:tcW w:w="5000" w:type="dxa"/>
            <w:vAlign w:val="bottom"/>
            <w:tcBorders>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167,760</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ind w:left="640"/>
              <w:spacing w:after="0" w:line="133" w:lineRule="exact"/>
              <w:rPr>
                <w:sz w:val="20"/>
                <w:szCs w:val="20"/>
                <w:color w:val="auto"/>
              </w:rPr>
            </w:pPr>
            <w:r>
              <w:rPr>
                <w:rFonts w:ascii="Arial" w:cs="Arial" w:eastAsia="Arial" w:hAnsi="Arial"/>
                <w:sz w:val="12"/>
                <w:szCs w:val="12"/>
                <w:color w:val="auto"/>
                <w:w w:val="82"/>
              </w:rPr>
              <w:t>—</w:t>
            </w:r>
          </w:p>
        </w:tc>
        <w:tc>
          <w:tcPr>
            <w:tcW w:w="28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167,760</w:t>
            </w:r>
          </w:p>
        </w:tc>
        <w:tc>
          <w:tcPr>
            <w:tcW w:w="28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tcPr>
          <w:p>
            <w:pPr>
              <w:spacing w:after="0"/>
              <w:rPr>
                <w:sz w:val="12"/>
                <w:szCs w:val="12"/>
                <w:color w:val="auto"/>
              </w:rPr>
            </w:pPr>
          </w:p>
        </w:tc>
        <w:tc>
          <w:tcPr>
            <w:tcW w:w="20" w:type="dxa"/>
            <w:vAlign w:val="bottom"/>
          </w:tcPr>
          <w:p>
            <w:pPr>
              <w:spacing w:after="0"/>
              <w:rPr>
                <w:sz w:val="12"/>
                <w:szCs w:val="12"/>
                <w:color w:val="auto"/>
              </w:rPr>
            </w:pPr>
          </w:p>
        </w:tc>
      </w:tr>
      <w:tr>
        <w:trPr>
          <w:trHeight w:val="126"/>
        </w:trPr>
        <w:tc>
          <w:tcPr>
            <w:tcW w:w="5000" w:type="dxa"/>
            <w:vAlign w:val="bottom"/>
            <w:shd w:val="clear" w:color="auto" w:fill="CCEEFF"/>
          </w:tcPr>
          <w:p>
            <w:pPr>
              <w:spacing w:after="0" w:line="126" w:lineRule="exact"/>
              <w:rPr>
                <w:sz w:val="20"/>
                <w:szCs w:val="20"/>
                <w:color w:val="auto"/>
              </w:rPr>
            </w:pPr>
            <w:r>
              <w:rPr>
                <w:rFonts w:ascii="Arial" w:cs="Arial" w:eastAsia="Arial" w:hAnsi="Arial"/>
                <w:sz w:val="12"/>
                <w:szCs w:val="12"/>
                <w:color w:val="auto"/>
              </w:rPr>
              <w:t>Liabilities:</w:t>
            </w:r>
          </w:p>
        </w:tc>
        <w:tc>
          <w:tcPr>
            <w:tcW w:w="3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r>
      <w:tr>
        <w:trPr>
          <w:trHeight w:val="144"/>
        </w:trPr>
        <w:tc>
          <w:tcPr>
            <w:tcW w:w="5000" w:type="dxa"/>
            <w:vAlign w:val="bottom"/>
          </w:tcPr>
          <w:p>
            <w:pPr>
              <w:ind w:left="120"/>
              <w:spacing w:after="0"/>
              <w:rPr>
                <w:sz w:val="20"/>
                <w:szCs w:val="20"/>
                <w:color w:val="auto"/>
              </w:rPr>
            </w:pPr>
            <w:r>
              <w:rPr>
                <w:rFonts w:ascii="Arial" w:cs="Arial" w:eastAsia="Arial" w:hAnsi="Arial"/>
                <w:sz w:val="12"/>
                <w:szCs w:val="12"/>
                <w:color w:val="auto"/>
              </w:rPr>
              <w:t>Kolltan acquisition contingent consideration</w:t>
            </w:r>
          </w:p>
        </w:tc>
        <w:tc>
          <w:tcPr>
            <w:tcW w:w="380" w:type="dxa"/>
            <w:vAlign w:val="bottom"/>
          </w:tcPr>
          <w:p>
            <w:pPr>
              <w:jc w:val="right"/>
              <w:ind w:right="270"/>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140"/>
              <w:spacing w:after="0"/>
              <w:rPr>
                <w:sz w:val="20"/>
                <w:szCs w:val="20"/>
                <w:color w:val="auto"/>
              </w:rPr>
            </w:pPr>
            <w:r>
              <w:rPr>
                <w:rFonts w:ascii="Arial" w:cs="Arial" w:eastAsia="Arial" w:hAnsi="Arial"/>
                <w:sz w:val="12"/>
                <w:szCs w:val="12"/>
                <w:color w:val="auto"/>
              </w:rPr>
              <w:t>44,200</w:t>
            </w:r>
          </w:p>
        </w:tc>
        <w:tc>
          <w:tcPr>
            <w:tcW w:w="780" w:type="dxa"/>
            <w:vAlign w:val="bottom"/>
            <w:gridSpan w:val="2"/>
          </w:tcPr>
          <w:p>
            <w:pPr>
              <w:jc w:val="right"/>
              <w:ind w:right="530"/>
              <w:spacing w:after="0"/>
              <w:rPr>
                <w:sz w:val="20"/>
                <w:szCs w:val="20"/>
                <w:color w:val="auto"/>
              </w:rPr>
            </w:pPr>
            <w:r>
              <w:rPr>
                <w:rFonts w:ascii="Arial" w:cs="Arial" w:eastAsia="Arial" w:hAnsi="Arial"/>
                <w:sz w:val="12"/>
                <w:szCs w:val="12"/>
                <w:color w:val="auto"/>
              </w:rPr>
              <w:t>$</w:t>
            </w:r>
          </w:p>
        </w:tc>
        <w:tc>
          <w:tcPr>
            <w:tcW w:w="1040" w:type="dxa"/>
            <w:vAlign w:val="bottom"/>
            <w:gridSpan w:val="2"/>
          </w:tcPr>
          <w:p>
            <w:pPr>
              <w:ind w:left="640"/>
              <w:spacing w:after="0"/>
              <w:rPr>
                <w:sz w:val="20"/>
                <w:szCs w:val="20"/>
                <w:color w:val="auto"/>
              </w:rPr>
            </w:pPr>
            <w:r>
              <w:rPr>
                <w:rFonts w:ascii="Arial" w:cs="Arial" w:eastAsia="Arial" w:hAnsi="Arial"/>
                <w:sz w:val="12"/>
                <w:szCs w:val="12"/>
                <w:color w:val="auto"/>
              </w:rPr>
              <w:t>—</w:t>
            </w:r>
          </w:p>
        </w:tc>
        <w:tc>
          <w:tcPr>
            <w:tcW w:w="560" w:type="dxa"/>
            <w:vAlign w:val="bottom"/>
          </w:tcPr>
          <w:p>
            <w:pPr>
              <w:jc w:val="right"/>
              <w:ind w:right="450"/>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540" w:type="dxa"/>
            <w:vAlign w:val="bottom"/>
          </w:tcPr>
          <w:p>
            <w:pPr>
              <w:jc w:val="right"/>
              <w:ind w:right="430"/>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44,200</w:t>
            </w:r>
          </w:p>
        </w:tc>
        <w:tc>
          <w:tcPr>
            <w:tcW w:w="20" w:type="dxa"/>
            <w:vAlign w:val="bottom"/>
          </w:tcPr>
          <w:p>
            <w:pPr>
              <w:spacing w:after="0"/>
              <w:rPr>
                <w:sz w:val="12"/>
                <w:szCs w:val="12"/>
                <w:color w:val="auto"/>
              </w:rPr>
            </w:pPr>
          </w:p>
        </w:tc>
      </w:tr>
      <w:tr>
        <w:trPr>
          <w:trHeight w:val="140"/>
        </w:trPr>
        <w:tc>
          <w:tcPr>
            <w:tcW w:w="5000" w:type="dxa"/>
            <w:vAlign w:val="bottom"/>
            <w:tcBorders>
              <w:top w:val="single" w:sz="8" w:color="CCEEFF"/>
              <w:bottom w:val="single" w:sz="8" w:color="CCEEFF"/>
            </w:tcBorders>
            <w:shd w:val="clear" w:color="auto" w:fill="CCEEFF"/>
          </w:tcPr>
          <w:p>
            <w:pPr>
              <w:spacing w:after="0"/>
              <w:rPr>
                <w:sz w:val="12"/>
                <w:szCs w:val="12"/>
                <w:color w:val="auto"/>
              </w:rPr>
            </w:pPr>
          </w:p>
        </w:tc>
        <w:tc>
          <w:tcPr>
            <w:tcW w:w="38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44,200</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ind w:right="530"/>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shd w:val="clear" w:color="auto" w:fill="CCEEFF"/>
          </w:tcPr>
          <w:p>
            <w:pPr>
              <w:ind w:left="640"/>
              <w:spacing w:after="0" w:line="133" w:lineRule="exact"/>
              <w:rPr>
                <w:sz w:val="20"/>
                <w:szCs w:val="20"/>
                <w:color w:val="auto"/>
              </w:rPr>
            </w:pPr>
            <w:r>
              <w:rPr>
                <w:rFonts w:ascii="Arial" w:cs="Arial" w:eastAsia="Arial" w:hAnsi="Arial"/>
                <w:sz w:val="12"/>
                <w:szCs w:val="12"/>
                <w:color w:val="auto"/>
                <w:w w:val="82"/>
              </w:rPr>
              <w:t>—</w:t>
            </w:r>
          </w:p>
        </w:tc>
        <w:tc>
          <w:tcPr>
            <w:tcW w:w="280" w:type="dxa"/>
            <w:vAlign w:val="bottom"/>
            <w:tcBorders>
              <w:top w:val="single" w:sz="8" w:color="CCEEFF"/>
              <w:bottom w:val="single" w:sz="8" w:color="CCEEFF"/>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ind w:right="45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280" w:type="dxa"/>
            <w:vAlign w:val="bottom"/>
            <w:tcBorders>
              <w:top w:val="single" w:sz="8" w:color="CCEEFF"/>
              <w:bottom w:val="single" w:sz="8" w:color="CCEEFF"/>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ind w:right="43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44,200</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288"/>
        </w:trPr>
        <w:tc>
          <w:tcPr>
            <w:tcW w:w="5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jc w:val="right"/>
              <w:ind w:right="560"/>
              <w:spacing w:after="0"/>
              <w:rPr>
                <w:sz w:val="20"/>
                <w:szCs w:val="20"/>
                <w:color w:val="auto"/>
              </w:rPr>
            </w:pPr>
            <w:r>
              <w:rPr>
                <w:rFonts w:ascii="Arial" w:cs="Arial" w:eastAsia="Arial" w:hAnsi="Arial"/>
                <w:sz w:val="12"/>
                <w:szCs w:val="12"/>
                <w:color w:val="auto"/>
              </w:rPr>
              <w:t>7</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5"/>
        </w:trPr>
        <w:tc>
          <w:tcPr>
            <w:tcW w:w="5000" w:type="dxa"/>
            <w:vAlign w:val="bottom"/>
            <w:tcBorders>
              <w:bottom w:val="single" w:sz="8" w:color="808080"/>
            </w:tcBorders>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100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76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560" w:type="dxa"/>
            <w:vAlign w:val="bottom"/>
            <w:tcBorders>
              <w:bottom w:val="single" w:sz="8" w:color="808080"/>
            </w:tcBorders>
          </w:tcPr>
          <w:p>
            <w:pPr>
              <w:spacing w:after="0"/>
              <w:rPr>
                <w:sz w:val="7"/>
                <w:szCs w:val="7"/>
                <w:color w:val="auto"/>
              </w:rPr>
            </w:pPr>
          </w:p>
        </w:tc>
        <w:tc>
          <w:tcPr>
            <w:tcW w:w="82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82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7289165</wp:posOffset>
            </wp:positionH>
            <wp:positionV relativeFrom="paragraph">
              <wp:posOffset>-17145</wp:posOffset>
            </wp:positionV>
            <wp:extent cx="12700" cy="114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1143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-17145</wp:posOffset>
            </wp:positionV>
            <wp:extent cx="12700" cy="114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11430"/>
                    </a:xfrm>
                    <a:prstGeom prst="rect">
                      <a:avLst/>
                    </a:prstGeom>
                    <a:noFill/>
                  </pic:spPr>
                </pic:pic>
              </a:graphicData>
            </a:graphic>
          </wp:anchor>
        </w:drawing>
      </w:r>
    </w:p>
    <w:p>
      <w:pPr>
        <w:spacing w:after="0" w:line="200" w:lineRule="exact"/>
        <w:rPr>
          <w:sz w:val="20"/>
          <w:szCs w:val="20"/>
          <w:color w:val="auto"/>
        </w:rPr>
      </w:pPr>
    </w:p>
    <w:p>
      <w:pPr>
        <w:spacing w:after="0"/>
        <w:rPr>
          <w:rFonts w:ascii="Arial" w:cs="Arial" w:eastAsia="Arial" w:hAnsi="Arial"/>
          <w:sz w:val="12"/>
          <w:szCs w:val="12"/>
          <w:u w:val="single" w:color="auto"/>
          <w:color w:val="0000EE"/>
        </w:rPr>
      </w:pPr>
      <w:hyperlink w:anchor="page1">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ind w:right="200" w:firstLine="432"/>
        <w:spacing w:after="0" w:line="259" w:lineRule="auto"/>
        <w:rPr>
          <w:sz w:val="20"/>
          <w:szCs w:val="20"/>
          <w:color w:val="auto"/>
        </w:rPr>
      </w:pPr>
      <w:r>
        <w:rPr>
          <w:rFonts w:ascii="Arial" w:cs="Arial" w:eastAsia="Arial" w:hAnsi="Arial"/>
          <w:sz w:val="12"/>
          <w:szCs w:val="12"/>
          <w:color w:val="auto"/>
        </w:rPr>
        <w:t>The Company’s financial assets consist mainly of cash and cash equivalents and marketable securities and are classified as Level 2 within the valuation hierarchy. The Company values its marketable securities utilizing independent pricing services which normally derive security prices from recently reported trades for identical or similar securities, making adjustments based on significant observable transactions. At each balance sheet date, observable market inputs may include trade information, broker or dealer quotes, bids, offers or a combination of these data sources. The Company did not have any transfers of assets or liabilities between the fair value measurement classifications during the six months ended June 30, 2017.</w:t>
      </w:r>
    </w:p>
    <w:p>
      <w:pPr>
        <w:spacing w:after="0" w:line="125" w:lineRule="exact"/>
        <w:rPr>
          <w:sz w:val="20"/>
          <w:szCs w:val="20"/>
          <w:color w:val="auto"/>
        </w:rPr>
      </w:pPr>
    </w:p>
    <w:p>
      <w:pPr>
        <w:ind w:right="20" w:firstLine="432"/>
        <w:spacing w:after="0" w:line="255" w:lineRule="auto"/>
        <w:rPr>
          <w:sz w:val="20"/>
          <w:szCs w:val="20"/>
          <w:color w:val="auto"/>
        </w:rPr>
      </w:pPr>
      <w:r>
        <w:rPr>
          <w:rFonts w:ascii="Arial" w:cs="Arial" w:eastAsia="Arial" w:hAnsi="Arial"/>
          <w:sz w:val="12"/>
          <w:szCs w:val="12"/>
          <w:color w:val="auto"/>
        </w:rPr>
        <w:t>Contingent consideration liabilities related to acquisitions are classified as Level 3 within the valuation hierarchy and are valued based on various estimates, including probability of success, discount rates and amount of time until the conditions of the milestone payments are met. In connection with the Kolltan acquisition, the Company may be required to pay future consideration of up to $172.5 million that is contingent upon the achievement of specified development, regulatory approvals or sales-based milestone events. The Company determines the fair value of these obligations on the acquisition date using various estimates that are not observable in the market and represent a Level 3 measurement within the fair value hierarchy. During the three and six months ended June 30, 2017, the Company recorded a $1.0 million and $4.4 million loss on fair value remeasurement of contingent consideration, respectively, primarily due to changes in discount rates and the passage of time. The following table reflects the activity for the Company’s contingent consideration liabilities measured at fair value using Level 3 inputs for the six months ended June 30, 2017.</w:t>
      </w:r>
    </w:p>
    <w:p>
      <w:pPr>
        <w:spacing w:after="0" w:line="108" w:lineRule="exact"/>
        <w:rPr>
          <w:sz w:val="20"/>
          <w:szCs w:val="20"/>
          <w:color w:val="auto"/>
        </w:rPr>
      </w:pPr>
    </w:p>
    <w:tbl>
      <w:tblPr>
        <w:tblLayout w:type="fixed"/>
        <w:tblInd w:w="420" w:type="dxa"/>
        <w:tblCellMar>
          <w:top w:w="0" w:type="dxa"/>
          <w:left w:w="0" w:type="dxa"/>
          <w:bottom w:w="0" w:type="dxa"/>
          <w:right w:w="0" w:type="dxa"/>
        </w:tblCellMar>
      </w:tblPr>
      <w:tr>
        <w:trPr>
          <w:trHeight w:val="115"/>
        </w:trPr>
        <w:tc>
          <w:tcPr>
            <w:tcW w:w="79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8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w w:val="90"/>
              </w:rPr>
              <w:t>Other Long-Term</w:t>
            </w:r>
          </w:p>
        </w:tc>
      </w:tr>
      <w:tr>
        <w:trPr>
          <w:trHeight w:val="99"/>
        </w:trPr>
        <w:tc>
          <w:tcPr>
            <w:tcW w:w="79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80" w:type="dxa"/>
            <w:vAlign w:val="bottom"/>
            <w:gridSpan w:val="2"/>
          </w:tcPr>
          <w:p>
            <w:pPr>
              <w:jc w:val="center"/>
              <w:ind w:right="400"/>
              <w:spacing w:after="0" w:line="99" w:lineRule="exact"/>
              <w:rPr>
                <w:sz w:val="20"/>
                <w:szCs w:val="20"/>
                <w:color w:val="auto"/>
              </w:rPr>
            </w:pPr>
            <w:r>
              <w:rPr>
                <w:rFonts w:ascii="Arial" w:cs="Arial" w:eastAsia="Arial" w:hAnsi="Arial"/>
                <w:sz w:val="10"/>
                <w:szCs w:val="10"/>
                <w:b w:val="1"/>
                <w:bCs w:val="1"/>
                <w:color w:val="auto"/>
                <w:w w:val="88"/>
              </w:rPr>
              <w:t>Liabilities:</w:t>
            </w:r>
          </w:p>
        </w:tc>
      </w:tr>
      <w:tr>
        <w:trPr>
          <w:trHeight w:val="99"/>
        </w:trPr>
        <w:tc>
          <w:tcPr>
            <w:tcW w:w="79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80" w:type="dxa"/>
            <w:vAlign w:val="bottom"/>
            <w:gridSpan w:val="2"/>
          </w:tcPr>
          <w:p>
            <w:pPr>
              <w:jc w:val="center"/>
              <w:ind w:right="420"/>
              <w:spacing w:after="0" w:line="99" w:lineRule="exact"/>
              <w:rPr>
                <w:sz w:val="20"/>
                <w:szCs w:val="20"/>
                <w:color w:val="auto"/>
              </w:rPr>
            </w:pPr>
            <w:r>
              <w:rPr>
                <w:rFonts w:ascii="Arial" w:cs="Arial" w:eastAsia="Arial" w:hAnsi="Arial"/>
                <w:sz w:val="10"/>
                <w:szCs w:val="10"/>
                <w:b w:val="1"/>
                <w:bCs w:val="1"/>
                <w:color w:val="auto"/>
                <w:w w:val="87"/>
              </w:rPr>
              <w:t>Contingent</w:t>
            </w:r>
          </w:p>
        </w:tc>
      </w:tr>
      <w:tr>
        <w:trPr>
          <w:trHeight w:val="114"/>
        </w:trPr>
        <w:tc>
          <w:tcPr>
            <w:tcW w:w="79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80" w:type="dxa"/>
            <w:vAlign w:val="bottom"/>
            <w:gridSpan w:val="2"/>
          </w:tcPr>
          <w:p>
            <w:pPr>
              <w:jc w:val="center"/>
              <w:ind w:right="420"/>
              <w:spacing w:after="0" w:line="114" w:lineRule="exact"/>
              <w:rPr>
                <w:sz w:val="20"/>
                <w:szCs w:val="20"/>
                <w:color w:val="auto"/>
              </w:rPr>
            </w:pPr>
            <w:r>
              <w:rPr>
                <w:rFonts w:ascii="Arial" w:cs="Arial" w:eastAsia="Arial" w:hAnsi="Arial"/>
                <w:sz w:val="10"/>
                <w:szCs w:val="10"/>
                <w:b w:val="1"/>
                <w:bCs w:val="1"/>
                <w:color w:val="auto"/>
                <w:w w:val="86"/>
              </w:rPr>
              <w:t>Consideration</w:t>
            </w:r>
          </w:p>
        </w:tc>
      </w:tr>
      <w:tr>
        <w:trPr>
          <w:trHeight w:val="133"/>
        </w:trPr>
        <w:tc>
          <w:tcPr>
            <w:tcW w:w="790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Balance at December 31, 2016</w:t>
            </w:r>
          </w:p>
        </w:tc>
        <w:tc>
          <w:tcPr>
            <w:tcW w:w="30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0"/>
                <w:szCs w:val="10"/>
                <w:color w:val="auto"/>
                <w:w w:val="71"/>
              </w:rPr>
              <w:t>$</w:t>
            </w:r>
          </w:p>
        </w:tc>
        <w:tc>
          <w:tcPr>
            <w:tcW w:w="156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44,200</w:t>
            </w:r>
          </w:p>
        </w:tc>
        <w:tc>
          <w:tcPr>
            <w:tcW w:w="120" w:type="dxa"/>
            <w:vAlign w:val="bottom"/>
            <w:tcBorders>
              <w:top w:val="single" w:sz="8" w:color="CCEEFF"/>
            </w:tcBorders>
            <w:shd w:val="clear" w:color="auto" w:fill="CCEEFF"/>
          </w:tcPr>
          <w:p>
            <w:pPr>
              <w:spacing w:after="0"/>
              <w:rPr>
                <w:sz w:val="11"/>
                <w:szCs w:val="11"/>
                <w:color w:val="auto"/>
              </w:rPr>
            </w:pPr>
          </w:p>
        </w:tc>
      </w:tr>
      <w:tr>
        <w:trPr>
          <w:trHeight w:val="144"/>
        </w:trPr>
        <w:tc>
          <w:tcPr>
            <w:tcW w:w="7900" w:type="dxa"/>
            <w:vAlign w:val="bottom"/>
          </w:tcPr>
          <w:p>
            <w:pPr>
              <w:spacing w:after="0"/>
              <w:rPr>
                <w:sz w:val="20"/>
                <w:szCs w:val="20"/>
                <w:color w:val="auto"/>
              </w:rPr>
            </w:pPr>
            <w:r>
              <w:rPr>
                <w:rFonts w:ascii="Arial" w:cs="Arial" w:eastAsia="Arial" w:hAnsi="Arial"/>
                <w:sz w:val="12"/>
                <w:szCs w:val="12"/>
                <w:color w:val="auto"/>
              </w:rPr>
              <w:t>Fair value adjustments included in operating expenses</w:t>
            </w:r>
          </w:p>
        </w:tc>
        <w:tc>
          <w:tcPr>
            <w:tcW w:w="300" w:type="dxa"/>
            <w:vAlign w:val="bottom"/>
          </w:tcPr>
          <w:p>
            <w:pPr>
              <w:spacing w:after="0"/>
              <w:rPr>
                <w:sz w:val="12"/>
                <w:szCs w:val="12"/>
                <w:color w:val="auto"/>
              </w:rPr>
            </w:pPr>
          </w:p>
        </w:tc>
        <w:tc>
          <w:tcPr>
            <w:tcW w:w="1680" w:type="dxa"/>
            <w:vAlign w:val="bottom"/>
            <w:gridSpan w:val="2"/>
          </w:tcPr>
          <w:p>
            <w:pPr>
              <w:jc w:val="right"/>
              <w:ind w:right="120"/>
              <w:spacing w:after="0"/>
              <w:rPr>
                <w:sz w:val="20"/>
                <w:szCs w:val="20"/>
                <w:color w:val="auto"/>
              </w:rPr>
            </w:pPr>
            <w:r>
              <w:rPr>
                <w:rFonts w:ascii="Arial" w:cs="Arial" w:eastAsia="Arial" w:hAnsi="Arial"/>
                <w:sz w:val="12"/>
                <w:szCs w:val="12"/>
                <w:color w:val="auto"/>
              </w:rPr>
              <w:t>4,400</w:t>
            </w:r>
          </w:p>
        </w:tc>
      </w:tr>
      <w:tr>
        <w:trPr>
          <w:trHeight w:val="140"/>
        </w:trPr>
        <w:tc>
          <w:tcPr>
            <w:tcW w:w="7900" w:type="dxa"/>
            <w:vAlign w:val="bottom"/>
            <w:tcBorders>
              <w:top w:val="single" w:sz="8" w:color="CCEEFF"/>
              <w:bottom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Balance at June 30, 2017</w:t>
            </w:r>
          </w:p>
        </w:tc>
        <w:tc>
          <w:tcPr>
            <w:tcW w:w="3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0"/>
                <w:szCs w:val="10"/>
                <w:color w:val="auto"/>
                <w:w w:val="71"/>
              </w:rPr>
              <w:t>$</w:t>
            </w:r>
          </w:p>
        </w:tc>
        <w:tc>
          <w:tcPr>
            <w:tcW w:w="15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48,600</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r>
    </w:tbl>
    <w:p>
      <w:pPr>
        <w:spacing w:after="0" w:line="13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(4) Marketable Securities</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tables summarize our marketable securities, classified as available-for-sale: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jc w:val="center"/>
              <w:ind w:left="251"/>
              <w:spacing w:after="0"/>
              <w:rPr>
                <w:sz w:val="20"/>
                <w:szCs w:val="20"/>
                <w:color w:val="auto"/>
              </w:rPr>
            </w:pPr>
            <w:r>
              <w:rPr>
                <w:rFonts w:ascii="Arial" w:cs="Arial" w:eastAsia="Arial" w:hAnsi="Arial"/>
                <w:sz w:val="10"/>
                <w:szCs w:val="10"/>
                <w:b w:val="1"/>
                <w:bCs w:val="1"/>
                <w:color w:val="auto"/>
                <w:w w:val="82"/>
              </w:rPr>
              <w:t>Gross</w:t>
            </w: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jc w:val="center"/>
              <w:ind w:left="231"/>
              <w:spacing w:after="0"/>
              <w:rPr>
                <w:sz w:val="20"/>
                <w:szCs w:val="20"/>
                <w:color w:val="auto"/>
              </w:rPr>
            </w:pPr>
            <w:r>
              <w:rPr>
                <w:rFonts w:ascii="Arial" w:cs="Arial" w:eastAsia="Arial" w:hAnsi="Arial"/>
                <w:sz w:val="10"/>
                <w:szCs w:val="10"/>
                <w:b w:val="1"/>
                <w:bCs w:val="1"/>
                <w:color w:val="auto"/>
                <w:w w:val="82"/>
              </w:rPr>
              <w:t>Gross</w:t>
            </w: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4000" w:type="dxa"/>
            <w:vAlign w:val="bottom"/>
          </w:tcPr>
          <w:p>
            <w:pPr>
              <w:spacing w:after="0"/>
              <w:rPr>
                <w:sz w:val="8"/>
                <w:szCs w:val="8"/>
                <w:color w:val="auto"/>
              </w:rPr>
            </w:pPr>
          </w:p>
        </w:tc>
        <w:tc>
          <w:tcPr>
            <w:tcW w:w="1440" w:type="dxa"/>
            <w:vAlign w:val="bottom"/>
          </w:tcPr>
          <w:p>
            <w:pPr>
              <w:spacing w:after="0"/>
              <w:rPr>
                <w:sz w:val="8"/>
                <w:szCs w:val="8"/>
                <w:color w:val="auto"/>
              </w:rPr>
            </w:pPr>
          </w:p>
        </w:tc>
        <w:tc>
          <w:tcPr>
            <w:tcW w:w="860" w:type="dxa"/>
            <w:vAlign w:val="bottom"/>
          </w:tcPr>
          <w:p>
            <w:pPr>
              <w:jc w:val="right"/>
              <w:spacing w:after="0" w:line="99" w:lineRule="exact"/>
              <w:rPr>
                <w:sz w:val="20"/>
                <w:szCs w:val="20"/>
                <w:color w:val="auto"/>
              </w:rPr>
            </w:pPr>
            <w:r>
              <w:rPr>
                <w:rFonts w:ascii="Arial" w:cs="Arial" w:eastAsia="Arial" w:hAnsi="Arial"/>
                <w:sz w:val="10"/>
                <w:szCs w:val="10"/>
                <w:b w:val="1"/>
                <w:bCs w:val="1"/>
                <w:color w:val="auto"/>
              </w:rPr>
              <w:t>Amortized</w:t>
            </w: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jc w:val="center"/>
              <w:ind w:left="251"/>
              <w:spacing w:after="0" w:line="99" w:lineRule="exact"/>
              <w:rPr>
                <w:sz w:val="20"/>
                <w:szCs w:val="20"/>
                <w:color w:val="auto"/>
              </w:rPr>
            </w:pPr>
            <w:r>
              <w:rPr>
                <w:rFonts w:ascii="Arial" w:cs="Arial" w:eastAsia="Arial" w:hAnsi="Arial"/>
                <w:sz w:val="10"/>
                <w:szCs w:val="10"/>
                <w:b w:val="1"/>
                <w:bCs w:val="1"/>
                <w:color w:val="auto"/>
                <w:w w:val="86"/>
              </w:rPr>
              <w:t>Unrealized</w:t>
            </w: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jc w:val="center"/>
              <w:ind w:left="231"/>
              <w:spacing w:after="0" w:line="99" w:lineRule="exact"/>
              <w:rPr>
                <w:sz w:val="20"/>
                <w:szCs w:val="20"/>
                <w:color w:val="auto"/>
              </w:rPr>
            </w:pPr>
            <w:r>
              <w:rPr>
                <w:rFonts w:ascii="Arial" w:cs="Arial" w:eastAsia="Arial" w:hAnsi="Arial"/>
                <w:sz w:val="10"/>
                <w:szCs w:val="10"/>
                <w:b w:val="1"/>
                <w:bCs w:val="1"/>
                <w:color w:val="auto"/>
                <w:w w:val="86"/>
              </w:rPr>
              <w:t>Unrealized</w:t>
            </w: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40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860" w:type="dxa"/>
            <w:vAlign w:val="bottom"/>
          </w:tcPr>
          <w:p>
            <w:pPr>
              <w:jc w:val="right"/>
              <w:ind w:right="91"/>
              <w:spacing w:after="0" w:line="114" w:lineRule="exact"/>
              <w:rPr>
                <w:sz w:val="20"/>
                <w:szCs w:val="20"/>
                <w:color w:val="auto"/>
              </w:rPr>
            </w:pPr>
            <w:r>
              <w:rPr>
                <w:rFonts w:ascii="Arial" w:cs="Arial" w:eastAsia="Arial" w:hAnsi="Arial"/>
                <w:sz w:val="10"/>
                <w:szCs w:val="10"/>
                <w:b w:val="1"/>
                <w:bCs w:val="1"/>
                <w:color w:val="auto"/>
              </w:rPr>
              <w:t>Cost</w:t>
            </w: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jc w:val="center"/>
              <w:ind w:left="251"/>
              <w:spacing w:after="0" w:line="114" w:lineRule="exact"/>
              <w:rPr>
                <w:sz w:val="20"/>
                <w:szCs w:val="20"/>
                <w:color w:val="auto"/>
              </w:rPr>
            </w:pPr>
            <w:r>
              <w:rPr>
                <w:rFonts w:ascii="Arial" w:cs="Arial" w:eastAsia="Arial" w:hAnsi="Arial"/>
                <w:sz w:val="10"/>
                <w:szCs w:val="10"/>
                <w:b w:val="1"/>
                <w:bCs w:val="1"/>
                <w:color w:val="auto"/>
                <w:w w:val="86"/>
              </w:rPr>
              <w:t>Gains</w:t>
            </w: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jc w:val="center"/>
              <w:ind w:left="231"/>
              <w:spacing w:after="0" w:line="114" w:lineRule="exact"/>
              <w:rPr>
                <w:sz w:val="20"/>
                <w:szCs w:val="20"/>
                <w:color w:val="auto"/>
              </w:rPr>
            </w:pPr>
            <w:r>
              <w:rPr>
                <w:rFonts w:ascii="Arial" w:cs="Arial" w:eastAsia="Arial" w:hAnsi="Arial"/>
                <w:sz w:val="10"/>
                <w:szCs w:val="10"/>
                <w:b w:val="1"/>
                <w:bCs w:val="1"/>
                <w:color w:val="auto"/>
                <w:w w:val="81"/>
              </w:rPr>
              <w:t>Losses</w:t>
            </w: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20" w:type="dxa"/>
            <w:vAlign w:val="bottom"/>
            <w:gridSpan w:val="2"/>
          </w:tcPr>
          <w:p>
            <w:pPr>
              <w:jc w:val="right"/>
              <w:ind w:right="520"/>
              <w:spacing w:after="0" w:line="114" w:lineRule="exact"/>
              <w:rPr>
                <w:sz w:val="20"/>
                <w:szCs w:val="20"/>
                <w:color w:val="auto"/>
              </w:rPr>
            </w:pPr>
            <w:r>
              <w:rPr>
                <w:rFonts w:ascii="Arial" w:cs="Arial" w:eastAsia="Arial" w:hAnsi="Arial"/>
                <w:sz w:val="10"/>
                <w:szCs w:val="10"/>
                <w:b w:val="1"/>
                <w:bCs w:val="1"/>
                <w:color w:val="auto"/>
              </w:rPr>
              <w:t>Fair Value</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4000" w:type="dxa"/>
            <w:vAlign w:val="bottom"/>
          </w:tcPr>
          <w:p>
            <w:pPr>
              <w:spacing w:after="0"/>
              <w:rPr>
                <w:sz w:val="7"/>
                <w:szCs w:val="7"/>
                <w:color w:val="auto"/>
              </w:rPr>
            </w:pPr>
          </w:p>
        </w:tc>
        <w:tc>
          <w:tcPr>
            <w:tcW w:w="1440" w:type="dxa"/>
            <w:vAlign w:val="bottom"/>
          </w:tcPr>
          <w:p>
            <w:pPr>
              <w:spacing w:after="0"/>
              <w:rPr>
                <w:sz w:val="7"/>
                <w:szCs w:val="7"/>
                <w:color w:val="auto"/>
              </w:rPr>
            </w:pPr>
          </w:p>
        </w:tc>
        <w:tc>
          <w:tcPr>
            <w:tcW w:w="860" w:type="dxa"/>
            <w:vAlign w:val="bottom"/>
            <w:tcBorders>
              <w:top w:val="single" w:sz="8" w:color="auto"/>
            </w:tcBorders>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980" w:type="dxa"/>
            <w:vAlign w:val="bottom"/>
            <w:tcBorders>
              <w:top w:val="single" w:sz="8" w:color="auto"/>
            </w:tcBorders>
          </w:tcPr>
          <w:p>
            <w:pPr>
              <w:spacing w:after="0"/>
              <w:rPr>
                <w:sz w:val="7"/>
                <w:szCs w:val="7"/>
                <w:color w:val="auto"/>
              </w:rPr>
            </w:pPr>
          </w:p>
        </w:tc>
        <w:tc>
          <w:tcPr>
            <w:tcW w:w="1580" w:type="dxa"/>
            <w:vAlign w:val="bottom"/>
            <w:tcBorders>
              <w:top w:val="single" w:sz="8" w:color="auto"/>
            </w:tcBorders>
            <w:gridSpan w:val="4"/>
          </w:tcPr>
          <w:p>
            <w:pPr>
              <w:jc w:val="right"/>
              <w:ind w:right="811"/>
              <w:spacing w:after="0" w:line="88" w:lineRule="exact"/>
              <w:rPr>
                <w:sz w:val="20"/>
                <w:szCs w:val="20"/>
                <w:color w:val="auto"/>
              </w:rPr>
            </w:pPr>
            <w:r>
              <w:rPr>
                <w:rFonts w:ascii="Arial" w:cs="Arial" w:eastAsia="Arial" w:hAnsi="Arial"/>
                <w:sz w:val="10"/>
                <w:szCs w:val="10"/>
                <w:b w:val="1"/>
                <w:bCs w:val="1"/>
                <w:color w:val="auto"/>
              </w:rPr>
              <w:t>(In thousands)</w:t>
            </w:r>
          </w:p>
        </w:tc>
        <w:tc>
          <w:tcPr>
            <w:tcW w:w="280" w:type="dxa"/>
            <w:vAlign w:val="bottom"/>
            <w:tcBorders>
              <w:top w:val="single" w:sz="8" w:color="auto"/>
            </w:tcBorders>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100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June 30, 2017</w:t>
            </w:r>
          </w:p>
        </w:tc>
        <w:tc>
          <w:tcPr>
            <w:tcW w:w="14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tcPr>
          <w:p>
            <w:pPr>
              <w:ind w:left="100"/>
              <w:spacing w:after="0"/>
              <w:rPr>
                <w:sz w:val="20"/>
                <w:szCs w:val="20"/>
                <w:color w:val="auto"/>
              </w:rPr>
            </w:pPr>
            <w:r>
              <w:rPr>
                <w:rFonts w:ascii="Arial" w:cs="Arial" w:eastAsia="Arial" w:hAnsi="Arial"/>
                <w:sz w:val="12"/>
                <w:szCs w:val="12"/>
                <w:color w:val="auto"/>
              </w:rPr>
              <w:t>Marketable securities</w:t>
            </w:r>
          </w:p>
        </w:tc>
        <w:tc>
          <w:tcPr>
            <w:tcW w:w="1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shd w:val="clear" w:color="auto" w:fill="CCEEFF"/>
          </w:tcPr>
          <w:p>
            <w:pPr>
              <w:ind w:left="220"/>
              <w:spacing w:after="0"/>
              <w:rPr>
                <w:sz w:val="20"/>
                <w:szCs w:val="20"/>
                <w:color w:val="auto"/>
              </w:rPr>
            </w:pPr>
            <w:r>
              <w:rPr>
                <w:rFonts w:ascii="Arial" w:cs="Arial" w:eastAsia="Arial" w:hAnsi="Arial"/>
                <w:sz w:val="12"/>
                <w:szCs w:val="12"/>
                <w:color w:val="auto"/>
              </w:rPr>
              <w:t>U.S. government and municipal obligations</w:t>
            </w:r>
          </w:p>
        </w:tc>
        <w:tc>
          <w:tcPr>
            <w:tcW w:w="14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tcPr>
          <w:p>
            <w:pPr>
              <w:ind w:left="340"/>
              <w:spacing w:after="0"/>
              <w:rPr>
                <w:sz w:val="20"/>
                <w:szCs w:val="20"/>
                <w:color w:val="auto"/>
              </w:rPr>
            </w:pPr>
            <w:r>
              <w:rPr>
                <w:rFonts w:ascii="Arial" w:cs="Arial" w:eastAsia="Arial" w:hAnsi="Arial"/>
                <w:sz w:val="12"/>
                <w:szCs w:val="12"/>
                <w:color w:val="auto"/>
              </w:rPr>
              <w:t>Maturing in one year or less</w:t>
            </w:r>
          </w:p>
        </w:tc>
        <w:tc>
          <w:tcPr>
            <w:tcW w:w="2300" w:type="dxa"/>
            <w:vAlign w:val="bottom"/>
            <w:gridSpan w:val="2"/>
          </w:tcPr>
          <w:p>
            <w:pPr>
              <w:jc w:val="right"/>
              <w:ind w:right="751"/>
              <w:spacing w:after="0"/>
              <w:rPr>
                <w:sz w:val="20"/>
                <w:szCs w:val="20"/>
                <w:color w:val="auto"/>
              </w:rPr>
            </w:pPr>
            <w:r>
              <w:rPr>
                <w:rFonts w:ascii="Arial" w:cs="Arial" w:eastAsia="Arial" w:hAnsi="Arial"/>
                <w:sz w:val="12"/>
                <w:szCs w:val="12"/>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2"/>
                <w:szCs w:val="12"/>
                <w:color w:val="auto"/>
              </w:rPr>
              <w:t>18,253</w:t>
            </w:r>
          </w:p>
        </w:tc>
        <w:tc>
          <w:tcPr>
            <w:tcW w:w="1120" w:type="dxa"/>
            <w:vAlign w:val="bottom"/>
            <w:gridSpan w:val="2"/>
          </w:tcPr>
          <w:p>
            <w:pPr>
              <w:jc w:val="right"/>
              <w:ind w:right="871"/>
              <w:spacing w:after="0"/>
              <w:rPr>
                <w:sz w:val="20"/>
                <w:szCs w:val="20"/>
                <w:color w:val="auto"/>
              </w:rPr>
            </w:pPr>
            <w:r>
              <w:rPr>
                <w:rFonts w:ascii="Arial" w:cs="Arial" w:eastAsia="Arial" w:hAnsi="Arial"/>
                <w:sz w:val="12"/>
                <w:szCs w:val="12"/>
                <w:color w:val="auto"/>
              </w:rPr>
              <w:t>$</w:t>
            </w:r>
          </w:p>
        </w:tc>
        <w:tc>
          <w:tcPr>
            <w:tcW w:w="440" w:type="dxa"/>
            <w:vAlign w:val="bottom"/>
            <w:gridSpan w:val="2"/>
          </w:tcPr>
          <w:p>
            <w:pPr>
              <w:jc w:val="right"/>
              <w:ind w:right="140"/>
              <w:spacing w:after="0"/>
              <w:rPr>
                <w:sz w:val="20"/>
                <w:szCs w:val="20"/>
                <w:color w:val="auto"/>
              </w:rPr>
            </w:pPr>
            <w:r>
              <w:rPr>
                <w:rFonts w:ascii="Arial" w:cs="Arial" w:eastAsia="Arial" w:hAnsi="Arial"/>
                <w:sz w:val="12"/>
                <w:szCs w:val="12"/>
                <w:color w:val="auto"/>
              </w:rPr>
              <w:t>7</w:t>
            </w:r>
          </w:p>
        </w:tc>
        <w:tc>
          <w:tcPr>
            <w:tcW w:w="1140" w:type="dxa"/>
            <w:vAlign w:val="bottom"/>
            <w:gridSpan w:val="2"/>
          </w:tcPr>
          <w:p>
            <w:pPr>
              <w:jc w:val="right"/>
              <w:ind w:right="891"/>
              <w:spacing w:after="0"/>
              <w:rPr>
                <w:sz w:val="20"/>
                <w:szCs w:val="20"/>
                <w:color w:val="auto"/>
              </w:rPr>
            </w:pPr>
            <w:r>
              <w:rPr>
                <w:rFonts w:ascii="Arial" w:cs="Arial" w:eastAsia="Arial" w:hAnsi="Arial"/>
                <w:sz w:val="12"/>
                <w:szCs w:val="12"/>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12"/>
                <w:szCs w:val="12"/>
                <w:color w:val="auto"/>
              </w:rPr>
              <w:t>(6)</w:t>
            </w:r>
          </w:p>
        </w:tc>
        <w:tc>
          <w:tcPr>
            <w:tcW w:w="360" w:type="dxa"/>
            <w:vAlign w:val="bottom"/>
            <w:gridSpan w:val="2"/>
          </w:tcPr>
          <w:p>
            <w:pPr>
              <w:jc w:val="right"/>
              <w:ind w:right="13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2"/>
                <w:szCs w:val="12"/>
                <w:color w:val="auto"/>
              </w:rPr>
              <w:t>18,254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shd w:val="clear" w:color="auto" w:fill="CCEEFF"/>
          </w:tcPr>
          <w:p>
            <w:pPr>
              <w:ind w:left="340"/>
              <w:spacing w:after="0"/>
              <w:rPr>
                <w:sz w:val="20"/>
                <w:szCs w:val="20"/>
                <w:color w:val="auto"/>
              </w:rPr>
            </w:pPr>
            <w:r>
              <w:rPr>
                <w:rFonts w:ascii="Arial" w:cs="Arial" w:eastAsia="Arial" w:hAnsi="Arial"/>
                <w:sz w:val="12"/>
                <w:szCs w:val="12"/>
                <w:color w:val="auto"/>
              </w:rPr>
              <w:t>Maturing after one year through three years</w:t>
            </w:r>
          </w:p>
        </w:tc>
        <w:tc>
          <w:tcPr>
            <w:tcW w:w="14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vMerge w:val="restart"/>
          </w:tcPr>
          <w:p>
            <w:pPr>
              <w:ind w:left="220"/>
              <w:spacing w:after="0"/>
              <w:rPr>
                <w:sz w:val="20"/>
                <w:szCs w:val="20"/>
                <w:color w:val="auto"/>
              </w:rPr>
            </w:pPr>
            <w:r>
              <w:rPr>
                <w:rFonts w:ascii="Arial" w:cs="Arial" w:eastAsia="Arial" w:hAnsi="Arial"/>
                <w:sz w:val="12"/>
                <w:szCs w:val="12"/>
                <w:color w:val="auto"/>
              </w:rPr>
              <w:t>Total U.S. government and municipal obligations</w:t>
            </w:r>
          </w:p>
        </w:tc>
        <w:tc>
          <w:tcPr>
            <w:tcW w:w="144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400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860" w:type="dxa"/>
            <w:vAlign w:val="bottom"/>
          </w:tcPr>
          <w:p>
            <w:pPr>
              <w:jc w:val="right"/>
              <w:ind w:right="751"/>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line="133" w:lineRule="exact"/>
              <w:rPr>
                <w:sz w:val="20"/>
                <w:szCs w:val="20"/>
                <w:color w:val="auto"/>
              </w:rPr>
            </w:pPr>
            <w:r>
              <w:rPr>
                <w:rFonts w:ascii="Arial" w:cs="Arial" w:eastAsia="Arial" w:hAnsi="Arial"/>
                <w:sz w:val="12"/>
                <w:szCs w:val="12"/>
                <w:color w:val="auto"/>
              </w:rPr>
              <w:t>18,253</w:t>
            </w:r>
          </w:p>
        </w:tc>
        <w:tc>
          <w:tcPr>
            <w:tcW w:w="140" w:type="dxa"/>
            <w:vAlign w:val="bottom"/>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980" w:type="dxa"/>
            <w:vAlign w:val="bottom"/>
          </w:tcPr>
          <w:p>
            <w:pPr>
              <w:jc w:val="right"/>
              <w:ind w:right="871"/>
              <w:spacing w:after="0"/>
              <w:rPr>
                <w:sz w:val="20"/>
                <w:szCs w:val="20"/>
                <w:color w:val="auto"/>
              </w:rPr>
            </w:pPr>
            <w:r>
              <w:rPr>
                <w:rFonts w:ascii="Arial" w:cs="Arial" w:eastAsia="Arial" w:hAnsi="Arial"/>
                <w:sz w:val="10"/>
                <w:szCs w:val="10"/>
                <w:color w:val="auto"/>
                <w:w w:val="71"/>
              </w:rPr>
              <w:t>$</w:t>
            </w:r>
          </w:p>
        </w:tc>
        <w:tc>
          <w:tcPr>
            <w:tcW w:w="300" w:type="dxa"/>
            <w:vAlign w:val="bottom"/>
          </w:tcPr>
          <w:p>
            <w:pPr>
              <w:jc w:val="right"/>
              <w:spacing w:after="0" w:line="133" w:lineRule="exact"/>
              <w:rPr>
                <w:sz w:val="20"/>
                <w:szCs w:val="20"/>
                <w:color w:val="auto"/>
              </w:rPr>
            </w:pPr>
            <w:r>
              <w:rPr>
                <w:rFonts w:ascii="Arial" w:cs="Arial" w:eastAsia="Arial" w:hAnsi="Arial"/>
                <w:sz w:val="12"/>
                <w:szCs w:val="12"/>
                <w:color w:val="auto"/>
              </w:rPr>
              <w:t>7</w:t>
            </w:r>
          </w:p>
        </w:tc>
        <w:tc>
          <w:tcPr>
            <w:tcW w:w="140" w:type="dxa"/>
            <w:vAlign w:val="bottom"/>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1000" w:type="dxa"/>
            <w:vAlign w:val="bottom"/>
          </w:tcPr>
          <w:p>
            <w:pPr>
              <w:jc w:val="right"/>
              <w:ind w:right="891"/>
              <w:spacing w:after="0"/>
              <w:rPr>
                <w:sz w:val="20"/>
                <w:szCs w:val="20"/>
                <w:color w:val="auto"/>
              </w:rPr>
            </w:pPr>
            <w:r>
              <w:rPr>
                <w:rFonts w:ascii="Arial" w:cs="Arial" w:eastAsia="Arial" w:hAnsi="Arial"/>
                <w:sz w:val="10"/>
                <w:szCs w:val="10"/>
                <w:color w:val="auto"/>
                <w:w w:val="71"/>
              </w:rPr>
              <w:t>$</w:t>
            </w:r>
          </w:p>
        </w:tc>
        <w:tc>
          <w:tcPr>
            <w:tcW w:w="440" w:type="dxa"/>
            <w:vAlign w:val="bottom"/>
            <w:gridSpan w:val="2"/>
          </w:tcPr>
          <w:p>
            <w:pPr>
              <w:jc w:val="right"/>
              <w:ind w:right="80"/>
              <w:spacing w:after="0" w:line="133" w:lineRule="exact"/>
              <w:rPr>
                <w:sz w:val="20"/>
                <w:szCs w:val="20"/>
                <w:color w:val="auto"/>
              </w:rPr>
            </w:pPr>
            <w:r>
              <w:rPr>
                <w:rFonts w:ascii="Arial" w:cs="Arial" w:eastAsia="Arial" w:hAnsi="Arial"/>
                <w:sz w:val="12"/>
                <w:szCs w:val="12"/>
                <w:color w:val="auto"/>
              </w:rPr>
              <w:t>(6)</w:t>
            </w:r>
          </w:p>
        </w:tc>
        <w:tc>
          <w:tcPr>
            <w:tcW w:w="120" w:type="dxa"/>
            <w:vAlign w:val="bottom"/>
            <w:vMerge w:val="continue"/>
          </w:tcPr>
          <w:p>
            <w:pPr>
              <w:spacing w:after="0"/>
              <w:rPr>
                <w:sz w:val="11"/>
                <w:szCs w:val="11"/>
                <w:color w:val="auto"/>
              </w:rPr>
            </w:pP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line="133" w:lineRule="exact"/>
              <w:rPr>
                <w:sz w:val="20"/>
                <w:szCs w:val="20"/>
                <w:color w:val="auto"/>
              </w:rPr>
            </w:pPr>
            <w:r>
              <w:rPr>
                <w:rFonts w:ascii="Arial" w:cs="Arial" w:eastAsia="Arial" w:hAnsi="Arial"/>
                <w:sz w:val="12"/>
                <w:szCs w:val="12"/>
                <w:color w:val="auto"/>
              </w:rPr>
              <w:t>18,254</w:t>
            </w:r>
          </w:p>
        </w:tc>
        <w:tc>
          <w:tcPr>
            <w:tcW w:w="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000" w:type="dxa"/>
            <w:vAlign w:val="bottom"/>
            <w:tcBorders>
              <w:top w:val="single" w:sz="8" w:color="CCEEFF"/>
            </w:tcBorders>
            <w:shd w:val="clear" w:color="auto" w:fill="CCEEFF"/>
          </w:tcPr>
          <w:p>
            <w:pPr>
              <w:ind w:left="220"/>
              <w:spacing w:after="0" w:line="124" w:lineRule="exact"/>
              <w:rPr>
                <w:sz w:val="20"/>
                <w:szCs w:val="20"/>
                <w:color w:val="auto"/>
              </w:rPr>
            </w:pPr>
            <w:r>
              <w:rPr>
                <w:rFonts w:ascii="Arial" w:cs="Arial" w:eastAsia="Arial" w:hAnsi="Arial"/>
                <w:sz w:val="12"/>
                <w:szCs w:val="12"/>
                <w:color w:val="auto"/>
              </w:rPr>
              <w:t>Corporate debt securities</w:t>
            </w:r>
          </w:p>
        </w:tc>
        <w:tc>
          <w:tcPr>
            <w:tcW w:w="1440" w:type="dxa"/>
            <w:vAlign w:val="bottom"/>
            <w:tcBorders>
              <w:top w:val="single" w:sz="8" w:color="CCEEFF"/>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98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00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10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tcPr>
          <w:p>
            <w:pPr>
              <w:ind w:left="340"/>
              <w:spacing w:after="0"/>
              <w:rPr>
                <w:sz w:val="20"/>
                <w:szCs w:val="20"/>
                <w:color w:val="auto"/>
              </w:rPr>
            </w:pPr>
            <w:r>
              <w:rPr>
                <w:rFonts w:ascii="Arial" w:cs="Arial" w:eastAsia="Arial" w:hAnsi="Arial"/>
                <w:sz w:val="12"/>
                <w:szCs w:val="12"/>
                <w:color w:val="auto"/>
              </w:rPr>
              <w:t>Maturing in one year or less</w:t>
            </w:r>
          </w:p>
        </w:tc>
        <w:tc>
          <w:tcPr>
            <w:tcW w:w="2300" w:type="dxa"/>
            <w:vAlign w:val="bottom"/>
            <w:gridSpan w:val="2"/>
          </w:tcPr>
          <w:p>
            <w:pPr>
              <w:jc w:val="right"/>
              <w:ind w:right="751"/>
              <w:spacing w:after="0"/>
              <w:rPr>
                <w:sz w:val="20"/>
                <w:szCs w:val="20"/>
                <w:color w:val="auto"/>
              </w:rPr>
            </w:pPr>
            <w:r>
              <w:rPr>
                <w:rFonts w:ascii="Arial" w:cs="Arial" w:eastAsia="Arial" w:hAnsi="Arial"/>
                <w:sz w:val="12"/>
                <w:szCs w:val="12"/>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2"/>
                <w:szCs w:val="12"/>
                <w:color w:val="auto"/>
              </w:rPr>
              <w:t>69,588</w:t>
            </w:r>
          </w:p>
        </w:tc>
        <w:tc>
          <w:tcPr>
            <w:tcW w:w="1120" w:type="dxa"/>
            <w:vAlign w:val="bottom"/>
            <w:gridSpan w:val="2"/>
          </w:tcPr>
          <w:p>
            <w:pPr>
              <w:jc w:val="right"/>
              <w:ind w:right="871"/>
              <w:spacing w:after="0"/>
              <w:rPr>
                <w:sz w:val="20"/>
                <w:szCs w:val="20"/>
                <w:color w:val="auto"/>
              </w:rPr>
            </w:pPr>
            <w:r>
              <w:rPr>
                <w:rFonts w:ascii="Arial" w:cs="Arial" w:eastAsia="Arial" w:hAnsi="Arial"/>
                <w:sz w:val="12"/>
                <w:szCs w:val="12"/>
                <w:color w:val="auto"/>
              </w:rPr>
              <w:t>$</w:t>
            </w:r>
          </w:p>
        </w:tc>
        <w:tc>
          <w:tcPr>
            <w:tcW w:w="440" w:type="dxa"/>
            <w:vAlign w:val="bottom"/>
            <w:gridSpan w:val="2"/>
          </w:tcPr>
          <w:p>
            <w:pPr>
              <w:jc w:val="right"/>
              <w:ind w:right="140"/>
              <w:spacing w:after="0"/>
              <w:rPr>
                <w:sz w:val="20"/>
                <w:szCs w:val="20"/>
                <w:color w:val="auto"/>
              </w:rPr>
            </w:pPr>
            <w:r>
              <w:rPr>
                <w:rFonts w:ascii="Arial" w:cs="Arial" w:eastAsia="Arial" w:hAnsi="Arial"/>
                <w:sz w:val="12"/>
                <w:szCs w:val="12"/>
                <w:color w:val="auto"/>
              </w:rPr>
              <w:t>2</w:t>
            </w:r>
          </w:p>
        </w:tc>
        <w:tc>
          <w:tcPr>
            <w:tcW w:w="1140" w:type="dxa"/>
            <w:vAlign w:val="bottom"/>
            <w:gridSpan w:val="2"/>
          </w:tcPr>
          <w:p>
            <w:pPr>
              <w:jc w:val="right"/>
              <w:ind w:right="891"/>
              <w:spacing w:after="0"/>
              <w:rPr>
                <w:sz w:val="20"/>
                <w:szCs w:val="20"/>
                <w:color w:val="auto"/>
              </w:rPr>
            </w:pPr>
            <w:r>
              <w:rPr>
                <w:rFonts w:ascii="Arial" w:cs="Arial" w:eastAsia="Arial" w:hAnsi="Arial"/>
                <w:sz w:val="12"/>
                <w:szCs w:val="12"/>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12"/>
                <w:szCs w:val="12"/>
                <w:color w:val="auto"/>
              </w:rPr>
              <w:t>(22)</w:t>
            </w:r>
          </w:p>
        </w:tc>
        <w:tc>
          <w:tcPr>
            <w:tcW w:w="360" w:type="dxa"/>
            <w:vAlign w:val="bottom"/>
            <w:gridSpan w:val="2"/>
          </w:tcPr>
          <w:p>
            <w:pPr>
              <w:jc w:val="right"/>
              <w:ind w:right="13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2"/>
                <w:szCs w:val="12"/>
                <w:color w:val="auto"/>
              </w:rPr>
              <w:t>69,568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shd w:val="clear" w:color="auto" w:fill="CCEEFF"/>
          </w:tcPr>
          <w:p>
            <w:pPr>
              <w:ind w:left="340"/>
              <w:spacing w:after="0"/>
              <w:rPr>
                <w:sz w:val="20"/>
                <w:szCs w:val="20"/>
                <w:color w:val="auto"/>
              </w:rPr>
            </w:pPr>
            <w:r>
              <w:rPr>
                <w:rFonts w:ascii="Arial" w:cs="Arial" w:eastAsia="Arial" w:hAnsi="Arial"/>
                <w:sz w:val="12"/>
                <w:szCs w:val="12"/>
                <w:color w:val="auto"/>
              </w:rPr>
              <w:t>Maturing after one year through three years</w:t>
            </w:r>
          </w:p>
        </w:tc>
        <w:tc>
          <w:tcPr>
            <w:tcW w:w="14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000" w:type="dxa"/>
            <w:vAlign w:val="bottom"/>
            <w:tcBorders>
              <w:bottom w:val="single" w:sz="8" w:color="CCEEFF"/>
            </w:tcBorders>
          </w:tcPr>
          <w:p>
            <w:pPr>
              <w:ind w:left="220"/>
              <w:spacing w:after="0" w:line="133" w:lineRule="exact"/>
              <w:rPr>
                <w:sz w:val="20"/>
                <w:szCs w:val="20"/>
                <w:color w:val="auto"/>
              </w:rPr>
            </w:pPr>
            <w:r>
              <w:rPr>
                <w:rFonts w:ascii="Arial" w:cs="Arial" w:eastAsia="Arial" w:hAnsi="Arial"/>
                <w:sz w:val="12"/>
                <w:szCs w:val="12"/>
                <w:color w:val="auto"/>
              </w:rPr>
              <w:t>Total corporate debt securities</w:t>
            </w:r>
          </w:p>
        </w:tc>
        <w:tc>
          <w:tcPr>
            <w:tcW w:w="1440" w:type="dxa"/>
            <w:vAlign w:val="bottom"/>
            <w:tcBorders>
              <w:bottom w:val="single" w:sz="8" w:color="CCEEFF"/>
            </w:tcBorders>
          </w:tcPr>
          <w:p>
            <w:pPr>
              <w:spacing w:after="0"/>
              <w:rPr>
                <w:sz w:val="11"/>
                <w:szCs w:val="11"/>
                <w:color w:val="auto"/>
              </w:rPr>
            </w:pPr>
          </w:p>
        </w:tc>
        <w:tc>
          <w:tcPr>
            <w:tcW w:w="860" w:type="dxa"/>
            <w:vAlign w:val="bottom"/>
            <w:tcBorders>
              <w:top w:val="single" w:sz="8" w:color="auto"/>
              <w:bottom w:val="single" w:sz="8" w:color="auto"/>
            </w:tcBorders>
          </w:tcPr>
          <w:p>
            <w:pPr>
              <w:jc w:val="right"/>
              <w:ind w:right="751"/>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69,588</w:t>
            </w:r>
          </w:p>
        </w:tc>
        <w:tc>
          <w:tcPr>
            <w:tcW w:w="14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980" w:type="dxa"/>
            <w:vAlign w:val="bottom"/>
            <w:tcBorders>
              <w:top w:val="single" w:sz="8" w:color="auto"/>
              <w:bottom w:val="single" w:sz="8" w:color="auto"/>
            </w:tcBorders>
          </w:tcPr>
          <w:p>
            <w:pPr>
              <w:jc w:val="right"/>
              <w:ind w:right="871"/>
              <w:spacing w:after="0"/>
              <w:rPr>
                <w:sz w:val="20"/>
                <w:szCs w:val="20"/>
                <w:color w:val="auto"/>
              </w:rPr>
            </w:pPr>
            <w:r>
              <w:rPr>
                <w:rFonts w:ascii="Arial" w:cs="Arial" w:eastAsia="Arial" w:hAnsi="Arial"/>
                <w:sz w:val="10"/>
                <w:szCs w:val="10"/>
                <w:color w:val="auto"/>
                <w:w w:val="71"/>
              </w:rPr>
              <w:t>$</w:t>
            </w:r>
          </w:p>
        </w:tc>
        <w:tc>
          <w:tcPr>
            <w:tcW w:w="30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2</w:t>
            </w:r>
          </w:p>
        </w:tc>
        <w:tc>
          <w:tcPr>
            <w:tcW w:w="14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000" w:type="dxa"/>
            <w:vAlign w:val="bottom"/>
            <w:tcBorders>
              <w:top w:val="single" w:sz="8" w:color="auto"/>
              <w:bottom w:val="single" w:sz="8" w:color="auto"/>
            </w:tcBorders>
          </w:tcPr>
          <w:p>
            <w:pPr>
              <w:jc w:val="right"/>
              <w:ind w:right="891"/>
              <w:spacing w:after="0"/>
              <w:rPr>
                <w:sz w:val="20"/>
                <w:szCs w:val="20"/>
                <w:color w:val="auto"/>
              </w:rPr>
            </w:pPr>
            <w:r>
              <w:rPr>
                <w:rFonts w:ascii="Arial" w:cs="Arial" w:eastAsia="Arial" w:hAnsi="Arial"/>
                <w:sz w:val="10"/>
                <w:szCs w:val="10"/>
                <w:color w:val="auto"/>
                <w:w w:val="71"/>
              </w:rPr>
              <w:t>$</w:t>
            </w:r>
          </w:p>
        </w:tc>
        <w:tc>
          <w:tcPr>
            <w:tcW w:w="28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(22)</w:t>
            </w:r>
          </w:p>
        </w:tc>
        <w:tc>
          <w:tcPr>
            <w:tcW w:w="16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69,568</w:t>
            </w:r>
          </w:p>
        </w:tc>
        <w:tc>
          <w:tcPr>
            <w:tcW w:w="1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000" w:type="dxa"/>
            <w:vAlign w:val="bottom"/>
            <w:tcBorders>
              <w:bottom w:val="single" w:sz="8" w:color="CCEEFF"/>
            </w:tcBorders>
            <w:shd w:val="clear" w:color="auto" w:fill="CCEEFF"/>
          </w:tcPr>
          <w:p>
            <w:pPr>
              <w:ind w:left="100"/>
              <w:spacing w:after="0" w:line="133" w:lineRule="exact"/>
              <w:rPr>
                <w:sz w:val="20"/>
                <w:szCs w:val="20"/>
                <w:color w:val="auto"/>
              </w:rPr>
            </w:pPr>
            <w:r>
              <w:rPr>
                <w:rFonts w:ascii="Arial" w:cs="Arial" w:eastAsia="Arial" w:hAnsi="Arial"/>
                <w:sz w:val="12"/>
                <w:szCs w:val="12"/>
                <w:color w:val="auto"/>
              </w:rPr>
              <w:t>Total marketable securities</w:t>
            </w:r>
          </w:p>
        </w:tc>
        <w:tc>
          <w:tcPr>
            <w:tcW w:w="144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ind w:right="751"/>
              <w:spacing w:after="0"/>
              <w:rPr>
                <w:sz w:val="20"/>
                <w:szCs w:val="20"/>
                <w:color w:val="auto"/>
              </w:rPr>
            </w:pPr>
            <w:r>
              <w:rPr>
                <w:rFonts w:ascii="Arial" w:cs="Arial" w:eastAsia="Arial" w:hAnsi="Arial"/>
                <w:sz w:val="10"/>
                <w:szCs w:val="10"/>
                <w:color w:val="auto"/>
                <w:w w:val="71"/>
              </w:rPr>
              <w:t>$</w:t>
            </w:r>
          </w:p>
        </w:tc>
        <w:tc>
          <w:tcPr>
            <w:tcW w:w="40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87,841</w:t>
            </w:r>
          </w:p>
        </w:tc>
        <w:tc>
          <w:tcPr>
            <w:tcW w:w="1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ind w:right="871"/>
              <w:spacing w:after="0"/>
              <w:rPr>
                <w:sz w:val="20"/>
                <w:szCs w:val="20"/>
                <w:color w:val="auto"/>
              </w:rPr>
            </w:pPr>
            <w:r>
              <w:rPr>
                <w:rFonts w:ascii="Arial" w:cs="Arial" w:eastAsia="Arial" w:hAnsi="Arial"/>
                <w:sz w:val="10"/>
                <w:szCs w:val="10"/>
                <w:color w:val="auto"/>
                <w:w w:val="71"/>
              </w:rPr>
              <w:t>$</w:t>
            </w:r>
          </w:p>
        </w:tc>
        <w:tc>
          <w:tcPr>
            <w:tcW w:w="30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9</w:t>
            </w:r>
          </w:p>
        </w:tc>
        <w:tc>
          <w:tcPr>
            <w:tcW w:w="1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ind w:right="891"/>
              <w:spacing w:after="0"/>
              <w:rPr>
                <w:sz w:val="20"/>
                <w:szCs w:val="20"/>
                <w:color w:val="auto"/>
              </w:rPr>
            </w:pPr>
            <w:r>
              <w:rPr>
                <w:rFonts w:ascii="Arial" w:cs="Arial" w:eastAsia="Arial" w:hAnsi="Arial"/>
                <w:sz w:val="10"/>
                <w:szCs w:val="10"/>
                <w:color w:val="auto"/>
                <w:w w:val="71"/>
              </w:rPr>
              <w:t>$</w:t>
            </w:r>
          </w:p>
        </w:tc>
        <w:tc>
          <w:tcPr>
            <w:tcW w:w="28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(28)</w:t>
            </w:r>
          </w:p>
        </w:tc>
        <w:tc>
          <w:tcPr>
            <w:tcW w:w="1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87,822</w:t>
            </w:r>
          </w:p>
        </w:tc>
        <w:tc>
          <w:tcPr>
            <w:tcW w:w="1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40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December 31, 2016</w:t>
            </w:r>
          </w:p>
        </w:tc>
        <w:tc>
          <w:tcPr>
            <w:tcW w:w="14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tcPr>
          <w:p>
            <w:pPr>
              <w:ind w:left="100"/>
              <w:spacing w:after="0"/>
              <w:rPr>
                <w:sz w:val="20"/>
                <w:szCs w:val="20"/>
                <w:color w:val="auto"/>
              </w:rPr>
            </w:pPr>
            <w:r>
              <w:rPr>
                <w:rFonts w:ascii="Arial" w:cs="Arial" w:eastAsia="Arial" w:hAnsi="Arial"/>
                <w:sz w:val="12"/>
                <w:szCs w:val="12"/>
                <w:color w:val="auto"/>
              </w:rPr>
              <w:t>Marketable securities</w:t>
            </w:r>
          </w:p>
        </w:tc>
        <w:tc>
          <w:tcPr>
            <w:tcW w:w="1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shd w:val="clear" w:color="auto" w:fill="CCEEFF"/>
          </w:tcPr>
          <w:p>
            <w:pPr>
              <w:ind w:left="220"/>
              <w:spacing w:after="0"/>
              <w:rPr>
                <w:sz w:val="20"/>
                <w:szCs w:val="20"/>
                <w:color w:val="auto"/>
              </w:rPr>
            </w:pPr>
            <w:r>
              <w:rPr>
                <w:rFonts w:ascii="Arial" w:cs="Arial" w:eastAsia="Arial" w:hAnsi="Arial"/>
                <w:sz w:val="12"/>
                <w:szCs w:val="12"/>
                <w:color w:val="auto"/>
              </w:rPr>
              <w:t>U.S. government and municipal obligations</w:t>
            </w:r>
          </w:p>
        </w:tc>
        <w:tc>
          <w:tcPr>
            <w:tcW w:w="14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tcPr>
          <w:p>
            <w:pPr>
              <w:ind w:left="340"/>
              <w:spacing w:after="0"/>
              <w:rPr>
                <w:sz w:val="20"/>
                <w:szCs w:val="20"/>
                <w:color w:val="auto"/>
              </w:rPr>
            </w:pPr>
            <w:r>
              <w:rPr>
                <w:rFonts w:ascii="Arial" w:cs="Arial" w:eastAsia="Arial" w:hAnsi="Arial"/>
                <w:sz w:val="12"/>
                <w:szCs w:val="12"/>
                <w:color w:val="auto"/>
              </w:rPr>
              <w:t>Maturing in one year or less</w:t>
            </w:r>
          </w:p>
        </w:tc>
        <w:tc>
          <w:tcPr>
            <w:tcW w:w="2300" w:type="dxa"/>
            <w:vAlign w:val="bottom"/>
            <w:gridSpan w:val="2"/>
          </w:tcPr>
          <w:p>
            <w:pPr>
              <w:jc w:val="right"/>
              <w:ind w:right="751"/>
              <w:spacing w:after="0"/>
              <w:rPr>
                <w:sz w:val="20"/>
                <w:szCs w:val="20"/>
                <w:color w:val="auto"/>
              </w:rPr>
            </w:pPr>
            <w:r>
              <w:rPr>
                <w:rFonts w:ascii="Arial" w:cs="Arial" w:eastAsia="Arial" w:hAnsi="Arial"/>
                <w:sz w:val="12"/>
                <w:szCs w:val="12"/>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2"/>
                <w:szCs w:val="12"/>
                <w:color w:val="auto"/>
              </w:rPr>
              <w:t>52,754</w:t>
            </w:r>
          </w:p>
        </w:tc>
        <w:tc>
          <w:tcPr>
            <w:tcW w:w="1120" w:type="dxa"/>
            <w:vAlign w:val="bottom"/>
            <w:gridSpan w:val="2"/>
          </w:tcPr>
          <w:p>
            <w:pPr>
              <w:jc w:val="right"/>
              <w:ind w:right="871"/>
              <w:spacing w:after="0"/>
              <w:rPr>
                <w:sz w:val="20"/>
                <w:szCs w:val="20"/>
                <w:color w:val="auto"/>
              </w:rPr>
            </w:pPr>
            <w:r>
              <w:rPr>
                <w:rFonts w:ascii="Arial" w:cs="Arial" w:eastAsia="Arial" w:hAnsi="Arial"/>
                <w:sz w:val="12"/>
                <w:szCs w:val="12"/>
                <w:color w:val="auto"/>
              </w:rPr>
              <w:t>$</w:t>
            </w:r>
          </w:p>
        </w:tc>
        <w:tc>
          <w:tcPr>
            <w:tcW w:w="440" w:type="dxa"/>
            <w:vAlign w:val="bottom"/>
            <w:gridSpan w:val="2"/>
          </w:tcPr>
          <w:p>
            <w:pPr>
              <w:jc w:val="right"/>
              <w:ind w:right="140"/>
              <w:spacing w:after="0"/>
              <w:rPr>
                <w:sz w:val="20"/>
                <w:szCs w:val="20"/>
                <w:color w:val="auto"/>
              </w:rPr>
            </w:pPr>
            <w:r>
              <w:rPr>
                <w:rFonts w:ascii="Arial" w:cs="Arial" w:eastAsia="Arial" w:hAnsi="Arial"/>
                <w:sz w:val="12"/>
                <w:szCs w:val="12"/>
                <w:color w:val="auto"/>
              </w:rPr>
              <w:t>5</w:t>
            </w:r>
          </w:p>
        </w:tc>
        <w:tc>
          <w:tcPr>
            <w:tcW w:w="1140" w:type="dxa"/>
            <w:vAlign w:val="bottom"/>
            <w:gridSpan w:val="2"/>
          </w:tcPr>
          <w:p>
            <w:pPr>
              <w:jc w:val="right"/>
              <w:ind w:right="891"/>
              <w:spacing w:after="0"/>
              <w:rPr>
                <w:sz w:val="20"/>
                <w:szCs w:val="20"/>
                <w:color w:val="auto"/>
              </w:rPr>
            </w:pPr>
            <w:r>
              <w:rPr>
                <w:rFonts w:ascii="Arial" w:cs="Arial" w:eastAsia="Arial" w:hAnsi="Arial"/>
                <w:sz w:val="12"/>
                <w:szCs w:val="12"/>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12"/>
                <w:szCs w:val="12"/>
                <w:color w:val="auto"/>
              </w:rPr>
              <w:t>(12)</w:t>
            </w:r>
          </w:p>
        </w:tc>
        <w:tc>
          <w:tcPr>
            <w:tcW w:w="360" w:type="dxa"/>
            <w:vAlign w:val="bottom"/>
            <w:gridSpan w:val="2"/>
          </w:tcPr>
          <w:p>
            <w:pPr>
              <w:jc w:val="right"/>
              <w:ind w:right="13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2"/>
                <w:szCs w:val="12"/>
                <w:color w:val="auto"/>
              </w:rPr>
              <w:t>52,747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shd w:val="clear" w:color="auto" w:fill="CCEEFF"/>
          </w:tcPr>
          <w:p>
            <w:pPr>
              <w:ind w:left="340"/>
              <w:spacing w:after="0"/>
              <w:rPr>
                <w:sz w:val="20"/>
                <w:szCs w:val="20"/>
                <w:color w:val="auto"/>
              </w:rPr>
            </w:pPr>
            <w:r>
              <w:rPr>
                <w:rFonts w:ascii="Arial" w:cs="Arial" w:eastAsia="Arial" w:hAnsi="Arial"/>
                <w:sz w:val="12"/>
                <w:szCs w:val="12"/>
                <w:color w:val="auto"/>
              </w:rPr>
              <w:t>Maturing after one year through three years</w:t>
            </w:r>
          </w:p>
        </w:tc>
        <w:tc>
          <w:tcPr>
            <w:tcW w:w="14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296</w:t>
            </w: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8</w:t>
            </w: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304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000" w:type="dxa"/>
            <w:vAlign w:val="bottom"/>
            <w:tcBorders>
              <w:bottom w:val="single" w:sz="8" w:color="CCEEFF"/>
            </w:tcBorders>
          </w:tcPr>
          <w:p>
            <w:pPr>
              <w:ind w:left="220"/>
              <w:spacing w:after="0" w:line="133" w:lineRule="exact"/>
              <w:rPr>
                <w:sz w:val="20"/>
                <w:szCs w:val="20"/>
                <w:color w:val="auto"/>
              </w:rPr>
            </w:pPr>
            <w:r>
              <w:rPr>
                <w:rFonts w:ascii="Arial" w:cs="Arial" w:eastAsia="Arial" w:hAnsi="Arial"/>
                <w:sz w:val="12"/>
                <w:szCs w:val="12"/>
                <w:color w:val="auto"/>
              </w:rPr>
              <w:t>Total U.S. government and municipal obligations</w:t>
            </w:r>
          </w:p>
        </w:tc>
        <w:tc>
          <w:tcPr>
            <w:tcW w:w="1440" w:type="dxa"/>
            <w:vAlign w:val="bottom"/>
            <w:tcBorders>
              <w:bottom w:val="single" w:sz="8" w:color="CCEEFF"/>
            </w:tcBorders>
          </w:tcPr>
          <w:p>
            <w:pPr>
              <w:spacing w:after="0"/>
              <w:rPr>
                <w:sz w:val="11"/>
                <w:szCs w:val="11"/>
                <w:color w:val="auto"/>
              </w:rPr>
            </w:pPr>
          </w:p>
        </w:tc>
        <w:tc>
          <w:tcPr>
            <w:tcW w:w="860" w:type="dxa"/>
            <w:vAlign w:val="bottom"/>
            <w:tcBorders>
              <w:top w:val="single" w:sz="8" w:color="auto"/>
              <w:bottom w:val="single" w:sz="8" w:color="auto"/>
            </w:tcBorders>
          </w:tcPr>
          <w:p>
            <w:pPr>
              <w:jc w:val="right"/>
              <w:ind w:right="751"/>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53,050</w:t>
            </w:r>
          </w:p>
        </w:tc>
        <w:tc>
          <w:tcPr>
            <w:tcW w:w="14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980" w:type="dxa"/>
            <w:vAlign w:val="bottom"/>
            <w:tcBorders>
              <w:top w:val="single" w:sz="8" w:color="auto"/>
              <w:bottom w:val="single" w:sz="8" w:color="auto"/>
            </w:tcBorders>
          </w:tcPr>
          <w:p>
            <w:pPr>
              <w:jc w:val="right"/>
              <w:ind w:right="871"/>
              <w:spacing w:after="0"/>
              <w:rPr>
                <w:sz w:val="20"/>
                <w:szCs w:val="20"/>
                <w:color w:val="auto"/>
              </w:rPr>
            </w:pPr>
            <w:r>
              <w:rPr>
                <w:rFonts w:ascii="Arial" w:cs="Arial" w:eastAsia="Arial" w:hAnsi="Arial"/>
                <w:sz w:val="10"/>
                <w:szCs w:val="10"/>
                <w:color w:val="auto"/>
                <w:w w:val="71"/>
              </w:rPr>
              <w:t>$</w:t>
            </w:r>
          </w:p>
        </w:tc>
        <w:tc>
          <w:tcPr>
            <w:tcW w:w="30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13</w:t>
            </w:r>
          </w:p>
        </w:tc>
        <w:tc>
          <w:tcPr>
            <w:tcW w:w="14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000" w:type="dxa"/>
            <w:vAlign w:val="bottom"/>
            <w:tcBorders>
              <w:top w:val="single" w:sz="8" w:color="auto"/>
              <w:bottom w:val="single" w:sz="8" w:color="auto"/>
            </w:tcBorders>
          </w:tcPr>
          <w:p>
            <w:pPr>
              <w:jc w:val="right"/>
              <w:ind w:right="891"/>
              <w:spacing w:after="0"/>
              <w:rPr>
                <w:sz w:val="20"/>
                <w:szCs w:val="20"/>
                <w:color w:val="auto"/>
              </w:rPr>
            </w:pPr>
            <w:r>
              <w:rPr>
                <w:rFonts w:ascii="Arial" w:cs="Arial" w:eastAsia="Arial" w:hAnsi="Arial"/>
                <w:sz w:val="10"/>
                <w:szCs w:val="10"/>
                <w:color w:val="auto"/>
                <w:w w:val="71"/>
              </w:rPr>
              <w:t>$</w:t>
            </w:r>
          </w:p>
        </w:tc>
        <w:tc>
          <w:tcPr>
            <w:tcW w:w="28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(12)</w:t>
            </w:r>
          </w:p>
        </w:tc>
        <w:tc>
          <w:tcPr>
            <w:tcW w:w="16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53,051</w:t>
            </w:r>
          </w:p>
        </w:tc>
        <w:tc>
          <w:tcPr>
            <w:tcW w:w="1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000" w:type="dxa"/>
            <w:vAlign w:val="bottom"/>
            <w:shd w:val="clear" w:color="auto" w:fill="CCEEFF"/>
          </w:tcPr>
          <w:p>
            <w:pPr>
              <w:ind w:left="220"/>
              <w:spacing w:after="0" w:line="124" w:lineRule="exact"/>
              <w:rPr>
                <w:sz w:val="20"/>
                <w:szCs w:val="20"/>
                <w:color w:val="auto"/>
              </w:rPr>
            </w:pPr>
            <w:r>
              <w:rPr>
                <w:rFonts w:ascii="Arial" w:cs="Arial" w:eastAsia="Arial" w:hAnsi="Arial"/>
                <w:sz w:val="12"/>
                <w:szCs w:val="12"/>
                <w:color w:val="auto"/>
              </w:rPr>
              <w:t>Corporate debt securities</w:t>
            </w:r>
          </w:p>
        </w:tc>
        <w:tc>
          <w:tcPr>
            <w:tcW w:w="14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tcPr>
          <w:p>
            <w:pPr>
              <w:ind w:left="340"/>
              <w:spacing w:after="0"/>
              <w:rPr>
                <w:sz w:val="20"/>
                <w:szCs w:val="20"/>
                <w:color w:val="auto"/>
              </w:rPr>
            </w:pPr>
            <w:r>
              <w:rPr>
                <w:rFonts w:ascii="Arial" w:cs="Arial" w:eastAsia="Arial" w:hAnsi="Arial"/>
                <w:sz w:val="12"/>
                <w:szCs w:val="12"/>
                <w:color w:val="auto"/>
              </w:rPr>
              <w:t>Maturing in one year or less</w:t>
            </w:r>
          </w:p>
        </w:tc>
        <w:tc>
          <w:tcPr>
            <w:tcW w:w="2300" w:type="dxa"/>
            <w:vAlign w:val="bottom"/>
            <w:gridSpan w:val="2"/>
          </w:tcPr>
          <w:p>
            <w:pPr>
              <w:jc w:val="right"/>
              <w:ind w:right="751"/>
              <w:spacing w:after="0"/>
              <w:rPr>
                <w:sz w:val="20"/>
                <w:szCs w:val="20"/>
                <w:color w:val="auto"/>
              </w:rPr>
            </w:pPr>
            <w:r>
              <w:rPr>
                <w:rFonts w:ascii="Arial" w:cs="Arial" w:eastAsia="Arial" w:hAnsi="Arial"/>
                <w:sz w:val="12"/>
                <w:szCs w:val="12"/>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2"/>
                <w:szCs w:val="12"/>
                <w:color w:val="auto"/>
              </w:rPr>
              <w:t>94,320</w:t>
            </w:r>
          </w:p>
        </w:tc>
        <w:tc>
          <w:tcPr>
            <w:tcW w:w="1120" w:type="dxa"/>
            <w:vAlign w:val="bottom"/>
            <w:gridSpan w:val="2"/>
          </w:tcPr>
          <w:p>
            <w:pPr>
              <w:jc w:val="right"/>
              <w:ind w:right="871"/>
              <w:spacing w:after="0"/>
              <w:rPr>
                <w:sz w:val="20"/>
                <w:szCs w:val="20"/>
                <w:color w:val="auto"/>
              </w:rPr>
            </w:pPr>
            <w:r>
              <w:rPr>
                <w:rFonts w:ascii="Arial" w:cs="Arial" w:eastAsia="Arial" w:hAnsi="Arial"/>
                <w:sz w:val="12"/>
                <w:szCs w:val="12"/>
                <w:color w:val="auto"/>
              </w:rPr>
              <w:t>$</w:t>
            </w:r>
          </w:p>
        </w:tc>
        <w:tc>
          <w:tcPr>
            <w:tcW w:w="4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891"/>
              <w:spacing w:after="0"/>
              <w:rPr>
                <w:sz w:val="20"/>
                <w:szCs w:val="20"/>
                <w:color w:val="auto"/>
              </w:rPr>
            </w:pPr>
            <w:r>
              <w:rPr>
                <w:rFonts w:ascii="Arial" w:cs="Arial" w:eastAsia="Arial" w:hAnsi="Arial"/>
                <w:sz w:val="12"/>
                <w:szCs w:val="12"/>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12"/>
                <w:szCs w:val="12"/>
                <w:color w:val="auto"/>
              </w:rPr>
              <w:t>(56)</w:t>
            </w:r>
          </w:p>
        </w:tc>
        <w:tc>
          <w:tcPr>
            <w:tcW w:w="360" w:type="dxa"/>
            <w:vAlign w:val="bottom"/>
            <w:gridSpan w:val="2"/>
          </w:tcPr>
          <w:p>
            <w:pPr>
              <w:jc w:val="right"/>
              <w:ind w:right="13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2"/>
                <w:szCs w:val="12"/>
                <w:color w:val="auto"/>
              </w:rPr>
              <w:t>94,264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shd w:val="clear" w:color="auto" w:fill="CCEEFF"/>
          </w:tcPr>
          <w:p>
            <w:pPr>
              <w:ind w:left="340"/>
              <w:spacing w:after="0"/>
              <w:rPr>
                <w:sz w:val="20"/>
                <w:szCs w:val="20"/>
                <w:color w:val="auto"/>
              </w:rPr>
            </w:pPr>
            <w:r>
              <w:rPr>
                <w:rFonts w:ascii="Arial" w:cs="Arial" w:eastAsia="Arial" w:hAnsi="Arial"/>
                <w:sz w:val="12"/>
                <w:szCs w:val="12"/>
                <w:color w:val="auto"/>
              </w:rPr>
              <w:t>Maturing after one year through three years</w:t>
            </w:r>
          </w:p>
        </w:tc>
        <w:tc>
          <w:tcPr>
            <w:tcW w:w="14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000" w:type="dxa"/>
            <w:vAlign w:val="bottom"/>
            <w:tcBorders>
              <w:bottom w:val="single" w:sz="8" w:color="CCEEFF"/>
            </w:tcBorders>
          </w:tcPr>
          <w:p>
            <w:pPr>
              <w:ind w:left="220"/>
              <w:spacing w:after="0" w:line="133" w:lineRule="exact"/>
              <w:rPr>
                <w:sz w:val="20"/>
                <w:szCs w:val="20"/>
                <w:color w:val="auto"/>
              </w:rPr>
            </w:pPr>
            <w:r>
              <w:rPr>
                <w:rFonts w:ascii="Arial" w:cs="Arial" w:eastAsia="Arial" w:hAnsi="Arial"/>
                <w:sz w:val="12"/>
                <w:szCs w:val="12"/>
                <w:color w:val="auto"/>
              </w:rPr>
              <w:t>Total corporate debt securities</w:t>
            </w:r>
          </w:p>
        </w:tc>
        <w:tc>
          <w:tcPr>
            <w:tcW w:w="1440" w:type="dxa"/>
            <w:vAlign w:val="bottom"/>
            <w:tcBorders>
              <w:bottom w:val="single" w:sz="8" w:color="CCEEFF"/>
            </w:tcBorders>
          </w:tcPr>
          <w:p>
            <w:pPr>
              <w:spacing w:after="0"/>
              <w:rPr>
                <w:sz w:val="11"/>
                <w:szCs w:val="11"/>
                <w:color w:val="auto"/>
              </w:rPr>
            </w:pPr>
          </w:p>
        </w:tc>
        <w:tc>
          <w:tcPr>
            <w:tcW w:w="860" w:type="dxa"/>
            <w:vAlign w:val="bottom"/>
            <w:tcBorders>
              <w:top w:val="single" w:sz="8" w:color="auto"/>
              <w:bottom w:val="single" w:sz="8" w:color="auto"/>
            </w:tcBorders>
          </w:tcPr>
          <w:p>
            <w:pPr>
              <w:jc w:val="right"/>
              <w:ind w:right="751"/>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94,320</w:t>
            </w:r>
          </w:p>
        </w:tc>
        <w:tc>
          <w:tcPr>
            <w:tcW w:w="14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980" w:type="dxa"/>
            <w:vAlign w:val="bottom"/>
            <w:tcBorders>
              <w:top w:val="single" w:sz="8" w:color="auto"/>
              <w:bottom w:val="single" w:sz="8" w:color="auto"/>
            </w:tcBorders>
          </w:tcPr>
          <w:p>
            <w:pPr>
              <w:jc w:val="right"/>
              <w:ind w:right="871"/>
              <w:spacing w:after="0"/>
              <w:rPr>
                <w:sz w:val="20"/>
                <w:szCs w:val="20"/>
                <w:color w:val="auto"/>
              </w:rPr>
            </w:pPr>
            <w:r>
              <w:rPr>
                <w:rFonts w:ascii="Arial" w:cs="Arial" w:eastAsia="Arial" w:hAnsi="Arial"/>
                <w:sz w:val="10"/>
                <w:szCs w:val="10"/>
                <w:color w:val="auto"/>
                <w:w w:val="71"/>
              </w:rPr>
              <w:t>$</w:t>
            </w:r>
          </w:p>
        </w:tc>
        <w:tc>
          <w:tcPr>
            <w:tcW w:w="30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000" w:type="dxa"/>
            <w:vAlign w:val="bottom"/>
            <w:tcBorders>
              <w:top w:val="single" w:sz="8" w:color="auto"/>
              <w:bottom w:val="single" w:sz="8" w:color="auto"/>
            </w:tcBorders>
          </w:tcPr>
          <w:p>
            <w:pPr>
              <w:jc w:val="right"/>
              <w:ind w:right="891"/>
              <w:spacing w:after="0"/>
              <w:rPr>
                <w:sz w:val="20"/>
                <w:szCs w:val="20"/>
                <w:color w:val="auto"/>
              </w:rPr>
            </w:pPr>
            <w:r>
              <w:rPr>
                <w:rFonts w:ascii="Arial" w:cs="Arial" w:eastAsia="Arial" w:hAnsi="Arial"/>
                <w:sz w:val="10"/>
                <w:szCs w:val="10"/>
                <w:color w:val="auto"/>
                <w:w w:val="71"/>
              </w:rPr>
              <w:t>$</w:t>
            </w:r>
          </w:p>
        </w:tc>
        <w:tc>
          <w:tcPr>
            <w:tcW w:w="28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(56)</w:t>
            </w:r>
          </w:p>
        </w:tc>
        <w:tc>
          <w:tcPr>
            <w:tcW w:w="16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94,264</w:t>
            </w:r>
          </w:p>
        </w:tc>
        <w:tc>
          <w:tcPr>
            <w:tcW w:w="1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00" w:type="dxa"/>
            <w:vAlign w:val="bottom"/>
            <w:shd w:val="clear" w:color="auto" w:fill="CCEEFF"/>
          </w:tcPr>
          <w:p>
            <w:pPr>
              <w:ind w:left="100"/>
              <w:spacing w:after="0" w:line="133" w:lineRule="exact"/>
              <w:rPr>
                <w:sz w:val="20"/>
                <w:szCs w:val="20"/>
                <w:color w:val="auto"/>
              </w:rPr>
            </w:pPr>
            <w:r>
              <w:rPr>
                <w:rFonts w:ascii="Arial" w:cs="Arial" w:eastAsia="Arial" w:hAnsi="Arial"/>
                <w:sz w:val="12"/>
                <w:szCs w:val="12"/>
                <w:color w:val="auto"/>
              </w:rPr>
              <w:t>Total marketable securities</w:t>
            </w:r>
          </w:p>
        </w:tc>
        <w:tc>
          <w:tcPr>
            <w:tcW w:w="2300" w:type="dxa"/>
            <w:vAlign w:val="bottom"/>
            <w:gridSpan w:val="2"/>
            <w:shd w:val="clear" w:color="auto" w:fill="CCEEFF"/>
          </w:tcPr>
          <w:p>
            <w:pPr>
              <w:jc w:val="right"/>
              <w:ind w:right="751"/>
              <w:spacing w:after="0"/>
              <w:rPr>
                <w:sz w:val="20"/>
                <w:szCs w:val="20"/>
                <w:color w:val="auto"/>
              </w:rPr>
            </w:pPr>
            <w:r>
              <w:rPr>
                <w:rFonts w:ascii="Arial" w:cs="Arial" w:eastAsia="Arial" w:hAnsi="Arial"/>
                <w:sz w:val="12"/>
                <w:szCs w:val="12"/>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w w:val="87"/>
              </w:rPr>
              <w:t>147,370</w:t>
            </w:r>
          </w:p>
        </w:tc>
        <w:tc>
          <w:tcPr>
            <w:tcW w:w="1120" w:type="dxa"/>
            <w:vAlign w:val="bottom"/>
            <w:gridSpan w:val="2"/>
            <w:shd w:val="clear" w:color="auto" w:fill="CCEEFF"/>
          </w:tcPr>
          <w:p>
            <w:pPr>
              <w:jc w:val="right"/>
              <w:ind w:right="871"/>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w:t>
            </w:r>
          </w:p>
        </w:tc>
        <w:tc>
          <w:tcPr>
            <w:tcW w:w="1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891"/>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w:t>
            </w:r>
          </w:p>
        </w:tc>
        <w:tc>
          <w:tcPr>
            <w:tcW w:w="160" w:type="dxa"/>
            <w:vAlign w:val="bottom"/>
            <w:shd w:val="clear" w:color="auto" w:fill="CCEEFF"/>
          </w:tcPr>
          <w:p>
            <w:pPr>
              <w:jc w:val="right"/>
              <w:ind w:right="80"/>
              <w:spacing w:after="0"/>
              <w:rPr>
                <w:sz w:val="20"/>
                <w:szCs w:val="20"/>
                <w:color w:val="auto"/>
              </w:rPr>
            </w:pPr>
            <w:r>
              <w:rPr>
                <w:rFonts w:ascii="Arial" w:cs="Arial" w:eastAsia="Arial" w:hAnsi="Arial"/>
                <w:sz w:val="8"/>
                <w:szCs w:val="8"/>
                <w:color w:val="auto"/>
                <w:w w:val="73"/>
              </w:rPr>
              <w:t>)</w:t>
            </w:r>
          </w:p>
        </w:tc>
        <w:tc>
          <w:tcPr>
            <w:tcW w:w="360" w:type="dxa"/>
            <w:vAlign w:val="bottom"/>
            <w:gridSpan w:val="2"/>
            <w:shd w:val="clear" w:color="auto" w:fill="CCEEFF"/>
          </w:tcPr>
          <w:p>
            <w:pPr>
              <w:jc w:val="right"/>
              <w:ind w:right="130"/>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147,315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jc w:val="both"/>
        <w:ind w:right="160" w:firstLine="432"/>
        <w:spacing w:after="0" w:line="276" w:lineRule="auto"/>
        <w:rPr>
          <w:sz w:val="20"/>
          <w:szCs w:val="20"/>
          <w:color w:val="auto"/>
        </w:rPr>
      </w:pPr>
      <w:r>
        <w:rPr>
          <w:rFonts w:ascii="Arial" w:cs="Arial" w:eastAsia="Arial" w:hAnsi="Arial"/>
          <w:sz w:val="12"/>
          <w:szCs w:val="12"/>
          <w:color w:val="auto"/>
        </w:rPr>
        <w:t>The marketable securities held by the Company were high investment grade and there were no marketable securities that the Company considered to be other-than-temporarily impaired as of June 30, 2017. Marketable securities include $0.4 million and $0.6 million in accrued interest at June 30, 2017 and December 31, 2016, respectively.</w:t>
      </w:r>
    </w:p>
    <w:p>
      <w:pPr>
        <w:spacing w:after="0" w:line="11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310755" cy="241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10755" cy="24130"/>
                    </a:xfrm>
                    <a:prstGeom prst="rect">
                      <a:avLst/>
                    </a:prstGeom>
                    <a:noFill/>
                  </pic:spPr>
                </pic:pic>
              </a:graphicData>
            </a:graphic>
          </wp:anchor>
        </w:drawing>
      </w:r>
    </w:p>
    <w:p>
      <w:pPr>
        <w:spacing w:after="0" w:line="319" w:lineRule="exact"/>
        <w:rPr>
          <w:sz w:val="20"/>
          <w:szCs w:val="20"/>
          <w:color w:val="auto"/>
        </w:rPr>
      </w:pPr>
    </w:p>
    <w:p>
      <w:pPr>
        <w:spacing w:after="0"/>
        <w:rPr>
          <w:rFonts w:ascii="Arial" w:cs="Arial" w:eastAsia="Arial" w:hAnsi="Arial"/>
          <w:sz w:val="12"/>
          <w:szCs w:val="12"/>
          <w:u w:val="single" w:color="auto"/>
          <w:color w:val="0000EE"/>
        </w:rPr>
      </w:pPr>
      <w:hyperlink w:anchor="page1">
        <w:r>
          <w:rPr>
            <w:rFonts w:ascii="Arial" w:cs="Arial" w:eastAsia="Arial" w:hAnsi="Arial"/>
            <w:sz w:val="12"/>
            <w:szCs w:val="12"/>
            <w:u w:val="single" w:color="auto"/>
            <w:color w:val="0000EE"/>
          </w:rPr>
          <w:t>Table of Contents</w:t>
        </w:r>
      </w:hyperlink>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(5) Intangible Assets and Goodwill</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Intangible assets, net of accumulated amortization, and goodwill are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460" w:type="dxa"/>
            <w:vAlign w:val="bottom"/>
          </w:tcPr>
          <w:p>
            <w:pPr>
              <w:spacing w:after="0"/>
              <w:rPr>
                <w:sz w:val="10"/>
                <w:szCs w:val="10"/>
                <w:color w:val="auto"/>
              </w:rPr>
            </w:pPr>
          </w:p>
        </w:tc>
        <w:tc>
          <w:tcPr>
            <w:tcW w:w="1060" w:type="dxa"/>
            <w:vAlign w:val="bottom"/>
            <w:vMerge w:val="restart"/>
          </w:tcPr>
          <w:p>
            <w:pPr>
              <w:jc w:val="center"/>
              <w:ind w:left="5"/>
              <w:spacing w:after="0"/>
              <w:rPr>
                <w:sz w:val="20"/>
                <w:szCs w:val="20"/>
                <w:color w:val="auto"/>
              </w:rPr>
            </w:pPr>
            <w:r>
              <w:rPr>
                <w:rFonts w:ascii="Arial" w:cs="Arial" w:eastAsia="Arial" w:hAnsi="Arial"/>
                <w:sz w:val="10"/>
                <w:szCs w:val="10"/>
                <w:b w:val="1"/>
                <w:bCs w:val="1"/>
                <w:color w:val="auto"/>
                <w:w w:val="83"/>
              </w:rPr>
              <w:t>Estimated</w:t>
            </w:r>
          </w:p>
        </w:tc>
        <w:tc>
          <w:tcPr>
            <w:tcW w:w="28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0"/>
                <w:szCs w:val="10"/>
                <w:b w:val="1"/>
                <w:bCs w:val="1"/>
                <w:color w:val="auto"/>
                <w:w w:val="98"/>
              </w:rPr>
              <w:t>June 30, 2017</w:t>
            </w:r>
          </w:p>
        </w:tc>
        <w:tc>
          <w:tcPr>
            <w:tcW w:w="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0"/>
                <w:szCs w:val="10"/>
                <w:b w:val="1"/>
                <w:bCs w:val="1"/>
                <w:color w:val="auto"/>
                <w:w w:val="91"/>
              </w:rPr>
              <w:t>December 31, 2016</w:t>
            </w:r>
          </w:p>
        </w:tc>
        <w:tc>
          <w:tcPr>
            <w:tcW w:w="1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246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20" w:type="dxa"/>
            <w:vAlign w:val="bottom"/>
            <w:gridSpan w:val="2"/>
          </w:tcPr>
          <w:p>
            <w:pPr>
              <w:jc w:val="right"/>
              <w:ind w:right="440"/>
              <w:spacing w:after="0" w:line="74" w:lineRule="exact"/>
              <w:rPr>
                <w:sz w:val="20"/>
                <w:szCs w:val="20"/>
                <w:color w:val="auto"/>
              </w:rPr>
            </w:pPr>
            <w:r>
              <w:rPr>
                <w:rFonts w:ascii="Arial" w:cs="Arial" w:eastAsia="Arial" w:hAnsi="Arial"/>
                <w:sz w:val="8"/>
                <w:szCs w:val="8"/>
                <w:b w:val="1"/>
                <w:bCs w:val="1"/>
                <w:color w:val="auto"/>
              </w:rPr>
              <w:t>Accumulated</w:t>
            </w: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40" w:type="dxa"/>
            <w:vAlign w:val="bottom"/>
            <w:gridSpan w:val="2"/>
          </w:tcPr>
          <w:p>
            <w:pPr>
              <w:jc w:val="right"/>
              <w:ind w:right="420"/>
              <w:spacing w:after="0" w:line="74" w:lineRule="exact"/>
              <w:rPr>
                <w:sz w:val="20"/>
                <w:szCs w:val="20"/>
                <w:color w:val="auto"/>
              </w:rPr>
            </w:pPr>
            <w:r>
              <w:rPr>
                <w:rFonts w:ascii="Arial" w:cs="Arial" w:eastAsia="Arial" w:hAnsi="Arial"/>
                <w:sz w:val="8"/>
                <w:szCs w:val="8"/>
                <w:b w:val="1"/>
                <w:bCs w:val="1"/>
                <w:color w:val="auto"/>
              </w:rPr>
              <w:t>Accumulated</w:t>
            </w: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4"/>
        </w:trPr>
        <w:tc>
          <w:tcPr>
            <w:tcW w:w="2460" w:type="dxa"/>
            <w:vAlign w:val="bottom"/>
          </w:tcPr>
          <w:p>
            <w:pPr>
              <w:spacing w:after="0"/>
              <w:rPr>
                <w:sz w:val="9"/>
                <w:szCs w:val="9"/>
                <w:color w:val="auto"/>
              </w:rPr>
            </w:pPr>
          </w:p>
        </w:tc>
        <w:tc>
          <w:tcPr>
            <w:tcW w:w="1060" w:type="dxa"/>
            <w:vAlign w:val="bottom"/>
          </w:tcPr>
          <w:p>
            <w:pPr>
              <w:jc w:val="center"/>
              <w:ind w:left="5"/>
              <w:spacing w:after="0" w:line="114" w:lineRule="exact"/>
              <w:rPr>
                <w:sz w:val="20"/>
                <w:szCs w:val="20"/>
                <w:color w:val="auto"/>
              </w:rPr>
            </w:pPr>
            <w:r>
              <w:rPr>
                <w:rFonts w:ascii="Arial" w:cs="Arial" w:eastAsia="Arial" w:hAnsi="Arial"/>
                <w:sz w:val="10"/>
                <w:szCs w:val="10"/>
                <w:b w:val="1"/>
                <w:bCs w:val="1"/>
                <w:color w:val="auto"/>
                <w:w w:val="89"/>
              </w:rPr>
              <w:t>Life</w:t>
            </w: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40" w:type="dxa"/>
            <w:vAlign w:val="bottom"/>
            <w:gridSpan w:val="2"/>
          </w:tcPr>
          <w:p>
            <w:pPr>
              <w:ind w:left="200"/>
              <w:spacing w:after="0" w:line="114" w:lineRule="exact"/>
              <w:rPr>
                <w:sz w:val="20"/>
                <w:szCs w:val="20"/>
                <w:color w:val="auto"/>
              </w:rPr>
            </w:pPr>
            <w:r>
              <w:rPr>
                <w:rFonts w:ascii="Arial" w:cs="Arial" w:eastAsia="Arial" w:hAnsi="Arial"/>
                <w:sz w:val="10"/>
                <w:szCs w:val="10"/>
                <w:b w:val="1"/>
                <w:bCs w:val="1"/>
                <w:color w:val="auto"/>
              </w:rPr>
              <w:t>Cost</w:t>
            </w:r>
          </w:p>
        </w:tc>
        <w:tc>
          <w:tcPr>
            <w:tcW w:w="180" w:type="dxa"/>
            <w:vAlign w:val="bottom"/>
          </w:tcPr>
          <w:p>
            <w:pPr>
              <w:spacing w:after="0"/>
              <w:rPr>
                <w:sz w:val="9"/>
                <w:szCs w:val="9"/>
                <w:color w:val="auto"/>
              </w:rPr>
            </w:pPr>
          </w:p>
        </w:tc>
        <w:tc>
          <w:tcPr>
            <w:tcW w:w="1120" w:type="dxa"/>
            <w:vAlign w:val="bottom"/>
            <w:gridSpan w:val="2"/>
          </w:tcPr>
          <w:p>
            <w:pPr>
              <w:jc w:val="right"/>
              <w:ind w:right="440"/>
              <w:spacing w:after="0" w:line="114" w:lineRule="exact"/>
              <w:rPr>
                <w:sz w:val="20"/>
                <w:szCs w:val="20"/>
                <w:color w:val="auto"/>
              </w:rPr>
            </w:pPr>
            <w:r>
              <w:rPr>
                <w:rFonts w:ascii="Arial" w:cs="Arial" w:eastAsia="Arial" w:hAnsi="Arial"/>
                <w:sz w:val="10"/>
                <w:szCs w:val="10"/>
                <w:b w:val="1"/>
                <w:bCs w:val="1"/>
                <w:color w:val="auto"/>
              </w:rPr>
              <w:t>Amortization</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gridSpan w:val="2"/>
          </w:tcPr>
          <w:p>
            <w:pPr>
              <w:ind w:left="320"/>
              <w:spacing w:after="0" w:line="114" w:lineRule="exact"/>
              <w:rPr>
                <w:sz w:val="20"/>
                <w:szCs w:val="20"/>
                <w:color w:val="auto"/>
              </w:rPr>
            </w:pPr>
            <w:r>
              <w:rPr>
                <w:rFonts w:ascii="Arial" w:cs="Arial" w:eastAsia="Arial" w:hAnsi="Arial"/>
                <w:sz w:val="10"/>
                <w:szCs w:val="10"/>
                <w:b w:val="1"/>
                <w:bCs w:val="1"/>
                <w:color w:val="auto"/>
              </w:rPr>
              <w:t>Net</w:t>
            </w: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gridSpan w:val="2"/>
          </w:tcPr>
          <w:p>
            <w:pPr>
              <w:ind w:left="180"/>
              <w:spacing w:after="0" w:line="114" w:lineRule="exact"/>
              <w:rPr>
                <w:sz w:val="20"/>
                <w:szCs w:val="20"/>
                <w:color w:val="auto"/>
              </w:rPr>
            </w:pPr>
            <w:r>
              <w:rPr>
                <w:rFonts w:ascii="Arial" w:cs="Arial" w:eastAsia="Arial" w:hAnsi="Arial"/>
                <w:sz w:val="10"/>
                <w:szCs w:val="10"/>
                <w:b w:val="1"/>
                <w:bCs w:val="1"/>
                <w:color w:val="auto"/>
              </w:rPr>
              <w:t>Cost</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gridSpan w:val="2"/>
          </w:tcPr>
          <w:p>
            <w:pPr>
              <w:jc w:val="right"/>
              <w:ind w:right="420"/>
              <w:spacing w:after="0" w:line="114" w:lineRule="exact"/>
              <w:rPr>
                <w:sz w:val="20"/>
                <w:szCs w:val="20"/>
                <w:color w:val="auto"/>
              </w:rPr>
            </w:pPr>
            <w:r>
              <w:rPr>
                <w:rFonts w:ascii="Arial" w:cs="Arial" w:eastAsia="Arial" w:hAnsi="Arial"/>
                <w:sz w:val="10"/>
                <w:szCs w:val="10"/>
                <w:b w:val="1"/>
                <w:bCs w:val="1"/>
                <w:color w:val="auto"/>
              </w:rPr>
              <w:t>Amortization</w:t>
            </w: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gridSpan w:val="2"/>
          </w:tcPr>
          <w:p>
            <w:pPr>
              <w:ind w:left="180"/>
              <w:spacing w:after="0" w:line="114" w:lineRule="exact"/>
              <w:rPr>
                <w:sz w:val="20"/>
                <w:szCs w:val="20"/>
                <w:color w:val="auto"/>
              </w:rPr>
            </w:pPr>
            <w:r>
              <w:rPr>
                <w:rFonts w:ascii="Arial" w:cs="Arial" w:eastAsia="Arial" w:hAnsi="Arial"/>
                <w:sz w:val="10"/>
                <w:szCs w:val="10"/>
                <w:b w:val="1"/>
                <w:bCs w:val="1"/>
                <w:color w:val="auto"/>
              </w:rPr>
              <w:t>Net</w:t>
            </w:r>
          </w:p>
        </w:tc>
        <w:tc>
          <w:tcPr>
            <w:tcW w:w="0" w:type="dxa"/>
            <w:vAlign w:val="bottom"/>
          </w:tcPr>
          <w:p>
            <w:pPr>
              <w:spacing w:after="0"/>
              <w:rPr>
                <w:sz w:val="1"/>
                <w:szCs w:val="1"/>
                <w:color w:val="auto"/>
              </w:rPr>
            </w:pPr>
          </w:p>
        </w:tc>
      </w:tr>
      <w:tr>
        <w:trPr>
          <w:trHeight w:val="88"/>
        </w:trPr>
        <w:tc>
          <w:tcPr>
            <w:tcW w:w="2460" w:type="dxa"/>
            <w:vAlign w:val="bottom"/>
          </w:tcPr>
          <w:p>
            <w:pPr>
              <w:spacing w:after="0"/>
              <w:rPr>
                <w:sz w:val="7"/>
                <w:szCs w:val="7"/>
                <w:color w:val="auto"/>
              </w:rPr>
            </w:pPr>
          </w:p>
        </w:tc>
        <w:tc>
          <w:tcPr>
            <w:tcW w:w="1060" w:type="dxa"/>
            <w:vAlign w:val="bottom"/>
            <w:tcBorders>
              <w:top w:val="single" w:sz="8" w:color="auto"/>
            </w:tcBorders>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98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020" w:type="dxa"/>
            <w:vAlign w:val="bottom"/>
            <w:tcBorders>
              <w:top w:val="single" w:sz="8" w:color="auto"/>
            </w:tcBorders>
            <w:gridSpan w:val="2"/>
          </w:tcPr>
          <w:p>
            <w:pPr>
              <w:ind w:left="40"/>
              <w:spacing w:after="0" w:line="88" w:lineRule="exact"/>
              <w:rPr>
                <w:sz w:val="20"/>
                <w:szCs w:val="20"/>
                <w:color w:val="auto"/>
              </w:rPr>
            </w:pPr>
            <w:r>
              <w:rPr>
                <w:rFonts w:ascii="Arial" w:cs="Arial" w:eastAsia="Arial" w:hAnsi="Arial"/>
                <w:sz w:val="10"/>
                <w:szCs w:val="10"/>
                <w:b w:val="1"/>
                <w:bCs w:val="1"/>
                <w:color w:val="auto"/>
              </w:rPr>
              <w:t>(In thousands)</w:t>
            </w:r>
          </w:p>
        </w:tc>
        <w:tc>
          <w:tcPr>
            <w:tcW w:w="120" w:type="dxa"/>
            <w:vAlign w:val="bottom"/>
            <w:tcBorders>
              <w:top w:val="single" w:sz="8" w:color="auto"/>
            </w:tcBorders>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02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2460" w:type="dxa"/>
            <w:vAlign w:val="bottom"/>
            <w:shd w:val="clear" w:color="auto" w:fill="CCEEFF"/>
          </w:tcPr>
          <w:p>
            <w:pPr>
              <w:spacing w:after="0"/>
              <w:rPr>
                <w:sz w:val="20"/>
                <w:szCs w:val="20"/>
                <w:color w:val="auto"/>
              </w:rPr>
            </w:pPr>
            <w:r>
              <w:rPr>
                <w:rFonts w:ascii="Arial" w:cs="Arial" w:eastAsia="Arial" w:hAnsi="Arial"/>
                <w:sz w:val="12"/>
                <w:szCs w:val="12"/>
                <w:color w:val="auto"/>
              </w:rPr>
              <w:t>Intangible Assets:</w:t>
            </w:r>
          </w:p>
        </w:tc>
        <w:tc>
          <w:tcPr>
            <w:tcW w:w="10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460" w:type="dxa"/>
            <w:vAlign w:val="bottom"/>
          </w:tcPr>
          <w:p>
            <w:pPr>
              <w:ind w:left="120"/>
              <w:spacing w:after="0"/>
              <w:rPr>
                <w:sz w:val="20"/>
                <w:szCs w:val="20"/>
                <w:color w:val="auto"/>
              </w:rPr>
            </w:pPr>
            <w:r>
              <w:rPr>
                <w:rFonts w:ascii="Arial" w:cs="Arial" w:eastAsia="Arial" w:hAnsi="Arial"/>
                <w:sz w:val="12"/>
                <w:szCs w:val="12"/>
                <w:color w:val="auto"/>
              </w:rPr>
              <w:t>IPR&amp;D</w:t>
            </w:r>
          </w:p>
        </w:tc>
        <w:tc>
          <w:tcPr>
            <w:tcW w:w="1060" w:type="dxa"/>
            <w:vAlign w:val="bottom"/>
          </w:tcPr>
          <w:p>
            <w:pPr>
              <w:spacing w:after="0"/>
              <w:rPr>
                <w:sz w:val="20"/>
                <w:szCs w:val="20"/>
                <w:color w:val="auto"/>
              </w:rPr>
            </w:pPr>
            <w:r>
              <w:rPr>
                <w:rFonts w:ascii="Arial" w:cs="Arial" w:eastAsia="Arial" w:hAnsi="Arial"/>
                <w:sz w:val="12"/>
                <w:szCs w:val="12"/>
                <w:color w:val="auto"/>
              </w:rPr>
              <w:t>Indefinite</w:t>
            </w:r>
          </w:p>
        </w:tc>
        <w:tc>
          <w:tcPr>
            <w:tcW w:w="520" w:type="dxa"/>
            <w:vAlign w:val="bottom"/>
            <w:gridSpan w:val="2"/>
          </w:tcPr>
          <w:p>
            <w:pPr>
              <w:jc w:val="right"/>
              <w:ind w:right="130"/>
              <w:spacing w:after="0"/>
              <w:rPr>
                <w:sz w:val="20"/>
                <w:szCs w:val="20"/>
                <w:color w:val="auto"/>
              </w:rPr>
            </w:pPr>
            <w:r>
              <w:rPr>
                <w:rFonts w:ascii="Arial" w:cs="Arial" w:eastAsia="Arial" w:hAnsi="Arial"/>
                <w:sz w:val="12"/>
                <w:szCs w:val="12"/>
                <w:color w:val="auto"/>
              </w:rPr>
              <w:t>$</w:t>
            </w:r>
          </w:p>
        </w:tc>
        <w:tc>
          <w:tcPr>
            <w:tcW w:w="1040" w:type="dxa"/>
            <w:vAlign w:val="bottom"/>
            <w:gridSpan w:val="2"/>
          </w:tcPr>
          <w:p>
            <w:pPr>
              <w:ind w:left="480"/>
              <w:spacing w:after="0"/>
              <w:rPr>
                <w:sz w:val="20"/>
                <w:szCs w:val="20"/>
                <w:color w:val="auto"/>
              </w:rPr>
            </w:pPr>
            <w:r>
              <w:rPr>
                <w:rFonts w:ascii="Arial" w:cs="Arial" w:eastAsia="Arial" w:hAnsi="Arial"/>
                <w:sz w:val="12"/>
                <w:szCs w:val="12"/>
                <w:color w:val="auto"/>
              </w:rPr>
              <w:t>73,490</w:t>
            </w: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gridSpan w:val="2"/>
          </w:tcPr>
          <w:p>
            <w:pPr>
              <w:jc w:val="right"/>
              <w:ind w:right="10"/>
              <w:spacing w:after="0"/>
              <w:rPr>
                <w:sz w:val="20"/>
                <w:szCs w:val="20"/>
                <w:color w:val="auto"/>
              </w:rPr>
            </w:pPr>
            <w:r>
              <w:rPr>
                <w:rFonts w:ascii="Arial" w:cs="Arial" w:eastAsia="Arial" w:hAnsi="Arial"/>
                <w:sz w:val="12"/>
                <w:szCs w:val="12"/>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2"/>
                <w:szCs w:val="12"/>
                <w:color w:val="auto"/>
              </w:rPr>
              <w:t>73,490</w:t>
            </w:r>
          </w:p>
        </w:tc>
        <w:tc>
          <w:tcPr>
            <w:tcW w:w="360" w:type="dxa"/>
            <w:vAlign w:val="bottom"/>
            <w:gridSpan w:val="2"/>
          </w:tcPr>
          <w:p>
            <w:pPr>
              <w:jc w:val="right"/>
              <w:ind w:right="130"/>
              <w:spacing w:after="0"/>
              <w:rPr>
                <w:sz w:val="20"/>
                <w:szCs w:val="20"/>
                <w:color w:val="auto"/>
              </w:rPr>
            </w:pPr>
            <w:r>
              <w:rPr>
                <w:rFonts w:ascii="Arial" w:cs="Arial" w:eastAsia="Arial" w:hAnsi="Arial"/>
                <w:sz w:val="12"/>
                <w:szCs w:val="12"/>
                <w:color w:val="auto"/>
              </w:rPr>
              <w:t>$</w:t>
            </w:r>
          </w:p>
        </w:tc>
        <w:tc>
          <w:tcPr>
            <w:tcW w:w="900" w:type="dxa"/>
            <w:vAlign w:val="bottom"/>
            <w:gridSpan w:val="2"/>
          </w:tcPr>
          <w:p>
            <w:pPr>
              <w:ind w:left="460"/>
              <w:spacing w:after="0"/>
              <w:rPr>
                <w:sz w:val="20"/>
                <w:szCs w:val="20"/>
                <w:color w:val="auto"/>
              </w:rPr>
            </w:pPr>
            <w:r>
              <w:rPr>
                <w:rFonts w:ascii="Arial" w:cs="Arial" w:eastAsia="Arial" w:hAnsi="Arial"/>
                <w:sz w:val="12"/>
                <w:szCs w:val="12"/>
                <w:color w:val="auto"/>
              </w:rPr>
              <w:t>73,490</w:t>
            </w:r>
          </w:p>
        </w:tc>
        <w:tc>
          <w:tcPr>
            <w:tcW w:w="240" w:type="dxa"/>
            <w:vAlign w:val="bottom"/>
            <w:gridSpan w:val="2"/>
          </w:tcPr>
          <w:p>
            <w:pPr>
              <w:jc w:val="right"/>
              <w:ind w:right="1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360" w:type="dxa"/>
            <w:vAlign w:val="bottom"/>
            <w:gridSpan w:val="2"/>
          </w:tcPr>
          <w:p>
            <w:pPr>
              <w:jc w:val="right"/>
              <w:ind w:right="150"/>
              <w:spacing w:after="0"/>
              <w:rPr>
                <w:sz w:val="20"/>
                <w:szCs w:val="20"/>
                <w:color w:val="auto"/>
              </w:rPr>
            </w:pPr>
            <w:r>
              <w:rPr>
                <w:rFonts w:ascii="Arial" w:cs="Arial" w:eastAsia="Arial" w:hAnsi="Arial"/>
                <w:sz w:val="12"/>
                <w:szCs w:val="12"/>
                <w:color w:val="auto"/>
              </w:rPr>
              <w:t>$</w:t>
            </w:r>
          </w:p>
        </w:tc>
        <w:tc>
          <w:tcPr>
            <w:tcW w:w="880" w:type="dxa"/>
            <w:vAlign w:val="bottom"/>
            <w:gridSpan w:val="2"/>
          </w:tcPr>
          <w:p>
            <w:pPr>
              <w:ind w:left="440"/>
              <w:spacing w:after="0"/>
              <w:rPr>
                <w:sz w:val="20"/>
                <w:szCs w:val="20"/>
                <w:color w:val="auto"/>
              </w:rPr>
            </w:pPr>
            <w:r>
              <w:rPr>
                <w:rFonts w:ascii="Arial" w:cs="Arial" w:eastAsia="Arial" w:hAnsi="Arial"/>
                <w:sz w:val="12"/>
                <w:szCs w:val="12"/>
                <w:color w:val="auto"/>
              </w:rPr>
              <w:t>73,490</w:t>
            </w:r>
          </w:p>
        </w:tc>
        <w:tc>
          <w:tcPr>
            <w:tcW w:w="0" w:type="dxa"/>
            <w:vAlign w:val="bottom"/>
          </w:tcPr>
          <w:p>
            <w:pPr>
              <w:spacing w:after="0"/>
              <w:rPr>
                <w:sz w:val="1"/>
                <w:szCs w:val="1"/>
                <w:color w:val="auto"/>
              </w:rPr>
            </w:pPr>
          </w:p>
        </w:tc>
      </w:tr>
      <w:tr>
        <w:trPr>
          <w:trHeight w:val="144"/>
        </w:trPr>
        <w:tc>
          <w:tcPr>
            <w:tcW w:w="24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Amgen Amendment</w:t>
            </w:r>
          </w:p>
        </w:tc>
        <w:tc>
          <w:tcPr>
            <w:tcW w:w="1060" w:type="dxa"/>
            <w:vAlign w:val="bottom"/>
            <w:shd w:val="clear" w:color="auto" w:fill="CCEEFF"/>
          </w:tcPr>
          <w:p>
            <w:pPr>
              <w:spacing w:after="0"/>
              <w:rPr>
                <w:sz w:val="20"/>
                <w:szCs w:val="20"/>
                <w:color w:val="auto"/>
              </w:rPr>
            </w:pPr>
            <w:r>
              <w:rPr>
                <w:rFonts w:ascii="Arial" w:cs="Arial" w:eastAsia="Arial" w:hAnsi="Arial"/>
                <w:sz w:val="12"/>
                <w:szCs w:val="12"/>
                <w:color w:val="auto"/>
              </w:rPr>
              <w:t>16 years</w:t>
            </w: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480"/>
              <w:spacing w:after="0"/>
              <w:rPr>
                <w:sz w:val="20"/>
                <w:szCs w:val="20"/>
                <w:color w:val="auto"/>
              </w:rPr>
            </w:pPr>
            <w:r>
              <w:rPr>
                <w:rFonts w:ascii="Arial" w:cs="Arial" w:eastAsia="Arial" w:hAnsi="Arial"/>
                <w:sz w:val="12"/>
                <w:szCs w:val="12"/>
                <w:color w:val="auto"/>
              </w:rPr>
              <w:t>14,500</w:t>
            </w:r>
          </w:p>
        </w:tc>
        <w:tc>
          <w:tcPr>
            <w:tcW w:w="1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(6,951)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7,549</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460"/>
              <w:spacing w:after="0"/>
              <w:rPr>
                <w:sz w:val="20"/>
                <w:szCs w:val="20"/>
                <w:color w:val="auto"/>
              </w:rPr>
            </w:pPr>
            <w:r>
              <w:rPr>
                <w:rFonts w:ascii="Arial" w:cs="Arial" w:eastAsia="Arial" w:hAnsi="Arial"/>
                <w:sz w:val="12"/>
                <w:szCs w:val="12"/>
                <w:color w:val="auto"/>
              </w:rPr>
              <w:t>14,500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(6,503)</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7,997</w:t>
            </w:r>
          </w:p>
        </w:tc>
        <w:tc>
          <w:tcPr>
            <w:tcW w:w="0" w:type="dxa"/>
            <w:vAlign w:val="bottom"/>
          </w:tcPr>
          <w:p>
            <w:pPr>
              <w:spacing w:after="0"/>
              <w:rPr>
                <w:sz w:val="1"/>
                <w:szCs w:val="1"/>
                <w:color w:val="auto"/>
              </w:rPr>
            </w:pPr>
          </w:p>
        </w:tc>
      </w:tr>
      <w:tr>
        <w:trPr>
          <w:trHeight w:val="140"/>
        </w:trPr>
        <w:tc>
          <w:tcPr>
            <w:tcW w:w="2460" w:type="dxa"/>
            <w:vAlign w:val="bottom"/>
            <w:tcBorders>
              <w:bottom w:val="single" w:sz="8" w:color="CCEEFF"/>
            </w:tcBorders>
          </w:tcPr>
          <w:p>
            <w:pPr>
              <w:spacing w:after="0" w:line="133" w:lineRule="exact"/>
              <w:rPr>
                <w:sz w:val="20"/>
                <w:szCs w:val="20"/>
                <w:color w:val="auto"/>
              </w:rPr>
            </w:pPr>
            <w:r>
              <w:rPr>
                <w:rFonts w:ascii="Arial" w:cs="Arial" w:eastAsia="Arial" w:hAnsi="Arial"/>
                <w:sz w:val="12"/>
                <w:szCs w:val="12"/>
                <w:color w:val="auto"/>
              </w:rPr>
              <w:t>Total Intangible Assets</w:t>
            </w:r>
          </w:p>
        </w:tc>
        <w:tc>
          <w:tcPr>
            <w:tcW w:w="106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ind w:left="480"/>
              <w:spacing w:after="0" w:line="133" w:lineRule="exact"/>
              <w:rPr>
                <w:sz w:val="20"/>
                <w:szCs w:val="20"/>
                <w:color w:val="auto"/>
              </w:rPr>
            </w:pPr>
            <w:r>
              <w:rPr>
                <w:rFonts w:ascii="Arial" w:cs="Arial" w:eastAsia="Arial" w:hAnsi="Arial"/>
                <w:sz w:val="12"/>
                <w:szCs w:val="12"/>
                <w:color w:val="auto"/>
                <w:w w:val="81"/>
              </w:rPr>
              <w:t>87,990</w:t>
            </w:r>
          </w:p>
        </w:tc>
        <w:tc>
          <w:tcPr>
            <w:tcW w:w="24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(6,951)</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81,039</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ind w:left="460"/>
              <w:spacing w:after="0" w:line="133" w:lineRule="exact"/>
              <w:rPr>
                <w:sz w:val="20"/>
                <w:szCs w:val="20"/>
                <w:color w:val="auto"/>
              </w:rPr>
            </w:pPr>
            <w:r>
              <w:rPr>
                <w:rFonts w:ascii="Arial" w:cs="Arial" w:eastAsia="Arial" w:hAnsi="Arial"/>
                <w:sz w:val="12"/>
                <w:szCs w:val="12"/>
                <w:color w:val="auto"/>
                <w:w w:val="81"/>
              </w:rPr>
              <w:t>87,990</w:t>
            </w: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(6,503)</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ind w:left="440"/>
              <w:spacing w:after="0" w:line="133" w:lineRule="exact"/>
              <w:rPr>
                <w:sz w:val="20"/>
                <w:szCs w:val="20"/>
                <w:color w:val="auto"/>
              </w:rPr>
            </w:pPr>
            <w:r>
              <w:rPr>
                <w:rFonts w:ascii="Arial" w:cs="Arial" w:eastAsia="Arial" w:hAnsi="Arial"/>
                <w:sz w:val="12"/>
                <w:szCs w:val="12"/>
                <w:color w:val="auto"/>
                <w:w w:val="81"/>
              </w:rPr>
              <w:t>81,487</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460" w:type="dxa"/>
            <w:vAlign w:val="bottom"/>
            <w:tcBorders>
              <w:bottom w:val="single" w:sz="8" w:color="CCEEFF"/>
            </w:tcBorders>
            <w:shd w:val="clear" w:color="auto" w:fill="CCEEFF"/>
          </w:tcPr>
          <w:p>
            <w:pPr>
              <w:spacing w:after="0" w:line="135" w:lineRule="exact"/>
              <w:rPr>
                <w:sz w:val="20"/>
                <w:szCs w:val="20"/>
                <w:color w:val="auto"/>
              </w:rPr>
            </w:pPr>
            <w:r>
              <w:rPr>
                <w:rFonts w:ascii="Arial" w:cs="Arial" w:eastAsia="Arial" w:hAnsi="Arial"/>
                <w:sz w:val="12"/>
                <w:szCs w:val="12"/>
                <w:color w:val="auto"/>
              </w:rPr>
              <w:t>Goodwill</w:t>
            </w:r>
          </w:p>
        </w:tc>
        <w:tc>
          <w:tcPr>
            <w:tcW w:w="1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Indefinite</w:t>
            </w:r>
          </w:p>
        </w:tc>
        <w:tc>
          <w:tcPr>
            <w:tcW w:w="28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2"/>
                <w:szCs w:val="12"/>
                <w:color w:val="auto"/>
                <w:w w:val="81"/>
              </w:rPr>
              <w:t>90,976</w:t>
            </w:r>
          </w:p>
        </w:tc>
        <w:tc>
          <w:tcPr>
            <w:tcW w:w="24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90,976</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2"/>
                <w:szCs w:val="12"/>
                <w:color w:val="auto"/>
                <w:w w:val="81"/>
              </w:rPr>
              <w:t>90,976</w:t>
            </w:r>
          </w:p>
        </w:tc>
        <w:tc>
          <w:tcPr>
            <w:tcW w:w="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2"/>
                <w:szCs w:val="12"/>
                <w:color w:val="auto"/>
                <w:w w:val="81"/>
              </w:rPr>
              <w:t>90,976</w:t>
            </w:r>
          </w:p>
        </w:tc>
        <w:tc>
          <w:tcPr>
            <w:tcW w:w="1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jc w:val="both"/>
        <w:ind w:right="140" w:firstLine="432"/>
        <w:spacing w:after="0" w:line="263" w:lineRule="auto"/>
        <w:rPr>
          <w:sz w:val="20"/>
          <w:szCs w:val="20"/>
          <w:color w:val="auto"/>
        </w:rPr>
      </w:pPr>
      <w:r>
        <w:rPr>
          <w:rFonts w:ascii="Arial" w:cs="Arial" w:eastAsia="Arial" w:hAnsi="Arial"/>
          <w:sz w:val="12"/>
          <w:szCs w:val="12"/>
          <w:color w:val="auto"/>
        </w:rPr>
        <w:t>The IPR&amp;D intangible asset recorded in connection with the CuraGen acquisition of $11.8 million relates to the development of glembatumumab vedotin. At the date of acquisition and at June 30, 2017, glembatumumab vedotin had not yet reached technological feasibility nor did it have any alternative future use. Glembatumumab vedotin is in a randomized, Phase 2b study for the treatment of triple negative breast cancer and a Phase 2 study for the treatment of metastatic melanoma.</w:t>
      </w:r>
    </w:p>
    <w:p>
      <w:pPr>
        <w:spacing w:after="0" w:line="12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Company performed an impairment test of the glembatumumab vedotin IPR&amp;D and goodwill assets as of July 1, 2016 and concluded that goodwill was not impaired.</w:t>
      </w:r>
    </w:p>
    <w:p>
      <w:pPr>
        <w:spacing w:after="0" w:line="150" w:lineRule="exact"/>
        <w:rPr>
          <w:sz w:val="20"/>
          <w:szCs w:val="20"/>
          <w:color w:val="auto"/>
        </w:rPr>
      </w:pPr>
    </w:p>
    <w:p>
      <w:pPr>
        <w:ind w:right="140" w:firstLine="432"/>
        <w:spacing w:after="0" w:line="257" w:lineRule="auto"/>
        <w:rPr>
          <w:sz w:val="20"/>
          <w:szCs w:val="20"/>
          <w:color w:val="auto"/>
        </w:rPr>
      </w:pPr>
      <w:r>
        <w:rPr>
          <w:rFonts w:ascii="Arial" w:cs="Arial" w:eastAsia="Arial" w:hAnsi="Arial"/>
          <w:sz w:val="12"/>
          <w:szCs w:val="12"/>
          <w:color w:val="auto"/>
        </w:rPr>
        <w:t>In connection with the Kolltan Acquisition, effective November 29, 2016, the Company recorded IPR&amp;D intangible assets primarily related to the development of the CDX-0158, CDX-3379 and TAM programs with a fair value of $40.0 million, $3.5 million and $18.0 million, respectively. At the date of acquisition and at June 30, 2017, the CDX-1058, CDX-3379 and TAM programs had not yet reached technological feasibility nor did they have any alternative future use. CDX-0158 is a humanized monoclonal antibody currently in a Phase 1 dose escalation study in refractory gastrointestinal stromal tumors and CDX-3379 is a human monoclonal antibody which recently completed a Phase 1b study in patients with solid tumors. The TAM program is a multi-faceted broad antibody discovery effort to generate antibodies that modulate the TAM family of RTKs, comprised of Tyro3, AXL and MerTK, which are expressed on tumor-infiltrating macrophages, dendritic cells and some tumors.</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(6) Other Long-Term Liabilities</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Other long-term liabilities include the following:</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320" w:type="dxa"/>
            <w:vAlign w:val="bottom"/>
          </w:tcPr>
          <w:p>
            <w:pPr>
              <w:spacing w:after="0"/>
              <w:rPr>
                <w:sz w:val="10"/>
                <w:szCs w:val="10"/>
                <w:color w:val="auto"/>
              </w:rPr>
            </w:pPr>
          </w:p>
        </w:tc>
        <w:tc>
          <w:tcPr>
            <w:tcW w:w="1020" w:type="dxa"/>
            <w:vAlign w:val="bottom"/>
          </w:tcPr>
          <w:p>
            <w:pPr>
              <w:jc w:val="right"/>
              <w:spacing w:after="0"/>
              <w:rPr>
                <w:sz w:val="20"/>
                <w:szCs w:val="20"/>
                <w:color w:val="auto"/>
              </w:rPr>
            </w:pPr>
            <w:r>
              <w:rPr>
                <w:rFonts w:ascii="Arial" w:cs="Arial" w:eastAsia="Arial" w:hAnsi="Arial"/>
                <w:sz w:val="10"/>
                <w:szCs w:val="10"/>
                <w:b w:val="1"/>
                <w:bCs w:val="1"/>
                <w:color w:val="auto"/>
              </w:rPr>
              <w:t>June 30, 2017</w:t>
            </w:r>
          </w:p>
        </w:tc>
        <w:tc>
          <w:tcPr>
            <w:tcW w:w="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0"/>
                <w:szCs w:val="10"/>
                <w:b w:val="1"/>
                <w:bCs w:val="1"/>
                <w:color w:val="auto"/>
                <w:w w:val="93"/>
              </w:rPr>
              <w:t>December 31, 2016</w:t>
            </w:r>
          </w:p>
        </w:tc>
      </w:tr>
      <w:tr>
        <w:trPr>
          <w:trHeight w:val="88"/>
        </w:trPr>
        <w:tc>
          <w:tcPr>
            <w:tcW w:w="8320" w:type="dxa"/>
            <w:vAlign w:val="bottom"/>
          </w:tcPr>
          <w:p>
            <w:pPr>
              <w:spacing w:after="0"/>
              <w:rPr>
                <w:sz w:val="7"/>
                <w:szCs w:val="7"/>
                <w:color w:val="auto"/>
              </w:rPr>
            </w:pPr>
          </w:p>
        </w:tc>
        <w:tc>
          <w:tcPr>
            <w:tcW w:w="1020" w:type="dxa"/>
            <w:vAlign w:val="bottom"/>
            <w:tcBorders>
              <w:top w:val="single" w:sz="8" w:color="auto"/>
            </w:tcBorders>
          </w:tcPr>
          <w:p>
            <w:pPr>
              <w:spacing w:after="0"/>
              <w:rPr>
                <w:sz w:val="7"/>
                <w:szCs w:val="7"/>
                <w:color w:val="auto"/>
              </w:rPr>
            </w:pPr>
          </w:p>
        </w:tc>
        <w:tc>
          <w:tcPr>
            <w:tcW w:w="880" w:type="dxa"/>
            <w:vAlign w:val="bottom"/>
            <w:tcBorders>
              <w:top w:val="single" w:sz="8" w:color="auto"/>
            </w:tcBorders>
            <w:gridSpan w:val="3"/>
          </w:tcPr>
          <w:p>
            <w:pPr>
              <w:jc w:val="right"/>
              <w:ind w:right="30"/>
              <w:spacing w:after="0" w:line="88" w:lineRule="exact"/>
              <w:rPr>
                <w:sz w:val="20"/>
                <w:szCs w:val="20"/>
                <w:color w:val="auto"/>
              </w:rPr>
            </w:pPr>
            <w:r>
              <w:rPr>
                <w:rFonts w:ascii="Arial" w:cs="Arial" w:eastAsia="Arial" w:hAnsi="Arial"/>
                <w:sz w:val="10"/>
                <w:szCs w:val="10"/>
                <w:b w:val="1"/>
                <w:bCs w:val="1"/>
                <w:color w:val="auto"/>
              </w:rPr>
              <w:t>(In thousands)</w:t>
            </w:r>
          </w:p>
        </w:tc>
        <w:tc>
          <w:tcPr>
            <w:tcW w:w="114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r>
      <w:tr>
        <w:trPr>
          <w:trHeight w:val="144"/>
        </w:trPr>
        <w:tc>
          <w:tcPr>
            <w:tcW w:w="8320" w:type="dxa"/>
            <w:vAlign w:val="bottom"/>
            <w:shd w:val="clear" w:color="auto" w:fill="CCEEFF"/>
          </w:tcPr>
          <w:p>
            <w:pPr>
              <w:spacing w:after="0"/>
              <w:rPr>
                <w:sz w:val="20"/>
                <w:szCs w:val="20"/>
                <w:color w:val="auto"/>
              </w:rPr>
            </w:pPr>
            <w:r>
              <w:rPr>
                <w:rFonts w:ascii="Arial" w:cs="Arial" w:eastAsia="Arial" w:hAnsi="Arial"/>
                <w:sz w:val="12"/>
                <w:szCs w:val="12"/>
                <w:color w:val="auto"/>
              </w:rPr>
              <w:t>Deferred Rent</w:t>
            </w:r>
          </w:p>
        </w:tc>
        <w:tc>
          <w:tcPr>
            <w:tcW w:w="1020" w:type="dxa"/>
            <w:vAlign w:val="bottom"/>
            <w:shd w:val="clear" w:color="auto" w:fill="CCEEFF"/>
          </w:tcPr>
          <w:p>
            <w:pPr>
              <w:jc w:val="right"/>
              <w:ind w:right="911"/>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710</w:t>
            </w:r>
          </w:p>
        </w:tc>
        <w:tc>
          <w:tcPr>
            <w:tcW w:w="2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398</w:t>
            </w:r>
          </w:p>
        </w:tc>
      </w:tr>
      <w:tr>
        <w:trPr>
          <w:trHeight w:val="144"/>
        </w:trPr>
        <w:tc>
          <w:tcPr>
            <w:tcW w:w="8320" w:type="dxa"/>
            <w:vAlign w:val="bottom"/>
          </w:tcPr>
          <w:p>
            <w:pPr>
              <w:spacing w:after="0"/>
              <w:rPr>
                <w:sz w:val="20"/>
                <w:szCs w:val="20"/>
                <w:color w:val="auto"/>
              </w:rPr>
            </w:pPr>
            <w:r>
              <w:rPr>
                <w:rFonts w:ascii="Arial" w:cs="Arial" w:eastAsia="Arial" w:hAnsi="Arial"/>
                <w:sz w:val="12"/>
                <w:szCs w:val="12"/>
                <w:color w:val="auto"/>
              </w:rPr>
              <w:t>Net Deferred Tax Liabilities related to IPR&amp;D</w:t>
            </w:r>
          </w:p>
        </w:tc>
        <w:tc>
          <w:tcPr>
            <w:tcW w:w="1020" w:type="dxa"/>
            <w:vAlign w:val="bottom"/>
          </w:tcPr>
          <w:p>
            <w:pPr>
              <w:spacing w:after="0"/>
              <w:rPr>
                <w:sz w:val="12"/>
                <w:szCs w:val="12"/>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2"/>
                <w:szCs w:val="12"/>
                <w:color w:val="auto"/>
                <w:w w:val="97"/>
              </w:rPr>
              <w:t>28,054</w:t>
            </w:r>
          </w:p>
        </w:tc>
        <w:tc>
          <w:tcPr>
            <w:tcW w:w="220" w:type="dxa"/>
            <w:vAlign w:val="bottom"/>
          </w:tcPr>
          <w:p>
            <w:pPr>
              <w:spacing w:after="0"/>
              <w:rPr>
                <w:sz w:val="12"/>
                <w:szCs w:val="12"/>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2"/>
                <w:szCs w:val="12"/>
                <w:color w:val="auto"/>
              </w:rPr>
              <w:t>28,054</w:t>
            </w:r>
          </w:p>
        </w:tc>
      </w:tr>
      <w:tr>
        <w:trPr>
          <w:trHeight w:val="144"/>
        </w:trPr>
        <w:tc>
          <w:tcPr>
            <w:tcW w:w="8320" w:type="dxa"/>
            <w:vAlign w:val="bottom"/>
            <w:shd w:val="clear" w:color="auto" w:fill="CCEEFF"/>
          </w:tcPr>
          <w:p>
            <w:pPr>
              <w:spacing w:after="0"/>
              <w:rPr>
                <w:sz w:val="20"/>
                <w:szCs w:val="20"/>
                <w:color w:val="auto"/>
              </w:rPr>
            </w:pPr>
            <w:r>
              <w:rPr>
                <w:rFonts w:ascii="Arial" w:cs="Arial" w:eastAsia="Arial" w:hAnsi="Arial"/>
                <w:sz w:val="12"/>
                <w:szCs w:val="12"/>
                <w:color w:val="auto"/>
              </w:rPr>
              <w:t>Deferred Income from Sale of Tax Benefits</w:t>
            </w:r>
          </w:p>
        </w:tc>
        <w:tc>
          <w:tcPr>
            <w:tcW w:w="10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8,940</w:t>
            </w:r>
          </w:p>
        </w:tc>
        <w:tc>
          <w:tcPr>
            <w:tcW w:w="2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9,436</w:t>
            </w:r>
          </w:p>
        </w:tc>
      </w:tr>
      <w:tr>
        <w:trPr>
          <w:trHeight w:val="144"/>
        </w:trPr>
        <w:tc>
          <w:tcPr>
            <w:tcW w:w="8320" w:type="dxa"/>
            <w:vAlign w:val="bottom"/>
          </w:tcPr>
          <w:p>
            <w:pPr>
              <w:spacing w:after="0"/>
              <w:rPr>
                <w:sz w:val="20"/>
                <w:szCs w:val="20"/>
                <w:color w:val="auto"/>
              </w:rPr>
            </w:pPr>
            <w:r>
              <w:rPr>
                <w:rFonts w:ascii="Arial" w:cs="Arial" w:eastAsia="Arial" w:hAnsi="Arial"/>
                <w:sz w:val="12"/>
                <w:szCs w:val="12"/>
                <w:color w:val="auto"/>
              </w:rPr>
              <w:t>Accrued Lease Restructuring</w:t>
            </w:r>
          </w:p>
        </w:tc>
        <w:tc>
          <w:tcPr>
            <w:tcW w:w="1020" w:type="dxa"/>
            <w:vAlign w:val="bottom"/>
          </w:tcPr>
          <w:p>
            <w:pPr>
              <w:spacing w:after="0"/>
              <w:rPr>
                <w:sz w:val="12"/>
                <w:szCs w:val="12"/>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2"/>
                <w:szCs w:val="12"/>
                <w:color w:val="auto"/>
              </w:rPr>
              <w:t>1,150</w:t>
            </w:r>
          </w:p>
        </w:tc>
        <w:tc>
          <w:tcPr>
            <w:tcW w:w="220" w:type="dxa"/>
            <w:vAlign w:val="bottom"/>
          </w:tcPr>
          <w:p>
            <w:pPr>
              <w:spacing w:after="0"/>
              <w:rPr>
                <w:sz w:val="12"/>
                <w:szCs w:val="12"/>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2"/>
                <w:szCs w:val="12"/>
                <w:color w:val="auto"/>
              </w:rPr>
              <w:t>1,154</w:t>
            </w:r>
          </w:p>
        </w:tc>
      </w:tr>
      <w:tr>
        <w:trPr>
          <w:trHeight w:val="144"/>
        </w:trPr>
        <w:tc>
          <w:tcPr>
            <w:tcW w:w="8320" w:type="dxa"/>
            <w:vAlign w:val="bottom"/>
            <w:shd w:val="clear" w:color="auto" w:fill="CCEEFF"/>
          </w:tcPr>
          <w:p>
            <w:pPr>
              <w:spacing w:after="0"/>
              <w:rPr>
                <w:sz w:val="20"/>
                <w:szCs w:val="20"/>
                <w:color w:val="auto"/>
              </w:rPr>
            </w:pPr>
            <w:r>
              <w:rPr>
                <w:rFonts w:ascii="Arial" w:cs="Arial" w:eastAsia="Arial" w:hAnsi="Arial"/>
                <w:sz w:val="12"/>
                <w:szCs w:val="12"/>
                <w:color w:val="auto"/>
              </w:rPr>
              <w:t>Long-Term Severance</w:t>
            </w:r>
          </w:p>
        </w:tc>
        <w:tc>
          <w:tcPr>
            <w:tcW w:w="10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181</w:t>
            </w:r>
          </w:p>
        </w:tc>
        <w:tc>
          <w:tcPr>
            <w:tcW w:w="2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539</w:t>
            </w:r>
          </w:p>
        </w:tc>
      </w:tr>
      <w:tr>
        <w:trPr>
          <w:trHeight w:val="144"/>
        </w:trPr>
        <w:tc>
          <w:tcPr>
            <w:tcW w:w="8320" w:type="dxa"/>
            <w:vAlign w:val="bottom"/>
          </w:tcPr>
          <w:p>
            <w:pPr>
              <w:spacing w:after="0"/>
              <w:rPr>
                <w:sz w:val="20"/>
                <w:szCs w:val="20"/>
                <w:color w:val="auto"/>
              </w:rPr>
            </w:pPr>
            <w:r>
              <w:rPr>
                <w:rFonts w:ascii="Arial" w:cs="Arial" w:eastAsia="Arial" w:hAnsi="Arial"/>
                <w:sz w:val="12"/>
                <w:szCs w:val="12"/>
                <w:color w:val="auto"/>
              </w:rPr>
              <w:t>Contingent Milestones</w:t>
            </w:r>
          </w:p>
        </w:tc>
        <w:tc>
          <w:tcPr>
            <w:tcW w:w="1020" w:type="dxa"/>
            <w:vAlign w:val="bottom"/>
          </w:tcPr>
          <w:p>
            <w:pPr>
              <w:spacing w:after="0"/>
              <w:rPr>
                <w:sz w:val="12"/>
                <w:szCs w:val="12"/>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2"/>
                <w:szCs w:val="12"/>
                <w:color w:val="auto"/>
                <w:w w:val="97"/>
              </w:rPr>
              <w:t>48,600</w:t>
            </w:r>
          </w:p>
        </w:tc>
        <w:tc>
          <w:tcPr>
            <w:tcW w:w="220" w:type="dxa"/>
            <w:vAlign w:val="bottom"/>
          </w:tcPr>
          <w:p>
            <w:pPr>
              <w:spacing w:after="0"/>
              <w:rPr>
                <w:sz w:val="12"/>
                <w:szCs w:val="12"/>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2"/>
                <w:szCs w:val="12"/>
                <w:color w:val="auto"/>
              </w:rPr>
              <w:t>44,200</w:t>
            </w:r>
          </w:p>
        </w:tc>
      </w:tr>
      <w:tr>
        <w:trPr>
          <w:trHeight w:val="144"/>
        </w:trPr>
        <w:tc>
          <w:tcPr>
            <w:tcW w:w="8320" w:type="dxa"/>
            <w:vAlign w:val="bottom"/>
            <w:shd w:val="clear" w:color="auto" w:fill="CCEEFF"/>
          </w:tcPr>
          <w:p>
            <w:pPr>
              <w:spacing w:after="0"/>
              <w:rPr>
                <w:sz w:val="20"/>
                <w:szCs w:val="20"/>
                <w:color w:val="auto"/>
              </w:rPr>
            </w:pPr>
            <w:r>
              <w:rPr>
                <w:rFonts w:ascii="Arial" w:cs="Arial" w:eastAsia="Arial" w:hAnsi="Arial"/>
                <w:sz w:val="12"/>
                <w:szCs w:val="12"/>
                <w:color w:val="auto"/>
              </w:rPr>
              <w:t>Deferred Revenue</w:t>
            </w:r>
          </w:p>
        </w:tc>
        <w:tc>
          <w:tcPr>
            <w:tcW w:w="10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3,729</w:t>
            </w:r>
          </w:p>
        </w:tc>
        <w:tc>
          <w:tcPr>
            <w:tcW w:w="2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3,749</w:t>
            </w:r>
          </w:p>
        </w:tc>
      </w:tr>
      <w:tr>
        <w:trPr>
          <w:trHeight w:val="133"/>
        </w:trPr>
        <w:tc>
          <w:tcPr>
            <w:tcW w:w="8320" w:type="dxa"/>
            <w:vAlign w:val="bottom"/>
          </w:tcPr>
          <w:p>
            <w:pPr>
              <w:ind w:left="120"/>
              <w:spacing w:after="0" w:line="133" w:lineRule="exact"/>
              <w:rPr>
                <w:sz w:val="20"/>
                <w:szCs w:val="20"/>
                <w:color w:val="auto"/>
              </w:rPr>
            </w:pPr>
            <w:r>
              <w:rPr>
                <w:rFonts w:ascii="Arial" w:cs="Arial" w:eastAsia="Arial" w:hAnsi="Arial"/>
                <w:sz w:val="12"/>
                <w:szCs w:val="12"/>
                <w:color w:val="auto"/>
              </w:rPr>
              <w:t>Total</w:t>
            </w:r>
          </w:p>
        </w:tc>
        <w:tc>
          <w:tcPr>
            <w:tcW w:w="102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w w:val="97"/>
              </w:rPr>
              <w:t>91,364</w:t>
            </w:r>
          </w:p>
        </w:tc>
        <w:tc>
          <w:tcPr>
            <w:tcW w:w="2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87,530</w:t>
            </w:r>
          </w:p>
        </w:tc>
        <w:tc>
          <w:tcPr>
            <w:tcW w:w="120" w:type="dxa"/>
            <w:vAlign w:val="bottom"/>
          </w:tcPr>
          <w:p>
            <w:pPr>
              <w:spacing w:after="0"/>
              <w:rPr>
                <w:sz w:val="11"/>
                <w:szCs w:val="11"/>
                <w:color w:val="auto"/>
              </w:rPr>
            </w:pPr>
          </w:p>
        </w:tc>
      </w:tr>
      <w:tr>
        <w:trPr>
          <w:trHeight w:val="144"/>
        </w:trPr>
        <w:tc>
          <w:tcPr>
            <w:tcW w:w="8320" w:type="dxa"/>
            <w:vAlign w:val="bottom"/>
            <w:shd w:val="clear" w:color="auto" w:fill="CCEEFF"/>
          </w:tcPr>
          <w:p>
            <w:pPr>
              <w:spacing w:after="0"/>
              <w:rPr>
                <w:sz w:val="20"/>
                <w:szCs w:val="20"/>
                <w:color w:val="auto"/>
              </w:rPr>
            </w:pPr>
            <w:r>
              <w:rPr>
                <w:rFonts w:ascii="Arial" w:cs="Arial" w:eastAsia="Arial" w:hAnsi="Arial"/>
                <w:sz w:val="12"/>
                <w:szCs w:val="12"/>
                <w:color w:val="auto"/>
              </w:rPr>
              <w:t>Less Current Portion</w:t>
            </w:r>
          </w:p>
        </w:tc>
        <w:tc>
          <w:tcPr>
            <w:tcW w:w="10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(5,538)</w:t>
            </w:r>
          </w:p>
        </w:tc>
        <w:tc>
          <w:tcPr>
            <w:tcW w:w="2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(4,826)</w:t>
            </w:r>
          </w:p>
        </w:tc>
      </w:tr>
      <w:tr>
        <w:trPr>
          <w:trHeight w:val="142"/>
        </w:trPr>
        <w:tc>
          <w:tcPr>
            <w:tcW w:w="8320" w:type="dxa"/>
            <w:vAlign w:val="bottom"/>
          </w:tcPr>
          <w:p>
            <w:pPr>
              <w:spacing w:after="0" w:line="133" w:lineRule="exact"/>
              <w:rPr>
                <w:sz w:val="20"/>
                <w:szCs w:val="20"/>
                <w:color w:val="auto"/>
              </w:rPr>
            </w:pPr>
            <w:r>
              <w:rPr>
                <w:rFonts w:ascii="Arial" w:cs="Arial" w:eastAsia="Arial" w:hAnsi="Arial"/>
                <w:sz w:val="12"/>
                <w:szCs w:val="12"/>
                <w:color w:val="auto"/>
              </w:rPr>
              <w:t>Long-Term Portion</w:t>
            </w:r>
          </w:p>
        </w:tc>
        <w:tc>
          <w:tcPr>
            <w:tcW w:w="1020" w:type="dxa"/>
            <w:vAlign w:val="bottom"/>
            <w:tcBorders>
              <w:top w:val="single" w:sz="8" w:color="auto"/>
            </w:tcBorders>
          </w:tcPr>
          <w:p>
            <w:pPr>
              <w:jc w:val="right"/>
              <w:ind w:right="911"/>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97"/>
              </w:rPr>
              <w:t>85,826</w:t>
            </w:r>
          </w:p>
        </w:tc>
        <w:tc>
          <w:tcPr>
            <w:tcW w:w="280" w:type="dxa"/>
            <w:vAlign w:val="bottom"/>
          </w:tcPr>
          <w:p>
            <w:pPr>
              <w:spacing w:after="0"/>
              <w:rPr>
                <w:sz w:val="12"/>
                <w:szCs w:val="12"/>
                <w:color w:val="auto"/>
              </w:rPr>
            </w:pPr>
          </w:p>
        </w:tc>
        <w:tc>
          <w:tcPr>
            <w:tcW w:w="220" w:type="dxa"/>
            <w:vAlign w:val="bottom"/>
            <w:tcBorders>
              <w:top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82,704</w:t>
            </w:r>
          </w:p>
        </w:tc>
        <w:tc>
          <w:tcPr>
            <w:tcW w:w="120" w:type="dxa"/>
            <w:vAlign w:val="bottom"/>
          </w:tcPr>
          <w:p>
            <w:pPr>
              <w:spacing w:after="0"/>
              <w:rPr>
                <w:sz w:val="12"/>
                <w:szCs w:val="12"/>
                <w:color w:val="auto"/>
              </w:rPr>
            </w:pPr>
          </w:p>
        </w:tc>
      </w:tr>
    </w:tbl>
    <w:p>
      <w:pPr>
        <w:sectPr>
          <w:pgSz w:w="11900" w:h="16922" w:orient="portrait"/>
          <w:cols w:equalWidth="0" w:num="1">
            <w:col w:w="11500"/>
          </w:cols>
          <w:pgMar w:left="220" w:top="124" w:right="179" w:bottom="0" w:gutter="0" w:footer="0" w:header="0"/>
        </w:sectPr>
      </w:pPr>
    </w:p>
    <w:bookmarkStart w:id="4" w:name="page5"/>
    <w:bookmarkEnd w:id="4"/>
    <w:p>
      <w:pPr>
        <w:ind w:left="420"/>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5425440</wp:posOffset>
            </wp:positionH>
            <wp:positionV relativeFrom="page">
              <wp:posOffset>88900</wp:posOffset>
            </wp:positionV>
            <wp:extent cx="193294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932940" cy="17145"/>
                    </a:xfrm>
                    <a:prstGeom prst="rect">
                      <a:avLst/>
                    </a:prstGeom>
                    <a:noFill/>
                  </pic:spPr>
                </pic:pic>
              </a:graphicData>
            </a:graphic>
          </wp:anchor>
        </w:drawing>
        <w:t>In November 2015, December 2014, January 2014 and January 2013, the Company received approval from the New Jersey Economic Development Authority and agreed to sell New Jersey tax benefits of $9.8 million,</w:t>
      </w:r>
    </w:p>
    <w:p>
      <w:pPr>
        <w:spacing w:after="0" w:line="26" w:lineRule="exact"/>
        <w:rPr>
          <w:sz w:val="20"/>
          <w:szCs w:val="20"/>
          <w:color w:val="auto"/>
        </w:rPr>
      </w:pPr>
    </w:p>
    <w:p>
      <w:pPr>
        <w:ind w:right="160"/>
        <w:spacing w:after="0" w:line="255" w:lineRule="auto"/>
        <w:rPr>
          <w:sz w:val="20"/>
          <w:szCs w:val="20"/>
          <w:color w:val="auto"/>
        </w:rPr>
      </w:pPr>
      <w:r>
        <w:rPr>
          <w:rFonts w:ascii="Arial" w:cs="Arial" w:eastAsia="Arial" w:hAnsi="Arial"/>
          <w:sz w:val="12"/>
          <w:szCs w:val="12"/>
          <w:color w:val="auto"/>
        </w:rPr>
        <w:t>$1.9 million, $1.1 million and $0.8 million to an independent third party for $9.2 million, $1.8 million, $1.0 million and $0.8 million, respectively. Under the agreement, the Company must maintain a base of operations in New Jersey for five years or the tax benefits must be paid back on a pro-rata basis based on the number of years completed. The Company recorded $0.5 million and $0.6 million to other income related to the sale of these tax benefits during the six months ended June 30, 2017 and 2016, respectively.</w:t>
      </w:r>
    </w:p>
    <w:p>
      <w:pPr>
        <w:spacing w:after="0" w:line="128"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310755" cy="241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10755" cy="24130"/>
                    </a:xfrm>
                    <a:prstGeom prst="rect">
                      <a:avLst/>
                    </a:prstGeom>
                    <a:noFill/>
                  </pic:spPr>
                </pic:pic>
              </a:graphicData>
            </a:graphic>
          </wp:anchor>
        </w:drawing>
      </w:r>
    </w:p>
    <w:p>
      <w:pPr>
        <w:spacing w:after="0" w:line="319" w:lineRule="exact"/>
        <w:rPr>
          <w:sz w:val="20"/>
          <w:szCs w:val="20"/>
          <w:color w:val="auto"/>
        </w:rPr>
      </w:pPr>
    </w:p>
    <w:p>
      <w:pPr>
        <w:spacing w:after="0"/>
        <w:rPr>
          <w:rFonts w:ascii="Arial" w:cs="Arial" w:eastAsia="Arial" w:hAnsi="Arial"/>
          <w:sz w:val="12"/>
          <w:szCs w:val="12"/>
          <w:u w:val="single" w:color="auto"/>
          <w:color w:val="0000EE"/>
        </w:rPr>
      </w:pPr>
      <w:hyperlink w:anchor="page1">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ind w:right="100" w:firstLine="432"/>
        <w:spacing w:after="0" w:line="259" w:lineRule="auto"/>
        <w:rPr>
          <w:sz w:val="20"/>
          <w:szCs w:val="20"/>
          <w:color w:val="auto"/>
        </w:rPr>
      </w:pPr>
      <w:r>
        <w:rPr>
          <w:rFonts w:ascii="Arial" w:cs="Arial" w:eastAsia="Arial" w:hAnsi="Arial"/>
          <w:sz w:val="12"/>
          <w:szCs w:val="12"/>
          <w:color w:val="auto"/>
        </w:rPr>
        <w:t>In December 2016, the Company decided not to occupy the 11,500 square feet of expansion space (“Needham Expansion”) at its Needham, Massachusetts facility. The Company agreed to lease the Needham Expansion in August 2015 and the term of the lease expires in July 2020. The Company is actively trying to sublease the lease obligation. In March 2017, the Company terminated its lease in Branford, CT and consolidated its Connecticut operations in its New Haven, CT facility. The Company recorded restructuring expense of $0.2 million to general and administrative expense related to the Branford, CT lease termination. The activity related to accrued lease restructuring for the six months ended June 30, 2017 is presented below (in thousands):</w:t>
      </w:r>
    </w:p>
    <w:p>
      <w:pPr>
        <w:spacing w:after="0" w:line="103" w:lineRule="exact"/>
        <w:rPr>
          <w:sz w:val="20"/>
          <w:szCs w:val="20"/>
          <w:color w:val="auto"/>
        </w:rPr>
      </w:pPr>
    </w:p>
    <w:tbl>
      <w:tblPr>
        <w:tblLayout w:type="fixed"/>
        <w:tblInd w:w="420" w:type="dxa"/>
        <w:tblCellMar>
          <w:top w:w="0" w:type="dxa"/>
          <w:left w:w="0" w:type="dxa"/>
          <w:bottom w:w="0" w:type="dxa"/>
          <w:right w:w="0" w:type="dxa"/>
        </w:tblCellMar>
      </w:tblPr>
      <w:tr>
        <w:trPr>
          <w:trHeight w:val="115"/>
        </w:trPr>
        <w:tc>
          <w:tcPr>
            <w:tcW w:w="8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60" w:type="dxa"/>
            <w:vAlign w:val="bottom"/>
            <w:gridSpan w:val="3"/>
          </w:tcPr>
          <w:p>
            <w:pPr>
              <w:ind w:left="160"/>
              <w:spacing w:after="0"/>
              <w:rPr>
                <w:sz w:val="20"/>
                <w:szCs w:val="20"/>
                <w:color w:val="auto"/>
              </w:rPr>
            </w:pPr>
            <w:r>
              <w:rPr>
                <w:rFonts w:ascii="Arial" w:cs="Arial" w:eastAsia="Arial" w:hAnsi="Arial"/>
                <w:sz w:val="10"/>
                <w:szCs w:val="10"/>
                <w:b w:val="1"/>
                <w:bCs w:val="1"/>
                <w:color w:val="auto"/>
              </w:rPr>
              <w:t>Accrued Lease</w:t>
            </w:r>
          </w:p>
        </w:tc>
      </w:tr>
      <w:tr>
        <w:trPr>
          <w:trHeight w:val="114"/>
        </w:trPr>
        <w:tc>
          <w:tcPr>
            <w:tcW w:w="84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gridSpan w:val="3"/>
          </w:tcPr>
          <w:p>
            <w:pPr>
              <w:ind w:left="180"/>
              <w:spacing w:after="0" w:line="114" w:lineRule="exact"/>
              <w:rPr>
                <w:sz w:val="20"/>
                <w:szCs w:val="20"/>
                <w:color w:val="auto"/>
              </w:rPr>
            </w:pPr>
            <w:r>
              <w:rPr>
                <w:rFonts w:ascii="Arial" w:cs="Arial" w:eastAsia="Arial" w:hAnsi="Arial"/>
                <w:sz w:val="10"/>
                <w:szCs w:val="10"/>
                <w:b w:val="1"/>
                <w:bCs w:val="1"/>
                <w:color w:val="auto"/>
              </w:rPr>
              <w:t>Restructuring</w:t>
            </w:r>
          </w:p>
        </w:tc>
      </w:tr>
      <w:tr>
        <w:trPr>
          <w:trHeight w:val="133"/>
        </w:trPr>
        <w:tc>
          <w:tcPr>
            <w:tcW w:w="840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Balance at December 31, 2016</w:t>
            </w:r>
          </w:p>
        </w:tc>
        <w:tc>
          <w:tcPr>
            <w:tcW w:w="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5"/>
                <w:szCs w:val="5"/>
                <w:color w:val="auto"/>
                <w:w w:val="70"/>
              </w:rPr>
              <w:t>$</w:t>
            </w:r>
          </w:p>
        </w:tc>
        <w:tc>
          <w:tcPr>
            <w:tcW w:w="114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1,154</w:t>
            </w: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r>
      <w:tr>
        <w:trPr>
          <w:trHeight w:val="144"/>
        </w:trPr>
        <w:tc>
          <w:tcPr>
            <w:tcW w:w="8400" w:type="dxa"/>
            <w:vAlign w:val="bottom"/>
          </w:tcPr>
          <w:p>
            <w:pPr>
              <w:spacing w:after="0"/>
              <w:rPr>
                <w:sz w:val="20"/>
                <w:szCs w:val="20"/>
                <w:color w:val="auto"/>
              </w:rPr>
            </w:pPr>
            <w:r>
              <w:rPr>
                <w:rFonts w:ascii="Arial" w:cs="Arial" w:eastAsia="Arial" w:hAnsi="Arial"/>
                <w:sz w:val="12"/>
                <w:szCs w:val="12"/>
                <w:color w:val="auto"/>
              </w:rPr>
              <w:t>Expense</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2"/>
                <w:szCs w:val="12"/>
                <w:color w:val="auto"/>
              </w:rPr>
              <w:t>267</w:t>
            </w:r>
          </w:p>
        </w:tc>
        <w:tc>
          <w:tcPr>
            <w:tcW w:w="100" w:type="dxa"/>
            <w:vAlign w:val="bottom"/>
          </w:tcPr>
          <w:p>
            <w:pPr>
              <w:spacing w:after="0"/>
              <w:rPr>
                <w:sz w:val="12"/>
                <w:szCs w:val="12"/>
                <w:color w:val="auto"/>
              </w:rPr>
            </w:pPr>
          </w:p>
        </w:tc>
      </w:tr>
      <w:tr>
        <w:trPr>
          <w:trHeight w:val="144"/>
        </w:trPr>
        <w:tc>
          <w:tcPr>
            <w:tcW w:w="8400" w:type="dxa"/>
            <w:vAlign w:val="bottom"/>
            <w:shd w:val="clear" w:color="auto" w:fill="CCEEFF"/>
          </w:tcPr>
          <w:p>
            <w:pPr>
              <w:spacing w:after="0"/>
              <w:rPr>
                <w:sz w:val="20"/>
                <w:szCs w:val="20"/>
                <w:color w:val="auto"/>
              </w:rPr>
            </w:pPr>
            <w:r>
              <w:rPr>
                <w:rFonts w:ascii="Arial" w:cs="Arial" w:eastAsia="Arial" w:hAnsi="Arial"/>
                <w:sz w:val="12"/>
                <w:szCs w:val="12"/>
                <w:color w:val="auto"/>
              </w:rPr>
              <w:t>Payments</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6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(271)</w:t>
            </w:r>
          </w:p>
        </w:tc>
      </w:tr>
      <w:tr>
        <w:trPr>
          <w:trHeight w:val="140"/>
        </w:trPr>
        <w:tc>
          <w:tcPr>
            <w:tcW w:w="8400" w:type="dxa"/>
            <w:vAlign w:val="bottom"/>
          </w:tcPr>
          <w:p>
            <w:pPr>
              <w:spacing w:after="0" w:line="133" w:lineRule="exact"/>
              <w:rPr>
                <w:sz w:val="20"/>
                <w:szCs w:val="20"/>
                <w:color w:val="auto"/>
              </w:rPr>
            </w:pPr>
            <w:r>
              <w:rPr>
                <w:rFonts w:ascii="Arial" w:cs="Arial" w:eastAsia="Arial" w:hAnsi="Arial"/>
                <w:sz w:val="12"/>
                <w:szCs w:val="12"/>
                <w:color w:val="auto"/>
              </w:rPr>
              <w:t>Balance at June 30, 2017</w:t>
            </w:r>
          </w:p>
        </w:tc>
        <w:tc>
          <w:tcPr>
            <w:tcW w:w="20" w:type="dxa"/>
            <w:vAlign w:val="bottom"/>
            <w:tcBorders>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135"/>
              <w:spacing w:after="0"/>
              <w:rPr>
                <w:sz w:val="20"/>
                <w:szCs w:val="20"/>
                <w:color w:val="auto"/>
              </w:rPr>
            </w:pPr>
            <w:r>
              <w:rPr>
                <w:rFonts w:ascii="Arial" w:cs="Arial" w:eastAsia="Arial" w:hAnsi="Arial"/>
                <w:sz w:val="5"/>
                <w:szCs w:val="5"/>
                <w:color w:val="auto"/>
                <w:w w:val="70"/>
              </w:rPr>
              <w:t>$</w:t>
            </w:r>
          </w:p>
        </w:tc>
        <w:tc>
          <w:tcPr>
            <w:tcW w:w="114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1,150</w:t>
            </w:r>
          </w:p>
        </w:tc>
        <w:tc>
          <w:tcPr>
            <w:tcW w:w="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bl>
    <w:p>
      <w:pPr>
        <w:spacing w:after="0" w:line="13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(7) Stockholders’ Equity</w:t>
      </w:r>
    </w:p>
    <w:p>
      <w:pPr>
        <w:spacing w:after="0" w:line="154" w:lineRule="exact"/>
        <w:rPr>
          <w:sz w:val="20"/>
          <w:szCs w:val="20"/>
          <w:color w:val="auto"/>
        </w:rPr>
      </w:pPr>
    </w:p>
    <w:p>
      <w:pPr>
        <w:ind w:right="60" w:firstLine="432"/>
        <w:spacing w:after="0" w:line="298" w:lineRule="auto"/>
        <w:rPr>
          <w:sz w:val="20"/>
          <w:szCs w:val="20"/>
          <w:color w:val="auto"/>
        </w:rPr>
      </w:pPr>
      <w:r>
        <w:rPr>
          <w:rFonts w:ascii="Arial" w:cs="Arial" w:eastAsia="Arial" w:hAnsi="Arial"/>
          <w:sz w:val="11"/>
          <w:szCs w:val="11"/>
          <w:color w:val="auto"/>
        </w:rPr>
        <w:t>In May 2016, the Company entered into an agreement with Cantor Fitzgerald &amp; Co. (“Cantor”) to allow the Company to issue and sell shares of its common stock having an aggregate offering price of up to $60.0 million from time to time through Cantor, acting as agent. During the six months ended June 30, 2017, Company issued 6,731,066 shares of its common stock under this controlled equity offering sales agreement with Cantor resulting in net proceeds to the Company of $21.5 million, after deducting commission and offering expenses. At June 30, 2017, the Company had $23.1 million remaining in aggregate gross offering price available under the agreement.</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(8) Stock-Based Compensation</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 summary of stock option activity for the six months ended June 30, 2017 is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6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Pr>
          <w:p>
            <w:pPr>
              <w:jc w:val="center"/>
              <w:ind w:left="311"/>
              <w:spacing w:after="0"/>
              <w:rPr>
                <w:sz w:val="20"/>
                <w:szCs w:val="20"/>
                <w:color w:val="auto"/>
              </w:rPr>
            </w:pPr>
            <w:r>
              <w:rPr>
                <w:rFonts w:ascii="Arial" w:cs="Arial" w:eastAsia="Arial" w:hAnsi="Arial"/>
                <w:sz w:val="10"/>
                <w:szCs w:val="10"/>
                <w:b w:val="1"/>
                <w:bCs w:val="1"/>
                <w:color w:val="auto"/>
                <w:w w:val="88"/>
              </w:rPr>
              <w:t>Weighted</w:t>
            </w: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88"/>
              </w:rPr>
              <w:t>Weighted</w:t>
            </w:r>
          </w:p>
        </w:tc>
      </w:tr>
      <w:tr>
        <w:trPr>
          <w:trHeight w:val="99"/>
        </w:trPr>
        <w:tc>
          <w:tcPr>
            <w:tcW w:w="6660" w:type="dxa"/>
            <w:vAlign w:val="bottom"/>
          </w:tcPr>
          <w:p>
            <w:pPr>
              <w:spacing w:after="0"/>
              <w:rPr>
                <w:sz w:val="8"/>
                <w:szCs w:val="8"/>
                <w:color w:val="auto"/>
              </w:rPr>
            </w:pPr>
          </w:p>
        </w:tc>
        <w:tc>
          <w:tcPr>
            <w:tcW w:w="8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jc w:val="center"/>
              <w:ind w:left="311"/>
              <w:spacing w:after="0" w:line="99" w:lineRule="exact"/>
              <w:rPr>
                <w:sz w:val="20"/>
                <w:szCs w:val="20"/>
                <w:color w:val="auto"/>
              </w:rPr>
            </w:pPr>
            <w:r>
              <w:rPr>
                <w:rFonts w:ascii="Arial" w:cs="Arial" w:eastAsia="Arial" w:hAnsi="Arial"/>
                <w:sz w:val="10"/>
                <w:szCs w:val="10"/>
                <w:b w:val="1"/>
                <w:bCs w:val="1"/>
                <w:color w:val="auto"/>
                <w:w w:val="80"/>
              </w:rPr>
              <w:t>Average</w:t>
            </w: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500" w:type="dxa"/>
            <w:vAlign w:val="bottom"/>
            <w:gridSpan w:val="2"/>
          </w:tcPr>
          <w:p>
            <w:pPr>
              <w:jc w:val="center"/>
              <w:ind w:right="100"/>
              <w:spacing w:after="0" w:line="99" w:lineRule="exact"/>
              <w:rPr>
                <w:sz w:val="20"/>
                <w:szCs w:val="20"/>
                <w:color w:val="auto"/>
              </w:rPr>
            </w:pPr>
            <w:r>
              <w:rPr>
                <w:rFonts w:ascii="Arial" w:cs="Arial" w:eastAsia="Arial" w:hAnsi="Arial"/>
                <w:sz w:val="10"/>
                <w:szCs w:val="10"/>
                <w:b w:val="1"/>
                <w:bCs w:val="1"/>
                <w:color w:val="auto"/>
                <w:w w:val="80"/>
              </w:rPr>
              <w:t>Average</w:t>
            </w:r>
          </w:p>
        </w:tc>
      </w:tr>
      <w:tr>
        <w:trPr>
          <w:trHeight w:val="99"/>
        </w:trPr>
        <w:tc>
          <w:tcPr>
            <w:tcW w:w="6660" w:type="dxa"/>
            <w:vAlign w:val="bottom"/>
          </w:tcPr>
          <w:p>
            <w:pPr>
              <w:spacing w:after="0"/>
              <w:rPr>
                <w:sz w:val="8"/>
                <w:szCs w:val="8"/>
                <w:color w:val="auto"/>
              </w:rPr>
            </w:pPr>
          </w:p>
        </w:tc>
        <w:tc>
          <w:tcPr>
            <w:tcW w:w="8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jc w:val="center"/>
              <w:ind w:left="311"/>
              <w:spacing w:after="0" w:line="99" w:lineRule="exact"/>
              <w:rPr>
                <w:sz w:val="20"/>
                <w:szCs w:val="20"/>
                <w:color w:val="auto"/>
              </w:rPr>
            </w:pPr>
            <w:r>
              <w:rPr>
                <w:rFonts w:ascii="Arial" w:cs="Arial" w:eastAsia="Arial" w:hAnsi="Arial"/>
                <w:sz w:val="10"/>
                <w:szCs w:val="10"/>
                <w:b w:val="1"/>
                <w:bCs w:val="1"/>
                <w:color w:val="auto"/>
                <w:w w:val="87"/>
              </w:rPr>
              <w:t>Exercise</w:t>
            </w: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500" w:type="dxa"/>
            <w:vAlign w:val="bottom"/>
            <w:gridSpan w:val="2"/>
          </w:tcPr>
          <w:p>
            <w:pPr>
              <w:jc w:val="center"/>
              <w:ind w:right="100"/>
              <w:spacing w:after="0" w:line="99" w:lineRule="exact"/>
              <w:rPr>
                <w:sz w:val="20"/>
                <w:szCs w:val="20"/>
                <w:color w:val="auto"/>
              </w:rPr>
            </w:pPr>
            <w:r>
              <w:rPr>
                <w:rFonts w:ascii="Arial" w:cs="Arial" w:eastAsia="Arial" w:hAnsi="Arial"/>
                <w:sz w:val="10"/>
                <w:szCs w:val="10"/>
                <w:b w:val="1"/>
                <w:bCs w:val="1"/>
                <w:color w:val="auto"/>
                <w:w w:val="85"/>
              </w:rPr>
              <w:t>Remaining</w:t>
            </w:r>
          </w:p>
        </w:tc>
      </w:tr>
      <w:tr>
        <w:trPr>
          <w:trHeight w:val="99"/>
        </w:trPr>
        <w:tc>
          <w:tcPr>
            <w:tcW w:w="6660" w:type="dxa"/>
            <w:vAlign w:val="bottom"/>
          </w:tcPr>
          <w:p>
            <w:pPr>
              <w:spacing w:after="0"/>
              <w:rPr>
                <w:sz w:val="8"/>
                <w:szCs w:val="8"/>
                <w:color w:val="auto"/>
              </w:rPr>
            </w:pPr>
          </w:p>
        </w:tc>
        <w:tc>
          <w:tcPr>
            <w:tcW w:w="8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jc w:val="center"/>
              <w:ind w:left="311"/>
              <w:spacing w:after="0" w:line="99" w:lineRule="exact"/>
              <w:rPr>
                <w:sz w:val="20"/>
                <w:szCs w:val="20"/>
                <w:color w:val="auto"/>
              </w:rPr>
            </w:pPr>
            <w:r>
              <w:rPr>
                <w:rFonts w:ascii="Arial" w:cs="Arial" w:eastAsia="Arial" w:hAnsi="Arial"/>
                <w:sz w:val="10"/>
                <w:szCs w:val="10"/>
                <w:b w:val="1"/>
                <w:bCs w:val="1"/>
                <w:color w:val="auto"/>
                <w:w w:val="81"/>
              </w:rPr>
              <w:t>Price</w:t>
            </w: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500" w:type="dxa"/>
            <w:vAlign w:val="bottom"/>
            <w:gridSpan w:val="2"/>
          </w:tcPr>
          <w:p>
            <w:pPr>
              <w:jc w:val="center"/>
              <w:ind w:right="100"/>
              <w:spacing w:after="0" w:line="99" w:lineRule="exact"/>
              <w:rPr>
                <w:sz w:val="20"/>
                <w:szCs w:val="20"/>
                <w:color w:val="auto"/>
              </w:rPr>
            </w:pPr>
            <w:r>
              <w:rPr>
                <w:rFonts w:ascii="Arial" w:cs="Arial" w:eastAsia="Arial" w:hAnsi="Arial"/>
                <w:sz w:val="10"/>
                <w:szCs w:val="10"/>
                <w:b w:val="1"/>
                <w:bCs w:val="1"/>
                <w:color w:val="auto"/>
                <w:w w:val="86"/>
              </w:rPr>
              <w:t>Contractual</w:t>
            </w:r>
          </w:p>
        </w:tc>
      </w:tr>
      <w:tr>
        <w:trPr>
          <w:trHeight w:val="114"/>
        </w:trPr>
        <w:tc>
          <w:tcPr>
            <w:tcW w:w="6660" w:type="dxa"/>
            <w:vAlign w:val="bottom"/>
          </w:tcPr>
          <w:p>
            <w:pPr>
              <w:spacing w:after="0"/>
              <w:rPr>
                <w:sz w:val="9"/>
                <w:szCs w:val="9"/>
                <w:color w:val="auto"/>
              </w:rPr>
            </w:pPr>
          </w:p>
        </w:tc>
        <w:tc>
          <w:tcPr>
            <w:tcW w:w="840" w:type="dxa"/>
            <w:vAlign w:val="bottom"/>
          </w:tcPr>
          <w:p>
            <w:pPr>
              <w:ind w:left="560"/>
              <w:spacing w:after="0" w:line="114" w:lineRule="exact"/>
              <w:rPr>
                <w:sz w:val="20"/>
                <w:szCs w:val="20"/>
                <w:color w:val="auto"/>
              </w:rPr>
            </w:pPr>
            <w:r>
              <w:rPr>
                <w:rFonts w:ascii="Arial" w:cs="Arial" w:eastAsia="Arial" w:hAnsi="Arial"/>
                <w:sz w:val="10"/>
                <w:szCs w:val="10"/>
                <w:b w:val="1"/>
                <w:bCs w:val="1"/>
                <w:color w:val="auto"/>
                <w:w w:val="77"/>
              </w:rPr>
              <w:t>Shares</w:t>
            </w: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jc w:val="center"/>
              <w:ind w:left="311"/>
              <w:spacing w:after="0" w:line="114" w:lineRule="exact"/>
              <w:rPr>
                <w:sz w:val="20"/>
                <w:szCs w:val="20"/>
                <w:color w:val="auto"/>
              </w:rPr>
            </w:pPr>
            <w:r>
              <w:rPr>
                <w:rFonts w:ascii="Arial" w:cs="Arial" w:eastAsia="Arial" w:hAnsi="Arial"/>
                <w:sz w:val="10"/>
                <w:szCs w:val="10"/>
                <w:b w:val="1"/>
                <w:bCs w:val="1"/>
                <w:color w:val="auto"/>
                <w:w w:val="85"/>
              </w:rPr>
              <w:t>Per Share</w:t>
            </w: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00" w:type="dxa"/>
            <w:vAlign w:val="bottom"/>
            <w:gridSpan w:val="2"/>
          </w:tcPr>
          <w:p>
            <w:pPr>
              <w:jc w:val="center"/>
              <w:ind w:right="100"/>
              <w:spacing w:after="0" w:line="114" w:lineRule="exact"/>
              <w:rPr>
                <w:sz w:val="20"/>
                <w:szCs w:val="20"/>
                <w:color w:val="auto"/>
              </w:rPr>
            </w:pPr>
            <w:r>
              <w:rPr>
                <w:rFonts w:ascii="Arial" w:cs="Arial" w:eastAsia="Arial" w:hAnsi="Arial"/>
                <w:sz w:val="10"/>
                <w:szCs w:val="10"/>
                <w:b w:val="1"/>
                <w:bCs w:val="1"/>
                <w:color w:val="auto"/>
                <w:w w:val="87"/>
              </w:rPr>
              <w:t>Term (In Years)</w:t>
            </w:r>
          </w:p>
        </w:tc>
      </w:tr>
      <w:tr>
        <w:trPr>
          <w:trHeight w:val="133"/>
        </w:trPr>
        <w:tc>
          <w:tcPr>
            <w:tcW w:w="666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Options Outstanding at December 31, 2016</w:t>
            </w:r>
          </w:p>
        </w:tc>
        <w:tc>
          <w:tcPr>
            <w:tcW w:w="84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w w:val="86"/>
              </w:rPr>
              <w:t>10,218,710</w:t>
            </w:r>
          </w:p>
        </w:tc>
        <w:tc>
          <w:tcPr>
            <w:tcW w:w="300" w:type="dxa"/>
            <w:vAlign w:val="bottom"/>
            <w:tcBorders>
              <w:top w:val="single" w:sz="8" w:color="CCEEFF"/>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jc w:val="right"/>
              <w:ind w:right="891"/>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11.14</w:t>
            </w:r>
          </w:p>
        </w:tc>
        <w:tc>
          <w:tcPr>
            <w:tcW w:w="260" w:type="dxa"/>
            <w:vAlign w:val="bottom"/>
            <w:tcBorders>
              <w:top w:val="single" w:sz="8" w:color="CCEEFF"/>
            </w:tcBorders>
            <w:shd w:val="clear" w:color="auto" w:fill="CCEEFF"/>
          </w:tcPr>
          <w:p>
            <w:pPr>
              <w:spacing w:after="0"/>
              <w:rPr>
                <w:sz w:val="11"/>
                <w:szCs w:val="11"/>
                <w:color w:val="auto"/>
              </w:rPr>
            </w:pPr>
          </w:p>
        </w:tc>
        <w:tc>
          <w:tcPr>
            <w:tcW w:w="1380" w:type="dxa"/>
            <w:vAlign w:val="bottom"/>
            <w:tcBorders>
              <w:top w:val="single" w:sz="8" w:color="auto"/>
            </w:tcBorders>
            <w:shd w:val="clear" w:color="auto" w:fill="CCEEFF"/>
          </w:tcPr>
          <w:p>
            <w:pPr>
              <w:ind w:left="1240"/>
              <w:spacing w:after="0" w:line="133" w:lineRule="exact"/>
              <w:rPr>
                <w:sz w:val="20"/>
                <w:szCs w:val="20"/>
                <w:color w:val="auto"/>
              </w:rPr>
            </w:pPr>
            <w:r>
              <w:rPr>
                <w:rFonts w:ascii="Arial" w:cs="Arial" w:eastAsia="Arial" w:hAnsi="Arial"/>
                <w:sz w:val="12"/>
                <w:szCs w:val="12"/>
                <w:color w:val="auto"/>
                <w:w w:val="71"/>
              </w:rPr>
              <w:t>6.5</w:t>
            </w:r>
          </w:p>
        </w:tc>
        <w:tc>
          <w:tcPr>
            <w:tcW w:w="120" w:type="dxa"/>
            <w:vAlign w:val="bottom"/>
            <w:tcBorders>
              <w:top w:val="single" w:sz="8" w:color="CCEEFF"/>
            </w:tcBorders>
            <w:shd w:val="clear" w:color="auto" w:fill="CCEEFF"/>
          </w:tcPr>
          <w:p>
            <w:pPr>
              <w:spacing w:after="0"/>
              <w:rPr>
                <w:sz w:val="11"/>
                <w:szCs w:val="11"/>
                <w:color w:val="auto"/>
              </w:rPr>
            </w:pPr>
          </w:p>
        </w:tc>
      </w:tr>
      <w:tr>
        <w:trPr>
          <w:trHeight w:val="144"/>
        </w:trPr>
        <w:tc>
          <w:tcPr>
            <w:tcW w:w="7500" w:type="dxa"/>
            <w:vAlign w:val="bottom"/>
            <w:gridSpan w:val="2"/>
          </w:tcPr>
          <w:p>
            <w:pPr>
              <w:spacing w:after="0"/>
              <w:rPr>
                <w:sz w:val="20"/>
                <w:szCs w:val="20"/>
                <w:color w:val="auto"/>
              </w:rPr>
            </w:pPr>
            <w:r>
              <w:rPr>
                <w:rFonts w:ascii="Arial" w:cs="Arial" w:eastAsia="Arial" w:hAnsi="Arial"/>
                <w:sz w:val="12"/>
                <w:szCs w:val="12"/>
                <w:color w:val="auto"/>
              </w:rPr>
              <w:t>Granted</w:t>
            </w:r>
          </w:p>
        </w:tc>
        <w:tc>
          <w:tcPr>
            <w:tcW w:w="540" w:type="dxa"/>
            <w:vAlign w:val="bottom"/>
          </w:tcPr>
          <w:p>
            <w:pPr>
              <w:jc w:val="right"/>
              <w:spacing w:after="0"/>
              <w:rPr>
                <w:sz w:val="20"/>
                <w:szCs w:val="20"/>
                <w:color w:val="auto"/>
              </w:rPr>
            </w:pPr>
            <w:r>
              <w:rPr>
                <w:rFonts w:ascii="Arial" w:cs="Arial" w:eastAsia="Arial" w:hAnsi="Arial"/>
                <w:sz w:val="12"/>
                <w:szCs w:val="12"/>
                <w:color w:val="auto"/>
                <w:w w:val="97"/>
              </w:rPr>
              <w:t>2,283,100</w:t>
            </w:r>
          </w:p>
        </w:tc>
        <w:tc>
          <w:tcPr>
            <w:tcW w:w="300" w:type="dxa"/>
            <w:vAlign w:val="bottom"/>
          </w:tcPr>
          <w:p>
            <w:pPr>
              <w:spacing w:after="0"/>
              <w:rPr>
                <w:sz w:val="12"/>
                <w:szCs w:val="12"/>
                <w:color w:val="auto"/>
              </w:rPr>
            </w:pPr>
          </w:p>
        </w:tc>
        <w:tc>
          <w:tcPr>
            <w:tcW w:w="1000" w:type="dxa"/>
            <w:vAlign w:val="bottom"/>
          </w:tcPr>
          <w:p>
            <w:pPr>
              <w:jc w:val="right"/>
              <w:ind w:right="891"/>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260"/>
              <w:spacing w:after="0"/>
              <w:rPr>
                <w:sz w:val="20"/>
                <w:szCs w:val="20"/>
                <w:color w:val="auto"/>
              </w:rPr>
            </w:pPr>
            <w:r>
              <w:rPr>
                <w:rFonts w:ascii="Arial" w:cs="Arial" w:eastAsia="Arial" w:hAnsi="Arial"/>
                <w:sz w:val="12"/>
                <w:szCs w:val="12"/>
                <w:color w:val="auto"/>
              </w:rPr>
              <w:t>2.34</w:t>
            </w: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75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Exercised</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1000" w:type="dxa"/>
            <w:vAlign w:val="bottom"/>
            <w:shd w:val="clear" w:color="auto" w:fill="CCEEFF"/>
          </w:tcPr>
          <w:p>
            <w:pPr>
              <w:jc w:val="right"/>
              <w:ind w:right="891"/>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7500" w:type="dxa"/>
            <w:vAlign w:val="bottom"/>
            <w:gridSpan w:val="2"/>
          </w:tcPr>
          <w:p>
            <w:pPr>
              <w:spacing w:after="0"/>
              <w:rPr>
                <w:sz w:val="20"/>
                <w:szCs w:val="20"/>
                <w:color w:val="auto"/>
              </w:rPr>
            </w:pPr>
            <w:r>
              <w:rPr>
                <w:rFonts w:ascii="Arial" w:cs="Arial" w:eastAsia="Arial" w:hAnsi="Arial"/>
                <w:sz w:val="12"/>
                <w:szCs w:val="12"/>
                <w:color w:val="auto"/>
              </w:rPr>
              <w:t>Canceled</w:t>
            </w:r>
          </w:p>
        </w:tc>
        <w:tc>
          <w:tcPr>
            <w:tcW w:w="840" w:type="dxa"/>
            <w:vAlign w:val="bottom"/>
            <w:gridSpan w:val="2"/>
          </w:tcPr>
          <w:p>
            <w:pPr>
              <w:jc w:val="right"/>
              <w:ind w:right="260"/>
              <w:spacing w:after="0"/>
              <w:rPr>
                <w:sz w:val="20"/>
                <w:szCs w:val="20"/>
                <w:color w:val="auto"/>
              </w:rPr>
            </w:pPr>
            <w:r>
              <w:rPr>
                <w:rFonts w:ascii="Arial" w:cs="Arial" w:eastAsia="Arial" w:hAnsi="Arial"/>
                <w:sz w:val="12"/>
                <w:szCs w:val="12"/>
                <w:color w:val="auto"/>
              </w:rPr>
              <w:t>(413,100)</w:t>
            </w:r>
          </w:p>
        </w:tc>
        <w:tc>
          <w:tcPr>
            <w:tcW w:w="1000" w:type="dxa"/>
            <w:vAlign w:val="bottom"/>
          </w:tcPr>
          <w:p>
            <w:pPr>
              <w:jc w:val="right"/>
              <w:ind w:right="891"/>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260"/>
              <w:spacing w:after="0"/>
              <w:rPr>
                <w:sz w:val="20"/>
                <w:szCs w:val="20"/>
                <w:color w:val="auto"/>
              </w:rPr>
            </w:pPr>
            <w:r>
              <w:rPr>
                <w:rFonts w:ascii="Arial" w:cs="Arial" w:eastAsia="Arial" w:hAnsi="Arial"/>
                <w:sz w:val="12"/>
                <w:szCs w:val="12"/>
                <w:color w:val="auto"/>
              </w:rPr>
              <w:t>10.66</w:t>
            </w: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3"/>
        </w:trPr>
        <w:tc>
          <w:tcPr>
            <w:tcW w:w="6660" w:type="dxa"/>
            <w:vAlign w:val="bottom"/>
            <w:tcBorders>
              <w:top w:val="single" w:sz="8" w:color="CCEEFF"/>
              <w:bottom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Options Outstanding at June 30, 2017</w:t>
            </w:r>
          </w:p>
        </w:tc>
        <w:tc>
          <w:tcPr>
            <w:tcW w:w="840" w:type="dxa"/>
            <w:vAlign w:val="bottom"/>
            <w:tcBorders>
              <w:top w:val="single" w:sz="8" w:color="auto"/>
              <w:bottom w:val="single" w:sz="8" w:color="auto"/>
            </w:tcBorders>
            <w:shd w:val="clear" w:color="auto" w:fill="CCEEFF"/>
          </w:tcPr>
          <w:p>
            <w:pPr>
              <w:spacing w:after="0"/>
              <w:rPr>
                <w:sz w:val="13"/>
                <w:szCs w:val="13"/>
                <w:color w:val="auto"/>
              </w:rPr>
            </w:pPr>
          </w:p>
        </w:tc>
        <w:tc>
          <w:tcPr>
            <w:tcW w:w="5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w w:val="86"/>
              </w:rPr>
              <w:t>12,088,710</w:t>
            </w:r>
          </w:p>
        </w:tc>
        <w:tc>
          <w:tcPr>
            <w:tcW w:w="300" w:type="dxa"/>
            <w:vAlign w:val="bottom"/>
            <w:tcBorders>
              <w:top w:val="single" w:sz="8" w:color="CCEEFF"/>
              <w:bottom w:val="single" w:sz="8" w:color="CCEEFF"/>
            </w:tcBorders>
            <w:shd w:val="clear" w:color="auto" w:fill="CCEEFF"/>
          </w:tcPr>
          <w:p>
            <w:pPr>
              <w:spacing w:after="0"/>
              <w:rPr>
                <w:sz w:val="13"/>
                <w:szCs w:val="13"/>
                <w:color w:val="auto"/>
              </w:rPr>
            </w:pPr>
          </w:p>
        </w:tc>
        <w:tc>
          <w:tcPr>
            <w:tcW w:w="1000" w:type="dxa"/>
            <w:vAlign w:val="bottom"/>
            <w:tcBorders>
              <w:top w:val="single" w:sz="8" w:color="CCEEFF"/>
              <w:bottom w:val="single" w:sz="8" w:color="CCEEFF"/>
            </w:tcBorders>
            <w:shd w:val="clear" w:color="auto" w:fill="CCEEFF"/>
          </w:tcPr>
          <w:p>
            <w:pPr>
              <w:jc w:val="right"/>
              <w:ind w:right="891"/>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CCEEFF"/>
              <w:bottom w:val="single" w:sz="8" w:color="CCEEFF"/>
            </w:tcBorders>
            <w:gridSpan w:val="2"/>
            <w:shd w:val="clear" w:color="auto" w:fill="CCEEFF"/>
          </w:tcPr>
          <w:p>
            <w:pPr>
              <w:jc w:val="right"/>
              <w:ind w:right="260"/>
              <w:spacing w:after="0" w:line="133" w:lineRule="exact"/>
              <w:rPr>
                <w:sz w:val="20"/>
                <w:szCs w:val="20"/>
                <w:color w:val="auto"/>
              </w:rPr>
            </w:pPr>
            <w:r>
              <w:rPr>
                <w:rFonts w:ascii="Arial" w:cs="Arial" w:eastAsia="Arial" w:hAnsi="Arial"/>
                <w:sz w:val="12"/>
                <w:szCs w:val="12"/>
                <w:color w:val="auto"/>
              </w:rPr>
              <w:t>9.49</w:t>
            </w:r>
          </w:p>
        </w:tc>
        <w:tc>
          <w:tcPr>
            <w:tcW w:w="1500" w:type="dxa"/>
            <w:vAlign w:val="bottom"/>
            <w:tcBorders>
              <w:top w:val="single" w:sz="8" w:color="CCEEFF"/>
              <w:bottom w:val="single" w:sz="8" w:color="CCEEFF"/>
            </w:tcBorders>
            <w:gridSpan w:val="2"/>
            <w:shd w:val="clear" w:color="auto" w:fill="CCEEFF"/>
          </w:tcPr>
          <w:p>
            <w:pPr>
              <w:ind w:left="1240"/>
              <w:spacing w:after="0" w:line="133" w:lineRule="exact"/>
              <w:rPr>
                <w:sz w:val="20"/>
                <w:szCs w:val="20"/>
                <w:color w:val="auto"/>
              </w:rPr>
            </w:pPr>
            <w:r>
              <w:rPr>
                <w:rFonts w:ascii="Arial" w:cs="Arial" w:eastAsia="Arial" w:hAnsi="Arial"/>
                <w:sz w:val="12"/>
                <w:szCs w:val="12"/>
                <w:color w:val="auto"/>
              </w:rPr>
              <w:t>6.5</w:t>
            </w:r>
          </w:p>
        </w:tc>
      </w:tr>
      <w:tr>
        <w:trPr>
          <w:trHeight w:val="131"/>
        </w:trPr>
        <w:tc>
          <w:tcPr>
            <w:tcW w:w="6660" w:type="dxa"/>
            <w:vAlign w:val="bottom"/>
          </w:tcPr>
          <w:p>
            <w:pPr>
              <w:spacing w:after="0" w:line="132" w:lineRule="exact"/>
              <w:rPr>
                <w:sz w:val="20"/>
                <w:szCs w:val="20"/>
                <w:color w:val="auto"/>
              </w:rPr>
            </w:pPr>
            <w:r>
              <w:rPr>
                <w:rFonts w:ascii="Arial" w:cs="Arial" w:eastAsia="Arial" w:hAnsi="Arial"/>
                <w:sz w:val="12"/>
                <w:szCs w:val="12"/>
                <w:color w:val="auto"/>
              </w:rPr>
              <w:t>Options Vested and Expected to Vest at June 30, 2017</w:t>
            </w:r>
          </w:p>
        </w:tc>
        <w:tc>
          <w:tcPr>
            <w:tcW w:w="840" w:type="dxa"/>
            <w:vAlign w:val="bottom"/>
          </w:tcPr>
          <w:p>
            <w:pPr>
              <w:spacing w:after="0"/>
              <w:rPr>
                <w:sz w:val="11"/>
                <w:szCs w:val="11"/>
                <w:color w:val="auto"/>
              </w:rPr>
            </w:pPr>
          </w:p>
        </w:tc>
        <w:tc>
          <w:tcPr>
            <w:tcW w:w="540" w:type="dxa"/>
            <w:vAlign w:val="bottom"/>
          </w:tcPr>
          <w:p>
            <w:pPr>
              <w:jc w:val="right"/>
              <w:spacing w:after="0" w:line="132" w:lineRule="exact"/>
              <w:rPr>
                <w:sz w:val="20"/>
                <w:szCs w:val="20"/>
                <w:color w:val="auto"/>
              </w:rPr>
            </w:pPr>
            <w:r>
              <w:rPr>
                <w:rFonts w:ascii="Arial" w:cs="Arial" w:eastAsia="Arial" w:hAnsi="Arial"/>
                <w:sz w:val="12"/>
                <w:szCs w:val="12"/>
                <w:color w:val="auto"/>
                <w:w w:val="86"/>
              </w:rPr>
              <w:t>11,931,869</w:t>
            </w:r>
          </w:p>
        </w:tc>
        <w:tc>
          <w:tcPr>
            <w:tcW w:w="300" w:type="dxa"/>
            <w:vAlign w:val="bottom"/>
          </w:tcPr>
          <w:p>
            <w:pPr>
              <w:spacing w:after="0"/>
              <w:rPr>
                <w:sz w:val="11"/>
                <w:szCs w:val="11"/>
                <w:color w:val="auto"/>
              </w:rPr>
            </w:pPr>
          </w:p>
        </w:tc>
        <w:tc>
          <w:tcPr>
            <w:tcW w:w="1000" w:type="dxa"/>
            <w:vAlign w:val="bottom"/>
          </w:tcPr>
          <w:p>
            <w:pPr>
              <w:jc w:val="right"/>
              <w:ind w:right="891"/>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260"/>
              <w:spacing w:after="0" w:line="132" w:lineRule="exact"/>
              <w:rPr>
                <w:sz w:val="20"/>
                <w:szCs w:val="20"/>
                <w:color w:val="auto"/>
              </w:rPr>
            </w:pPr>
            <w:r>
              <w:rPr>
                <w:rFonts w:ascii="Arial" w:cs="Arial" w:eastAsia="Arial" w:hAnsi="Arial"/>
                <w:sz w:val="12"/>
                <w:szCs w:val="12"/>
                <w:color w:val="auto"/>
              </w:rPr>
              <w:t>9.54</w:t>
            </w:r>
          </w:p>
        </w:tc>
        <w:tc>
          <w:tcPr>
            <w:tcW w:w="1500" w:type="dxa"/>
            <w:vAlign w:val="bottom"/>
            <w:gridSpan w:val="2"/>
          </w:tcPr>
          <w:p>
            <w:pPr>
              <w:ind w:left="1240"/>
              <w:spacing w:after="0" w:line="132" w:lineRule="exact"/>
              <w:rPr>
                <w:sz w:val="20"/>
                <w:szCs w:val="20"/>
                <w:color w:val="auto"/>
              </w:rPr>
            </w:pPr>
            <w:r>
              <w:rPr>
                <w:rFonts w:ascii="Arial" w:cs="Arial" w:eastAsia="Arial" w:hAnsi="Arial"/>
                <w:sz w:val="12"/>
                <w:szCs w:val="12"/>
                <w:color w:val="auto"/>
              </w:rPr>
              <w:t>6.5</w:t>
            </w:r>
          </w:p>
        </w:tc>
      </w:tr>
      <w:tr>
        <w:trPr>
          <w:trHeight w:val="144"/>
        </w:trPr>
        <w:tc>
          <w:tcPr>
            <w:tcW w:w="75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Options Exercisable at June 30, 2017</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7"/>
              </w:rPr>
              <w:t>7,085,429</w:t>
            </w: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891"/>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10.93</w:t>
            </w:r>
          </w:p>
        </w:tc>
        <w:tc>
          <w:tcPr>
            <w:tcW w:w="1500" w:type="dxa"/>
            <w:vAlign w:val="bottom"/>
            <w:gridSpan w:val="2"/>
            <w:shd w:val="clear" w:color="auto" w:fill="CCEEFF"/>
          </w:tcPr>
          <w:p>
            <w:pPr>
              <w:ind w:left="1240"/>
              <w:spacing w:after="0"/>
              <w:rPr>
                <w:sz w:val="20"/>
                <w:szCs w:val="20"/>
                <w:color w:val="auto"/>
              </w:rPr>
            </w:pPr>
            <w:r>
              <w:rPr>
                <w:rFonts w:ascii="Arial" w:cs="Arial" w:eastAsia="Arial" w:hAnsi="Arial"/>
                <w:sz w:val="12"/>
                <w:szCs w:val="12"/>
                <w:color w:val="auto"/>
              </w:rPr>
              <w:t>4.7</w:t>
            </w:r>
          </w:p>
        </w:tc>
      </w:tr>
      <w:tr>
        <w:trPr>
          <w:trHeight w:val="153"/>
        </w:trPr>
        <w:tc>
          <w:tcPr>
            <w:tcW w:w="7500" w:type="dxa"/>
            <w:vAlign w:val="bottom"/>
            <w:gridSpan w:val="2"/>
          </w:tcPr>
          <w:p>
            <w:pPr>
              <w:spacing w:after="0"/>
              <w:rPr>
                <w:sz w:val="20"/>
                <w:szCs w:val="20"/>
                <w:color w:val="auto"/>
              </w:rPr>
            </w:pPr>
            <w:r>
              <w:rPr>
                <w:rFonts w:ascii="Arial" w:cs="Arial" w:eastAsia="Arial" w:hAnsi="Arial"/>
                <w:sz w:val="12"/>
                <w:szCs w:val="12"/>
                <w:color w:val="auto"/>
              </w:rPr>
              <w:t>Shares Available for Grant under the 2008 Plan</w:t>
            </w:r>
          </w:p>
        </w:tc>
        <w:tc>
          <w:tcPr>
            <w:tcW w:w="540" w:type="dxa"/>
            <w:vAlign w:val="bottom"/>
          </w:tcPr>
          <w:p>
            <w:pPr>
              <w:jc w:val="right"/>
              <w:spacing w:after="0"/>
              <w:rPr>
                <w:sz w:val="20"/>
                <w:szCs w:val="20"/>
                <w:color w:val="auto"/>
              </w:rPr>
            </w:pPr>
            <w:r>
              <w:rPr>
                <w:rFonts w:ascii="Arial" w:cs="Arial" w:eastAsia="Arial" w:hAnsi="Arial"/>
                <w:sz w:val="12"/>
                <w:szCs w:val="12"/>
                <w:color w:val="auto"/>
                <w:w w:val="97"/>
              </w:rPr>
              <w:t>7,292,650</w:t>
            </w: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r>
    </w:tbl>
    <w:p>
      <w:pPr>
        <w:spacing w:after="0" w:line="126" w:lineRule="exact"/>
        <w:rPr>
          <w:sz w:val="20"/>
          <w:szCs w:val="20"/>
          <w:color w:val="auto"/>
        </w:rPr>
      </w:pPr>
    </w:p>
    <w:p>
      <w:pPr>
        <w:ind w:right="80" w:firstLine="432"/>
        <w:spacing w:after="0" w:line="276" w:lineRule="auto"/>
        <w:rPr>
          <w:sz w:val="20"/>
          <w:szCs w:val="20"/>
          <w:color w:val="auto"/>
        </w:rPr>
      </w:pPr>
      <w:r>
        <w:rPr>
          <w:rFonts w:ascii="Arial" w:cs="Arial" w:eastAsia="Arial" w:hAnsi="Arial"/>
          <w:sz w:val="12"/>
          <w:szCs w:val="12"/>
          <w:color w:val="auto"/>
        </w:rPr>
        <w:t>The weighted average grant-date fair value of stock options granted during the six month period ended June 30, 2017 was $1.57. Stock-based compensation expense for the three and six months ended June 30, 2017 and 2016 was recorded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000" w:type="dxa"/>
            <w:vAlign w:val="bottom"/>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0"/>
                <w:szCs w:val="10"/>
                <w:b w:val="1"/>
                <w:bCs w:val="1"/>
                <w:color w:val="auto"/>
                <w:w w:val="89"/>
              </w:rPr>
              <w:t>Three months ended June 30,</w:t>
            </w:r>
          </w:p>
        </w:tc>
        <w:tc>
          <w:tcPr>
            <w:tcW w:w="86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0"/>
                <w:szCs w:val="10"/>
                <w:b w:val="1"/>
                <w:bCs w:val="1"/>
                <w:color w:val="auto"/>
              </w:rPr>
              <w:t>Six months ended June 30,</w:t>
            </w:r>
          </w:p>
        </w:tc>
        <w:tc>
          <w:tcPr>
            <w:tcW w:w="86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88"/>
        </w:trPr>
        <w:tc>
          <w:tcPr>
            <w:tcW w:w="5000" w:type="dxa"/>
            <w:vAlign w:val="bottom"/>
          </w:tcPr>
          <w:p>
            <w:pPr>
              <w:spacing w:after="0"/>
              <w:rPr>
                <w:sz w:val="7"/>
                <w:szCs w:val="7"/>
                <w:color w:val="auto"/>
              </w:rPr>
            </w:pPr>
          </w:p>
        </w:tc>
        <w:tc>
          <w:tcPr>
            <w:tcW w:w="840" w:type="dxa"/>
            <w:vAlign w:val="bottom"/>
            <w:tcBorders>
              <w:bottom w:val="single" w:sz="8" w:color="auto"/>
            </w:tcBorders>
          </w:tcPr>
          <w:p>
            <w:pPr>
              <w:jc w:val="right"/>
              <w:ind w:right="11"/>
              <w:spacing w:after="0" w:line="88" w:lineRule="exact"/>
              <w:rPr>
                <w:sz w:val="20"/>
                <w:szCs w:val="20"/>
                <w:color w:val="auto"/>
              </w:rPr>
            </w:pPr>
            <w:r>
              <w:rPr>
                <w:rFonts w:ascii="Arial" w:cs="Arial" w:eastAsia="Arial" w:hAnsi="Arial"/>
                <w:sz w:val="10"/>
                <w:szCs w:val="10"/>
                <w:b w:val="1"/>
                <w:bCs w:val="1"/>
                <w:color w:val="auto"/>
              </w:rPr>
              <w:t>2017</w:t>
            </w:r>
          </w:p>
        </w:tc>
        <w:tc>
          <w:tcPr>
            <w:tcW w:w="5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jc w:val="right"/>
              <w:ind w:right="545"/>
              <w:spacing w:after="0" w:line="88" w:lineRule="exact"/>
              <w:rPr>
                <w:sz w:val="20"/>
                <w:szCs w:val="20"/>
                <w:color w:val="auto"/>
              </w:rPr>
            </w:pPr>
            <w:r>
              <w:rPr>
                <w:rFonts w:ascii="Arial" w:cs="Arial" w:eastAsia="Arial" w:hAnsi="Arial"/>
                <w:sz w:val="10"/>
                <w:szCs w:val="10"/>
                <w:b w:val="1"/>
                <w:bCs w:val="1"/>
                <w:color w:val="auto"/>
              </w:rPr>
              <w:t>2016</w:t>
            </w:r>
          </w:p>
        </w:tc>
        <w:tc>
          <w:tcPr>
            <w:tcW w:w="28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jc w:val="right"/>
              <w:ind w:right="545"/>
              <w:spacing w:after="0" w:line="88" w:lineRule="exact"/>
              <w:rPr>
                <w:sz w:val="20"/>
                <w:szCs w:val="20"/>
                <w:color w:val="auto"/>
              </w:rPr>
            </w:pPr>
            <w:r>
              <w:rPr>
                <w:rFonts w:ascii="Arial" w:cs="Arial" w:eastAsia="Arial" w:hAnsi="Arial"/>
                <w:sz w:val="10"/>
                <w:szCs w:val="10"/>
                <w:b w:val="1"/>
                <w:bCs w:val="1"/>
                <w:color w:val="auto"/>
              </w:rPr>
              <w:t>2017</w:t>
            </w:r>
          </w:p>
        </w:tc>
        <w:tc>
          <w:tcPr>
            <w:tcW w:w="2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jc w:val="right"/>
              <w:ind w:right="523"/>
              <w:spacing w:after="0" w:line="88" w:lineRule="exact"/>
              <w:rPr>
                <w:sz w:val="20"/>
                <w:szCs w:val="20"/>
                <w:color w:val="auto"/>
              </w:rPr>
            </w:pPr>
            <w:r>
              <w:rPr>
                <w:rFonts w:ascii="Arial" w:cs="Arial" w:eastAsia="Arial" w:hAnsi="Arial"/>
                <w:sz w:val="10"/>
                <w:szCs w:val="10"/>
                <w:b w:val="1"/>
                <w:bCs w:val="1"/>
                <w:color w:val="auto"/>
              </w:rPr>
              <w:t>2016</w:t>
            </w:r>
          </w:p>
        </w:tc>
        <w:tc>
          <w:tcPr>
            <w:tcW w:w="120" w:type="dxa"/>
            <w:vAlign w:val="bottom"/>
          </w:tcPr>
          <w:p>
            <w:pPr>
              <w:spacing w:after="0"/>
              <w:rPr>
                <w:sz w:val="7"/>
                <w:szCs w:val="7"/>
                <w:color w:val="auto"/>
              </w:rPr>
            </w:pPr>
          </w:p>
        </w:tc>
      </w:tr>
      <w:tr>
        <w:trPr>
          <w:trHeight w:val="88"/>
        </w:trPr>
        <w:tc>
          <w:tcPr>
            <w:tcW w:w="5000" w:type="dxa"/>
            <w:vAlign w:val="bottom"/>
          </w:tcPr>
          <w:p>
            <w:pPr>
              <w:spacing w:after="0"/>
              <w:rPr>
                <w:sz w:val="7"/>
                <w:szCs w:val="7"/>
                <w:color w:val="auto"/>
              </w:rPr>
            </w:pPr>
          </w:p>
        </w:tc>
        <w:tc>
          <w:tcPr>
            <w:tcW w:w="8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500" w:type="dxa"/>
            <w:vAlign w:val="bottom"/>
            <w:gridSpan w:val="3"/>
          </w:tcPr>
          <w:p>
            <w:pPr>
              <w:jc w:val="right"/>
              <w:ind w:right="170"/>
              <w:spacing w:after="0" w:line="88" w:lineRule="exact"/>
              <w:rPr>
                <w:sz w:val="20"/>
                <w:szCs w:val="20"/>
                <w:color w:val="auto"/>
              </w:rPr>
            </w:pPr>
            <w:r>
              <w:rPr>
                <w:rFonts w:ascii="Arial" w:cs="Arial" w:eastAsia="Arial" w:hAnsi="Arial"/>
                <w:sz w:val="10"/>
                <w:szCs w:val="10"/>
                <w:b w:val="1"/>
                <w:bCs w:val="1"/>
                <w:color w:val="auto"/>
              </w:rPr>
              <w:t>(In thousands)</w:t>
            </w:r>
          </w:p>
        </w:tc>
        <w:tc>
          <w:tcPr>
            <w:tcW w:w="1020" w:type="dxa"/>
            <w:vAlign w:val="bottom"/>
          </w:tcPr>
          <w:p>
            <w:pPr>
              <w:spacing w:after="0"/>
              <w:rPr>
                <w:sz w:val="7"/>
                <w:szCs w:val="7"/>
                <w:color w:val="auto"/>
              </w:rPr>
            </w:pPr>
          </w:p>
        </w:tc>
        <w:tc>
          <w:tcPr>
            <w:tcW w:w="280" w:type="dxa"/>
            <w:vAlign w:val="bottom"/>
          </w:tcPr>
          <w:p>
            <w:pPr>
              <w:spacing w:after="0"/>
              <w:rPr>
                <w:sz w:val="7"/>
                <w:szCs w:val="7"/>
                <w:color w:val="auto"/>
              </w:rPr>
            </w:pPr>
          </w:p>
        </w:tc>
        <w:tc>
          <w:tcPr>
            <w:tcW w:w="5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0" w:type="dxa"/>
            <w:vAlign w:val="bottom"/>
          </w:tcPr>
          <w:p>
            <w:pPr>
              <w:spacing w:after="0"/>
              <w:rPr>
                <w:sz w:val="7"/>
                <w:szCs w:val="7"/>
                <w:color w:val="auto"/>
              </w:rPr>
            </w:pPr>
          </w:p>
        </w:tc>
      </w:tr>
      <w:tr>
        <w:trPr>
          <w:trHeight w:val="144"/>
        </w:trPr>
        <w:tc>
          <w:tcPr>
            <w:tcW w:w="5000" w:type="dxa"/>
            <w:vAlign w:val="bottom"/>
            <w:shd w:val="clear" w:color="auto" w:fill="CCEEFF"/>
          </w:tcPr>
          <w:p>
            <w:pPr>
              <w:spacing w:after="0"/>
              <w:rPr>
                <w:sz w:val="20"/>
                <w:szCs w:val="20"/>
                <w:color w:val="auto"/>
              </w:rPr>
            </w:pPr>
            <w:r>
              <w:rPr>
                <w:rFonts w:ascii="Arial" w:cs="Arial" w:eastAsia="Arial" w:hAnsi="Arial"/>
                <w:sz w:val="12"/>
                <w:szCs w:val="12"/>
                <w:color w:val="auto"/>
              </w:rPr>
              <w:t>Research and development</w:t>
            </w:r>
          </w:p>
        </w:tc>
        <w:tc>
          <w:tcPr>
            <w:tcW w:w="840" w:type="dxa"/>
            <w:vAlign w:val="bottom"/>
            <w:shd w:val="clear" w:color="auto" w:fill="CCEEFF"/>
          </w:tcPr>
          <w:p>
            <w:pPr>
              <w:jc w:val="right"/>
              <w:ind w:right="731"/>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1,871</w:t>
            </w:r>
          </w:p>
        </w:tc>
        <w:tc>
          <w:tcPr>
            <w:tcW w:w="680" w:type="dxa"/>
            <w:vAlign w:val="bottom"/>
            <w:gridSpan w:val="2"/>
            <w:shd w:val="clear" w:color="auto" w:fill="CCEEFF"/>
          </w:tcPr>
          <w:p>
            <w:pPr>
              <w:jc w:val="right"/>
              <w:ind w:right="430"/>
              <w:spacing w:after="0"/>
              <w:rPr>
                <w:sz w:val="20"/>
                <w:szCs w:val="20"/>
                <w:color w:val="auto"/>
              </w:rPr>
            </w:pPr>
            <w:r>
              <w:rPr>
                <w:rFonts w:ascii="Arial" w:cs="Arial" w:eastAsia="Arial" w:hAnsi="Arial"/>
                <w:sz w:val="12"/>
                <w:szCs w:val="12"/>
                <w:color w:val="auto"/>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2,008</w:t>
            </w:r>
          </w:p>
        </w:tc>
        <w:tc>
          <w:tcPr>
            <w:tcW w:w="360" w:type="dxa"/>
            <w:vAlign w:val="bottom"/>
            <w:shd w:val="clear" w:color="auto" w:fill="CCEEFF"/>
          </w:tcPr>
          <w:p>
            <w:pPr>
              <w:jc w:val="right"/>
              <w:ind w:right="250"/>
              <w:spacing w:after="0"/>
              <w:rPr>
                <w:sz w:val="20"/>
                <w:szCs w:val="20"/>
                <w:color w:val="auto"/>
              </w:rPr>
            </w:pPr>
            <w:r>
              <w:rPr>
                <w:rFonts w:ascii="Arial" w:cs="Arial" w:eastAsia="Arial" w:hAnsi="Arial"/>
                <w:sz w:val="10"/>
                <w:szCs w:val="10"/>
                <w:color w:val="auto"/>
                <w:w w:val="71"/>
              </w:rPr>
              <w:t>$</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3,764</w:t>
            </w:r>
          </w:p>
        </w:tc>
        <w:tc>
          <w:tcPr>
            <w:tcW w:w="500" w:type="dxa"/>
            <w:vAlign w:val="bottom"/>
            <w:shd w:val="clear" w:color="auto" w:fill="CCEEFF"/>
          </w:tcPr>
          <w:p>
            <w:pPr>
              <w:jc w:val="right"/>
              <w:ind w:right="390"/>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ind w:left="600"/>
              <w:spacing w:after="0"/>
              <w:rPr>
                <w:sz w:val="20"/>
                <w:szCs w:val="20"/>
                <w:color w:val="auto"/>
              </w:rPr>
            </w:pPr>
            <w:r>
              <w:rPr>
                <w:rFonts w:ascii="Arial" w:cs="Arial" w:eastAsia="Arial" w:hAnsi="Arial"/>
                <w:sz w:val="12"/>
                <w:szCs w:val="12"/>
                <w:color w:val="auto"/>
              </w:rPr>
              <w:t>3,824</w:t>
            </w:r>
          </w:p>
        </w:tc>
      </w:tr>
      <w:tr>
        <w:trPr>
          <w:trHeight w:val="144"/>
        </w:trPr>
        <w:tc>
          <w:tcPr>
            <w:tcW w:w="5000" w:type="dxa"/>
            <w:vAlign w:val="bottom"/>
          </w:tcPr>
          <w:p>
            <w:pPr>
              <w:spacing w:after="0"/>
              <w:rPr>
                <w:sz w:val="20"/>
                <w:szCs w:val="20"/>
                <w:color w:val="auto"/>
              </w:rPr>
            </w:pPr>
            <w:r>
              <w:rPr>
                <w:rFonts w:ascii="Arial" w:cs="Arial" w:eastAsia="Arial" w:hAnsi="Arial"/>
                <w:sz w:val="12"/>
                <w:szCs w:val="12"/>
                <w:color w:val="auto"/>
              </w:rPr>
              <w:t>General and administrative</w:t>
            </w:r>
          </w:p>
        </w:tc>
        <w:tc>
          <w:tcPr>
            <w:tcW w:w="840" w:type="dxa"/>
            <w:vAlign w:val="bottom"/>
          </w:tcPr>
          <w:p>
            <w:pPr>
              <w:spacing w:after="0"/>
              <w:rPr>
                <w:sz w:val="12"/>
                <w:szCs w:val="12"/>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2"/>
                <w:szCs w:val="12"/>
                <w:color w:val="auto"/>
              </w:rPr>
              <w:t>1,579</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2"/>
                <w:szCs w:val="12"/>
                <w:color w:val="auto"/>
              </w:rPr>
              <w:t>1,965</w:t>
            </w:r>
          </w:p>
        </w:tc>
        <w:tc>
          <w:tcPr>
            <w:tcW w:w="360" w:type="dxa"/>
            <w:vAlign w:val="bottom"/>
          </w:tcPr>
          <w:p>
            <w:pPr>
              <w:spacing w:after="0"/>
              <w:rPr>
                <w:sz w:val="12"/>
                <w:szCs w:val="12"/>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2"/>
                <w:szCs w:val="12"/>
                <w:color w:val="auto"/>
              </w:rPr>
              <w:t>3,225</w:t>
            </w:r>
          </w:p>
        </w:tc>
        <w:tc>
          <w:tcPr>
            <w:tcW w:w="500" w:type="dxa"/>
            <w:vAlign w:val="bottom"/>
          </w:tcPr>
          <w:p>
            <w:pPr>
              <w:spacing w:after="0"/>
              <w:rPr>
                <w:sz w:val="12"/>
                <w:szCs w:val="12"/>
                <w:color w:val="auto"/>
              </w:rPr>
            </w:pPr>
          </w:p>
        </w:tc>
        <w:tc>
          <w:tcPr>
            <w:tcW w:w="980" w:type="dxa"/>
            <w:vAlign w:val="bottom"/>
            <w:gridSpan w:val="2"/>
          </w:tcPr>
          <w:p>
            <w:pPr>
              <w:ind w:left="600"/>
              <w:spacing w:after="0"/>
              <w:rPr>
                <w:sz w:val="20"/>
                <w:szCs w:val="20"/>
                <w:color w:val="auto"/>
              </w:rPr>
            </w:pPr>
            <w:r>
              <w:rPr>
                <w:rFonts w:ascii="Arial" w:cs="Arial" w:eastAsia="Arial" w:hAnsi="Arial"/>
                <w:sz w:val="12"/>
                <w:szCs w:val="12"/>
                <w:color w:val="auto"/>
              </w:rPr>
              <w:t>4,089</w:t>
            </w:r>
          </w:p>
        </w:tc>
      </w:tr>
      <w:tr>
        <w:trPr>
          <w:trHeight w:val="140"/>
        </w:trPr>
        <w:tc>
          <w:tcPr>
            <w:tcW w:w="5000" w:type="dxa"/>
            <w:vAlign w:val="bottom"/>
            <w:tcBorders>
              <w:top w:val="single" w:sz="8" w:color="CCEEFF"/>
              <w:bottom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Total stock-based compensation expense</w:t>
            </w:r>
          </w:p>
        </w:tc>
        <w:tc>
          <w:tcPr>
            <w:tcW w:w="840" w:type="dxa"/>
            <w:vAlign w:val="bottom"/>
            <w:tcBorders>
              <w:top w:val="single" w:sz="8" w:color="auto"/>
              <w:bottom w:val="single" w:sz="8" w:color="auto"/>
            </w:tcBorders>
            <w:shd w:val="clear" w:color="auto" w:fill="CCEEFF"/>
          </w:tcPr>
          <w:p>
            <w:pPr>
              <w:jc w:val="right"/>
              <w:ind w:right="731"/>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3,450</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ind w:right="430"/>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3,973</w:t>
            </w:r>
          </w:p>
        </w:tc>
        <w:tc>
          <w:tcPr>
            <w:tcW w:w="280" w:type="dxa"/>
            <w:vAlign w:val="bottom"/>
            <w:tcBorders>
              <w:top w:val="single" w:sz="8" w:color="CCEEFF"/>
              <w:bottom w:val="single" w:sz="8" w:color="CCEEFF"/>
            </w:tcBorders>
            <w:shd w:val="clear" w:color="auto" w:fill="CCEEFF"/>
          </w:tcPr>
          <w:p>
            <w:pPr>
              <w:spacing w:after="0"/>
              <w:rPr>
                <w:sz w:val="12"/>
                <w:szCs w:val="12"/>
                <w:color w:val="auto"/>
              </w:rPr>
            </w:pPr>
          </w:p>
        </w:tc>
        <w:tc>
          <w:tcPr>
            <w:tcW w:w="36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6,989</w:t>
            </w:r>
          </w:p>
        </w:tc>
        <w:tc>
          <w:tcPr>
            <w:tcW w:w="280" w:type="dxa"/>
            <w:vAlign w:val="bottom"/>
            <w:tcBorders>
              <w:top w:val="single" w:sz="8" w:color="CCEEFF"/>
              <w:bottom w:val="single" w:sz="8" w:color="CCEEFF"/>
            </w:tcBorders>
            <w:shd w:val="clear" w:color="auto" w:fill="CCEEFF"/>
          </w:tcPr>
          <w:p>
            <w:pPr>
              <w:spacing w:after="0"/>
              <w:rPr>
                <w:sz w:val="12"/>
                <w:szCs w:val="12"/>
                <w:color w:val="auto"/>
              </w:rPr>
            </w:pPr>
          </w:p>
        </w:tc>
        <w:tc>
          <w:tcPr>
            <w:tcW w:w="500" w:type="dxa"/>
            <w:vAlign w:val="bottom"/>
            <w:tcBorders>
              <w:top w:val="single" w:sz="8" w:color="auto"/>
              <w:bottom w:val="single" w:sz="8" w:color="auto"/>
            </w:tcBorders>
            <w:shd w:val="clear" w:color="auto" w:fill="CCEEFF"/>
          </w:tcPr>
          <w:p>
            <w:pPr>
              <w:jc w:val="right"/>
              <w:ind w:right="390"/>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shd w:val="clear" w:color="auto" w:fill="CCEEFF"/>
          </w:tcPr>
          <w:p>
            <w:pPr>
              <w:ind w:left="600"/>
              <w:spacing w:after="0" w:line="133" w:lineRule="exact"/>
              <w:rPr>
                <w:sz w:val="20"/>
                <w:szCs w:val="20"/>
                <w:color w:val="auto"/>
              </w:rPr>
            </w:pPr>
            <w:r>
              <w:rPr>
                <w:rFonts w:ascii="Arial" w:cs="Arial" w:eastAsia="Arial" w:hAnsi="Arial"/>
                <w:sz w:val="12"/>
                <w:szCs w:val="12"/>
                <w:color w:val="auto"/>
                <w:w w:val="79"/>
              </w:rPr>
              <w:t>7,913</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r>
    </w:tbl>
    <w:p>
      <w:pPr>
        <w:spacing w:after="0" w:line="135" w:lineRule="exact"/>
        <w:rPr>
          <w:sz w:val="20"/>
          <w:szCs w:val="20"/>
          <w:color w:val="auto"/>
        </w:rPr>
      </w:pPr>
    </w:p>
    <w:p>
      <w:pPr>
        <w:ind w:left="420"/>
        <w:spacing w:after="0"/>
        <w:rPr>
          <w:sz w:val="20"/>
          <w:szCs w:val="20"/>
          <w:color w:val="auto"/>
        </w:rPr>
      </w:pPr>
      <w:r>
        <w:rPr>
          <w:rFonts w:ascii="Arial" w:cs="Arial" w:eastAsia="Arial" w:hAnsi="Arial"/>
          <w:sz w:val="11"/>
          <w:szCs w:val="11"/>
          <w:color w:val="auto"/>
        </w:rPr>
        <w:t>The fair value of employee and director stock options granted during the three and six month periods ended June 30, 2017 and 2016 were valued using the Black-Scholes option-pricing model with the following assumptions: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000" w:type="dxa"/>
            <w:vAlign w:val="bottom"/>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gridSpan w:val="3"/>
          </w:tcPr>
          <w:p>
            <w:pPr>
              <w:ind w:left="100"/>
              <w:spacing w:after="0"/>
              <w:rPr>
                <w:sz w:val="20"/>
                <w:szCs w:val="20"/>
                <w:color w:val="auto"/>
              </w:rPr>
            </w:pPr>
            <w:r>
              <w:rPr>
                <w:rFonts w:ascii="Arial" w:cs="Arial" w:eastAsia="Arial" w:hAnsi="Arial"/>
                <w:sz w:val="10"/>
                <w:szCs w:val="10"/>
                <w:b w:val="1"/>
                <w:bCs w:val="1"/>
                <w:color w:val="auto"/>
                <w:w w:val="89"/>
              </w:rPr>
              <w:t>Three months ended June 30,</w:t>
            </w:r>
          </w:p>
        </w:tc>
        <w:tc>
          <w:tcPr>
            <w:tcW w:w="86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2140" w:type="dxa"/>
            <w:vAlign w:val="bottom"/>
            <w:tcBorders>
              <w:bottom w:val="single" w:sz="8" w:color="auto"/>
            </w:tcBorders>
            <w:gridSpan w:val="3"/>
          </w:tcPr>
          <w:p>
            <w:pPr>
              <w:ind w:left="960"/>
              <w:spacing w:after="0"/>
              <w:rPr>
                <w:sz w:val="20"/>
                <w:szCs w:val="20"/>
                <w:color w:val="auto"/>
              </w:rPr>
            </w:pPr>
            <w:r>
              <w:rPr>
                <w:rFonts w:ascii="Arial" w:cs="Arial" w:eastAsia="Arial" w:hAnsi="Arial"/>
                <w:sz w:val="10"/>
                <w:szCs w:val="10"/>
                <w:b w:val="1"/>
                <w:bCs w:val="1"/>
                <w:color w:val="auto"/>
                <w:w w:val="89"/>
              </w:rPr>
              <w:t>Six months ended June 30,</w:t>
            </w:r>
          </w:p>
        </w:tc>
        <w:tc>
          <w:tcPr>
            <w:tcW w:w="8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88"/>
        </w:trPr>
        <w:tc>
          <w:tcPr>
            <w:tcW w:w="5000" w:type="dxa"/>
            <w:vAlign w:val="bottom"/>
            <w:tcBorders>
              <w:bottom w:val="single" w:sz="8" w:color="CCEEFF"/>
            </w:tcBorders>
          </w:tcPr>
          <w:p>
            <w:pPr>
              <w:spacing w:after="0"/>
              <w:rPr>
                <w:sz w:val="7"/>
                <w:szCs w:val="7"/>
                <w:color w:val="auto"/>
              </w:rPr>
            </w:pPr>
          </w:p>
        </w:tc>
        <w:tc>
          <w:tcPr>
            <w:tcW w:w="820" w:type="dxa"/>
            <w:vAlign w:val="bottom"/>
            <w:tcBorders>
              <w:bottom w:val="single" w:sz="8" w:color="auto"/>
            </w:tcBorders>
          </w:tcPr>
          <w:p>
            <w:pPr>
              <w:jc w:val="right"/>
              <w:spacing w:after="0" w:line="88" w:lineRule="exact"/>
              <w:rPr>
                <w:sz w:val="20"/>
                <w:szCs w:val="20"/>
                <w:color w:val="auto"/>
              </w:rPr>
            </w:pPr>
            <w:r>
              <w:rPr>
                <w:rFonts w:ascii="Arial" w:cs="Arial" w:eastAsia="Arial" w:hAnsi="Arial"/>
                <w:sz w:val="10"/>
                <w:szCs w:val="10"/>
                <w:b w:val="1"/>
                <w:bCs w:val="1"/>
                <w:color w:val="auto"/>
              </w:rPr>
              <w:t>2017</w:t>
            </w:r>
          </w:p>
        </w:tc>
        <w:tc>
          <w:tcPr>
            <w:tcW w:w="560" w:type="dxa"/>
            <w:vAlign w:val="bottom"/>
            <w:tcBorders>
              <w:bottom w:val="single" w:sz="8" w:color="auto"/>
            </w:tcBorders>
          </w:tcPr>
          <w:p>
            <w:pPr>
              <w:spacing w:after="0"/>
              <w:rPr>
                <w:sz w:val="7"/>
                <w:szCs w:val="7"/>
                <w:color w:val="auto"/>
              </w:rPr>
            </w:pPr>
          </w:p>
        </w:tc>
        <w:tc>
          <w:tcPr>
            <w:tcW w:w="280" w:type="dxa"/>
            <w:vAlign w:val="bottom"/>
            <w:tcBorders>
              <w:bottom w:val="single" w:sz="8" w:color="CCEEFF"/>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jc w:val="right"/>
              <w:ind w:right="542"/>
              <w:spacing w:after="0" w:line="88" w:lineRule="exact"/>
              <w:rPr>
                <w:sz w:val="20"/>
                <w:szCs w:val="20"/>
                <w:color w:val="auto"/>
              </w:rPr>
            </w:pPr>
            <w:r>
              <w:rPr>
                <w:rFonts w:ascii="Arial" w:cs="Arial" w:eastAsia="Arial" w:hAnsi="Arial"/>
                <w:sz w:val="10"/>
                <w:szCs w:val="10"/>
                <w:b w:val="1"/>
                <w:bCs w:val="1"/>
                <w:color w:val="auto"/>
              </w:rPr>
              <w:t>2016</w:t>
            </w:r>
          </w:p>
        </w:tc>
        <w:tc>
          <w:tcPr>
            <w:tcW w:w="280" w:type="dxa"/>
            <w:vAlign w:val="bottom"/>
            <w:tcBorders>
              <w:bottom w:val="single" w:sz="8" w:color="CCEEFF"/>
            </w:tcBorders>
          </w:tcPr>
          <w:p>
            <w:pPr>
              <w:spacing w:after="0"/>
              <w:rPr>
                <w:sz w:val="7"/>
                <w:szCs w:val="7"/>
                <w:color w:val="auto"/>
              </w:rPr>
            </w:pPr>
          </w:p>
        </w:tc>
        <w:tc>
          <w:tcPr>
            <w:tcW w:w="1380" w:type="dxa"/>
            <w:vAlign w:val="bottom"/>
            <w:tcBorders>
              <w:bottom w:val="single" w:sz="8" w:color="auto"/>
            </w:tcBorders>
          </w:tcPr>
          <w:p>
            <w:pPr>
              <w:jc w:val="right"/>
              <w:ind w:right="544"/>
              <w:spacing w:after="0" w:line="88" w:lineRule="exact"/>
              <w:rPr>
                <w:sz w:val="20"/>
                <w:szCs w:val="20"/>
                <w:color w:val="auto"/>
              </w:rPr>
            </w:pPr>
            <w:r>
              <w:rPr>
                <w:rFonts w:ascii="Arial" w:cs="Arial" w:eastAsia="Arial" w:hAnsi="Arial"/>
                <w:sz w:val="10"/>
                <w:szCs w:val="10"/>
                <w:b w:val="1"/>
                <w:bCs w:val="1"/>
                <w:color w:val="auto"/>
              </w:rPr>
              <w:t>2017</w:t>
            </w:r>
          </w:p>
        </w:tc>
        <w:tc>
          <w:tcPr>
            <w:tcW w:w="260" w:type="dxa"/>
            <w:vAlign w:val="bottom"/>
            <w:tcBorders>
              <w:bottom w:val="single" w:sz="8" w:color="CCEEFF"/>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jc w:val="right"/>
              <w:ind w:right="522"/>
              <w:spacing w:after="0" w:line="88" w:lineRule="exact"/>
              <w:rPr>
                <w:sz w:val="20"/>
                <w:szCs w:val="20"/>
                <w:color w:val="auto"/>
              </w:rPr>
            </w:pPr>
            <w:r>
              <w:rPr>
                <w:rFonts w:ascii="Arial" w:cs="Arial" w:eastAsia="Arial" w:hAnsi="Arial"/>
                <w:sz w:val="10"/>
                <w:szCs w:val="10"/>
                <w:b w:val="1"/>
                <w:bCs w:val="1"/>
                <w:color w:val="auto"/>
              </w:rPr>
              <w:t>2016</w:t>
            </w:r>
          </w:p>
        </w:tc>
        <w:tc>
          <w:tcPr>
            <w:tcW w:w="120" w:type="dxa"/>
            <w:vAlign w:val="bottom"/>
            <w:tcBorders>
              <w:bottom w:val="single" w:sz="8" w:color="CCEEFF"/>
            </w:tcBorders>
          </w:tcPr>
          <w:p>
            <w:pPr>
              <w:spacing w:after="0"/>
              <w:rPr>
                <w:sz w:val="7"/>
                <w:szCs w:val="7"/>
                <w:color w:val="auto"/>
              </w:rPr>
            </w:pPr>
          </w:p>
        </w:tc>
        <w:tc>
          <w:tcPr>
            <w:tcW w:w="20" w:type="dxa"/>
            <w:vAlign w:val="bottom"/>
          </w:tcPr>
          <w:p>
            <w:pPr>
              <w:spacing w:after="0"/>
              <w:rPr>
                <w:sz w:val="7"/>
                <w:szCs w:val="7"/>
                <w:color w:val="auto"/>
              </w:rPr>
            </w:pPr>
          </w:p>
        </w:tc>
      </w:tr>
      <w:tr>
        <w:trPr>
          <w:trHeight w:val="133"/>
        </w:trPr>
        <w:tc>
          <w:tcPr>
            <w:tcW w:w="500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Expected stock price volatility</w:t>
            </w:r>
          </w:p>
        </w:tc>
        <w:tc>
          <w:tcPr>
            <w:tcW w:w="8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76%</w:t>
            </w:r>
          </w:p>
        </w:tc>
        <w:tc>
          <w:tcPr>
            <w:tcW w:w="2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77%</w:t>
            </w:r>
          </w:p>
        </w:tc>
        <w:tc>
          <w:tcPr>
            <w:tcW w:w="280" w:type="dxa"/>
            <w:vAlign w:val="bottom"/>
            <w:shd w:val="clear" w:color="auto" w:fill="CCEEFF"/>
          </w:tcPr>
          <w:p>
            <w:pPr>
              <w:spacing w:after="0"/>
              <w:rPr>
                <w:sz w:val="11"/>
                <w:szCs w:val="11"/>
                <w:color w:val="auto"/>
              </w:rPr>
            </w:pPr>
          </w:p>
        </w:tc>
        <w:tc>
          <w:tcPr>
            <w:tcW w:w="13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76 – 77%</w:t>
            </w:r>
          </w:p>
        </w:tc>
        <w:tc>
          <w:tcPr>
            <w:tcW w:w="2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70 – 77%</w:t>
            </w:r>
          </w:p>
        </w:tc>
        <w:tc>
          <w:tcPr>
            <w:tcW w:w="1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44"/>
        </w:trPr>
        <w:tc>
          <w:tcPr>
            <w:tcW w:w="5820" w:type="dxa"/>
            <w:vAlign w:val="bottom"/>
            <w:gridSpan w:val="2"/>
          </w:tcPr>
          <w:p>
            <w:pPr>
              <w:spacing w:after="0"/>
              <w:rPr>
                <w:sz w:val="20"/>
                <w:szCs w:val="20"/>
                <w:color w:val="auto"/>
              </w:rPr>
            </w:pPr>
            <w:r>
              <w:rPr>
                <w:rFonts w:ascii="Arial" w:cs="Arial" w:eastAsia="Arial" w:hAnsi="Arial"/>
                <w:sz w:val="12"/>
                <w:szCs w:val="12"/>
                <w:color w:val="auto"/>
              </w:rPr>
              <w:t>Expected option term</w:t>
            </w:r>
          </w:p>
        </w:tc>
        <w:tc>
          <w:tcPr>
            <w:tcW w:w="1380" w:type="dxa"/>
            <w:vAlign w:val="bottom"/>
            <w:gridSpan w:val="3"/>
          </w:tcPr>
          <w:p>
            <w:pPr>
              <w:jc w:val="right"/>
              <w:ind w:right="820"/>
              <w:spacing w:after="0"/>
              <w:rPr>
                <w:sz w:val="20"/>
                <w:szCs w:val="20"/>
                <w:color w:val="auto"/>
              </w:rPr>
            </w:pPr>
            <w:r>
              <w:rPr>
                <w:rFonts w:ascii="Arial" w:cs="Arial" w:eastAsia="Arial" w:hAnsi="Arial"/>
                <w:sz w:val="12"/>
                <w:szCs w:val="12"/>
                <w:color w:val="auto"/>
              </w:rPr>
              <w:t>6.0 years</w:t>
            </w:r>
          </w:p>
        </w:tc>
        <w:tc>
          <w:tcPr>
            <w:tcW w:w="1140" w:type="dxa"/>
            <w:vAlign w:val="bottom"/>
            <w:gridSpan w:val="2"/>
          </w:tcPr>
          <w:p>
            <w:pPr>
              <w:jc w:val="right"/>
              <w:ind w:right="280"/>
              <w:spacing w:after="0"/>
              <w:rPr>
                <w:sz w:val="20"/>
                <w:szCs w:val="20"/>
                <w:color w:val="auto"/>
              </w:rPr>
            </w:pPr>
            <w:r>
              <w:rPr>
                <w:rFonts w:ascii="Arial" w:cs="Arial" w:eastAsia="Arial" w:hAnsi="Arial"/>
                <w:sz w:val="12"/>
                <w:szCs w:val="12"/>
                <w:color w:val="auto"/>
              </w:rPr>
              <w:t>6.0 years</w:t>
            </w:r>
          </w:p>
        </w:tc>
        <w:tc>
          <w:tcPr>
            <w:tcW w:w="2140" w:type="dxa"/>
            <w:vAlign w:val="bottom"/>
            <w:gridSpan w:val="3"/>
          </w:tcPr>
          <w:p>
            <w:pPr>
              <w:jc w:val="right"/>
              <w:ind w:right="760"/>
              <w:spacing w:after="0"/>
              <w:rPr>
                <w:sz w:val="20"/>
                <w:szCs w:val="20"/>
                <w:color w:val="auto"/>
              </w:rPr>
            </w:pPr>
            <w:r>
              <w:rPr>
                <w:rFonts w:ascii="Arial" w:cs="Arial" w:eastAsia="Arial" w:hAnsi="Arial"/>
                <w:sz w:val="12"/>
                <w:szCs w:val="12"/>
                <w:color w:val="auto"/>
              </w:rPr>
              <w:t>6.0 years</w:t>
            </w: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6.0 years</w:t>
            </w:r>
          </w:p>
        </w:tc>
        <w:tc>
          <w:tcPr>
            <w:tcW w:w="20" w:type="dxa"/>
            <w:vAlign w:val="bottom"/>
          </w:tcPr>
          <w:p>
            <w:pPr>
              <w:spacing w:after="0"/>
              <w:rPr>
                <w:sz w:val="12"/>
                <w:szCs w:val="12"/>
                <w:color w:val="auto"/>
              </w:rPr>
            </w:pPr>
          </w:p>
        </w:tc>
      </w:tr>
      <w:tr>
        <w:trPr>
          <w:trHeight w:val="144"/>
        </w:trPr>
        <w:tc>
          <w:tcPr>
            <w:tcW w:w="58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Risk-free interest rate</w:t>
            </w:r>
          </w:p>
        </w:tc>
        <w:tc>
          <w:tcPr>
            <w:tcW w:w="1380" w:type="dxa"/>
            <w:vAlign w:val="bottom"/>
            <w:gridSpan w:val="3"/>
            <w:shd w:val="clear" w:color="auto" w:fill="CCEEFF"/>
          </w:tcPr>
          <w:p>
            <w:pPr>
              <w:jc w:val="right"/>
              <w:ind w:right="820"/>
              <w:spacing w:after="0"/>
              <w:rPr>
                <w:sz w:val="20"/>
                <w:szCs w:val="20"/>
                <w:color w:val="auto"/>
              </w:rPr>
            </w:pPr>
            <w:r>
              <w:rPr>
                <w:rFonts w:ascii="Arial" w:cs="Arial" w:eastAsia="Arial" w:hAnsi="Arial"/>
                <w:sz w:val="12"/>
                <w:szCs w:val="12"/>
                <w:color w:val="auto"/>
                <w:w w:val="94"/>
              </w:rPr>
              <w:t>2.0 – 2.1%</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1.5%</w:t>
            </w:r>
          </w:p>
        </w:tc>
        <w:tc>
          <w:tcPr>
            <w:tcW w:w="2140" w:type="dxa"/>
            <w:vAlign w:val="bottom"/>
            <w:gridSpan w:val="3"/>
            <w:shd w:val="clear" w:color="auto" w:fill="CCEEFF"/>
          </w:tcPr>
          <w:p>
            <w:pPr>
              <w:jc w:val="right"/>
              <w:ind w:right="760"/>
              <w:spacing w:after="0"/>
              <w:rPr>
                <w:sz w:val="20"/>
                <w:szCs w:val="20"/>
                <w:color w:val="auto"/>
              </w:rPr>
            </w:pPr>
            <w:r>
              <w:rPr>
                <w:rFonts w:ascii="Arial" w:cs="Arial" w:eastAsia="Arial" w:hAnsi="Arial"/>
                <w:sz w:val="12"/>
                <w:szCs w:val="12"/>
                <w:color w:val="auto"/>
              </w:rPr>
              <w:t>2.0 – 2.3%</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1.5 – 1.6%</w:t>
            </w:r>
          </w:p>
        </w:tc>
        <w:tc>
          <w:tcPr>
            <w:tcW w:w="20" w:type="dxa"/>
            <w:vAlign w:val="bottom"/>
          </w:tcPr>
          <w:p>
            <w:pPr>
              <w:spacing w:after="0"/>
              <w:rPr>
                <w:sz w:val="12"/>
                <w:szCs w:val="12"/>
                <w:color w:val="auto"/>
              </w:rPr>
            </w:pPr>
          </w:p>
        </w:tc>
      </w:tr>
      <w:tr>
        <w:trPr>
          <w:trHeight w:val="153"/>
        </w:trPr>
        <w:tc>
          <w:tcPr>
            <w:tcW w:w="5820" w:type="dxa"/>
            <w:vAlign w:val="bottom"/>
            <w:gridSpan w:val="2"/>
          </w:tcPr>
          <w:p>
            <w:pPr>
              <w:spacing w:after="0"/>
              <w:rPr>
                <w:sz w:val="20"/>
                <w:szCs w:val="20"/>
                <w:color w:val="auto"/>
              </w:rPr>
            </w:pPr>
            <w:r>
              <w:rPr>
                <w:rFonts w:ascii="Arial" w:cs="Arial" w:eastAsia="Arial" w:hAnsi="Arial"/>
                <w:sz w:val="12"/>
                <w:szCs w:val="12"/>
                <w:color w:val="auto"/>
              </w:rPr>
              <w:t>Expected dividend yield</w:t>
            </w:r>
          </w:p>
        </w:tc>
        <w:tc>
          <w:tcPr>
            <w:tcW w:w="1380" w:type="dxa"/>
            <w:vAlign w:val="bottom"/>
            <w:gridSpan w:val="3"/>
          </w:tcPr>
          <w:p>
            <w:pPr>
              <w:jc w:val="right"/>
              <w:ind w:right="820"/>
              <w:spacing w:after="0"/>
              <w:rPr>
                <w:sz w:val="20"/>
                <w:szCs w:val="20"/>
                <w:color w:val="auto"/>
              </w:rPr>
            </w:pPr>
            <w:r>
              <w:rPr>
                <w:rFonts w:ascii="Arial" w:cs="Arial" w:eastAsia="Arial" w:hAnsi="Arial"/>
                <w:sz w:val="12"/>
                <w:szCs w:val="12"/>
                <w:color w:val="auto"/>
              </w:rPr>
              <w:t>None</w:t>
            </w:r>
          </w:p>
        </w:tc>
        <w:tc>
          <w:tcPr>
            <w:tcW w:w="1140" w:type="dxa"/>
            <w:vAlign w:val="bottom"/>
            <w:gridSpan w:val="2"/>
          </w:tcPr>
          <w:p>
            <w:pPr>
              <w:jc w:val="right"/>
              <w:ind w:right="280"/>
              <w:spacing w:after="0"/>
              <w:rPr>
                <w:sz w:val="20"/>
                <w:szCs w:val="20"/>
                <w:color w:val="auto"/>
              </w:rPr>
            </w:pPr>
            <w:r>
              <w:rPr>
                <w:rFonts w:ascii="Arial" w:cs="Arial" w:eastAsia="Arial" w:hAnsi="Arial"/>
                <w:sz w:val="12"/>
                <w:szCs w:val="12"/>
                <w:color w:val="auto"/>
              </w:rPr>
              <w:t>None</w:t>
            </w:r>
          </w:p>
        </w:tc>
        <w:tc>
          <w:tcPr>
            <w:tcW w:w="2140" w:type="dxa"/>
            <w:vAlign w:val="bottom"/>
            <w:gridSpan w:val="3"/>
          </w:tcPr>
          <w:p>
            <w:pPr>
              <w:jc w:val="right"/>
              <w:ind w:right="760"/>
              <w:spacing w:after="0"/>
              <w:rPr>
                <w:sz w:val="20"/>
                <w:szCs w:val="20"/>
                <w:color w:val="auto"/>
              </w:rPr>
            </w:pPr>
            <w:r>
              <w:rPr>
                <w:rFonts w:ascii="Arial" w:cs="Arial" w:eastAsia="Arial" w:hAnsi="Arial"/>
                <w:sz w:val="12"/>
                <w:szCs w:val="12"/>
                <w:color w:val="auto"/>
              </w:rPr>
              <w:t>None</w:t>
            </w: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None</w:t>
            </w:r>
          </w:p>
        </w:tc>
        <w:tc>
          <w:tcPr>
            <w:tcW w:w="20" w:type="dxa"/>
            <w:vAlign w:val="bottom"/>
          </w:tcPr>
          <w:p>
            <w:pPr>
              <w:spacing w:after="0"/>
              <w:rPr>
                <w:sz w:val="13"/>
                <w:szCs w:val="13"/>
                <w:color w:val="auto"/>
              </w:rPr>
            </w:pPr>
          </w:p>
        </w:tc>
      </w:tr>
      <w:tr>
        <w:trPr>
          <w:trHeight w:val="279"/>
        </w:trPr>
        <w:tc>
          <w:tcPr>
            <w:tcW w:w="5820" w:type="dxa"/>
            <w:vAlign w:val="bottom"/>
            <w:gridSpan w:val="2"/>
          </w:tcPr>
          <w:p>
            <w:pPr>
              <w:ind w:left="5680"/>
              <w:spacing w:after="0"/>
              <w:rPr>
                <w:sz w:val="20"/>
                <w:szCs w:val="20"/>
                <w:color w:val="auto"/>
              </w:rPr>
            </w:pPr>
            <w:r>
              <w:rPr>
                <w:rFonts w:ascii="Arial" w:cs="Arial" w:eastAsia="Arial" w:hAnsi="Arial"/>
                <w:sz w:val="12"/>
                <w:szCs w:val="12"/>
                <w:color w:val="auto"/>
                <w:w w:val="89"/>
              </w:rPr>
              <w:t>10</w:t>
            </w: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5"/>
        </w:trPr>
        <w:tc>
          <w:tcPr>
            <w:tcW w:w="5000" w:type="dxa"/>
            <w:vAlign w:val="bottom"/>
            <w:tcBorders>
              <w:bottom w:val="single" w:sz="8" w:color="808080"/>
            </w:tcBorders>
          </w:tcPr>
          <w:p>
            <w:pPr>
              <w:spacing w:after="0"/>
              <w:rPr>
                <w:sz w:val="7"/>
                <w:szCs w:val="7"/>
                <w:color w:val="auto"/>
              </w:rPr>
            </w:pPr>
          </w:p>
        </w:tc>
        <w:tc>
          <w:tcPr>
            <w:tcW w:w="820" w:type="dxa"/>
            <w:vAlign w:val="bottom"/>
            <w:tcBorders>
              <w:bottom w:val="single" w:sz="8" w:color="808080"/>
            </w:tcBorders>
          </w:tcPr>
          <w:p>
            <w:pPr>
              <w:spacing w:after="0"/>
              <w:rPr>
                <w:sz w:val="7"/>
                <w:szCs w:val="7"/>
                <w:color w:val="auto"/>
              </w:rPr>
            </w:pPr>
          </w:p>
        </w:tc>
        <w:tc>
          <w:tcPr>
            <w:tcW w:w="56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86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138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88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7289165</wp:posOffset>
            </wp:positionH>
            <wp:positionV relativeFrom="paragraph">
              <wp:posOffset>-17145</wp:posOffset>
            </wp:positionV>
            <wp:extent cx="12700" cy="114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1143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-17145</wp:posOffset>
            </wp:positionV>
            <wp:extent cx="12700" cy="114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11430"/>
                    </a:xfrm>
                    <a:prstGeom prst="rect">
                      <a:avLst/>
                    </a:prstGeom>
                    <a:noFill/>
                  </pic:spPr>
                </pic:pic>
              </a:graphicData>
            </a:graphic>
          </wp:anchor>
        </w:drawing>
      </w:r>
    </w:p>
    <w:p>
      <w:pPr>
        <w:spacing w:after="0" w:line="200" w:lineRule="exact"/>
        <w:rPr>
          <w:sz w:val="20"/>
          <w:szCs w:val="20"/>
          <w:color w:val="auto"/>
        </w:rPr>
      </w:pPr>
    </w:p>
    <w:p>
      <w:pPr>
        <w:spacing w:after="0"/>
        <w:rPr>
          <w:rFonts w:ascii="Arial" w:cs="Arial" w:eastAsia="Arial" w:hAnsi="Arial"/>
          <w:sz w:val="12"/>
          <w:szCs w:val="12"/>
          <w:u w:val="single" w:color="auto"/>
          <w:color w:val="0000EE"/>
        </w:rPr>
      </w:pPr>
      <w:hyperlink w:anchor="page1">
        <w:r>
          <w:rPr>
            <w:rFonts w:ascii="Arial" w:cs="Arial" w:eastAsia="Arial" w:hAnsi="Arial"/>
            <w:sz w:val="12"/>
            <w:szCs w:val="12"/>
            <w:u w:val="single" w:color="auto"/>
            <w:color w:val="0000EE"/>
          </w:rPr>
          <w:t>Table of Contents</w:t>
        </w:r>
      </w:hyperlink>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(9) Accumulated Other Comprehensive Income</w:t>
      </w:r>
    </w:p>
    <w:p>
      <w:pPr>
        <w:spacing w:after="0" w:line="154" w:lineRule="exact"/>
        <w:rPr>
          <w:sz w:val="20"/>
          <w:szCs w:val="20"/>
          <w:color w:val="auto"/>
        </w:rPr>
      </w:pPr>
    </w:p>
    <w:p>
      <w:pPr>
        <w:ind w:left="400"/>
        <w:spacing w:after="0"/>
        <w:rPr>
          <w:sz w:val="20"/>
          <w:szCs w:val="20"/>
          <w:color w:val="auto"/>
        </w:rPr>
      </w:pPr>
      <w:r>
        <w:rPr>
          <w:rFonts w:ascii="Arial" w:cs="Arial" w:eastAsia="Arial" w:hAnsi="Arial"/>
          <w:sz w:val="12"/>
          <w:szCs w:val="12"/>
          <w:color w:val="auto"/>
        </w:rPr>
        <w:t>The changes in accumulated other comprehensive income, which is reported as a component of stockholders’ equity, for the six months ended June 30, 2017 are summarized below:</w:t>
      </w:r>
    </w:p>
    <w:p>
      <w:pPr>
        <w:sectPr>
          <w:pgSz w:w="11900" w:h="16838" w:orient="portrait"/>
          <w:cols w:equalWidth="0" w:num="1">
            <w:col w:w="11500"/>
          </w:cols>
          <w:pgMar w:left="220" w:top="302" w:right="1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0"/>
          <w:szCs w:val="10"/>
          <w:color w:val="auto"/>
        </w:rPr>
        <w:t>Balance at December 31, 2016</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Other comprehensive gain</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Balance at June 30, 2017</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200" w:type="dxa"/>
            <w:vAlign w:val="bottom"/>
          </w:tcPr>
          <w:p>
            <w:pPr>
              <w:spacing w:after="0"/>
              <w:rPr>
                <w:sz w:val="10"/>
                <w:szCs w:val="10"/>
                <w:color w:val="auto"/>
              </w:rPr>
            </w:pPr>
          </w:p>
        </w:tc>
        <w:tc>
          <w:tcPr>
            <w:tcW w:w="148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87"/>
              </w:rPr>
              <w:t>Unrealized Gain</w:t>
            </w:r>
          </w:p>
        </w:tc>
        <w:tc>
          <w:tcPr>
            <w:tcW w:w="2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200" w:type="dxa"/>
            <w:vAlign w:val="bottom"/>
          </w:tcPr>
          <w:p>
            <w:pPr>
              <w:spacing w:after="0"/>
              <w:rPr>
                <w:sz w:val="8"/>
                <w:szCs w:val="8"/>
                <w:color w:val="auto"/>
              </w:rPr>
            </w:pPr>
          </w:p>
        </w:tc>
        <w:tc>
          <w:tcPr>
            <w:tcW w:w="1480" w:type="dxa"/>
            <w:vAlign w:val="bottom"/>
            <w:gridSpan w:val="2"/>
          </w:tcPr>
          <w:p>
            <w:pPr>
              <w:jc w:val="center"/>
              <w:ind w:right="460"/>
              <w:spacing w:after="0" w:line="99" w:lineRule="exact"/>
              <w:rPr>
                <w:sz w:val="20"/>
                <w:szCs w:val="20"/>
                <w:color w:val="auto"/>
              </w:rPr>
            </w:pPr>
            <w:r>
              <w:rPr>
                <w:rFonts w:ascii="Arial" w:cs="Arial" w:eastAsia="Arial" w:hAnsi="Arial"/>
                <w:sz w:val="10"/>
                <w:szCs w:val="10"/>
                <w:b w:val="1"/>
                <w:bCs w:val="1"/>
                <w:color w:val="auto"/>
                <w:w w:val="84"/>
              </w:rPr>
              <w:t>(Loss) on</w:t>
            </w:r>
          </w:p>
        </w:tc>
        <w:tc>
          <w:tcPr>
            <w:tcW w:w="2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0" w:type="dxa"/>
            <w:vAlign w:val="bottom"/>
          </w:tcPr>
          <w:p>
            <w:pPr>
              <w:spacing w:after="0"/>
              <w:rPr>
                <w:sz w:val="8"/>
                <w:szCs w:val="8"/>
                <w:color w:val="auto"/>
              </w:rPr>
            </w:pPr>
          </w:p>
        </w:tc>
        <w:tc>
          <w:tcPr>
            <w:tcW w:w="1480" w:type="dxa"/>
            <w:vAlign w:val="bottom"/>
            <w:gridSpan w:val="2"/>
          </w:tcPr>
          <w:p>
            <w:pPr>
              <w:jc w:val="center"/>
              <w:ind w:right="440"/>
              <w:spacing w:after="0" w:line="99" w:lineRule="exact"/>
              <w:rPr>
                <w:sz w:val="20"/>
                <w:szCs w:val="20"/>
                <w:color w:val="auto"/>
              </w:rPr>
            </w:pPr>
            <w:r>
              <w:rPr>
                <w:rFonts w:ascii="Arial" w:cs="Arial" w:eastAsia="Arial" w:hAnsi="Arial"/>
                <w:sz w:val="10"/>
                <w:szCs w:val="10"/>
                <w:b w:val="1"/>
                <w:bCs w:val="1"/>
                <w:color w:val="auto"/>
                <w:w w:val="91"/>
              </w:rPr>
              <w:t>Marketable</w:t>
            </w:r>
          </w:p>
        </w:tc>
        <w:tc>
          <w:tcPr>
            <w:tcW w:w="200" w:type="dxa"/>
            <w:vAlign w:val="bottom"/>
          </w:tcPr>
          <w:p>
            <w:pPr>
              <w:spacing w:after="0"/>
              <w:rPr>
                <w:sz w:val="8"/>
                <w:szCs w:val="8"/>
                <w:color w:val="auto"/>
              </w:rPr>
            </w:pPr>
          </w:p>
        </w:tc>
        <w:tc>
          <w:tcPr>
            <w:tcW w:w="1460" w:type="dxa"/>
            <w:vAlign w:val="bottom"/>
            <w:gridSpan w:val="2"/>
          </w:tcPr>
          <w:p>
            <w:pPr>
              <w:jc w:val="center"/>
              <w:ind w:right="500"/>
              <w:spacing w:after="0" w:line="99" w:lineRule="exact"/>
              <w:rPr>
                <w:sz w:val="20"/>
                <w:szCs w:val="20"/>
                <w:color w:val="auto"/>
              </w:rPr>
            </w:pPr>
            <w:r>
              <w:rPr>
                <w:rFonts w:ascii="Arial" w:cs="Arial" w:eastAsia="Arial" w:hAnsi="Arial"/>
                <w:sz w:val="10"/>
                <w:szCs w:val="10"/>
                <w:b w:val="1"/>
                <w:bCs w:val="1"/>
                <w:color w:val="auto"/>
                <w:w w:val="87"/>
              </w:rPr>
              <w:t>Foreign</w:t>
            </w:r>
          </w:p>
        </w:tc>
        <w:tc>
          <w:tcPr>
            <w:tcW w:w="3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gridSpan w:val="2"/>
          </w:tcPr>
          <w:p>
            <w:pPr>
              <w:jc w:val="center"/>
              <w:ind w:right="440"/>
              <w:spacing w:after="0" w:line="114" w:lineRule="exact"/>
              <w:rPr>
                <w:sz w:val="20"/>
                <w:szCs w:val="20"/>
                <w:color w:val="auto"/>
              </w:rPr>
            </w:pPr>
            <w:r>
              <w:rPr>
                <w:rFonts w:ascii="Arial" w:cs="Arial" w:eastAsia="Arial" w:hAnsi="Arial"/>
                <w:sz w:val="10"/>
                <w:szCs w:val="10"/>
                <w:b w:val="1"/>
                <w:bCs w:val="1"/>
                <w:color w:val="auto"/>
                <w:w w:val="83"/>
              </w:rPr>
              <w:t>Securities</w:t>
            </w:r>
          </w:p>
        </w:tc>
        <w:tc>
          <w:tcPr>
            <w:tcW w:w="20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gridSpan w:val="2"/>
          </w:tcPr>
          <w:p>
            <w:pPr>
              <w:jc w:val="center"/>
              <w:ind w:right="500"/>
              <w:spacing w:after="0" w:line="114" w:lineRule="exact"/>
              <w:rPr>
                <w:sz w:val="20"/>
                <w:szCs w:val="20"/>
                <w:color w:val="auto"/>
              </w:rPr>
            </w:pPr>
            <w:r>
              <w:rPr>
                <w:rFonts w:ascii="Arial" w:cs="Arial" w:eastAsia="Arial" w:hAnsi="Arial"/>
                <w:sz w:val="10"/>
                <w:szCs w:val="10"/>
                <w:b w:val="1"/>
                <w:bCs w:val="1"/>
                <w:color w:val="auto"/>
                <w:w w:val="87"/>
              </w:rPr>
              <w:t>Currency Items</w:t>
            </w:r>
          </w:p>
        </w:tc>
        <w:tc>
          <w:tcPr>
            <w:tcW w:w="32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jc w:val="right"/>
              <w:ind w:right="523"/>
              <w:spacing w:after="0" w:line="114"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79"/>
        </w:trPr>
        <w:tc>
          <w:tcPr>
            <w:tcW w:w="2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60" w:type="dxa"/>
            <w:vAlign w:val="bottom"/>
            <w:gridSpan w:val="2"/>
          </w:tcPr>
          <w:p>
            <w:pPr>
              <w:jc w:val="center"/>
              <w:ind w:right="500"/>
              <w:spacing w:after="0" w:line="79" w:lineRule="exact"/>
              <w:rPr>
                <w:sz w:val="20"/>
                <w:szCs w:val="20"/>
                <w:color w:val="auto"/>
              </w:rPr>
            </w:pPr>
            <w:r>
              <w:rPr>
                <w:rFonts w:ascii="Arial" w:cs="Arial" w:eastAsia="Arial" w:hAnsi="Arial"/>
                <w:sz w:val="8"/>
                <w:szCs w:val="8"/>
                <w:b w:val="1"/>
                <w:bCs w:val="1"/>
                <w:color w:val="auto"/>
              </w:rPr>
              <w:t>(In thousands)</w:t>
            </w:r>
          </w:p>
        </w:tc>
        <w:tc>
          <w:tcPr>
            <w:tcW w:w="3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1480" w:type="dxa"/>
            <w:vAlign w:val="bottom"/>
            <w:gridSpan w:val="2"/>
          </w:tcPr>
          <w:p>
            <w:pPr>
              <w:jc w:val="right"/>
              <w:ind w:right="220"/>
              <w:spacing w:after="0"/>
              <w:rPr>
                <w:sz w:val="20"/>
                <w:szCs w:val="20"/>
                <w:color w:val="auto"/>
              </w:rPr>
            </w:pPr>
            <w:r>
              <w:rPr>
                <w:rFonts w:ascii="Arial" w:cs="Arial" w:eastAsia="Arial" w:hAnsi="Arial"/>
                <w:sz w:val="12"/>
                <w:szCs w:val="12"/>
                <w:color w:val="auto"/>
              </w:rPr>
              <w:t>(55)</w:t>
            </w: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1460" w:type="dxa"/>
            <w:vAlign w:val="bottom"/>
            <w:gridSpan w:val="2"/>
          </w:tcPr>
          <w:p>
            <w:pPr>
              <w:jc w:val="right"/>
              <w:ind w:right="280"/>
              <w:spacing w:after="0"/>
              <w:rPr>
                <w:sz w:val="20"/>
                <w:szCs w:val="20"/>
                <w:color w:val="auto"/>
              </w:rPr>
            </w:pPr>
            <w:r>
              <w:rPr>
                <w:rFonts w:ascii="Arial" w:cs="Arial" w:eastAsia="Arial" w:hAnsi="Arial"/>
                <w:sz w:val="12"/>
                <w:szCs w:val="12"/>
                <w:color w:val="auto"/>
              </w:rPr>
              <w:t>2,596</w:t>
            </w:r>
          </w:p>
        </w:tc>
        <w:tc>
          <w:tcPr>
            <w:tcW w:w="320" w:type="dxa"/>
            <w:vAlign w:val="bottom"/>
          </w:tcPr>
          <w:p>
            <w:pPr>
              <w:jc w:val="right"/>
              <w:ind w:right="210"/>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2,541</w:t>
            </w:r>
          </w:p>
        </w:tc>
        <w:tc>
          <w:tcPr>
            <w:tcW w:w="0" w:type="dxa"/>
            <w:vAlign w:val="bottom"/>
          </w:tcPr>
          <w:p>
            <w:pPr>
              <w:spacing w:after="0"/>
              <w:rPr>
                <w:sz w:val="1"/>
                <w:szCs w:val="1"/>
                <w:color w:val="auto"/>
              </w:rPr>
            </w:pPr>
          </w:p>
        </w:tc>
      </w:tr>
      <w:tr>
        <w:trPr>
          <w:trHeight w:val="153"/>
        </w:trPr>
        <w:tc>
          <w:tcPr>
            <w:tcW w:w="2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36</w:t>
            </w:r>
          </w:p>
        </w:tc>
        <w:tc>
          <w:tcPr>
            <w:tcW w:w="300" w:type="dxa"/>
            <w:vAlign w:val="bottom"/>
            <w:vMerge w:val="restart"/>
          </w:tcPr>
          <w:p>
            <w:pPr>
              <w:jc w:val="right"/>
              <w:ind w:right="220"/>
              <w:spacing w:after="0"/>
              <w:rPr>
                <w:sz w:val="20"/>
                <w:szCs w:val="20"/>
                <w:color w:val="auto"/>
              </w:rPr>
            </w:pPr>
            <w:r>
              <w:rPr>
                <w:rFonts w:ascii="Arial" w:cs="Arial" w:eastAsia="Arial" w:hAnsi="Arial"/>
                <w:sz w:val="8"/>
                <w:szCs w:val="8"/>
                <w:color w:val="auto"/>
                <w:w w:val="73"/>
              </w:rPr>
              <w:t>)</w:t>
            </w:r>
          </w:p>
        </w:tc>
        <w:tc>
          <w:tcPr>
            <w:tcW w:w="2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36</w:t>
            </w:r>
          </w:p>
        </w:tc>
        <w:tc>
          <w:tcPr>
            <w:tcW w:w="0" w:type="dxa"/>
            <w:vAlign w:val="bottom"/>
          </w:tcPr>
          <w:p>
            <w:pPr>
              <w:spacing w:after="0"/>
              <w:rPr>
                <w:sz w:val="1"/>
                <w:szCs w:val="1"/>
                <w:color w:val="auto"/>
              </w:rPr>
            </w:pPr>
          </w:p>
        </w:tc>
      </w:tr>
      <w:tr>
        <w:trPr>
          <w:trHeight w:val="149"/>
        </w:trPr>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w:t>
            </w:r>
          </w:p>
        </w:tc>
        <w:tc>
          <w:tcPr>
            <w:tcW w:w="300" w:type="dxa"/>
            <w:vAlign w:val="bottom"/>
            <w:vMerge w:val="continue"/>
          </w:tcPr>
          <w:p>
            <w:pPr>
              <w:spacing w:after="0"/>
              <w:rPr>
                <w:sz w:val="12"/>
                <w:szCs w:val="12"/>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2,596</w:t>
            </w:r>
          </w:p>
        </w:tc>
        <w:tc>
          <w:tcPr>
            <w:tcW w:w="280" w:type="dxa"/>
            <w:vAlign w:val="bottom"/>
          </w:tcPr>
          <w:p>
            <w:pPr>
              <w:spacing w:after="0"/>
              <w:rPr>
                <w:sz w:val="12"/>
                <w:szCs w:val="12"/>
                <w:color w:val="auto"/>
              </w:rPr>
            </w:pPr>
          </w:p>
        </w:tc>
        <w:tc>
          <w:tcPr>
            <w:tcW w:w="320" w:type="dxa"/>
            <w:vAlign w:val="bottom"/>
            <w:tcBorders>
              <w:bottom w:val="single" w:sz="8" w:color="auto"/>
            </w:tcBorders>
          </w:tcPr>
          <w:p>
            <w:pPr>
              <w:jc w:val="right"/>
              <w:ind w:right="210"/>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2,577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-4233545</wp:posOffset>
            </wp:positionH>
            <wp:positionV relativeFrom="paragraph">
              <wp:posOffset>-302260</wp:posOffset>
            </wp:positionV>
            <wp:extent cx="7292340" cy="914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2340" cy="91440"/>
                    </a:xfrm>
                    <a:prstGeom prst="rect">
                      <a:avLst/>
                    </a:prstGeom>
                    <a:noFill/>
                  </pic:spPr>
                </pic:pic>
              </a:graphicData>
            </a:graphic>
          </wp:anchor>
        </w:drawing>
        <w:drawing>
          <wp:anchor simplePos="0" relativeHeight="251657728" behindDoc="1" locked="0" layoutInCell="0" allowOverlap="1">
            <wp:simplePos x="0" y="0"/>
            <wp:positionH relativeFrom="column">
              <wp:posOffset>-4233545</wp:posOffset>
            </wp:positionH>
            <wp:positionV relativeFrom="paragraph">
              <wp:posOffset>-119380</wp:posOffset>
            </wp:positionV>
            <wp:extent cx="7292340" cy="1085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2340" cy="108585"/>
                    </a:xfrm>
                    <a:prstGeom prst="rect">
                      <a:avLst/>
                    </a:prstGeom>
                    <a:noFill/>
                  </pic:spPr>
                </pic:pic>
              </a:graphicData>
            </a:graphic>
          </wp:anchor>
        </w:drawing>
      </w:r>
    </w:p>
    <w:p>
      <w:pPr>
        <w:spacing w:after="0" w:line="135" w:lineRule="exact"/>
        <w:rPr>
          <w:sz w:val="20"/>
          <w:szCs w:val="20"/>
          <w:color w:val="auto"/>
        </w:rPr>
      </w:pPr>
    </w:p>
    <w:p>
      <w:pPr>
        <w:sectPr>
          <w:pgSz w:w="11900" w:h="16838" w:orient="portrait"/>
          <w:cols w:equalWidth="0" w:num="2">
            <w:col w:w="5940" w:space="720"/>
            <w:col w:w="4840"/>
          </w:cols>
          <w:pgMar w:left="220" w:top="302" w:right="179" w:bottom="0" w:gutter="0" w:footer="0" w:header="0"/>
          <w:type w:val="continuous"/>
        </w:sectPr>
      </w:pPr>
    </w:p>
    <w:p>
      <w:pPr>
        <w:ind w:left="400"/>
        <w:spacing w:after="0"/>
        <w:rPr>
          <w:sz w:val="20"/>
          <w:szCs w:val="20"/>
          <w:color w:val="auto"/>
        </w:rPr>
      </w:pPr>
      <w:r>
        <w:rPr>
          <w:rFonts w:ascii="Arial" w:cs="Arial" w:eastAsia="Arial" w:hAnsi="Arial"/>
          <w:sz w:val="12"/>
          <w:szCs w:val="12"/>
          <w:color w:val="auto"/>
        </w:rPr>
        <w:t>No amounts were reclassified out of accumulated other comprehensive income during the six months ended June 30, 2017.</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(10) Revenue</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Bristol-Myers Squibb Company (BMS)</w:t>
      </w:r>
    </w:p>
    <w:p>
      <w:pPr>
        <w:spacing w:after="0" w:line="150" w:lineRule="exact"/>
        <w:rPr>
          <w:sz w:val="20"/>
          <w:szCs w:val="20"/>
          <w:color w:val="auto"/>
        </w:rPr>
      </w:pPr>
    </w:p>
    <w:p>
      <w:pPr>
        <w:ind w:right="220" w:firstLine="432"/>
        <w:spacing w:after="0" w:line="267" w:lineRule="auto"/>
        <w:rPr>
          <w:sz w:val="20"/>
          <w:szCs w:val="20"/>
          <w:color w:val="auto"/>
        </w:rPr>
      </w:pPr>
      <w:r>
        <w:rPr>
          <w:rFonts w:ascii="Arial" w:cs="Arial" w:eastAsia="Arial" w:hAnsi="Arial"/>
          <w:sz w:val="11"/>
          <w:szCs w:val="11"/>
          <w:color w:val="auto"/>
        </w:rPr>
        <w:t>In 2014, the Company entered into a clinical trial collaboration with BMS to evaluate the safety, tolerability and preliminary efficacy of varlilumab and Opdivo</w:t>
      </w:r>
      <w:r>
        <w:rPr>
          <w:rFonts w:ascii="Arial" w:cs="Arial" w:eastAsia="Arial" w:hAnsi="Arial"/>
          <w:sz w:val="14"/>
          <w:szCs w:val="14"/>
          <w:color w:val="auto"/>
          <w:vertAlign w:val="superscript"/>
        </w:rPr>
        <w:t>®</w:t>
      </w:r>
      <w:r>
        <w:rPr>
          <w:rFonts w:ascii="Arial" w:cs="Arial" w:eastAsia="Arial" w:hAnsi="Arial"/>
          <w:sz w:val="11"/>
          <w:szCs w:val="11"/>
          <w:color w:val="auto"/>
        </w:rPr>
        <w:t>, BMS’s PD-1 immune checkpoint inhibitor, in a Phase 1/2 study. Under the terms of this clinical trial collaboration, BMS made a one-time payment to the Company of $5.0 million and BMS and the Company amended the terms of the Company’s existing license agreement with Medarex, which was acquired by BMS, related to the Company’s CD27 program whereby certain future milestone payments were waived and future royalty rates were reduced that may have been due from the Company to Medarex. In return, BMS was granted a time-limited right of first negotiation if the Company wishes to out-license varlilumab. The companies also agreed to work exclusively with each other to explore anti-PD-1 antagonist antibody and anti-CD27 agonist antibody combination regimens. The clinical trial collaboration provides that the companies share development costs and that the Company will be responsible for conducting the ongoing Phase 1/2 study.</w:t>
      </w:r>
    </w:p>
    <w:p>
      <w:pPr>
        <w:spacing w:after="0" w:line="123" w:lineRule="exact"/>
        <w:rPr>
          <w:sz w:val="20"/>
          <w:szCs w:val="20"/>
          <w:color w:val="auto"/>
        </w:rPr>
      </w:pPr>
    </w:p>
    <w:p>
      <w:pPr>
        <w:jc w:val="both"/>
        <w:ind w:right="20" w:firstLine="432"/>
        <w:spacing w:after="0" w:line="286" w:lineRule="auto"/>
        <w:rPr>
          <w:sz w:val="20"/>
          <w:szCs w:val="20"/>
          <w:color w:val="auto"/>
        </w:rPr>
      </w:pPr>
      <w:r>
        <w:rPr>
          <w:rFonts w:ascii="Arial" w:cs="Arial" w:eastAsia="Arial" w:hAnsi="Arial"/>
          <w:sz w:val="11"/>
          <w:szCs w:val="11"/>
          <w:color w:val="auto"/>
        </w:rPr>
        <w:t>The Company has determined that its performance obligations under the BMS agreement, which primarily include performing research and development, supplying varlilumab and participating in the joint development committee, should be accounted for as a single unit of accounting and estimated that its performance period under the BMS agreement would be 5 years. Accordingly, the $5.0 million up-front payment was initially recorded as deferred revenue and is being recognized as revenue on a straight-line basis over the estimated 5-year performance period using the Contingency Adjusted Performance Model (“CAPM”). The BMS agreement also provides for BMS to reimburse the Company for 50% of the external costs incurred by the Company in connection with the clinical trial. The BMS payments are recognized as revenue under the CAPM. The Company recorded $0.7 million and $1.2 million in revenue related to the BMS agreement during the three and six months ended June 30, 2017, respectively, and $0.6 million and $1.0 million during the three and six months ended June 30, 2016, respectively.</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Rockefeller University (Rockefeller)</w:t>
      </w:r>
    </w:p>
    <w:p>
      <w:pPr>
        <w:spacing w:after="0" w:line="150" w:lineRule="exact"/>
        <w:rPr>
          <w:sz w:val="20"/>
          <w:szCs w:val="20"/>
          <w:color w:val="auto"/>
        </w:rPr>
      </w:pPr>
    </w:p>
    <w:p>
      <w:pPr>
        <w:ind w:right="180" w:firstLine="432"/>
        <w:spacing w:after="0" w:line="263" w:lineRule="auto"/>
        <w:rPr>
          <w:sz w:val="20"/>
          <w:szCs w:val="20"/>
          <w:color w:val="auto"/>
        </w:rPr>
      </w:pPr>
      <w:r>
        <w:rPr>
          <w:rFonts w:ascii="Arial" w:cs="Arial" w:eastAsia="Arial" w:hAnsi="Arial"/>
          <w:sz w:val="12"/>
          <w:szCs w:val="12"/>
          <w:color w:val="auto"/>
        </w:rPr>
        <w:t>In 2013, the Company entered into an agreement, as amended, with Rockefeller pursuant to which the Company performs research and development services for Rockefeller. The Company bills Rockefeller quarterly for actual time and direct costs incurred and records those amounts to revenue in the quarter the services are performed. The Company recorded $0.3 million and $1.1 million in revenue related to the Rockefeller agreement during the three and six months ended June 30, 2017, respectively, and $0.4 million and $0.8 million during the three and six months ended June 30, 2016, respectively.</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International AIDS Vaccine Initiative (IAVI)</w:t>
      </w:r>
    </w:p>
    <w:p>
      <w:pPr>
        <w:spacing w:after="0" w:line="150" w:lineRule="exact"/>
        <w:rPr>
          <w:sz w:val="20"/>
          <w:szCs w:val="20"/>
          <w:color w:val="auto"/>
        </w:rPr>
      </w:pPr>
    </w:p>
    <w:p>
      <w:pPr>
        <w:ind w:right="140" w:firstLine="432"/>
        <w:spacing w:after="0" w:line="323" w:lineRule="auto"/>
        <w:rPr>
          <w:sz w:val="20"/>
          <w:szCs w:val="20"/>
          <w:color w:val="auto"/>
        </w:rPr>
      </w:pPr>
      <w:r>
        <w:rPr>
          <w:rFonts w:ascii="Arial" w:cs="Arial" w:eastAsia="Arial" w:hAnsi="Arial"/>
          <w:sz w:val="11"/>
          <w:szCs w:val="11"/>
          <w:color w:val="auto"/>
        </w:rPr>
        <w:t>In 2017, the Company entered into an agreement with IAVI pursuant to which the Company will perform research and development services for IAVI outlined under subsequently negotiated task orders. Revenue is recognized as services are performed under the negotiated task orders. The Company recorded $2.3 million in revenue related to the IAVI agreement during the three and six months ended June 30, 2017.</w:t>
      </w:r>
    </w:p>
    <w:p>
      <w:pPr>
        <w:spacing w:after="0" w:line="92"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310755" cy="241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10755" cy="24130"/>
                    </a:xfrm>
                    <a:prstGeom prst="rect">
                      <a:avLst/>
                    </a:prstGeom>
                    <a:noFill/>
                  </pic:spPr>
                </pic:pic>
              </a:graphicData>
            </a:graphic>
          </wp:anchor>
        </w:drawing>
      </w:r>
    </w:p>
    <w:p>
      <w:pPr>
        <w:spacing w:after="0" w:line="319" w:lineRule="exact"/>
        <w:rPr>
          <w:sz w:val="20"/>
          <w:szCs w:val="20"/>
          <w:color w:val="auto"/>
        </w:rPr>
      </w:pPr>
    </w:p>
    <w:p>
      <w:pPr>
        <w:spacing w:after="0"/>
        <w:rPr>
          <w:rFonts w:ascii="Arial" w:cs="Arial" w:eastAsia="Arial" w:hAnsi="Arial"/>
          <w:sz w:val="12"/>
          <w:szCs w:val="12"/>
          <w:u w:val="single" w:color="auto"/>
          <w:color w:val="0000EE"/>
        </w:rPr>
      </w:pPr>
      <w:hyperlink w:anchor="page1">
        <w:r>
          <w:rPr>
            <w:rFonts w:ascii="Arial" w:cs="Arial" w:eastAsia="Arial" w:hAnsi="Arial"/>
            <w:sz w:val="12"/>
            <w:szCs w:val="12"/>
            <w:u w:val="single" w:color="auto"/>
            <w:color w:val="0000EE"/>
          </w:rPr>
          <w:t>Table of Contents</w:t>
        </w:r>
      </w:hyperlink>
    </w:p>
    <w:p>
      <w:pPr>
        <w:sectPr>
          <w:pgSz w:w="11900" w:h="16838" w:orient="portrait"/>
          <w:cols w:equalWidth="0" w:num="1">
            <w:col w:w="11500"/>
          </w:cols>
          <w:pgMar w:left="220" w:top="302" w:right="179" w:bottom="0" w:gutter="0" w:footer="0" w:header="0"/>
          <w:type w:val="continuous"/>
        </w:sectPr>
      </w:pPr>
    </w:p>
    <w:bookmarkStart w:id="5" w:name="page6"/>
    <w:bookmarkEnd w:id="5"/>
    <w:p>
      <w:pPr>
        <w:spacing w:after="0"/>
        <w:rPr>
          <w:sz w:val="20"/>
          <w:szCs w:val="20"/>
          <w:color w:val="auto"/>
        </w:rPr>
      </w:pPr>
      <w:r>
        <w:rPr>
          <w:rFonts w:ascii="Arial" w:cs="Arial" w:eastAsia="Arial" w:hAnsi="Arial"/>
          <w:sz w:val="12"/>
          <w:szCs w:val="12"/>
          <w:b w:val="1"/>
          <w:bCs w:val="1"/>
          <w:color w:val="auto"/>
        </w:rPr>
        <w:t>(11) Kolltan Acquisition</w:t>
      </w:r>
    </w:p>
    <w:p>
      <w:pPr>
        <w:spacing w:after="0" w:line="154" w:lineRule="exact"/>
        <w:rPr>
          <w:sz w:val="20"/>
          <w:szCs w:val="20"/>
          <w:color w:val="auto"/>
        </w:rPr>
      </w:pPr>
    </w:p>
    <w:p>
      <w:pPr>
        <w:ind w:right="80" w:firstLine="432"/>
        <w:spacing w:after="0" w:line="255" w:lineRule="auto"/>
        <w:rPr>
          <w:sz w:val="20"/>
          <w:szCs w:val="20"/>
          <w:color w:val="auto"/>
        </w:rPr>
      </w:pPr>
      <w:r>
        <w:rPr>
          <w:rFonts w:ascii="Arial" w:cs="Arial" w:eastAsia="Arial" w:hAnsi="Arial"/>
          <w:sz w:val="12"/>
          <w:szCs w:val="12"/>
          <w:color w:val="auto"/>
        </w:rPr>
        <w:t>In connection with the Kolltan Acquisition, effective November 29, 2016, the Company issued 18,257,996 shares of common stock of the Company in exchange for all of the share and debt interests in Kolltan. The Company also agreed to issue an aggregate of 437,901 shares of its common stock, less tax withholdings, to certain former officers of Kolltan. During the six months ended June 30, 2017, the Company issued 75,637 shares of its common stock and at June 30, 2017, the Company’s remaining obligation is to issue 150,185 shares of its common stock, less tax withholdings, related to this severance obligation. In addition, in the event that certain specified preclinical and clinical development milestones related to Kolltan’s development programs and/or Celldex’s development programs and certain commercial milestones related to Kolltan’s drug candidates are achieved, Celldex will be required to pay Kolltan’s stockholders milestone payments of up to $172.5 million, which milestone payments may be made, at Celldex’s sole election, in cash, in shares of Celldex’s common stock or a combination of both, subject to provisions of the Merger Agreement.</w:t>
      </w:r>
    </w:p>
    <w:p>
      <w:pPr>
        <w:spacing w:after="0" w:line="129" w:lineRule="exact"/>
        <w:rPr>
          <w:sz w:val="20"/>
          <w:szCs w:val="20"/>
          <w:color w:val="auto"/>
        </w:rPr>
      </w:pPr>
    </w:p>
    <w:p>
      <w:pPr>
        <w:jc w:val="both"/>
        <w:ind w:right="80" w:firstLine="432"/>
        <w:spacing w:after="0" w:line="266" w:lineRule="auto"/>
        <w:rPr>
          <w:sz w:val="20"/>
          <w:szCs w:val="20"/>
          <w:color w:val="auto"/>
        </w:rPr>
      </w:pPr>
      <w:r>
        <w:rPr>
          <w:rFonts w:ascii="Arial" w:cs="Arial" w:eastAsia="Arial" w:hAnsi="Arial"/>
          <w:sz w:val="11"/>
          <w:szCs w:val="11"/>
          <w:color w:val="auto"/>
        </w:rPr>
        <w:t>The Company acquired Kolltan to gain access to Kolltan’s programs including: (i) CDX-0158 (formerly KTN0158) which is currently in a Phase 1 dose escalation study in patients with refractory gastrointestinal stromal tumors (GIST); (ii) CDX-3379 (formerly KTN3379) which recently completed a Phase 1b study with combination cohorts where meaningful responses and stable disease were observed in cetuximab (Erbitux</w:t>
      </w:r>
      <w:r>
        <w:rPr>
          <w:rFonts w:ascii="Arial" w:cs="Arial" w:eastAsia="Arial" w:hAnsi="Arial"/>
          <w:sz w:val="14"/>
          <w:szCs w:val="14"/>
          <w:color w:val="auto"/>
          <w:vertAlign w:val="superscript"/>
        </w:rPr>
        <w:t>®</w:t>
      </w:r>
      <w:r>
        <w:rPr>
          <w:rFonts w:ascii="Arial" w:cs="Arial" w:eastAsia="Arial" w:hAnsi="Arial"/>
          <w:sz w:val="11"/>
          <w:szCs w:val="11"/>
          <w:color w:val="auto"/>
        </w:rPr>
        <w:t>) refractory patients in patients with head and neck squamous cell carcinoma and in BRAF-mutant non-small cell lung cancer (NSCLC); and (iii) a multi-faceted TAM program, a broad antibody discovery effort underway to generate antibodies that modulate the TAM family of RTKs, comprised of Tyro3, AXL and MerTK, which are expressed on tumor-infiltrating macrophages, dendritic cells and some tumors.</w:t>
      </w:r>
    </w:p>
    <w:p>
      <w:pPr>
        <w:spacing w:after="0" w:line="122" w:lineRule="exact"/>
        <w:rPr>
          <w:sz w:val="20"/>
          <w:szCs w:val="20"/>
          <w:color w:val="auto"/>
        </w:rPr>
      </w:pPr>
    </w:p>
    <w:p>
      <w:pPr>
        <w:ind w:right="160" w:firstLine="432"/>
        <w:spacing w:after="0" w:line="276" w:lineRule="auto"/>
        <w:rPr>
          <w:sz w:val="20"/>
          <w:szCs w:val="20"/>
          <w:color w:val="auto"/>
        </w:rPr>
      </w:pPr>
      <w:r>
        <w:rPr>
          <w:rFonts w:ascii="Arial" w:cs="Arial" w:eastAsia="Arial" w:hAnsi="Arial"/>
          <w:sz w:val="12"/>
          <w:szCs w:val="12"/>
          <w:color w:val="auto"/>
        </w:rPr>
        <w:t>The transaction was accounted for as a business combination with Celldex treated as the accounting acquirer. All of the assets acquired and liabilities assumed in the transaction are recognized at their acquisition-date fair values, while transaction costs associated with the transaction are expensed as incurred.</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Purchase Price</w:t>
      </w:r>
    </w:p>
    <w:p>
      <w:pPr>
        <w:spacing w:after="0" w:line="150" w:lineRule="exact"/>
        <w:rPr>
          <w:sz w:val="20"/>
          <w:szCs w:val="20"/>
          <w:color w:val="auto"/>
        </w:rPr>
      </w:pPr>
    </w:p>
    <w:p>
      <w:pPr>
        <w:ind w:right="200" w:firstLine="432"/>
        <w:spacing w:after="0" w:line="276" w:lineRule="auto"/>
        <w:rPr>
          <w:sz w:val="20"/>
          <w:szCs w:val="20"/>
          <w:color w:val="auto"/>
        </w:rPr>
      </w:pPr>
      <w:r>
        <w:rPr>
          <w:rFonts w:ascii="Arial" w:cs="Arial" w:eastAsia="Arial" w:hAnsi="Arial"/>
          <w:sz w:val="12"/>
          <w:szCs w:val="12"/>
          <w:color w:val="auto"/>
        </w:rPr>
        <w:t>The purchase price for Kolltan was based on the acquisition-date fair value of the consideration transferred, which was calculated based on the closing price of the Company’s common stock of $4.02 per share on November 29, 2016. The acquisition-date fair value of the consideration transferred consisted of the following (in thousands):</w:t>
      </w:r>
    </w:p>
    <w:p>
      <w:pPr>
        <w:sectPr>
          <w:pgSz w:w="11900" w:h="16838" w:orient="portrait"/>
          <w:cols w:equalWidth="0" w:num="1">
            <w:col w:w="11500"/>
          </w:cols>
          <w:pgMar w:left="220" w:top="271" w:right="179" w:bottom="0" w:gutter="0" w:footer="0" w:header="0"/>
        </w:sectPr>
      </w:pPr>
    </w:p>
    <w:p>
      <w:pPr>
        <w:spacing w:after="0" w:line="115" w:lineRule="exact"/>
        <w:rPr>
          <w:sz w:val="20"/>
          <w:szCs w:val="20"/>
          <w:color w:val="auto"/>
        </w:rPr>
      </w:pPr>
    </w:p>
    <w:p>
      <w:pPr>
        <w:ind w:left="640"/>
        <w:spacing w:after="0"/>
        <w:rPr>
          <w:sz w:val="20"/>
          <w:szCs w:val="20"/>
          <w:color w:val="auto"/>
        </w:rPr>
      </w:pPr>
      <w:r>
        <w:rPr>
          <w:rFonts w:ascii="Arial" w:cs="Arial" w:eastAsia="Arial" w:hAnsi="Arial"/>
          <w:sz w:val="11"/>
          <w:szCs w:val="11"/>
          <w:color w:val="auto"/>
        </w:rPr>
        <w:t>Fair value of common stock issued for upfront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-74295</wp:posOffset>
            </wp:positionV>
            <wp:extent cx="5833745" cy="914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833745" cy="91440"/>
                    </a:xfrm>
                    <a:prstGeom prst="rect">
                      <a:avLst/>
                    </a:prstGeom>
                    <a:noFill/>
                  </pic:spPr>
                </pic:pic>
              </a:graphicData>
            </a:graphic>
          </wp:anchor>
        </w:drawing>
      </w:r>
    </w:p>
    <w:p>
      <w:pPr>
        <w:spacing w:after="0" w:line="6" w:lineRule="exact"/>
        <w:rPr>
          <w:sz w:val="20"/>
          <w:szCs w:val="20"/>
          <w:color w:val="auto"/>
        </w:rPr>
      </w:pPr>
    </w:p>
    <w:p>
      <w:pPr>
        <w:ind w:left="640"/>
        <w:spacing w:after="0"/>
        <w:rPr>
          <w:sz w:val="20"/>
          <w:szCs w:val="20"/>
          <w:color w:val="auto"/>
        </w:rPr>
      </w:pPr>
      <w:r>
        <w:rPr>
          <w:rFonts w:ascii="Arial" w:cs="Arial" w:eastAsia="Arial" w:hAnsi="Arial"/>
          <w:sz w:val="12"/>
          <w:szCs w:val="12"/>
          <w:color w:val="auto"/>
        </w:rPr>
        <w:t>Fair value of contingent consideration</w:t>
      </w:r>
    </w:p>
    <w:p>
      <w:pPr>
        <w:spacing w:after="0" w:line="6" w:lineRule="exact"/>
        <w:rPr>
          <w:sz w:val="20"/>
          <w:szCs w:val="20"/>
          <w:color w:val="auto"/>
        </w:rPr>
      </w:pPr>
    </w:p>
    <w:p>
      <w:pPr>
        <w:ind w:left="640"/>
        <w:spacing w:after="0"/>
        <w:rPr>
          <w:sz w:val="20"/>
          <w:szCs w:val="20"/>
          <w:color w:val="auto"/>
        </w:rPr>
      </w:pPr>
      <w:r>
        <w:rPr>
          <w:rFonts w:ascii="Arial" w:cs="Arial" w:eastAsia="Arial" w:hAnsi="Arial"/>
          <w:sz w:val="10"/>
          <w:szCs w:val="10"/>
          <w:color w:val="auto"/>
        </w:rPr>
        <w:t>Kolltan transaction expenses paid in cash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-72390</wp:posOffset>
            </wp:positionV>
            <wp:extent cx="5833745" cy="914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833745" cy="91440"/>
                    </a:xfrm>
                    <a:prstGeom prst="rect">
                      <a:avLst/>
                    </a:prstGeom>
                    <a:noFill/>
                  </pic:spPr>
                </pic:pic>
              </a:graphicData>
            </a:graphic>
          </wp:anchor>
        </w:drawing>
      </w:r>
    </w:p>
    <w:p>
      <w:pPr>
        <w:spacing w:after="0" w:line="9" w:lineRule="exact"/>
        <w:rPr>
          <w:sz w:val="20"/>
          <w:szCs w:val="20"/>
          <w:color w:val="auto"/>
        </w:rPr>
      </w:pPr>
    </w:p>
    <w:p>
      <w:pPr>
        <w:ind w:left="640"/>
        <w:spacing w:after="0"/>
        <w:rPr>
          <w:sz w:val="20"/>
          <w:szCs w:val="20"/>
          <w:color w:val="auto"/>
        </w:rPr>
      </w:pPr>
      <w:r>
        <w:rPr>
          <w:rFonts w:ascii="Arial" w:cs="Arial" w:eastAsia="Arial" w:hAnsi="Arial"/>
          <w:sz w:val="12"/>
          <w:szCs w:val="12"/>
          <w:color w:val="auto"/>
        </w:rPr>
        <w:t>Total consideration transferred</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ind w:left="1038" w:hanging="1038"/>
        <w:spacing w:after="0"/>
        <w:tabs>
          <w:tab w:leader="none" w:pos="1038" w:val="left"/>
        </w:tabs>
        <w:numPr>
          <w:ilvl w:val="0"/>
          <w:numId w:val="1"/>
        </w:numPr>
        <w:rPr>
          <w:rFonts w:ascii="Arial" w:cs="Arial" w:eastAsia="Arial" w:hAnsi="Arial"/>
          <w:sz w:val="11"/>
          <w:szCs w:val="11"/>
          <w:color w:val="auto"/>
        </w:rPr>
      </w:pPr>
      <w:r>
        <w:rPr>
          <w:rFonts w:ascii="Arial" w:cs="Arial" w:eastAsia="Arial" w:hAnsi="Arial"/>
          <w:sz w:val="11"/>
          <w:szCs w:val="11"/>
          <w:color w:val="auto"/>
        </w:rPr>
        <w:t>73,397</w:t>
      </w:r>
    </w:p>
    <w:p>
      <w:pPr>
        <w:spacing w:after="0" w:line="26" w:lineRule="exact"/>
        <w:rPr>
          <w:rFonts w:ascii="Arial" w:cs="Arial" w:eastAsia="Arial" w:hAnsi="Arial"/>
          <w:sz w:val="11"/>
          <w:szCs w:val="11"/>
          <w:color w:val="auto"/>
        </w:rPr>
      </w:pPr>
    </w:p>
    <w:p>
      <w:pPr>
        <w:ind w:left="1038"/>
        <w:spacing w:after="0"/>
        <w:rPr>
          <w:rFonts w:ascii="Arial" w:cs="Arial" w:eastAsia="Arial" w:hAnsi="Arial"/>
          <w:sz w:val="11"/>
          <w:szCs w:val="11"/>
          <w:color w:val="auto"/>
        </w:rPr>
      </w:pPr>
      <w:r>
        <w:rPr>
          <w:rFonts w:ascii="Arial" w:cs="Arial" w:eastAsia="Arial" w:hAnsi="Arial"/>
          <w:sz w:val="11"/>
          <w:szCs w:val="11"/>
          <w:color w:val="auto"/>
        </w:rPr>
        <w:t>44,200</w:t>
      </w:r>
    </w:p>
    <w:p>
      <w:pPr>
        <w:spacing w:after="0" w:line="17" w:lineRule="exact"/>
        <w:rPr>
          <w:rFonts w:ascii="Arial" w:cs="Arial" w:eastAsia="Arial" w:hAnsi="Arial"/>
          <w:sz w:val="11"/>
          <w:szCs w:val="11"/>
          <w:color w:val="auto"/>
        </w:rPr>
      </w:pPr>
    </w:p>
    <w:p>
      <w:pPr>
        <w:ind w:left="1098"/>
        <w:spacing w:after="0"/>
        <w:rPr>
          <w:rFonts w:ascii="Arial" w:cs="Arial" w:eastAsia="Arial" w:hAnsi="Arial"/>
          <w:sz w:val="11"/>
          <w:szCs w:val="11"/>
          <w:color w:val="auto"/>
        </w:rPr>
      </w:pPr>
      <w:r>
        <w:rPr>
          <w:rFonts w:ascii="Arial" w:cs="Arial" w:eastAsia="Arial" w:hAnsi="Arial"/>
          <w:sz w:val="11"/>
          <w:szCs w:val="11"/>
          <w:color w:val="auto"/>
        </w:rPr>
        <w:t>3,768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875030"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75030" cy="5715"/>
                    </a:xfrm>
                    <a:prstGeom prst="rect">
                      <a:avLst/>
                    </a:prstGeom>
                    <a:noFill/>
                  </pic:spPr>
                </pic:pic>
              </a:graphicData>
            </a:graphic>
          </wp:anchor>
        </w:drawing>
      </w:r>
    </w:p>
    <w:p>
      <w:pPr>
        <w:ind w:left="978" w:hanging="978"/>
        <w:spacing w:after="0"/>
        <w:tabs>
          <w:tab w:leader="none" w:pos="978" w:val="left"/>
        </w:tabs>
        <w:numPr>
          <w:ilvl w:val="0"/>
          <w:numId w:val="2"/>
        </w:numPr>
        <w:rPr>
          <w:rFonts w:ascii="Arial" w:cs="Arial" w:eastAsia="Arial" w:hAnsi="Arial"/>
          <w:sz w:val="11"/>
          <w:szCs w:val="11"/>
          <w:color w:val="auto"/>
        </w:rPr>
      </w:pPr>
      <w:r>
        <w:rPr>
          <w:rFonts w:ascii="Arial" w:cs="Arial" w:eastAsia="Arial" w:hAnsi="Arial"/>
          <w:sz w:val="11"/>
          <w:szCs w:val="11"/>
          <w:color w:val="auto"/>
        </w:rPr>
        <w:t>121,365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875030"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7503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28575</wp:posOffset>
            </wp:positionV>
            <wp:extent cx="875030"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75030" cy="5715"/>
                    </a:xfrm>
                    <a:prstGeom prst="rect">
                      <a:avLst/>
                    </a:prstGeom>
                    <a:noFill/>
                  </pic:spPr>
                </pic:pic>
              </a:graphicData>
            </a:graphic>
          </wp:anchor>
        </w:drawing>
      </w:r>
    </w:p>
    <w:p>
      <w:pPr>
        <w:spacing w:after="0" w:line="188" w:lineRule="exact"/>
        <w:rPr>
          <w:sz w:val="20"/>
          <w:szCs w:val="20"/>
          <w:color w:val="auto"/>
        </w:rPr>
      </w:pPr>
    </w:p>
    <w:p>
      <w:pPr>
        <w:sectPr>
          <w:pgSz w:w="11900" w:h="16838" w:orient="portrait"/>
          <w:cols w:equalWidth="0" w:num="2">
            <w:col w:w="7622" w:space="720"/>
            <w:col w:w="3158"/>
          </w:cols>
          <w:pgMar w:left="220" w:top="271" w:right="179" w:bottom="0" w:gutter="0" w:footer="0" w:header="0"/>
          <w:type w:val="continuous"/>
        </w:sectPr>
      </w:pPr>
    </w:p>
    <w:p>
      <w:pPr>
        <w:ind w:right="100" w:firstLine="432"/>
        <w:spacing w:after="0" w:line="257" w:lineRule="auto"/>
        <w:rPr>
          <w:sz w:val="20"/>
          <w:szCs w:val="20"/>
          <w:color w:val="auto"/>
        </w:rPr>
      </w:pPr>
      <w:r>
        <w:rPr>
          <w:rFonts w:ascii="Arial" w:cs="Arial" w:eastAsia="Arial" w:hAnsi="Arial"/>
          <w:sz w:val="12"/>
          <w:szCs w:val="12"/>
          <w:color w:val="auto"/>
        </w:rPr>
        <w:t>The contingent consideration relates to the achievement of certain regulatory and sales milestones as described in the agreement. The estimated fair value of contingent consideration of $48.6 million and $44.2 million at June 30, 2017 and December 31, 2016, respectively, is recorded as a noncurrent liability. The Company determined the fair value of these obligations to pay additional milestone payments using various estimates, including probabilities of success, discount rates and amount of time until the conditions of the milestone payments are met. This fair value measurement is based on significant inputs not observable in the market, representing a Level 3 measurement within the fair value hierarchy. The resulting probability-weighted cash flows were discounted using a cost of debt rate ranging from 10-11% for the milestones. The range of estimated milestone payments is from zero, if no milestones are achieved, to $172.5 million if all milestones are met.</w:t>
      </w:r>
    </w:p>
    <w:p>
      <w:pPr>
        <w:spacing w:after="0" w:line="126" w:lineRule="exact"/>
        <w:rPr>
          <w:sz w:val="20"/>
          <w:szCs w:val="20"/>
          <w:color w:val="auto"/>
        </w:rPr>
      </w:pPr>
    </w:p>
    <w:p>
      <w:pPr>
        <w:jc w:val="both"/>
        <w:ind w:right="40" w:firstLine="432"/>
        <w:spacing w:after="0" w:line="263" w:lineRule="auto"/>
        <w:rPr>
          <w:sz w:val="20"/>
          <w:szCs w:val="20"/>
          <w:color w:val="auto"/>
        </w:rPr>
      </w:pPr>
      <w:r>
        <w:rPr>
          <w:rFonts w:ascii="Arial" w:cs="Arial" w:eastAsia="Arial" w:hAnsi="Arial"/>
          <w:sz w:val="12"/>
          <w:szCs w:val="12"/>
          <w:color w:val="auto"/>
        </w:rPr>
        <w:t>Changes in the fair value of the contingent consideration are recognized in operating earnings. Changes in fair values reflect new information about the probability and timing of meeting the conditions of the milestone payments or changes in discount rates. In the absence of new information, changes in fair value will only reflect the interest component of contingent consideration related to the passage of time as development work progresses towards the achievement of the milestones.</w:t>
      </w:r>
    </w:p>
    <w:p>
      <w:pPr>
        <w:spacing w:after="0" w:line="123"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310755" cy="241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10755" cy="24130"/>
                    </a:xfrm>
                    <a:prstGeom prst="rect">
                      <a:avLst/>
                    </a:prstGeom>
                    <a:noFill/>
                  </pic:spPr>
                </pic:pic>
              </a:graphicData>
            </a:graphic>
          </wp:anchor>
        </w:drawing>
      </w:r>
    </w:p>
    <w:p>
      <w:pPr>
        <w:spacing w:after="0" w:line="319" w:lineRule="exact"/>
        <w:rPr>
          <w:sz w:val="20"/>
          <w:szCs w:val="20"/>
          <w:color w:val="auto"/>
        </w:rPr>
      </w:pPr>
    </w:p>
    <w:p>
      <w:pPr>
        <w:spacing w:after="0"/>
        <w:rPr>
          <w:rFonts w:ascii="Arial" w:cs="Arial" w:eastAsia="Arial" w:hAnsi="Arial"/>
          <w:sz w:val="12"/>
          <w:szCs w:val="12"/>
          <w:u w:val="single" w:color="auto"/>
          <w:color w:val="0000EE"/>
        </w:rPr>
      </w:pPr>
      <w:hyperlink w:anchor="page1">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Allocations of Assets and Liabilities</w:t>
      </w:r>
    </w:p>
    <w:p>
      <w:pPr>
        <w:spacing w:after="0" w:line="150" w:lineRule="exact"/>
        <w:rPr>
          <w:sz w:val="20"/>
          <w:szCs w:val="20"/>
          <w:color w:val="auto"/>
        </w:rPr>
      </w:pPr>
    </w:p>
    <w:p>
      <w:pPr>
        <w:ind w:right="160" w:firstLine="432"/>
        <w:spacing w:after="0" w:line="263" w:lineRule="auto"/>
        <w:rPr>
          <w:sz w:val="20"/>
          <w:szCs w:val="20"/>
          <w:color w:val="auto"/>
        </w:rPr>
      </w:pPr>
      <w:r>
        <w:rPr>
          <w:rFonts w:ascii="Arial" w:cs="Arial" w:eastAsia="Arial" w:hAnsi="Arial"/>
          <w:sz w:val="12"/>
          <w:szCs w:val="12"/>
          <w:color w:val="auto"/>
        </w:rPr>
        <w:t>The Company has allocated the consideration transferred for Kolltan to net tangible assets, intangible assets, and goodwill. The difference between the aggregate consideration transferred and the fair value of assets acquired and liabilities assumed was allocated to goodwill. This goodwill relates to the potential synergies from the Kolltan Acquisition and deferred tax liabilities related to acquired IPR&amp;D intangible assets. None of the goodwill is expected to be deductible for income tax purposes. The following table summarizes the fair values of the assets acquired and liabilities assumed at the acquisition date (in thousands):</w:t>
      </w:r>
    </w:p>
    <w:p>
      <w:pPr>
        <w:spacing w:after="0" w:line="132" w:lineRule="exact"/>
        <w:rPr>
          <w:sz w:val="20"/>
          <w:szCs w:val="20"/>
          <w:color w:val="auto"/>
        </w:rPr>
      </w:pPr>
    </w:p>
    <w:tbl>
      <w:tblPr>
        <w:tblLayout w:type="fixed"/>
        <w:tblInd w:w="640" w:type="dxa"/>
        <w:tblCellMar>
          <w:top w:w="0" w:type="dxa"/>
          <w:left w:w="0" w:type="dxa"/>
          <w:bottom w:w="0" w:type="dxa"/>
          <w:right w:w="0" w:type="dxa"/>
        </w:tblCellMar>
      </w:tblPr>
      <w:tr>
        <w:trPr>
          <w:trHeight w:val="144"/>
        </w:trPr>
        <w:tc>
          <w:tcPr>
            <w:tcW w:w="7700" w:type="dxa"/>
            <w:vAlign w:val="bottom"/>
            <w:shd w:val="clear" w:color="auto" w:fill="CCEEFF"/>
          </w:tcPr>
          <w:p>
            <w:pPr>
              <w:spacing w:after="0"/>
              <w:rPr>
                <w:sz w:val="20"/>
                <w:szCs w:val="20"/>
                <w:color w:val="auto"/>
              </w:rPr>
            </w:pPr>
            <w:r>
              <w:rPr>
                <w:rFonts w:ascii="Arial" w:cs="Arial" w:eastAsia="Arial" w:hAnsi="Arial"/>
                <w:sz w:val="12"/>
                <w:szCs w:val="12"/>
                <w:color w:val="auto"/>
              </w:rPr>
              <w:t>Cash and cash equivalents</w:t>
            </w:r>
          </w:p>
        </w:tc>
        <w:tc>
          <w:tcPr>
            <w:tcW w:w="520" w:type="dxa"/>
            <w:vAlign w:val="bottom"/>
            <w:shd w:val="clear" w:color="auto" w:fill="CCEEFF"/>
          </w:tcPr>
          <w:p>
            <w:pPr>
              <w:jc w:val="right"/>
              <w:ind w:right="410"/>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8,160</w:t>
            </w:r>
          </w:p>
        </w:tc>
        <w:tc>
          <w:tcPr>
            <w:tcW w:w="80" w:type="dxa"/>
            <w:vAlign w:val="bottom"/>
            <w:shd w:val="clear" w:color="auto" w:fill="CCEEFF"/>
          </w:tcPr>
          <w:p>
            <w:pPr>
              <w:spacing w:after="0"/>
              <w:rPr>
                <w:sz w:val="12"/>
                <w:szCs w:val="12"/>
                <w:color w:val="auto"/>
              </w:rPr>
            </w:pPr>
          </w:p>
        </w:tc>
      </w:tr>
      <w:tr>
        <w:trPr>
          <w:trHeight w:val="144"/>
        </w:trPr>
        <w:tc>
          <w:tcPr>
            <w:tcW w:w="7700" w:type="dxa"/>
            <w:vAlign w:val="bottom"/>
          </w:tcPr>
          <w:p>
            <w:pPr>
              <w:spacing w:after="0"/>
              <w:rPr>
                <w:sz w:val="20"/>
                <w:szCs w:val="20"/>
                <w:color w:val="auto"/>
              </w:rPr>
            </w:pPr>
            <w:r>
              <w:rPr>
                <w:rFonts w:ascii="Arial" w:cs="Arial" w:eastAsia="Arial" w:hAnsi="Arial"/>
                <w:sz w:val="12"/>
                <w:szCs w:val="12"/>
                <w:color w:val="auto"/>
              </w:rPr>
              <w:t>Other current and long-term assets</w:t>
            </w:r>
          </w:p>
        </w:tc>
        <w:tc>
          <w:tcPr>
            <w:tcW w:w="520" w:type="dxa"/>
            <w:vAlign w:val="bottom"/>
          </w:tcPr>
          <w:p>
            <w:pPr>
              <w:spacing w:after="0"/>
              <w:rPr>
                <w:sz w:val="12"/>
                <w:szCs w:val="12"/>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2"/>
                <w:szCs w:val="12"/>
                <w:color w:val="auto"/>
              </w:rPr>
              <w:t>799</w:t>
            </w:r>
          </w:p>
        </w:tc>
        <w:tc>
          <w:tcPr>
            <w:tcW w:w="80" w:type="dxa"/>
            <w:vAlign w:val="bottom"/>
          </w:tcPr>
          <w:p>
            <w:pPr>
              <w:spacing w:after="0"/>
              <w:rPr>
                <w:sz w:val="12"/>
                <w:szCs w:val="12"/>
                <w:color w:val="auto"/>
              </w:rPr>
            </w:pPr>
          </w:p>
        </w:tc>
      </w:tr>
      <w:tr>
        <w:trPr>
          <w:trHeight w:val="144"/>
        </w:trPr>
        <w:tc>
          <w:tcPr>
            <w:tcW w:w="7700" w:type="dxa"/>
            <w:vAlign w:val="bottom"/>
            <w:shd w:val="clear" w:color="auto" w:fill="CCEEFF"/>
          </w:tcPr>
          <w:p>
            <w:pPr>
              <w:spacing w:after="0"/>
              <w:rPr>
                <w:sz w:val="20"/>
                <w:szCs w:val="20"/>
                <w:color w:val="auto"/>
              </w:rPr>
            </w:pPr>
            <w:r>
              <w:rPr>
                <w:rFonts w:ascii="Arial" w:cs="Arial" w:eastAsia="Arial" w:hAnsi="Arial"/>
                <w:sz w:val="12"/>
                <w:szCs w:val="12"/>
                <w:color w:val="auto"/>
              </w:rPr>
              <w:t>Property and equipment, net</w:t>
            </w:r>
          </w:p>
        </w:tc>
        <w:tc>
          <w:tcPr>
            <w:tcW w:w="5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2,072</w:t>
            </w:r>
          </w:p>
        </w:tc>
        <w:tc>
          <w:tcPr>
            <w:tcW w:w="80" w:type="dxa"/>
            <w:vAlign w:val="bottom"/>
            <w:shd w:val="clear" w:color="auto" w:fill="CCEEFF"/>
          </w:tcPr>
          <w:p>
            <w:pPr>
              <w:spacing w:after="0"/>
              <w:rPr>
                <w:sz w:val="12"/>
                <w:szCs w:val="12"/>
                <w:color w:val="auto"/>
              </w:rPr>
            </w:pPr>
          </w:p>
        </w:tc>
      </w:tr>
      <w:tr>
        <w:trPr>
          <w:trHeight w:val="144"/>
        </w:trPr>
        <w:tc>
          <w:tcPr>
            <w:tcW w:w="7700" w:type="dxa"/>
            <w:vAlign w:val="bottom"/>
          </w:tcPr>
          <w:p>
            <w:pPr>
              <w:spacing w:after="0"/>
              <w:rPr>
                <w:sz w:val="20"/>
                <w:szCs w:val="20"/>
                <w:color w:val="auto"/>
              </w:rPr>
            </w:pPr>
            <w:r>
              <w:rPr>
                <w:rFonts w:ascii="Arial" w:cs="Arial" w:eastAsia="Arial" w:hAnsi="Arial"/>
                <w:sz w:val="12"/>
                <w:szCs w:val="12"/>
                <w:color w:val="auto"/>
              </w:rPr>
              <w:t>In-process research and development (IPR&amp;D)</w:t>
            </w:r>
          </w:p>
        </w:tc>
        <w:tc>
          <w:tcPr>
            <w:tcW w:w="520" w:type="dxa"/>
            <w:vAlign w:val="bottom"/>
          </w:tcPr>
          <w:p>
            <w:pPr>
              <w:spacing w:after="0"/>
              <w:rPr>
                <w:sz w:val="12"/>
                <w:szCs w:val="12"/>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2"/>
                <w:szCs w:val="12"/>
                <w:color w:val="auto"/>
              </w:rPr>
              <w:t>61,690</w:t>
            </w:r>
          </w:p>
        </w:tc>
        <w:tc>
          <w:tcPr>
            <w:tcW w:w="80" w:type="dxa"/>
            <w:vAlign w:val="bottom"/>
          </w:tcPr>
          <w:p>
            <w:pPr>
              <w:spacing w:after="0"/>
              <w:rPr>
                <w:sz w:val="12"/>
                <w:szCs w:val="12"/>
                <w:color w:val="auto"/>
              </w:rPr>
            </w:pPr>
          </w:p>
        </w:tc>
      </w:tr>
      <w:tr>
        <w:trPr>
          <w:trHeight w:val="144"/>
        </w:trPr>
        <w:tc>
          <w:tcPr>
            <w:tcW w:w="7700" w:type="dxa"/>
            <w:vAlign w:val="bottom"/>
            <w:shd w:val="clear" w:color="auto" w:fill="CCEEFF"/>
          </w:tcPr>
          <w:p>
            <w:pPr>
              <w:spacing w:after="0"/>
              <w:rPr>
                <w:sz w:val="20"/>
                <w:szCs w:val="20"/>
                <w:color w:val="auto"/>
              </w:rPr>
            </w:pPr>
            <w:r>
              <w:rPr>
                <w:rFonts w:ascii="Arial" w:cs="Arial" w:eastAsia="Arial" w:hAnsi="Arial"/>
                <w:sz w:val="12"/>
                <w:szCs w:val="12"/>
                <w:color w:val="auto"/>
              </w:rPr>
              <w:t>Goodwill</w:t>
            </w:r>
          </w:p>
        </w:tc>
        <w:tc>
          <w:tcPr>
            <w:tcW w:w="5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82,011</w:t>
            </w:r>
          </w:p>
        </w:tc>
        <w:tc>
          <w:tcPr>
            <w:tcW w:w="80" w:type="dxa"/>
            <w:vAlign w:val="bottom"/>
            <w:shd w:val="clear" w:color="auto" w:fill="CCEEFF"/>
          </w:tcPr>
          <w:p>
            <w:pPr>
              <w:spacing w:after="0"/>
              <w:rPr>
                <w:sz w:val="12"/>
                <w:szCs w:val="12"/>
                <w:color w:val="auto"/>
              </w:rPr>
            </w:pPr>
          </w:p>
        </w:tc>
      </w:tr>
      <w:tr>
        <w:trPr>
          <w:trHeight w:val="144"/>
        </w:trPr>
        <w:tc>
          <w:tcPr>
            <w:tcW w:w="7700" w:type="dxa"/>
            <w:vAlign w:val="bottom"/>
          </w:tcPr>
          <w:p>
            <w:pPr>
              <w:spacing w:after="0"/>
              <w:rPr>
                <w:sz w:val="20"/>
                <w:szCs w:val="20"/>
                <w:color w:val="auto"/>
              </w:rPr>
            </w:pPr>
            <w:r>
              <w:rPr>
                <w:rFonts w:ascii="Arial" w:cs="Arial" w:eastAsia="Arial" w:hAnsi="Arial"/>
                <w:sz w:val="12"/>
                <w:szCs w:val="12"/>
                <w:color w:val="auto"/>
              </w:rPr>
              <w:t>Deferred tax liabilities, net</w:t>
            </w:r>
          </w:p>
        </w:tc>
        <w:tc>
          <w:tcPr>
            <w:tcW w:w="520" w:type="dxa"/>
            <w:vAlign w:val="bottom"/>
          </w:tcPr>
          <w:p>
            <w:pPr>
              <w:spacing w:after="0"/>
              <w:rPr>
                <w:sz w:val="12"/>
                <w:szCs w:val="12"/>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2"/>
                <w:szCs w:val="12"/>
                <w:color w:val="auto"/>
              </w:rPr>
              <w:t>(23,393)</w:t>
            </w:r>
          </w:p>
        </w:tc>
      </w:tr>
      <w:tr>
        <w:trPr>
          <w:trHeight w:val="144"/>
        </w:trPr>
        <w:tc>
          <w:tcPr>
            <w:tcW w:w="7700" w:type="dxa"/>
            <w:vAlign w:val="bottom"/>
            <w:shd w:val="clear" w:color="auto" w:fill="CCEEFF"/>
          </w:tcPr>
          <w:p>
            <w:pPr>
              <w:spacing w:after="0"/>
              <w:rPr>
                <w:sz w:val="20"/>
                <w:szCs w:val="20"/>
                <w:color w:val="auto"/>
              </w:rPr>
            </w:pPr>
            <w:r>
              <w:rPr>
                <w:rFonts w:ascii="Arial" w:cs="Arial" w:eastAsia="Arial" w:hAnsi="Arial"/>
                <w:sz w:val="12"/>
                <w:szCs w:val="12"/>
                <w:color w:val="auto"/>
              </w:rPr>
              <w:t>Other assumed liabilities</w:t>
            </w:r>
          </w:p>
        </w:tc>
        <w:tc>
          <w:tcPr>
            <w:tcW w:w="52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(9,974)</w:t>
            </w:r>
          </w:p>
        </w:tc>
      </w:tr>
      <w:tr>
        <w:trPr>
          <w:trHeight w:val="140"/>
        </w:trPr>
        <w:tc>
          <w:tcPr>
            <w:tcW w:w="7700" w:type="dxa"/>
            <w:vAlign w:val="bottom"/>
          </w:tcPr>
          <w:p>
            <w:pPr>
              <w:spacing w:after="0" w:line="133" w:lineRule="exact"/>
              <w:rPr>
                <w:sz w:val="20"/>
                <w:szCs w:val="20"/>
                <w:color w:val="auto"/>
              </w:rPr>
            </w:pPr>
            <w:r>
              <w:rPr>
                <w:rFonts w:ascii="Arial" w:cs="Arial" w:eastAsia="Arial" w:hAnsi="Arial"/>
                <w:sz w:val="12"/>
                <w:szCs w:val="12"/>
                <w:color w:val="auto"/>
              </w:rPr>
              <w:t>Total</w:t>
            </w:r>
          </w:p>
        </w:tc>
        <w:tc>
          <w:tcPr>
            <w:tcW w:w="5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121,365</w:t>
            </w:r>
          </w:p>
        </w:tc>
        <w:tc>
          <w:tcPr>
            <w:tcW w:w="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bl>
    <w:p>
      <w:pPr>
        <w:spacing w:after="0" w:line="135" w:lineRule="exact"/>
        <w:rPr>
          <w:sz w:val="20"/>
          <w:szCs w:val="20"/>
          <w:color w:val="auto"/>
        </w:rPr>
      </w:pPr>
    </w:p>
    <w:p>
      <w:pPr>
        <w:ind w:right="460" w:firstLine="432"/>
        <w:spacing w:after="0" w:line="276" w:lineRule="auto"/>
        <w:rPr>
          <w:sz w:val="20"/>
          <w:szCs w:val="20"/>
          <w:color w:val="auto"/>
        </w:rPr>
      </w:pPr>
      <w:r>
        <w:rPr>
          <w:rFonts w:ascii="Arial" w:cs="Arial" w:eastAsia="Arial" w:hAnsi="Arial"/>
          <w:sz w:val="12"/>
          <w:szCs w:val="12"/>
          <w:color w:val="auto"/>
        </w:rPr>
        <w:t>The purchase price allocation has been prepared on a preliminary basis and is subject to change as additional information becomes available concerning the fair value and tax basis of the acquired assets and liabilities. Any adjustments to the purchase price allocation will be made as soon as practicable but no later than one year from the acquisition date.</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Pro Forma Financial Information</w:t>
      </w:r>
    </w:p>
    <w:p>
      <w:pPr>
        <w:spacing w:after="0" w:line="150" w:lineRule="exact"/>
        <w:rPr>
          <w:sz w:val="20"/>
          <w:szCs w:val="20"/>
          <w:color w:val="auto"/>
        </w:rPr>
      </w:pPr>
    </w:p>
    <w:p>
      <w:pPr>
        <w:ind w:right="80" w:firstLine="432"/>
        <w:spacing w:after="0" w:line="263" w:lineRule="auto"/>
        <w:rPr>
          <w:sz w:val="20"/>
          <w:szCs w:val="20"/>
          <w:color w:val="auto"/>
        </w:rPr>
      </w:pPr>
      <w:r>
        <w:rPr>
          <w:rFonts w:ascii="Arial" w:cs="Arial" w:eastAsia="Arial" w:hAnsi="Arial"/>
          <w:sz w:val="12"/>
          <w:szCs w:val="12"/>
          <w:color w:val="auto"/>
        </w:rPr>
        <w:t>If the operations of the Company and Kolltan were combined as of January 1, 2016, the unaudited pro forma net loss for the three and six months ended June 30, 2016 would have been $39.5 million and $84.8 million, respectively, or $(0.34) and $(0.73) per share, respectively. The unaudited pro forma combined results are not necessarily indicative of the actual results that would have occurred had the acquisition been consummated at that date or of the future operations of the combined entities.</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(12) Income Taxes</w:t>
      </w:r>
    </w:p>
    <w:p>
      <w:pPr>
        <w:spacing w:after="0" w:line="154" w:lineRule="exact"/>
        <w:rPr>
          <w:sz w:val="20"/>
          <w:szCs w:val="20"/>
          <w:color w:val="auto"/>
        </w:rPr>
      </w:pPr>
    </w:p>
    <w:p>
      <w:pPr>
        <w:ind w:right="100" w:firstLine="432"/>
        <w:spacing w:after="0" w:line="276" w:lineRule="auto"/>
        <w:rPr>
          <w:sz w:val="20"/>
          <w:szCs w:val="20"/>
          <w:color w:val="auto"/>
        </w:rPr>
      </w:pPr>
      <w:r>
        <w:rPr>
          <w:rFonts w:ascii="Arial" w:cs="Arial" w:eastAsia="Arial" w:hAnsi="Arial"/>
          <w:sz w:val="12"/>
          <w:szCs w:val="12"/>
          <w:color w:val="auto"/>
        </w:rPr>
        <w:t>Massachusetts, New Jersey and Connecticut are the three states in which the Company primarily operates or has operated and has income tax nexus. The Company’s wholly-owned subsidiary Celldex Australia Pty Ltd operates in Brisbane, Australia. The Company is not currently under examination by any jurisdictions for any tax year.</w:t>
      </w:r>
    </w:p>
    <w:p>
      <w:pPr>
        <w:spacing w:after="0" w:line="115" w:lineRule="exact"/>
        <w:rPr>
          <w:sz w:val="20"/>
          <w:szCs w:val="20"/>
          <w:color w:val="auto"/>
        </w:rPr>
      </w:pPr>
    </w:p>
    <w:p>
      <w:pPr>
        <w:ind w:right="120" w:firstLine="432"/>
        <w:spacing w:after="0" w:line="263" w:lineRule="auto"/>
        <w:rPr>
          <w:sz w:val="20"/>
          <w:szCs w:val="20"/>
          <w:color w:val="auto"/>
        </w:rPr>
      </w:pPr>
      <w:r>
        <w:rPr>
          <w:rFonts w:ascii="Arial" w:cs="Arial" w:eastAsia="Arial" w:hAnsi="Arial"/>
          <w:sz w:val="12"/>
          <w:szCs w:val="12"/>
          <w:color w:val="auto"/>
        </w:rPr>
        <w:t>The Company has evaluated the positive and negative evidence bearing upon the realizability of its net deferred tax assets, which are comprised principally of net operating loss carryforwards, capitalized R&amp;D expenditures and R&amp;D tax credit carryforwards. The Company has determined that it is more likely than not that it will not recognize the benefits of federal and state deferred tax assets and, as a result, a full valuation allowance was maintained at June 30, 2017 and December 31, 2016 against the Company’s net deferred tax assets.</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(13) Net Loss Per Share</w:t>
      </w:r>
    </w:p>
    <w:p>
      <w:pPr>
        <w:spacing w:after="0" w:line="154" w:lineRule="exact"/>
        <w:rPr>
          <w:sz w:val="20"/>
          <w:szCs w:val="20"/>
          <w:color w:val="auto"/>
        </w:rPr>
      </w:pPr>
    </w:p>
    <w:p>
      <w:pPr>
        <w:ind w:right="280" w:firstLine="432"/>
        <w:spacing w:after="0" w:line="298" w:lineRule="auto"/>
        <w:rPr>
          <w:sz w:val="20"/>
          <w:szCs w:val="20"/>
          <w:color w:val="auto"/>
        </w:rPr>
      </w:pPr>
      <w:r>
        <w:rPr>
          <w:rFonts w:ascii="Arial" w:cs="Arial" w:eastAsia="Arial" w:hAnsi="Arial"/>
          <w:sz w:val="11"/>
          <w:szCs w:val="11"/>
          <w:color w:val="auto"/>
        </w:rPr>
        <w:t>Basic net loss per common share is based upon the weighted-average number of common shares outstanding during the period, excluding restricted stock that has been issued but is not yet vested. Diluted net loss per common share is based upon the weighted-average number of common shares outstanding during the period plus additional weighted-average potentially dilutive common shares outstanding during the period when the effect is dilutive. The potentially dilutive common shares that have not been included in the net loss per common share calculations because the effect would have been anti-dilutive are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5100" w:type="dxa"/>
            <w:vAlign w:val="bottom"/>
          </w:tcPr>
          <w:p>
            <w:pPr>
              <w:spacing w:after="0"/>
              <w:rPr>
                <w:sz w:val="10"/>
                <w:szCs w:val="10"/>
                <w:color w:val="auto"/>
              </w:rPr>
            </w:pPr>
          </w:p>
        </w:tc>
        <w:tc>
          <w:tcPr>
            <w:tcW w:w="2160" w:type="dxa"/>
            <w:vAlign w:val="bottom"/>
            <w:tcBorders>
              <w:bottom w:val="single" w:sz="8" w:color="auto"/>
            </w:tcBorders>
            <w:gridSpan w:val="3"/>
          </w:tcPr>
          <w:p>
            <w:pPr>
              <w:ind w:left="980"/>
              <w:spacing w:after="0"/>
              <w:rPr>
                <w:sz w:val="20"/>
                <w:szCs w:val="20"/>
                <w:color w:val="auto"/>
              </w:rPr>
            </w:pPr>
            <w:r>
              <w:rPr>
                <w:rFonts w:ascii="Arial" w:cs="Arial" w:eastAsia="Arial" w:hAnsi="Arial"/>
                <w:sz w:val="10"/>
                <w:szCs w:val="10"/>
                <w:b w:val="1"/>
                <w:bCs w:val="1"/>
                <w:color w:val="auto"/>
                <w:w w:val="89"/>
              </w:rPr>
              <w:t>Six months ended June 30,</w:t>
            </w:r>
          </w:p>
        </w:tc>
        <w:tc>
          <w:tcPr>
            <w:tcW w:w="8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3200" w:type="dxa"/>
            <w:vAlign w:val="bottom"/>
          </w:tcPr>
          <w:p>
            <w:pPr>
              <w:spacing w:after="0"/>
              <w:rPr>
                <w:sz w:val="7"/>
                <w:szCs w:val="7"/>
                <w:color w:val="auto"/>
              </w:rPr>
            </w:pPr>
          </w:p>
        </w:tc>
        <w:tc>
          <w:tcPr>
            <w:tcW w:w="5100" w:type="dxa"/>
            <w:vAlign w:val="bottom"/>
          </w:tcPr>
          <w:p>
            <w:pPr>
              <w:spacing w:after="0"/>
              <w:rPr>
                <w:sz w:val="7"/>
                <w:szCs w:val="7"/>
                <w:color w:val="auto"/>
              </w:rPr>
            </w:pPr>
          </w:p>
        </w:tc>
        <w:tc>
          <w:tcPr>
            <w:tcW w:w="1400" w:type="dxa"/>
            <w:vAlign w:val="bottom"/>
            <w:tcBorders>
              <w:bottom w:val="single" w:sz="8" w:color="auto"/>
            </w:tcBorders>
          </w:tcPr>
          <w:p>
            <w:pPr>
              <w:jc w:val="right"/>
              <w:ind w:right="548"/>
              <w:spacing w:after="0" w:line="88" w:lineRule="exact"/>
              <w:rPr>
                <w:sz w:val="20"/>
                <w:szCs w:val="20"/>
                <w:color w:val="auto"/>
              </w:rPr>
            </w:pPr>
            <w:r>
              <w:rPr>
                <w:rFonts w:ascii="Arial" w:cs="Arial" w:eastAsia="Arial" w:hAnsi="Arial"/>
                <w:sz w:val="10"/>
                <w:szCs w:val="10"/>
                <w:b w:val="1"/>
                <w:bCs w:val="1"/>
                <w:color w:val="auto"/>
              </w:rPr>
              <w:t>2017</w:t>
            </w:r>
          </w:p>
        </w:tc>
        <w:tc>
          <w:tcPr>
            <w:tcW w:w="260" w:type="dxa"/>
            <w:vAlign w:val="bottom"/>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jc w:val="right"/>
              <w:ind w:right="523"/>
              <w:spacing w:after="0" w:line="88" w:lineRule="exact"/>
              <w:rPr>
                <w:sz w:val="20"/>
                <w:szCs w:val="20"/>
                <w:color w:val="auto"/>
              </w:rPr>
            </w:pPr>
            <w:r>
              <w:rPr>
                <w:rFonts w:ascii="Arial" w:cs="Arial" w:eastAsia="Arial" w:hAnsi="Arial"/>
                <w:sz w:val="10"/>
                <w:szCs w:val="10"/>
                <w:b w:val="1"/>
                <w:bCs w:val="1"/>
                <w:color w:val="auto"/>
              </w:rPr>
              <w:t>2016</w:t>
            </w: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3200" w:type="dxa"/>
            <w:vAlign w:val="bottom"/>
          </w:tcPr>
          <w:p>
            <w:pPr>
              <w:spacing w:after="0"/>
              <w:rPr>
                <w:sz w:val="11"/>
                <w:szCs w:val="11"/>
                <w:color w:val="auto"/>
              </w:rPr>
            </w:pPr>
          </w:p>
        </w:tc>
        <w:tc>
          <w:tcPr>
            <w:tcW w:w="51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2"/>
                <w:szCs w:val="12"/>
                <w:color w:val="auto"/>
              </w:rPr>
              <w:t>Stock options</w:t>
            </w:r>
          </w:p>
        </w:tc>
        <w:tc>
          <w:tcPr>
            <w:tcW w:w="6760" w:type="dxa"/>
            <w:vAlign w:val="bottom"/>
            <w:gridSpan w:val="3"/>
            <w:shd w:val="clear" w:color="auto" w:fill="CCEEFF"/>
          </w:tcPr>
          <w:p>
            <w:pPr>
              <w:jc w:val="right"/>
              <w:ind w:right="260"/>
              <w:spacing w:after="0"/>
              <w:rPr>
                <w:sz w:val="20"/>
                <w:szCs w:val="20"/>
                <w:color w:val="auto"/>
              </w:rPr>
            </w:pPr>
            <w:r>
              <w:rPr>
                <w:rFonts w:ascii="Arial" w:cs="Arial" w:eastAsia="Arial" w:hAnsi="Arial"/>
                <w:sz w:val="12"/>
                <w:szCs w:val="12"/>
                <w:color w:val="auto"/>
              </w:rPr>
              <w:t>12,088,710</w:t>
            </w:r>
          </w:p>
        </w:tc>
        <w:tc>
          <w:tcPr>
            <w:tcW w:w="5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10,260,073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200" w:type="dxa"/>
            <w:vAlign w:val="bottom"/>
          </w:tcPr>
          <w:p>
            <w:pPr>
              <w:spacing w:after="0"/>
              <w:rPr>
                <w:sz w:val="20"/>
                <w:szCs w:val="20"/>
                <w:color w:val="auto"/>
              </w:rPr>
            </w:pPr>
            <w:r>
              <w:rPr>
                <w:rFonts w:ascii="Arial" w:cs="Arial" w:eastAsia="Arial" w:hAnsi="Arial"/>
                <w:sz w:val="12"/>
                <w:szCs w:val="12"/>
                <w:color w:val="auto"/>
              </w:rPr>
              <w:t>Restricted stock</w:t>
            </w:r>
          </w:p>
        </w:tc>
        <w:tc>
          <w:tcPr>
            <w:tcW w:w="6760" w:type="dxa"/>
            <w:vAlign w:val="bottom"/>
            <w:gridSpan w:val="3"/>
          </w:tcPr>
          <w:p>
            <w:pPr>
              <w:jc w:val="right"/>
              <w:ind w:right="260"/>
              <w:spacing w:after="0"/>
              <w:rPr>
                <w:sz w:val="20"/>
                <w:szCs w:val="20"/>
                <w:color w:val="auto"/>
              </w:rPr>
            </w:pPr>
            <w:r>
              <w:rPr>
                <w:rFonts w:ascii="Arial" w:cs="Arial" w:eastAsia="Arial" w:hAnsi="Arial"/>
                <w:sz w:val="12"/>
                <w:szCs w:val="12"/>
                <w:color w:val="auto"/>
              </w:rPr>
              <w:t>96,668</w:t>
            </w:r>
          </w:p>
        </w:tc>
        <w:tc>
          <w:tcPr>
            <w:tcW w:w="50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60,000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200" w:type="dxa"/>
            <w:vAlign w:val="bottom"/>
            <w:tcBorders>
              <w:top w:val="single" w:sz="8" w:color="CCEEFF"/>
              <w:bottom w:val="single" w:sz="8" w:color="CCEEFF"/>
            </w:tcBorders>
            <w:shd w:val="clear" w:color="auto" w:fill="CCEEFF"/>
          </w:tcPr>
          <w:p>
            <w:pPr>
              <w:spacing w:after="0"/>
              <w:rPr>
                <w:sz w:val="13"/>
                <w:szCs w:val="13"/>
                <w:color w:val="auto"/>
              </w:rPr>
            </w:pPr>
          </w:p>
        </w:tc>
        <w:tc>
          <w:tcPr>
            <w:tcW w:w="5100" w:type="dxa"/>
            <w:vAlign w:val="bottom"/>
            <w:tcBorders>
              <w:top w:val="single" w:sz="8" w:color="CCEEFF"/>
              <w:bottom w:val="single" w:sz="8" w:color="CCEEFF"/>
            </w:tcBorders>
            <w:shd w:val="clear" w:color="auto" w:fill="CCEEFF"/>
          </w:tcPr>
          <w:p>
            <w:pPr>
              <w:spacing w:after="0"/>
              <w:rPr>
                <w:sz w:val="13"/>
                <w:szCs w:val="13"/>
                <w:color w:val="auto"/>
              </w:rPr>
            </w:pPr>
          </w:p>
        </w:tc>
        <w:tc>
          <w:tcPr>
            <w:tcW w:w="14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12,185,378</w:t>
            </w:r>
          </w:p>
        </w:tc>
        <w:tc>
          <w:tcPr>
            <w:tcW w:w="260" w:type="dxa"/>
            <w:vAlign w:val="bottom"/>
            <w:tcBorders>
              <w:top w:val="single" w:sz="8" w:color="CCEEFF"/>
              <w:bottom w:val="single" w:sz="8" w:color="CCEEFF"/>
            </w:tcBorders>
            <w:shd w:val="clear" w:color="auto" w:fill="CCEEFF"/>
          </w:tcPr>
          <w:p>
            <w:pPr>
              <w:spacing w:after="0"/>
              <w:rPr>
                <w:sz w:val="13"/>
                <w:szCs w:val="13"/>
                <w:color w:val="auto"/>
              </w:rPr>
            </w:pPr>
          </w:p>
        </w:tc>
        <w:tc>
          <w:tcPr>
            <w:tcW w:w="500" w:type="dxa"/>
            <w:vAlign w:val="bottom"/>
            <w:tcBorders>
              <w:top w:val="single" w:sz="8" w:color="auto"/>
              <w:bottom w:val="single" w:sz="8" w:color="auto"/>
            </w:tcBorders>
            <w:shd w:val="clear" w:color="auto" w:fill="CCEEFF"/>
          </w:tcPr>
          <w:p>
            <w:pPr>
              <w:spacing w:after="0"/>
              <w:rPr>
                <w:sz w:val="13"/>
                <w:szCs w:val="13"/>
                <w:color w:val="auto"/>
              </w:rPr>
            </w:pPr>
          </w:p>
        </w:tc>
        <w:tc>
          <w:tcPr>
            <w:tcW w:w="8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10,320,073</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3200" w:type="dxa"/>
            <w:vAlign w:val="bottom"/>
          </w:tcPr>
          <w:p>
            <w:pPr>
              <w:spacing w:after="0"/>
              <w:rPr>
                <w:sz w:val="23"/>
                <w:szCs w:val="23"/>
                <w:color w:val="auto"/>
              </w:rPr>
            </w:pPr>
          </w:p>
        </w:tc>
        <w:tc>
          <w:tcPr>
            <w:tcW w:w="5100" w:type="dxa"/>
            <w:vAlign w:val="bottom"/>
          </w:tcPr>
          <w:p>
            <w:pPr>
              <w:jc w:val="right"/>
              <w:ind w:right="2460"/>
              <w:spacing w:after="0"/>
              <w:rPr>
                <w:sz w:val="20"/>
                <w:szCs w:val="20"/>
                <w:color w:val="auto"/>
              </w:rPr>
            </w:pPr>
            <w:r>
              <w:rPr>
                <w:rFonts w:ascii="Arial" w:cs="Arial" w:eastAsia="Arial" w:hAnsi="Arial"/>
                <w:sz w:val="12"/>
                <w:szCs w:val="12"/>
                <w:color w:val="auto"/>
              </w:rPr>
              <w:t>13</w:t>
            </w:r>
          </w:p>
        </w:tc>
        <w:tc>
          <w:tcPr>
            <w:tcW w:w="14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3200" w:type="dxa"/>
            <w:vAlign w:val="bottom"/>
            <w:tcBorders>
              <w:bottom w:val="single" w:sz="8" w:color="808080"/>
            </w:tcBorders>
          </w:tcPr>
          <w:p>
            <w:pPr>
              <w:spacing w:after="0"/>
              <w:rPr>
                <w:sz w:val="7"/>
                <w:szCs w:val="7"/>
                <w:color w:val="auto"/>
              </w:rPr>
            </w:pPr>
          </w:p>
        </w:tc>
        <w:tc>
          <w:tcPr>
            <w:tcW w:w="5100" w:type="dxa"/>
            <w:vAlign w:val="bottom"/>
            <w:tcBorders>
              <w:bottom w:val="single" w:sz="8" w:color="808080"/>
            </w:tcBorders>
          </w:tcPr>
          <w:p>
            <w:pPr>
              <w:spacing w:after="0"/>
              <w:rPr>
                <w:sz w:val="7"/>
                <w:szCs w:val="7"/>
                <w:color w:val="auto"/>
              </w:rPr>
            </w:pPr>
          </w:p>
        </w:tc>
        <w:tc>
          <w:tcPr>
            <w:tcW w:w="140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88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7289165</wp:posOffset>
            </wp:positionH>
            <wp:positionV relativeFrom="paragraph">
              <wp:posOffset>-17145</wp:posOffset>
            </wp:positionV>
            <wp:extent cx="12700" cy="114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1143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-17145</wp:posOffset>
            </wp:positionV>
            <wp:extent cx="12700" cy="114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11430"/>
                    </a:xfrm>
                    <a:prstGeom prst="rect">
                      <a:avLst/>
                    </a:prstGeom>
                    <a:noFill/>
                  </pic:spPr>
                </pic:pic>
              </a:graphicData>
            </a:graphic>
          </wp:anchor>
        </w:drawing>
      </w:r>
    </w:p>
    <w:p>
      <w:pPr>
        <w:spacing w:after="0" w:line="200" w:lineRule="exact"/>
        <w:rPr>
          <w:sz w:val="20"/>
          <w:szCs w:val="20"/>
          <w:color w:val="auto"/>
        </w:rPr>
      </w:pPr>
    </w:p>
    <w:p>
      <w:pPr>
        <w:spacing w:after="0"/>
        <w:rPr>
          <w:rFonts w:ascii="Arial" w:cs="Arial" w:eastAsia="Arial" w:hAnsi="Arial"/>
          <w:sz w:val="12"/>
          <w:szCs w:val="12"/>
          <w:u w:val="single" w:color="auto"/>
          <w:color w:val="0000EE"/>
        </w:rPr>
      </w:pPr>
      <w:hyperlink w:anchor="page1">
        <w:r>
          <w:rPr>
            <w:rFonts w:ascii="Arial" w:cs="Arial" w:eastAsia="Arial" w:hAnsi="Arial"/>
            <w:sz w:val="12"/>
            <w:szCs w:val="12"/>
            <w:u w:val="single" w:color="auto"/>
            <w:color w:val="0000EE"/>
          </w:rPr>
          <w:t>Table of Contents</w:t>
        </w:r>
      </w:hyperlink>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Item 2. </w:t>
      </w:r>
      <w:r>
        <w:rPr>
          <w:rFonts w:ascii="Arial" w:cs="Arial" w:eastAsia="Arial" w:hAnsi="Arial"/>
          <w:sz w:val="12"/>
          <w:szCs w:val="12"/>
          <w:b w:val="1"/>
          <w:bCs w:val="1"/>
          <w:u w:val="single" w:color="auto"/>
          <w:color w:val="auto"/>
        </w:rPr>
        <w:t>Management’s Discussion and Analysis of Financial Condition and Results of Operations</w:t>
      </w:r>
    </w:p>
    <w:p>
      <w:pPr>
        <w:spacing w:after="0" w:line="154" w:lineRule="exact"/>
        <w:rPr>
          <w:sz w:val="20"/>
          <w:szCs w:val="20"/>
          <w:color w:val="auto"/>
        </w:rPr>
      </w:pPr>
    </w:p>
    <w:p>
      <w:pPr>
        <w:ind w:right="60" w:firstLine="432"/>
        <w:spacing w:after="0" w:line="283" w:lineRule="auto"/>
        <w:rPr>
          <w:sz w:val="20"/>
          <w:szCs w:val="20"/>
          <w:color w:val="auto"/>
        </w:rPr>
      </w:pPr>
      <w:r>
        <w:rPr>
          <w:rFonts w:ascii="Arial" w:cs="Arial" w:eastAsia="Arial" w:hAnsi="Arial"/>
          <w:sz w:val="11"/>
          <w:szCs w:val="11"/>
          <w:b w:val="1"/>
          <w:bCs w:val="1"/>
          <w:i w:val="1"/>
          <w:iCs w:val="1"/>
          <w:color w:val="auto"/>
        </w:rPr>
        <w:t xml:space="preserve">Safe Harbor Statement under the Private Securities Litigation Reform Act of 1995: </w:t>
      </w:r>
      <w:r>
        <w:rPr>
          <w:rFonts w:ascii="Arial" w:cs="Arial" w:eastAsia="Arial" w:hAnsi="Arial"/>
          <w:sz w:val="11"/>
          <w:szCs w:val="11"/>
          <w:color w:val="auto"/>
        </w:rPr>
        <w:t>This report on Form 10-Q contains forward-looking statements made pursuant to the safe harbor provisions of the Private Securities Litigation</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Reform Act of 1995 under Section 27A of the Securities Act of 1933, as amended, and Section 21E of the Securities Exchange Act of 1934, as amended. Forward-looking statements include statements with respect to our beliefs, plans, objectives, goals, expectations, anticipations, assumptions, estimates, intentions and future performance, and involve known and unknown risks, uncertainties and other factors, which may be beyond our control, and which may cause our actual results, performance or achievements to be materially different from future results, performance or achievements expressed or implied by such forward-looking statements. All statements other than statements of historical fact are statements that could be forward-looking statements. You can identify these forward-looking statements through our use of words such as “may,” “will,” “can,” “anticipate,” “assume,” “should,” “indicate,” “would,” “believe,” “contemplate,” “expect,” “seek,” “estimate,” “continue,” “plan,” “point to,” “project,” “predict,” “could,” “intend,” “target,” “potential” and other similar words and expressions of the future.</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There are a number of important factors that could cause the actual results to differ materially from those expressed in any forward-looking statement made by us. These factors include, but are not limited to:</w:t>
      </w:r>
    </w:p>
    <w:p>
      <w:pPr>
        <w:spacing w:after="0" w:line="150" w:lineRule="exact"/>
        <w:rPr>
          <w:sz w:val="20"/>
          <w:szCs w:val="20"/>
          <w:color w:val="auto"/>
        </w:rPr>
      </w:pPr>
    </w:p>
    <w:p>
      <w:pPr>
        <w:ind w:left="640" w:right="80" w:hanging="216"/>
        <w:spacing w:after="0" w:line="276" w:lineRule="auto"/>
        <w:tabs>
          <w:tab w:leader="none" w:pos="616"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ability to successfully complete research and further development, including animal, preclinical and clinical studies, and, if we obtain regulatory approval, commercialization of glembatumumab vedotin (also referred to as CDX-011) and other drug candidates and the growth of the markets for those drug candidates;</w:t>
      </w:r>
    </w:p>
    <w:p>
      <w:pPr>
        <w:spacing w:after="0" w:line="114" w:lineRule="exact"/>
        <w:rPr>
          <w:rFonts w:ascii="Arial" w:cs="Arial" w:eastAsia="Arial" w:hAnsi="Arial"/>
          <w:sz w:val="12"/>
          <w:szCs w:val="12"/>
          <w:color w:val="auto"/>
        </w:rPr>
      </w:pPr>
    </w:p>
    <w:p>
      <w:pPr>
        <w:ind w:left="640" w:right="40" w:hanging="216"/>
        <w:spacing w:after="0" w:line="263" w:lineRule="auto"/>
        <w:tabs>
          <w:tab w:leader="none" w:pos="616"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ability to raise sufficient capital to fund our clinical studies and to meet our liquidity needs, on terms acceptable to us, or at all. If we are unable to raise the funds necessary to meet our liquidity needs, we may have to delay or discontinue the development of one or more programs, discontinue or delay ongoing or anticipated clinical trials, license out programs earlier than expected, raise funds at significant discount or on other unfavorable terms, if at all, or sell all or part of our business;</w:t>
      </w:r>
    </w:p>
    <w:p>
      <w:pPr>
        <w:spacing w:after="0" w:line="122" w:lineRule="exact"/>
        <w:rPr>
          <w:rFonts w:ascii="Arial" w:cs="Arial" w:eastAsia="Arial" w:hAnsi="Arial"/>
          <w:sz w:val="12"/>
          <w:szCs w:val="12"/>
          <w:color w:val="auto"/>
        </w:rPr>
      </w:pPr>
    </w:p>
    <w:p>
      <w:pPr>
        <w:ind w:left="620" w:hanging="196"/>
        <w:spacing w:after="0"/>
        <w:tabs>
          <w:tab w:leader="none" w:pos="62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ability to negotiate strategic partnerships, where appropriate, for our programs, which may include, glembatumumab vedotin;</w:t>
      </w:r>
    </w:p>
    <w:p>
      <w:pPr>
        <w:sectPr>
          <w:pgSz w:w="11900" w:h="16838" w:orient="portrait"/>
          <w:cols w:equalWidth="0" w:num="1">
            <w:col w:w="11500"/>
          </w:cols>
          <w:pgMar w:left="220" w:top="271" w:right="179" w:bottom="0" w:gutter="0" w:footer="0" w:header="0"/>
          <w:type w:val="continuous"/>
        </w:sectPr>
      </w:pPr>
    </w:p>
    <w:bookmarkStart w:id="6" w:name="page7"/>
    <w:bookmarkEnd w:id="6"/>
    <w:p>
      <w:pPr>
        <w:ind w:left="620" w:hanging="196"/>
        <w:spacing w:after="0"/>
        <w:tabs>
          <w:tab w:leader="none" w:pos="620" w:val="left"/>
        </w:tabs>
        <w:numPr>
          <w:ilvl w:val="0"/>
          <w:numId w:val="4"/>
        </w:numPr>
        <w:rPr>
          <w:rFonts w:ascii="Arial" w:cs="Arial" w:eastAsia="Arial" w:hAnsi="Arial"/>
          <w:sz w:val="12"/>
          <w:szCs w:val="12"/>
          <w:color w:val="auto"/>
        </w:rPr>
      </w:pPr>
      <w:r>
        <w:rPr>
          <w:rFonts w:ascii="Arial" w:cs="Arial" w:eastAsia="Arial" w:hAnsi="Arial"/>
          <w:sz w:val="12"/>
          <w:szCs w:val="12"/>
          <w:color w:val="auto"/>
        </w:rPr>
        <w:t>our ability to realize the anticipated benefits from the acquisition of Kolltan and to operate the combined business efficiently;</w:t>
      </w:r>
    </w:p>
    <w:p>
      <w:pPr>
        <w:spacing w:after="0" w:line="150" w:lineRule="exact"/>
        <w:rPr>
          <w:rFonts w:ascii="Arial" w:cs="Arial" w:eastAsia="Arial" w:hAnsi="Arial"/>
          <w:sz w:val="12"/>
          <w:szCs w:val="12"/>
          <w:color w:val="auto"/>
        </w:rPr>
      </w:pPr>
    </w:p>
    <w:p>
      <w:pPr>
        <w:ind w:left="620" w:hanging="196"/>
        <w:spacing w:after="0"/>
        <w:tabs>
          <w:tab w:leader="none" w:pos="620" w:val="left"/>
        </w:tabs>
        <w:numPr>
          <w:ilvl w:val="0"/>
          <w:numId w:val="4"/>
        </w:numPr>
        <w:rPr>
          <w:rFonts w:ascii="Arial" w:cs="Arial" w:eastAsia="Arial" w:hAnsi="Arial"/>
          <w:sz w:val="12"/>
          <w:szCs w:val="12"/>
          <w:color w:val="auto"/>
        </w:rPr>
      </w:pPr>
      <w:r>
        <w:rPr>
          <w:rFonts w:ascii="Arial" w:cs="Arial" w:eastAsia="Arial" w:hAnsi="Arial"/>
          <w:sz w:val="12"/>
          <w:szCs w:val="12"/>
          <w:color w:val="auto"/>
        </w:rPr>
        <w:t>our ability to manage multiple clinical trials for a variety of drug candidates at different stages of development;</w:t>
      </w:r>
    </w:p>
    <w:p>
      <w:pPr>
        <w:spacing w:after="0" w:line="150" w:lineRule="exact"/>
        <w:rPr>
          <w:rFonts w:ascii="Arial" w:cs="Arial" w:eastAsia="Arial" w:hAnsi="Arial"/>
          <w:sz w:val="12"/>
          <w:szCs w:val="12"/>
          <w:color w:val="auto"/>
        </w:rPr>
      </w:pPr>
    </w:p>
    <w:p>
      <w:pPr>
        <w:ind w:left="620" w:hanging="196"/>
        <w:spacing w:after="0"/>
        <w:tabs>
          <w:tab w:leader="none" w:pos="62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cost, timing, scope and results of ongoing safety and efficacy trials of glembatumumab vedotin, and other preclinical and clinical testing;</w:t>
      </w:r>
    </w:p>
    <w:p>
      <w:pPr>
        <w:spacing w:after="0" w:line="150" w:lineRule="exact"/>
        <w:rPr>
          <w:rFonts w:ascii="Arial" w:cs="Arial" w:eastAsia="Arial" w:hAnsi="Arial"/>
          <w:sz w:val="12"/>
          <w:szCs w:val="12"/>
          <w:color w:val="auto"/>
        </w:rPr>
      </w:pPr>
    </w:p>
    <w:p>
      <w:pPr>
        <w:ind w:left="620" w:hanging="196"/>
        <w:spacing w:after="0"/>
        <w:tabs>
          <w:tab w:leader="none" w:pos="62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cost, timing, and uncertainty of obtaining regulatory approvals for our drug candidates;</w:t>
      </w:r>
    </w:p>
    <w:p>
      <w:pPr>
        <w:spacing w:after="0" w:line="150" w:lineRule="exact"/>
        <w:rPr>
          <w:rFonts w:ascii="Arial" w:cs="Arial" w:eastAsia="Arial" w:hAnsi="Arial"/>
          <w:sz w:val="12"/>
          <w:szCs w:val="12"/>
          <w:color w:val="auto"/>
        </w:rPr>
      </w:pPr>
    </w:p>
    <w:p>
      <w:pPr>
        <w:ind w:left="620" w:hanging="196"/>
        <w:spacing w:after="0"/>
        <w:tabs>
          <w:tab w:leader="none" w:pos="62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availability, cost, delivery and quality of clinical management services provided by our clinical research organization partners;</w:t>
      </w:r>
    </w:p>
    <w:p>
      <w:pPr>
        <w:spacing w:after="0" w:line="150" w:lineRule="exact"/>
        <w:rPr>
          <w:rFonts w:ascii="Arial" w:cs="Arial" w:eastAsia="Arial" w:hAnsi="Arial"/>
          <w:sz w:val="12"/>
          <w:szCs w:val="12"/>
          <w:color w:val="auto"/>
        </w:rPr>
      </w:pPr>
    </w:p>
    <w:p>
      <w:pPr>
        <w:ind w:left="640" w:right="180" w:hanging="216"/>
        <w:spacing w:after="0" w:line="276" w:lineRule="auto"/>
        <w:tabs>
          <w:tab w:leader="none" w:pos="616"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availability, cost, delivery and quality of clinical and commercial-grade materials produced by our own manufacturing facility or supplied by contract manufacturers, suppliers and partners, who may be the sole source of supply;</w:t>
      </w:r>
    </w:p>
    <w:p>
      <w:pPr>
        <w:spacing w:after="0" w:line="114" w:lineRule="exact"/>
        <w:rPr>
          <w:rFonts w:ascii="Arial" w:cs="Arial" w:eastAsia="Arial" w:hAnsi="Arial"/>
          <w:sz w:val="12"/>
          <w:szCs w:val="12"/>
          <w:color w:val="auto"/>
        </w:rPr>
      </w:pPr>
    </w:p>
    <w:p>
      <w:pPr>
        <w:ind w:left="620" w:hanging="196"/>
        <w:spacing w:after="0"/>
        <w:tabs>
          <w:tab w:leader="none" w:pos="620" w:val="left"/>
        </w:tabs>
        <w:numPr>
          <w:ilvl w:val="0"/>
          <w:numId w:val="4"/>
        </w:numPr>
        <w:rPr>
          <w:rFonts w:ascii="Arial" w:cs="Arial" w:eastAsia="Arial" w:hAnsi="Arial"/>
          <w:sz w:val="12"/>
          <w:szCs w:val="12"/>
          <w:color w:val="auto"/>
        </w:rPr>
      </w:pPr>
      <w:r>
        <w:rPr>
          <w:rFonts w:ascii="Arial" w:cs="Arial" w:eastAsia="Arial" w:hAnsi="Arial"/>
          <w:sz w:val="12"/>
          <w:szCs w:val="12"/>
          <w:color w:val="auto"/>
        </w:rPr>
        <w:t>our ability to develop and commercialize products before competitors that are superior to the alternatives developed by such competitors;</w:t>
      </w:r>
    </w:p>
    <w:p>
      <w:pPr>
        <w:spacing w:after="0" w:line="150" w:lineRule="exact"/>
        <w:rPr>
          <w:rFonts w:ascii="Arial" w:cs="Arial" w:eastAsia="Arial" w:hAnsi="Arial"/>
          <w:sz w:val="12"/>
          <w:szCs w:val="12"/>
          <w:color w:val="auto"/>
        </w:rPr>
      </w:pPr>
    </w:p>
    <w:p>
      <w:pPr>
        <w:ind w:left="640" w:right="140" w:hanging="216"/>
        <w:spacing w:after="0" w:line="276" w:lineRule="auto"/>
        <w:tabs>
          <w:tab w:leader="none" w:pos="616" w:val="left"/>
        </w:tabs>
        <w:numPr>
          <w:ilvl w:val="0"/>
          <w:numId w:val="4"/>
        </w:numPr>
        <w:rPr>
          <w:rFonts w:ascii="Arial" w:cs="Arial" w:eastAsia="Arial" w:hAnsi="Arial"/>
          <w:sz w:val="12"/>
          <w:szCs w:val="12"/>
          <w:color w:val="auto"/>
        </w:rPr>
      </w:pPr>
      <w:r>
        <w:rPr>
          <w:rFonts w:ascii="Arial" w:cs="Arial" w:eastAsia="Arial" w:hAnsi="Arial"/>
          <w:sz w:val="12"/>
          <w:szCs w:val="12"/>
          <w:color w:val="auto"/>
        </w:rPr>
        <w:t>our ability to develop technological capabilities, including identification of novel and clinically important targets, exploiting our existing technology platforms to develop new drug candidates and expand our focus to broader markets for our existing targeted immunotherapeutics;</w:t>
      </w:r>
    </w:p>
    <w:p>
      <w:pPr>
        <w:spacing w:after="0" w:line="114" w:lineRule="exact"/>
        <w:rPr>
          <w:rFonts w:ascii="Arial" w:cs="Arial" w:eastAsia="Arial" w:hAnsi="Arial"/>
          <w:sz w:val="12"/>
          <w:szCs w:val="12"/>
          <w:color w:val="auto"/>
        </w:rPr>
      </w:pPr>
    </w:p>
    <w:p>
      <w:pPr>
        <w:ind w:left="620" w:hanging="196"/>
        <w:spacing w:after="0"/>
        <w:tabs>
          <w:tab w:leader="none" w:pos="620" w:val="left"/>
        </w:tabs>
        <w:numPr>
          <w:ilvl w:val="0"/>
          <w:numId w:val="4"/>
        </w:numPr>
        <w:rPr>
          <w:rFonts w:ascii="Arial" w:cs="Arial" w:eastAsia="Arial" w:hAnsi="Arial"/>
          <w:sz w:val="12"/>
          <w:szCs w:val="12"/>
          <w:color w:val="auto"/>
        </w:rPr>
      </w:pPr>
      <w:r>
        <w:rPr>
          <w:rFonts w:ascii="Arial" w:cs="Arial" w:eastAsia="Arial" w:hAnsi="Arial"/>
          <w:sz w:val="12"/>
          <w:szCs w:val="12"/>
          <w:color w:val="auto"/>
        </w:rPr>
        <w:t>our ability to adapt our proprietary antibody-targeted technology, or APC Targeting Technology™, to develop new, safe and effective therapeutics for oncology and infectious disease indications;</w:t>
      </w:r>
    </w:p>
    <w:p>
      <w:pPr>
        <w:spacing w:after="0" w:line="150" w:lineRule="exact"/>
        <w:rPr>
          <w:rFonts w:ascii="Arial" w:cs="Arial" w:eastAsia="Arial" w:hAnsi="Arial"/>
          <w:sz w:val="12"/>
          <w:szCs w:val="12"/>
          <w:color w:val="auto"/>
        </w:rPr>
      </w:pPr>
    </w:p>
    <w:p>
      <w:pPr>
        <w:ind w:left="640" w:right="40" w:hanging="216"/>
        <w:spacing w:after="0" w:line="276" w:lineRule="auto"/>
        <w:tabs>
          <w:tab w:leader="none" w:pos="616" w:val="left"/>
        </w:tabs>
        <w:numPr>
          <w:ilvl w:val="0"/>
          <w:numId w:val="4"/>
        </w:numPr>
        <w:rPr>
          <w:rFonts w:ascii="Arial" w:cs="Arial" w:eastAsia="Arial" w:hAnsi="Arial"/>
          <w:sz w:val="12"/>
          <w:szCs w:val="12"/>
          <w:color w:val="auto"/>
        </w:rPr>
      </w:pPr>
      <w:r>
        <w:rPr>
          <w:rFonts w:ascii="Arial" w:cs="Arial" w:eastAsia="Arial" w:hAnsi="Arial"/>
          <w:sz w:val="12"/>
          <w:szCs w:val="12"/>
          <w:color w:val="auto"/>
        </w:rPr>
        <w:t>our ability to protect our intellectual property rights, including the ability to successfully defend patent oppositions filed against a European patent related to technology we use in varlilumab, and our ability to avoid intellectual property litigation, which can be costly and divert management time and attention; and</w:t>
      </w:r>
    </w:p>
    <w:p>
      <w:pPr>
        <w:spacing w:after="0" w:line="114" w:lineRule="exact"/>
        <w:rPr>
          <w:rFonts w:ascii="Arial" w:cs="Arial" w:eastAsia="Arial" w:hAnsi="Arial"/>
          <w:sz w:val="12"/>
          <w:szCs w:val="12"/>
          <w:color w:val="auto"/>
        </w:rPr>
      </w:pPr>
    </w:p>
    <w:p>
      <w:pPr>
        <w:ind w:left="640" w:right="320" w:hanging="216"/>
        <w:spacing w:after="0" w:line="276" w:lineRule="auto"/>
        <w:tabs>
          <w:tab w:leader="none" w:pos="616"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factors listed under the headings “Business,” “Risk Factors” and “Management’s Discussion and Analysis of Financial Condition and Results of Operations” in the Company’s annual report on Form 10-K for the year ended December 31, 2016 and other reports that we file with the Securities and Exchange Commission</w:t>
      </w:r>
      <w:r>
        <w:rPr>
          <w:rFonts w:ascii="Arial" w:cs="Arial" w:eastAsia="Arial" w:hAnsi="Arial"/>
          <w:sz w:val="12"/>
          <w:szCs w:val="12"/>
          <w:i w:val="1"/>
          <w:iCs w:val="1"/>
          <w:color w:val="auto"/>
        </w:rPr>
        <w:t>.</w:t>
      </w:r>
    </w:p>
    <w:p>
      <w:pPr>
        <w:spacing w:after="0" w:line="11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310755" cy="241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10755" cy="24130"/>
                    </a:xfrm>
                    <a:prstGeom prst="rect">
                      <a:avLst/>
                    </a:prstGeom>
                    <a:noFill/>
                  </pic:spPr>
                </pic:pic>
              </a:graphicData>
            </a:graphic>
          </wp:anchor>
        </w:drawing>
      </w:r>
    </w:p>
    <w:p>
      <w:pPr>
        <w:spacing w:after="0" w:line="319" w:lineRule="exact"/>
        <w:rPr>
          <w:sz w:val="20"/>
          <w:szCs w:val="20"/>
          <w:color w:val="auto"/>
        </w:rPr>
      </w:pPr>
    </w:p>
    <w:p>
      <w:pPr>
        <w:spacing w:after="0"/>
        <w:rPr>
          <w:rFonts w:ascii="Arial" w:cs="Arial" w:eastAsia="Arial" w:hAnsi="Arial"/>
          <w:sz w:val="12"/>
          <w:szCs w:val="12"/>
          <w:u w:val="single" w:color="auto"/>
          <w:color w:val="0000EE"/>
        </w:rPr>
      </w:pPr>
      <w:hyperlink w:anchor="page1">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ind w:right="60" w:firstLine="432"/>
        <w:spacing w:after="0" w:line="259" w:lineRule="auto"/>
        <w:rPr>
          <w:sz w:val="20"/>
          <w:szCs w:val="20"/>
          <w:color w:val="auto"/>
        </w:rPr>
      </w:pPr>
      <w:r>
        <w:rPr>
          <w:rFonts w:ascii="Arial" w:cs="Arial" w:eastAsia="Arial" w:hAnsi="Arial"/>
          <w:sz w:val="12"/>
          <w:szCs w:val="12"/>
          <w:color w:val="auto"/>
        </w:rPr>
        <w:t>All forward-looking statements are expressly qualified in their entirety by this cautionary notice. You are cautioned not to place undue reliance on any forward-looking statements, which speak only as of the date of this report or the date of the document incorporated by reference into this report. We have no obligation, and expressly disclaim any obligation, to update, revise or correct any of the forward-looking statements, whether as a result of new information, future events or otherwise. We have expressed our expectations, beliefs and projections in good faith and we believe they have a reasonable basis. However, we cannot assure you that our expectations, beliefs or projections will result or be achieved or accomplished.</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OVERVIEW</w:t>
      </w:r>
    </w:p>
    <w:p>
      <w:pPr>
        <w:spacing w:after="0" w:line="154" w:lineRule="exact"/>
        <w:rPr>
          <w:sz w:val="20"/>
          <w:szCs w:val="20"/>
          <w:color w:val="auto"/>
        </w:rPr>
      </w:pPr>
    </w:p>
    <w:p>
      <w:pPr>
        <w:jc w:val="both"/>
        <w:ind w:right="260" w:firstLine="432"/>
        <w:spacing w:after="0" w:line="263" w:lineRule="auto"/>
        <w:rPr>
          <w:sz w:val="20"/>
          <w:szCs w:val="20"/>
          <w:color w:val="auto"/>
        </w:rPr>
      </w:pPr>
      <w:r>
        <w:rPr>
          <w:rFonts w:ascii="Arial" w:cs="Arial" w:eastAsia="Arial" w:hAnsi="Arial"/>
          <w:sz w:val="12"/>
          <w:szCs w:val="12"/>
          <w:color w:val="auto"/>
        </w:rPr>
        <w:t>We are a biopharmaceutical company focused on the development and commercialization of several immunotherapy technologies and other cancer-targeting biologics. Our drug candidates, including antibodies, antibody-drug conjugates and other protein-based therapeutics, are derived from a broad set of complementary technologies which have the ability to engage the human immune system and/or directly inhibit tumors to treat specific types of cancer or other diseases.</w:t>
      </w:r>
    </w:p>
    <w:p>
      <w:pPr>
        <w:spacing w:after="0" w:line="123" w:lineRule="exact"/>
        <w:rPr>
          <w:sz w:val="20"/>
          <w:szCs w:val="20"/>
          <w:color w:val="auto"/>
        </w:rPr>
      </w:pPr>
    </w:p>
    <w:p>
      <w:pPr>
        <w:ind w:right="160" w:firstLine="432"/>
        <w:spacing w:after="0" w:line="283" w:lineRule="auto"/>
        <w:rPr>
          <w:sz w:val="20"/>
          <w:szCs w:val="20"/>
          <w:color w:val="auto"/>
        </w:rPr>
      </w:pPr>
      <w:r>
        <w:rPr>
          <w:rFonts w:ascii="Arial" w:cs="Arial" w:eastAsia="Arial" w:hAnsi="Arial"/>
          <w:sz w:val="11"/>
          <w:szCs w:val="11"/>
          <w:color w:val="auto"/>
        </w:rPr>
        <w:t>Our latest stage drug candidate, glembatumumab vedotin (also referred to as CDX-011) is a targeted antibody-drug conjugate in a randomized, Phase 2b study for the treatment of triple negative breast cancer and a Phase 2 study for the treatment of metastatic melanoma. Varlilumab (also referred to as CDX-1127) is an immune modulating antibody that is designed to enhance a patient’s immune response against cancer. We established proof of principal in a Phase 1 study with varlilumab, which supported the initiation of combination studies in various indications. We also have a number of earlier stage drug candidates in clinical development, including CDX-0158, a humanized monoclonal antibody (mAb) currently in a Phase 1 dose escalation study in refractory gastrointestinal stromal tumors (GIST) and other KIT positive tumors; CDX-3379, a human monoclonal antibody which recently completed a Phase 1b study in patients with solid tumors; CDX-014, an antibody-drug conjugate targeting renal and ovarian cancers; CDX-1401, a targeted immunotherapeutic aimed at antigen presenting cells, or APCs, for cancer indications; and, CDX-301, an immune cell mobilizing agent and dendritic cell growth factor. Our drug candidates address market opportunities for which we believe current cancer therapies are inadequate or non-existent.</w:t>
      </w:r>
    </w:p>
    <w:p>
      <w:pPr>
        <w:spacing w:after="0" w:line="114" w:lineRule="exact"/>
        <w:rPr>
          <w:sz w:val="20"/>
          <w:szCs w:val="20"/>
          <w:color w:val="auto"/>
        </w:rPr>
      </w:pPr>
    </w:p>
    <w:p>
      <w:pPr>
        <w:jc w:val="both"/>
        <w:ind w:right="140" w:firstLine="432"/>
        <w:spacing w:after="0" w:line="263" w:lineRule="auto"/>
        <w:rPr>
          <w:sz w:val="20"/>
          <w:szCs w:val="20"/>
          <w:color w:val="auto"/>
        </w:rPr>
      </w:pPr>
      <w:r>
        <w:rPr>
          <w:rFonts w:ascii="Arial" w:cs="Arial" w:eastAsia="Arial" w:hAnsi="Arial"/>
          <w:sz w:val="12"/>
          <w:szCs w:val="12"/>
          <w:color w:val="auto"/>
        </w:rPr>
        <w:t>We are building a fully integrated, commercial-stage biopharmaceutical company that develops important therapies for patients with unmet medical needs. Our program assets provide us with the strategic options to either retain full economic rights to our innovative therapies or seek favorable economic terms through advantageous commercial partnerships. This approach allows us to maximize the overall value of our technology and product portfolio while best ensuring the expeditious development of each individual product.</w:t>
      </w:r>
    </w:p>
    <w:p>
      <w:pPr>
        <w:spacing w:after="0" w:line="12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 reflects Celldex-sponsored clinical studies that we are actively pursuing at this time. All programs are currently fully owned by Celldex.</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280" w:type="dxa"/>
            <w:vAlign w:val="bottom"/>
            <w:gridSpan w:val="3"/>
          </w:tcPr>
          <w:p>
            <w:pPr>
              <w:spacing w:after="0"/>
              <w:rPr>
                <w:sz w:val="20"/>
                <w:szCs w:val="20"/>
                <w:color w:val="auto"/>
              </w:rPr>
            </w:pPr>
            <w:r>
              <w:rPr>
                <w:rFonts w:ascii="Arial" w:cs="Arial" w:eastAsia="Arial" w:hAnsi="Arial"/>
                <w:sz w:val="10"/>
                <w:szCs w:val="10"/>
                <w:b w:val="1"/>
                <w:bCs w:val="1"/>
                <w:color w:val="auto"/>
              </w:rPr>
              <w:t>Product (generic)</w:t>
            </w:r>
          </w:p>
        </w:tc>
        <w:tc>
          <w:tcPr>
            <w:tcW w:w="280" w:type="dxa"/>
            <w:vAlign w:val="bottom"/>
          </w:tcPr>
          <w:p>
            <w:pPr>
              <w:spacing w:after="0"/>
              <w:rPr>
                <w:sz w:val="10"/>
                <w:szCs w:val="10"/>
                <w:color w:val="auto"/>
              </w:rPr>
            </w:pPr>
          </w:p>
        </w:tc>
        <w:tc>
          <w:tcPr>
            <w:tcW w:w="4880" w:type="dxa"/>
            <w:vAlign w:val="bottom"/>
            <w:gridSpan w:val="2"/>
          </w:tcPr>
          <w:p>
            <w:pPr>
              <w:ind w:left="1980"/>
              <w:spacing w:after="0"/>
              <w:rPr>
                <w:sz w:val="20"/>
                <w:szCs w:val="20"/>
                <w:color w:val="auto"/>
              </w:rPr>
            </w:pPr>
            <w:r>
              <w:rPr>
                <w:rFonts w:ascii="Arial" w:cs="Arial" w:eastAsia="Arial" w:hAnsi="Arial"/>
                <w:sz w:val="10"/>
                <w:szCs w:val="10"/>
                <w:b w:val="1"/>
                <w:bCs w:val="1"/>
                <w:color w:val="auto"/>
              </w:rPr>
              <w:t>Indication/Field</w:t>
            </w:r>
          </w:p>
        </w:tc>
        <w:tc>
          <w:tcPr>
            <w:tcW w:w="1380" w:type="dxa"/>
            <w:vAlign w:val="bottom"/>
          </w:tcPr>
          <w:p>
            <w:pPr>
              <w:jc w:val="center"/>
              <w:spacing w:after="0"/>
              <w:rPr>
                <w:sz w:val="20"/>
                <w:szCs w:val="20"/>
                <w:color w:val="auto"/>
              </w:rPr>
            </w:pPr>
            <w:r>
              <w:rPr>
                <w:rFonts w:ascii="Arial" w:cs="Arial" w:eastAsia="Arial" w:hAnsi="Arial"/>
                <w:sz w:val="10"/>
                <w:szCs w:val="10"/>
                <w:b w:val="1"/>
                <w:bCs w:val="1"/>
                <w:color w:val="auto"/>
                <w:w w:val="84"/>
              </w:rPr>
              <w:t>Status</w:t>
            </w:r>
          </w:p>
        </w:tc>
        <w:tc>
          <w:tcPr>
            <w:tcW w:w="280" w:type="dxa"/>
            <w:vAlign w:val="bottom"/>
          </w:tcPr>
          <w:p>
            <w:pPr>
              <w:spacing w:after="0"/>
              <w:rPr>
                <w:sz w:val="10"/>
                <w:szCs w:val="10"/>
                <w:color w:val="auto"/>
              </w:rPr>
            </w:pPr>
          </w:p>
        </w:tc>
        <w:tc>
          <w:tcPr>
            <w:tcW w:w="1380" w:type="dxa"/>
            <w:vAlign w:val="bottom"/>
          </w:tcPr>
          <w:p>
            <w:pPr>
              <w:ind w:left="520"/>
              <w:spacing w:after="0"/>
              <w:rPr>
                <w:sz w:val="20"/>
                <w:szCs w:val="20"/>
                <w:color w:val="auto"/>
              </w:rPr>
            </w:pPr>
            <w:r>
              <w:rPr>
                <w:rFonts w:ascii="Arial" w:cs="Arial" w:eastAsia="Arial" w:hAnsi="Arial"/>
                <w:sz w:val="10"/>
                <w:szCs w:val="10"/>
                <w:b w:val="1"/>
                <w:bCs w:val="1"/>
                <w:color w:val="auto"/>
              </w:rPr>
              <w:t>Sponsor</w:t>
            </w:r>
          </w:p>
        </w:tc>
      </w:tr>
      <w:tr>
        <w:trPr>
          <w:trHeight w:val="133"/>
        </w:trPr>
        <w:tc>
          <w:tcPr>
            <w:tcW w:w="3280" w:type="dxa"/>
            <w:vAlign w:val="bottom"/>
            <w:tcBorders>
              <w:top w:val="single" w:sz="8" w:color="auto"/>
            </w:tcBorders>
            <w:gridSpan w:val="3"/>
            <w:shd w:val="clear" w:color="auto" w:fill="CCEEFF"/>
          </w:tcPr>
          <w:p>
            <w:pPr>
              <w:spacing w:after="0" w:line="133" w:lineRule="exact"/>
              <w:rPr>
                <w:sz w:val="20"/>
                <w:szCs w:val="20"/>
                <w:color w:val="auto"/>
              </w:rPr>
            </w:pPr>
            <w:r>
              <w:rPr>
                <w:rFonts w:ascii="Arial" w:cs="Arial" w:eastAsia="Arial" w:hAnsi="Arial"/>
                <w:sz w:val="12"/>
                <w:szCs w:val="12"/>
                <w:color w:val="auto"/>
              </w:rPr>
              <w:t>Glembatumumab vedotin</w:t>
            </w:r>
          </w:p>
        </w:tc>
        <w:tc>
          <w:tcPr>
            <w:tcW w:w="280" w:type="dxa"/>
            <w:vAlign w:val="bottom"/>
            <w:tcBorders>
              <w:top w:val="single" w:sz="8" w:color="CCEEFF"/>
            </w:tcBorders>
            <w:shd w:val="clear" w:color="auto" w:fill="CCEEFF"/>
          </w:tcPr>
          <w:p>
            <w:pPr>
              <w:spacing w:after="0"/>
              <w:rPr>
                <w:sz w:val="11"/>
                <w:szCs w:val="11"/>
                <w:color w:val="auto"/>
              </w:rPr>
            </w:pPr>
          </w:p>
        </w:tc>
        <w:tc>
          <w:tcPr>
            <w:tcW w:w="460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rPr>
              <w:t>Triple negative breast cancer</w:t>
            </w:r>
          </w:p>
        </w:tc>
        <w:tc>
          <w:tcPr>
            <w:tcW w:w="280" w:type="dxa"/>
            <w:vAlign w:val="bottom"/>
            <w:tcBorders>
              <w:top w:val="single" w:sz="8" w:color="CCEEFF"/>
            </w:tcBorders>
            <w:shd w:val="clear" w:color="auto" w:fill="CCEEFF"/>
          </w:tcPr>
          <w:p>
            <w:pPr>
              <w:spacing w:after="0"/>
              <w:rPr>
                <w:sz w:val="11"/>
                <w:szCs w:val="11"/>
                <w:color w:val="auto"/>
              </w:rPr>
            </w:pPr>
          </w:p>
        </w:tc>
        <w:tc>
          <w:tcPr>
            <w:tcW w:w="1380" w:type="dxa"/>
            <w:vAlign w:val="bottom"/>
            <w:tcBorders>
              <w:top w:val="single" w:sz="8" w:color="auto"/>
            </w:tcBorders>
            <w:shd w:val="clear" w:color="auto" w:fill="CCEEFF"/>
          </w:tcPr>
          <w:p>
            <w:pPr>
              <w:jc w:val="center"/>
              <w:spacing w:after="0" w:line="133" w:lineRule="exact"/>
              <w:rPr>
                <w:sz w:val="20"/>
                <w:szCs w:val="20"/>
                <w:color w:val="auto"/>
              </w:rPr>
            </w:pPr>
            <w:r>
              <w:rPr>
                <w:rFonts w:ascii="Arial" w:cs="Arial" w:eastAsia="Arial" w:hAnsi="Arial"/>
                <w:sz w:val="12"/>
                <w:szCs w:val="12"/>
                <w:color w:val="auto"/>
                <w:w w:val="82"/>
              </w:rPr>
              <w:t>Phase 2b</w:t>
            </w:r>
          </w:p>
        </w:tc>
        <w:tc>
          <w:tcPr>
            <w:tcW w:w="280" w:type="dxa"/>
            <w:vAlign w:val="bottom"/>
            <w:tcBorders>
              <w:top w:val="single" w:sz="8" w:color="CCEEFF"/>
            </w:tcBorders>
            <w:shd w:val="clear" w:color="auto" w:fill="CCEEFF"/>
          </w:tcPr>
          <w:p>
            <w:pPr>
              <w:spacing w:after="0"/>
              <w:rPr>
                <w:sz w:val="11"/>
                <w:szCs w:val="11"/>
                <w:color w:val="auto"/>
              </w:rPr>
            </w:pPr>
          </w:p>
        </w:tc>
        <w:tc>
          <w:tcPr>
            <w:tcW w:w="138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rPr>
              <w:t>Celldex</w:t>
            </w:r>
          </w:p>
        </w:tc>
      </w:tr>
      <w:tr>
        <w:trPr>
          <w:trHeight w:val="144"/>
        </w:trPr>
        <w:tc>
          <w:tcPr>
            <w:tcW w:w="3280" w:type="dxa"/>
            <w:vAlign w:val="bottom"/>
            <w:gridSpan w:val="3"/>
          </w:tcPr>
          <w:p>
            <w:pPr>
              <w:spacing w:after="0"/>
              <w:rPr>
                <w:sz w:val="20"/>
                <w:szCs w:val="20"/>
                <w:color w:val="auto"/>
              </w:rPr>
            </w:pPr>
            <w:r>
              <w:rPr>
                <w:rFonts w:ascii="Arial" w:cs="Arial" w:eastAsia="Arial" w:hAnsi="Arial"/>
                <w:sz w:val="12"/>
                <w:szCs w:val="12"/>
                <w:color w:val="auto"/>
              </w:rPr>
              <w:t>Glembatumumab vedotin</w:t>
            </w:r>
          </w:p>
        </w:tc>
        <w:tc>
          <w:tcPr>
            <w:tcW w:w="5160" w:type="dxa"/>
            <w:vAlign w:val="bottom"/>
            <w:gridSpan w:val="3"/>
          </w:tcPr>
          <w:p>
            <w:pPr>
              <w:ind w:left="280"/>
              <w:spacing w:after="0"/>
              <w:rPr>
                <w:sz w:val="20"/>
                <w:szCs w:val="20"/>
                <w:color w:val="auto"/>
              </w:rPr>
            </w:pPr>
            <w:r>
              <w:rPr>
                <w:rFonts w:ascii="Arial" w:cs="Arial" w:eastAsia="Arial" w:hAnsi="Arial"/>
                <w:sz w:val="12"/>
                <w:szCs w:val="12"/>
                <w:color w:val="auto"/>
              </w:rPr>
              <w:t>Metastatic melanoma (with varlilumab or CPI*)</w:t>
            </w:r>
          </w:p>
        </w:tc>
        <w:tc>
          <w:tcPr>
            <w:tcW w:w="1380" w:type="dxa"/>
            <w:vAlign w:val="bottom"/>
          </w:tcPr>
          <w:p>
            <w:pPr>
              <w:jc w:val="center"/>
              <w:spacing w:after="0"/>
              <w:rPr>
                <w:sz w:val="20"/>
                <w:szCs w:val="20"/>
                <w:color w:val="auto"/>
              </w:rPr>
            </w:pPr>
            <w:r>
              <w:rPr>
                <w:rFonts w:ascii="Arial" w:cs="Arial" w:eastAsia="Arial" w:hAnsi="Arial"/>
                <w:sz w:val="12"/>
                <w:szCs w:val="12"/>
                <w:color w:val="auto"/>
                <w:w w:val="86"/>
              </w:rPr>
              <w:t>Phase 2</w:t>
            </w:r>
          </w:p>
        </w:tc>
        <w:tc>
          <w:tcPr>
            <w:tcW w:w="1660" w:type="dxa"/>
            <w:vAlign w:val="bottom"/>
            <w:gridSpan w:val="2"/>
          </w:tcPr>
          <w:p>
            <w:pPr>
              <w:ind w:left="280"/>
              <w:spacing w:after="0"/>
              <w:rPr>
                <w:sz w:val="20"/>
                <w:szCs w:val="20"/>
                <w:color w:val="auto"/>
              </w:rPr>
            </w:pPr>
            <w:r>
              <w:rPr>
                <w:rFonts w:ascii="Arial" w:cs="Arial" w:eastAsia="Arial" w:hAnsi="Arial"/>
                <w:sz w:val="12"/>
                <w:szCs w:val="12"/>
                <w:color w:val="auto"/>
              </w:rPr>
              <w:t>Celldex</w:t>
            </w:r>
          </w:p>
        </w:tc>
      </w:tr>
      <w:tr>
        <w:trPr>
          <w:trHeight w:val="144"/>
        </w:trPr>
        <w:tc>
          <w:tcPr>
            <w:tcW w:w="328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Varlilumab</w:t>
            </w:r>
          </w:p>
        </w:tc>
        <w:tc>
          <w:tcPr>
            <w:tcW w:w="5160" w:type="dxa"/>
            <w:vAlign w:val="bottom"/>
            <w:gridSpan w:val="3"/>
            <w:shd w:val="clear" w:color="auto" w:fill="CCEEFF"/>
          </w:tcPr>
          <w:p>
            <w:pPr>
              <w:ind w:left="280"/>
              <w:spacing w:after="0"/>
              <w:rPr>
                <w:sz w:val="20"/>
                <w:szCs w:val="20"/>
                <w:color w:val="auto"/>
              </w:rPr>
            </w:pPr>
            <w:r>
              <w:rPr>
                <w:rFonts w:ascii="Arial" w:cs="Arial" w:eastAsia="Arial" w:hAnsi="Arial"/>
                <w:sz w:val="12"/>
                <w:szCs w:val="12"/>
                <w:color w:val="auto"/>
              </w:rPr>
              <w:t>Multiple solid tumors (with nivolumab)</w:t>
            </w:r>
          </w:p>
        </w:tc>
        <w:tc>
          <w:tcPr>
            <w:tcW w:w="13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6"/>
              </w:rPr>
              <w:t>Phase 2</w:t>
            </w:r>
          </w:p>
        </w:tc>
        <w:tc>
          <w:tcPr>
            <w:tcW w:w="1660" w:type="dxa"/>
            <w:vAlign w:val="bottom"/>
            <w:gridSpan w:val="2"/>
            <w:shd w:val="clear" w:color="auto" w:fill="CCEEFF"/>
          </w:tcPr>
          <w:p>
            <w:pPr>
              <w:ind w:left="280"/>
              <w:spacing w:after="0"/>
              <w:rPr>
                <w:sz w:val="20"/>
                <w:szCs w:val="20"/>
                <w:color w:val="auto"/>
              </w:rPr>
            </w:pPr>
            <w:r>
              <w:rPr>
                <w:rFonts w:ascii="Arial" w:cs="Arial" w:eastAsia="Arial" w:hAnsi="Arial"/>
                <w:sz w:val="12"/>
                <w:szCs w:val="12"/>
                <w:color w:val="auto"/>
              </w:rPr>
              <w:t>Celldex**</w:t>
            </w:r>
          </w:p>
        </w:tc>
      </w:tr>
      <w:tr>
        <w:trPr>
          <w:trHeight w:val="144"/>
        </w:trPr>
        <w:tc>
          <w:tcPr>
            <w:tcW w:w="3280" w:type="dxa"/>
            <w:vAlign w:val="bottom"/>
            <w:gridSpan w:val="3"/>
          </w:tcPr>
          <w:p>
            <w:pPr>
              <w:spacing w:after="0"/>
              <w:rPr>
                <w:sz w:val="20"/>
                <w:szCs w:val="20"/>
                <w:color w:val="auto"/>
              </w:rPr>
            </w:pPr>
            <w:r>
              <w:rPr>
                <w:rFonts w:ascii="Arial" w:cs="Arial" w:eastAsia="Arial" w:hAnsi="Arial"/>
                <w:sz w:val="12"/>
                <w:szCs w:val="12"/>
                <w:color w:val="auto"/>
              </w:rPr>
              <w:t>CDX-0158</w:t>
            </w:r>
          </w:p>
        </w:tc>
        <w:tc>
          <w:tcPr>
            <w:tcW w:w="5160" w:type="dxa"/>
            <w:vAlign w:val="bottom"/>
            <w:gridSpan w:val="3"/>
          </w:tcPr>
          <w:p>
            <w:pPr>
              <w:ind w:left="280"/>
              <w:spacing w:after="0"/>
              <w:rPr>
                <w:sz w:val="20"/>
                <w:szCs w:val="20"/>
                <w:color w:val="auto"/>
              </w:rPr>
            </w:pPr>
            <w:r>
              <w:rPr>
                <w:rFonts w:ascii="Arial" w:cs="Arial" w:eastAsia="Arial" w:hAnsi="Arial"/>
                <w:sz w:val="12"/>
                <w:szCs w:val="12"/>
                <w:color w:val="auto"/>
              </w:rPr>
              <w:t>Gastrointestinal and other KIT-postive tumors</w:t>
            </w:r>
          </w:p>
        </w:tc>
        <w:tc>
          <w:tcPr>
            <w:tcW w:w="1380" w:type="dxa"/>
            <w:vAlign w:val="bottom"/>
          </w:tcPr>
          <w:p>
            <w:pPr>
              <w:jc w:val="center"/>
              <w:spacing w:after="0"/>
              <w:rPr>
                <w:sz w:val="20"/>
                <w:szCs w:val="20"/>
                <w:color w:val="auto"/>
              </w:rPr>
            </w:pPr>
            <w:r>
              <w:rPr>
                <w:rFonts w:ascii="Arial" w:cs="Arial" w:eastAsia="Arial" w:hAnsi="Arial"/>
                <w:sz w:val="12"/>
                <w:szCs w:val="12"/>
                <w:color w:val="auto"/>
                <w:w w:val="86"/>
              </w:rPr>
              <w:t>Phase 1</w:t>
            </w:r>
          </w:p>
        </w:tc>
        <w:tc>
          <w:tcPr>
            <w:tcW w:w="1660" w:type="dxa"/>
            <w:vAlign w:val="bottom"/>
            <w:gridSpan w:val="2"/>
          </w:tcPr>
          <w:p>
            <w:pPr>
              <w:ind w:left="280"/>
              <w:spacing w:after="0"/>
              <w:rPr>
                <w:sz w:val="20"/>
                <w:szCs w:val="20"/>
                <w:color w:val="auto"/>
              </w:rPr>
            </w:pPr>
            <w:r>
              <w:rPr>
                <w:rFonts w:ascii="Arial" w:cs="Arial" w:eastAsia="Arial" w:hAnsi="Arial"/>
                <w:sz w:val="12"/>
                <w:szCs w:val="12"/>
                <w:color w:val="auto"/>
              </w:rPr>
              <w:t>Celldex</w:t>
            </w:r>
          </w:p>
        </w:tc>
      </w:tr>
      <w:tr>
        <w:trPr>
          <w:trHeight w:val="144"/>
        </w:trPr>
        <w:tc>
          <w:tcPr>
            <w:tcW w:w="328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CDX-3379</w:t>
            </w:r>
          </w:p>
        </w:tc>
        <w:tc>
          <w:tcPr>
            <w:tcW w:w="5160" w:type="dxa"/>
            <w:vAlign w:val="bottom"/>
            <w:gridSpan w:val="3"/>
            <w:shd w:val="clear" w:color="auto" w:fill="CCEEFF"/>
          </w:tcPr>
          <w:p>
            <w:pPr>
              <w:ind w:left="280"/>
              <w:spacing w:after="0"/>
              <w:rPr>
                <w:sz w:val="20"/>
                <w:szCs w:val="20"/>
                <w:color w:val="auto"/>
              </w:rPr>
            </w:pPr>
            <w:r>
              <w:rPr>
                <w:rFonts w:ascii="Arial" w:cs="Arial" w:eastAsia="Arial" w:hAnsi="Arial"/>
                <w:sz w:val="12"/>
                <w:szCs w:val="12"/>
                <w:color w:val="auto"/>
              </w:rPr>
              <w:t>Multiple solid tumors (in combination regimens)</w:t>
            </w:r>
          </w:p>
        </w:tc>
        <w:tc>
          <w:tcPr>
            <w:tcW w:w="13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6"/>
              </w:rPr>
              <w:t>Phase 1</w:t>
            </w:r>
          </w:p>
        </w:tc>
        <w:tc>
          <w:tcPr>
            <w:tcW w:w="1660" w:type="dxa"/>
            <w:vAlign w:val="bottom"/>
            <w:gridSpan w:val="2"/>
            <w:shd w:val="clear" w:color="auto" w:fill="CCEEFF"/>
          </w:tcPr>
          <w:p>
            <w:pPr>
              <w:ind w:left="280"/>
              <w:spacing w:after="0"/>
              <w:rPr>
                <w:sz w:val="20"/>
                <w:szCs w:val="20"/>
                <w:color w:val="auto"/>
              </w:rPr>
            </w:pPr>
            <w:r>
              <w:rPr>
                <w:rFonts w:ascii="Arial" w:cs="Arial" w:eastAsia="Arial" w:hAnsi="Arial"/>
                <w:sz w:val="12"/>
                <w:szCs w:val="12"/>
                <w:color w:val="auto"/>
              </w:rPr>
              <w:t>Celldex</w:t>
            </w:r>
          </w:p>
        </w:tc>
      </w:tr>
      <w:tr>
        <w:trPr>
          <w:trHeight w:val="153"/>
        </w:trPr>
        <w:tc>
          <w:tcPr>
            <w:tcW w:w="3280" w:type="dxa"/>
            <w:vAlign w:val="bottom"/>
            <w:gridSpan w:val="3"/>
          </w:tcPr>
          <w:p>
            <w:pPr>
              <w:spacing w:after="0"/>
              <w:rPr>
                <w:sz w:val="20"/>
                <w:szCs w:val="20"/>
                <w:color w:val="auto"/>
              </w:rPr>
            </w:pPr>
            <w:r>
              <w:rPr>
                <w:rFonts w:ascii="Arial" w:cs="Arial" w:eastAsia="Arial" w:hAnsi="Arial"/>
                <w:sz w:val="12"/>
                <w:szCs w:val="12"/>
                <w:color w:val="auto"/>
              </w:rPr>
              <w:t>CDX-014</w:t>
            </w:r>
          </w:p>
        </w:tc>
        <w:tc>
          <w:tcPr>
            <w:tcW w:w="5160" w:type="dxa"/>
            <w:vAlign w:val="bottom"/>
            <w:gridSpan w:val="3"/>
          </w:tcPr>
          <w:p>
            <w:pPr>
              <w:ind w:left="280"/>
              <w:spacing w:after="0"/>
              <w:rPr>
                <w:sz w:val="20"/>
                <w:szCs w:val="20"/>
                <w:color w:val="auto"/>
              </w:rPr>
            </w:pPr>
            <w:r>
              <w:rPr>
                <w:rFonts w:ascii="Arial" w:cs="Arial" w:eastAsia="Arial" w:hAnsi="Arial"/>
                <w:sz w:val="12"/>
                <w:szCs w:val="12"/>
                <w:color w:val="auto"/>
              </w:rPr>
              <w:t>Renal cell carcinoma</w:t>
            </w:r>
          </w:p>
        </w:tc>
        <w:tc>
          <w:tcPr>
            <w:tcW w:w="1380" w:type="dxa"/>
            <w:vAlign w:val="bottom"/>
          </w:tcPr>
          <w:p>
            <w:pPr>
              <w:jc w:val="center"/>
              <w:spacing w:after="0"/>
              <w:rPr>
                <w:sz w:val="20"/>
                <w:szCs w:val="20"/>
                <w:color w:val="auto"/>
              </w:rPr>
            </w:pPr>
            <w:r>
              <w:rPr>
                <w:rFonts w:ascii="Arial" w:cs="Arial" w:eastAsia="Arial" w:hAnsi="Arial"/>
                <w:sz w:val="12"/>
                <w:szCs w:val="12"/>
                <w:color w:val="auto"/>
                <w:w w:val="86"/>
              </w:rPr>
              <w:t>Phase 1</w:t>
            </w:r>
          </w:p>
        </w:tc>
        <w:tc>
          <w:tcPr>
            <w:tcW w:w="1660" w:type="dxa"/>
            <w:vAlign w:val="bottom"/>
            <w:gridSpan w:val="2"/>
          </w:tcPr>
          <w:p>
            <w:pPr>
              <w:ind w:left="280"/>
              <w:spacing w:after="0"/>
              <w:rPr>
                <w:sz w:val="20"/>
                <w:szCs w:val="20"/>
                <w:color w:val="auto"/>
              </w:rPr>
            </w:pPr>
            <w:r>
              <w:rPr>
                <w:rFonts w:ascii="Arial" w:cs="Arial" w:eastAsia="Arial" w:hAnsi="Arial"/>
                <w:sz w:val="12"/>
                <w:szCs w:val="12"/>
                <w:color w:val="auto"/>
              </w:rPr>
              <w:t>Celldex</w:t>
            </w:r>
          </w:p>
        </w:tc>
      </w:tr>
      <w:tr>
        <w:trPr>
          <w:trHeight w:val="207"/>
        </w:trPr>
        <w:tc>
          <w:tcPr>
            <w:tcW w:w="160" w:type="dxa"/>
            <w:vAlign w:val="bottom"/>
            <w:tcBorders>
              <w:bottom w:val="single" w:sz="8" w:color="808080"/>
            </w:tcBorders>
          </w:tcPr>
          <w:p>
            <w:pPr>
              <w:spacing w:after="0"/>
              <w:rPr>
                <w:sz w:val="18"/>
                <w:szCs w:val="18"/>
                <w:color w:val="auto"/>
              </w:rPr>
            </w:pPr>
          </w:p>
        </w:tc>
        <w:tc>
          <w:tcPr>
            <w:tcW w:w="2720" w:type="dxa"/>
            <w:vAlign w:val="bottom"/>
            <w:tcBorders>
              <w:bottom w:val="single" w:sz="8" w:color="808080"/>
            </w:tcBorders>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05"/>
        </w:trPr>
        <w:tc>
          <w:tcPr>
            <w:tcW w:w="160" w:type="dxa"/>
            <w:vAlign w:val="bottom"/>
          </w:tcPr>
          <w:p>
            <w:pPr>
              <w:spacing w:after="0"/>
              <w:rPr>
                <w:sz w:val="20"/>
                <w:szCs w:val="20"/>
                <w:color w:val="auto"/>
              </w:rPr>
            </w:pPr>
            <w:r>
              <w:rPr>
                <w:rFonts w:ascii="Arial" w:cs="Arial" w:eastAsia="Arial" w:hAnsi="Arial"/>
                <w:sz w:val="12"/>
                <w:szCs w:val="12"/>
                <w:color w:val="auto"/>
              </w:rPr>
              <w:t>*</w:t>
            </w:r>
          </w:p>
        </w:tc>
        <w:tc>
          <w:tcPr>
            <w:tcW w:w="3120" w:type="dxa"/>
            <w:vAlign w:val="bottom"/>
            <w:gridSpan w:val="2"/>
          </w:tcPr>
          <w:p>
            <w:pPr>
              <w:ind w:left="40"/>
              <w:spacing w:after="0"/>
              <w:rPr>
                <w:sz w:val="20"/>
                <w:szCs w:val="20"/>
                <w:color w:val="auto"/>
              </w:rPr>
            </w:pPr>
            <w:r>
              <w:rPr>
                <w:rFonts w:ascii="Arial" w:cs="Arial" w:eastAsia="Arial" w:hAnsi="Arial"/>
                <w:sz w:val="12"/>
                <w:szCs w:val="12"/>
                <w:i w:val="1"/>
                <w:iCs w:val="1"/>
                <w:color w:val="auto"/>
              </w:rPr>
              <w:t>checkpoint inhibitor</w:t>
            </w:r>
          </w:p>
        </w:tc>
        <w:tc>
          <w:tcPr>
            <w:tcW w:w="28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88"/>
        </w:trPr>
        <w:tc>
          <w:tcPr>
            <w:tcW w:w="160" w:type="dxa"/>
            <w:vAlign w:val="bottom"/>
          </w:tcPr>
          <w:p>
            <w:pPr>
              <w:spacing w:after="0"/>
              <w:rPr>
                <w:sz w:val="20"/>
                <w:szCs w:val="20"/>
                <w:color w:val="auto"/>
              </w:rPr>
            </w:pPr>
            <w:r>
              <w:rPr>
                <w:rFonts w:ascii="Arial" w:cs="Arial" w:eastAsia="Arial" w:hAnsi="Arial"/>
                <w:sz w:val="12"/>
                <w:szCs w:val="12"/>
                <w:color w:val="auto"/>
              </w:rPr>
              <w:t>**</w:t>
            </w:r>
          </w:p>
        </w:tc>
        <w:tc>
          <w:tcPr>
            <w:tcW w:w="3120" w:type="dxa"/>
            <w:vAlign w:val="bottom"/>
            <w:gridSpan w:val="2"/>
          </w:tcPr>
          <w:p>
            <w:pPr>
              <w:ind w:left="40"/>
              <w:spacing w:after="0"/>
              <w:rPr>
                <w:sz w:val="20"/>
                <w:szCs w:val="20"/>
                <w:color w:val="auto"/>
              </w:rPr>
            </w:pPr>
            <w:r>
              <w:rPr>
                <w:rFonts w:ascii="Arial" w:cs="Arial" w:eastAsia="Arial" w:hAnsi="Arial"/>
                <w:sz w:val="12"/>
                <w:szCs w:val="12"/>
                <w:color w:val="auto"/>
              </w:rPr>
              <w:t>BMS collaboration</w:t>
            </w:r>
          </w:p>
        </w:tc>
        <w:tc>
          <w:tcPr>
            <w:tcW w:w="28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pacing w:after="0" w:line="135" w:lineRule="exact"/>
        <w:rPr>
          <w:sz w:val="20"/>
          <w:szCs w:val="20"/>
          <w:color w:val="auto"/>
        </w:rPr>
      </w:pPr>
    </w:p>
    <w:p>
      <w:pPr>
        <w:ind w:right="240" w:firstLine="432"/>
        <w:spacing w:after="0" w:line="323" w:lineRule="auto"/>
        <w:rPr>
          <w:sz w:val="20"/>
          <w:szCs w:val="20"/>
          <w:color w:val="auto"/>
        </w:rPr>
      </w:pPr>
      <w:r>
        <w:rPr>
          <w:rFonts w:ascii="Arial" w:cs="Arial" w:eastAsia="Arial" w:hAnsi="Arial"/>
          <w:sz w:val="11"/>
          <w:szCs w:val="11"/>
          <w:color w:val="auto"/>
        </w:rPr>
        <w:t>We also routinely work with external parties, such as government agencies, to collaboratively advance our drug candidates. The following pipeline reflects clinical trials of our drug candidates being actively pursued by outside organizations. In addition to the studies listed below, we also have an Investigator Initiated Research (IIR) program with seven studies ongoing with our drug candidates and additional studies currently under consideration.</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480" w:type="dxa"/>
            <w:vAlign w:val="bottom"/>
            <w:gridSpan w:val="2"/>
          </w:tcPr>
          <w:p>
            <w:pPr>
              <w:spacing w:after="0"/>
              <w:rPr>
                <w:sz w:val="20"/>
                <w:szCs w:val="20"/>
                <w:color w:val="auto"/>
              </w:rPr>
            </w:pPr>
            <w:r>
              <w:rPr>
                <w:rFonts w:ascii="Arial" w:cs="Arial" w:eastAsia="Arial" w:hAnsi="Arial"/>
                <w:sz w:val="10"/>
                <w:szCs w:val="10"/>
                <w:b w:val="1"/>
                <w:bCs w:val="1"/>
                <w:color w:val="auto"/>
              </w:rPr>
              <w:t>Product (generic)</w:t>
            </w:r>
          </w:p>
        </w:tc>
        <w:tc>
          <w:tcPr>
            <w:tcW w:w="4880" w:type="dxa"/>
            <w:vAlign w:val="bottom"/>
            <w:gridSpan w:val="2"/>
          </w:tcPr>
          <w:p>
            <w:pPr>
              <w:ind w:left="1980"/>
              <w:spacing w:after="0"/>
              <w:rPr>
                <w:sz w:val="20"/>
                <w:szCs w:val="20"/>
                <w:color w:val="auto"/>
              </w:rPr>
            </w:pPr>
            <w:r>
              <w:rPr>
                <w:rFonts w:ascii="Arial" w:cs="Arial" w:eastAsia="Arial" w:hAnsi="Arial"/>
                <w:sz w:val="10"/>
                <w:szCs w:val="10"/>
                <w:b w:val="1"/>
                <w:bCs w:val="1"/>
                <w:color w:val="auto"/>
              </w:rPr>
              <w:t>Indication/Field</w:t>
            </w:r>
          </w:p>
        </w:tc>
        <w:tc>
          <w:tcPr>
            <w:tcW w:w="162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w w:val="84"/>
              </w:rPr>
              <w:t>Status</w:t>
            </w:r>
          </w:p>
        </w:tc>
        <w:tc>
          <w:tcPr>
            <w:tcW w:w="1500" w:type="dxa"/>
            <w:vAlign w:val="bottom"/>
            <w:gridSpan w:val="2"/>
          </w:tcPr>
          <w:p>
            <w:pPr>
              <w:ind w:left="540"/>
              <w:spacing w:after="0"/>
              <w:rPr>
                <w:sz w:val="20"/>
                <w:szCs w:val="20"/>
                <w:color w:val="auto"/>
              </w:rPr>
            </w:pPr>
            <w:r>
              <w:rPr>
                <w:rFonts w:ascii="Arial" w:cs="Arial" w:eastAsia="Arial" w:hAnsi="Arial"/>
                <w:sz w:val="10"/>
                <w:szCs w:val="10"/>
                <w:b w:val="1"/>
                <w:bCs w:val="1"/>
                <w:color w:val="auto"/>
              </w:rPr>
              <w:t>Sponsor</w:t>
            </w:r>
          </w:p>
        </w:tc>
        <w:tc>
          <w:tcPr>
            <w:tcW w:w="20" w:type="dxa"/>
            <w:vAlign w:val="bottom"/>
          </w:tcPr>
          <w:p>
            <w:pPr>
              <w:spacing w:after="0"/>
              <w:rPr>
                <w:sz w:val="10"/>
                <w:szCs w:val="10"/>
                <w:color w:val="auto"/>
              </w:rPr>
            </w:pPr>
          </w:p>
        </w:tc>
      </w:tr>
      <w:tr>
        <w:trPr>
          <w:trHeight w:val="133"/>
        </w:trPr>
        <w:tc>
          <w:tcPr>
            <w:tcW w:w="318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rPr>
              <w:t>Glembatumumab vedotin</w:t>
            </w:r>
          </w:p>
        </w:tc>
        <w:tc>
          <w:tcPr>
            <w:tcW w:w="300" w:type="dxa"/>
            <w:vAlign w:val="bottom"/>
            <w:tcBorders>
              <w:top w:val="single" w:sz="8" w:color="CCEEFF"/>
            </w:tcBorders>
            <w:shd w:val="clear" w:color="auto" w:fill="CCEEFF"/>
          </w:tcPr>
          <w:p>
            <w:pPr>
              <w:spacing w:after="0"/>
              <w:rPr>
                <w:sz w:val="11"/>
                <w:szCs w:val="11"/>
                <w:color w:val="auto"/>
              </w:rPr>
            </w:pPr>
          </w:p>
        </w:tc>
        <w:tc>
          <w:tcPr>
            <w:tcW w:w="460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rPr>
              <w:t>Uveal melanoma</w:t>
            </w:r>
          </w:p>
        </w:tc>
        <w:tc>
          <w:tcPr>
            <w:tcW w:w="280" w:type="dxa"/>
            <w:vAlign w:val="bottom"/>
            <w:tcBorders>
              <w:top w:val="single" w:sz="8" w:color="CCEEFF"/>
            </w:tcBorders>
            <w:shd w:val="clear" w:color="auto" w:fill="CCEEFF"/>
          </w:tcPr>
          <w:p>
            <w:pPr>
              <w:spacing w:after="0"/>
              <w:rPr>
                <w:sz w:val="11"/>
                <w:szCs w:val="11"/>
                <w:color w:val="auto"/>
              </w:rPr>
            </w:pPr>
          </w:p>
        </w:tc>
        <w:tc>
          <w:tcPr>
            <w:tcW w:w="1280" w:type="dxa"/>
            <w:vAlign w:val="bottom"/>
            <w:tcBorders>
              <w:top w:val="single" w:sz="8" w:color="auto"/>
            </w:tcBorders>
            <w:shd w:val="clear" w:color="auto" w:fill="CCEEFF"/>
          </w:tcPr>
          <w:p>
            <w:pPr>
              <w:jc w:val="center"/>
              <w:spacing w:after="0" w:line="133" w:lineRule="exact"/>
              <w:rPr>
                <w:sz w:val="20"/>
                <w:szCs w:val="20"/>
                <w:color w:val="auto"/>
              </w:rPr>
            </w:pPr>
            <w:r>
              <w:rPr>
                <w:rFonts w:ascii="Arial" w:cs="Arial" w:eastAsia="Arial" w:hAnsi="Arial"/>
                <w:sz w:val="12"/>
                <w:szCs w:val="12"/>
                <w:color w:val="auto"/>
                <w:w w:val="86"/>
              </w:rPr>
              <w:t>Phase 2</w:t>
            </w:r>
          </w:p>
        </w:tc>
        <w:tc>
          <w:tcPr>
            <w:tcW w:w="340" w:type="dxa"/>
            <w:vAlign w:val="bottom"/>
            <w:tcBorders>
              <w:top w:val="single" w:sz="8" w:color="CCEEFF"/>
            </w:tcBorders>
            <w:shd w:val="clear" w:color="auto" w:fill="CCEEFF"/>
          </w:tcPr>
          <w:p>
            <w:pPr>
              <w:spacing w:after="0"/>
              <w:rPr>
                <w:sz w:val="11"/>
                <w:szCs w:val="11"/>
                <w:color w:val="auto"/>
              </w:rPr>
            </w:pPr>
          </w:p>
        </w:tc>
        <w:tc>
          <w:tcPr>
            <w:tcW w:w="138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rPr>
              <w:t>NCI (CRADA)</w:t>
            </w: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44"/>
        </w:trPr>
        <w:tc>
          <w:tcPr>
            <w:tcW w:w="3480" w:type="dxa"/>
            <w:vAlign w:val="bottom"/>
            <w:gridSpan w:val="2"/>
          </w:tcPr>
          <w:p>
            <w:pPr>
              <w:spacing w:after="0"/>
              <w:rPr>
                <w:sz w:val="20"/>
                <w:szCs w:val="20"/>
                <w:color w:val="auto"/>
              </w:rPr>
            </w:pPr>
            <w:r>
              <w:rPr>
                <w:rFonts w:ascii="Arial" w:cs="Arial" w:eastAsia="Arial" w:hAnsi="Arial"/>
                <w:sz w:val="12"/>
                <w:szCs w:val="12"/>
                <w:color w:val="auto"/>
              </w:rPr>
              <w:t>Glembatumumab vedotin</w:t>
            </w:r>
          </w:p>
        </w:tc>
        <w:tc>
          <w:tcPr>
            <w:tcW w:w="4880" w:type="dxa"/>
            <w:vAlign w:val="bottom"/>
            <w:gridSpan w:val="2"/>
          </w:tcPr>
          <w:p>
            <w:pPr>
              <w:spacing w:after="0"/>
              <w:rPr>
                <w:sz w:val="20"/>
                <w:szCs w:val="20"/>
                <w:color w:val="auto"/>
              </w:rPr>
            </w:pPr>
            <w:r>
              <w:rPr>
                <w:rFonts w:ascii="Arial" w:cs="Arial" w:eastAsia="Arial" w:hAnsi="Arial"/>
                <w:sz w:val="12"/>
                <w:szCs w:val="12"/>
                <w:color w:val="auto"/>
              </w:rPr>
              <w:t>Squamous cell lung cancer</w:t>
            </w:r>
          </w:p>
        </w:tc>
        <w:tc>
          <w:tcPr>
            <w:tcW w:w="1620" w:type="dxa"/>
            <w:vAlign w:val="bottom"/>
            <w:gridSpan w:val="2"/>
          </w:tcPr>
          <w:p>
            <w:pPr>
              <w:jc w:val="center"/>
              <w:ind w:right="320"/>
              <w:spacing w:after="0"/>
              <w:rPr>
                <w:sz w:val="20"/>
                <w:szCs w:val="20"/>
                <w:color w:val="auto"/>
              </w:rPr>
            </w:pPr>
            <w:r>
              <w:rPr>
                <w:rFonts w:ascii="Arial" w:cs="Arial" w:eastAsia="Arial" w:hAnsi="Arial"/>
                <w:sz w:val="12"/>
                <w:szCs w:val="12"/>
                <w:color w:val="auto"/>
                <w:w w:val="86"/>
              </w:rPr>
              <w:t>Phase 2</w:t>
            </w:r>
          </w:p>
        </w:tc>
        <w:tc>
          <w:tcPr>
            <w:tcW w:w="1500" w:type="dxa"/>
            <w:vAlign w:val="bottom"/>
            <w:gridSpan w:val="2"/>
          </w:tcPr>
          <w:p>
            <w:pPr>
              <w:spacing w:after="0"/>
              <w:rPr>
                <w:sz w:val="20"/>
                <w:szCs w:val="20"/>
                <w:color w:val="auto"/>
              </w:rPr>
            </w:pPr>
            <w:r>
              <w:rPr>
                <w:rFonts w:ascii="Arial" w:cs="Arial" w:eastAsia="Arial" w:hAnsi="Arial"/>
                <w:sz w:val="12"/>
                <w:szCs w:val="12"/>
                <w:color w:val="auto"/>
              </w:rPr>
              <w:t>PrECOG, LLC</w:t>
            </w:r>
          </w:p>
        </w:tc>
        <w:tc>
          <w:tcPr>
            <w:tcW w:w="20" w:type="dxa"/>
            <w:vAlign w:val="bottom"/>
          </w:tcPr>
          <w:p>
            <w:pPr>
              <w:spacing w:after="0"/>
              <w:rPr>
                <w:sz w:val="12"/>
                <w:szCs w:val="12"/>
                <w:color w:val="auto"/>
              </w:rPr>
            </w:pPr>
          </w:p>
        </w:tc>
      </w:tr>
      <w:tr>
        <w:trPr>
          <w:trHeight w:val="144"/>
        </w:trPr>
        <w:tc>
          <w:tcPr>
            <w:tcW w:w="34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CDX-1401/CDX-301</w:t>
            </w:r>
          </w:p>
        </w:tc>
        <w:tc>
          <w:tcPr>
            <w:tcW w:w="48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Multiple solid tumors</w:t>
            </w:r>
          </w:p>
        </w:tc>
        <w:tc>
          <w:tcPr>
            <w:tcW w:w="1620" w:type="dxa"/>
            <w:vAlign w:val="bottom"/>
            <w:gridSpan w:val="2"/>
            <w:shd w:val="clear" w:color="auto" w:fill="CCEEFF"/>
          </w:tcPr>
          <w:p>
            <w:pPr>
              <w:jc w:val="center"/>
              <w:ind w:right="320"/>
              <w:spacing w:after="0"/>
              <w:rPr>
                <w:sz w:val="20"/>
                <w:szCs w:val="20"/>
                <w:color w:val="auto"/>
              </w:rPr>
            </w:pPr>
            <w:r>
              <w:rPr>
                <w:rFonts w:ascii="Arial" w:cs="Arial" w:eastAsia="Arial" w:hAnsi="Arial"/>
                <w:sz w:val="12"/>
                <w:szCs w:val="12"/>
                <w:color w:val="auto"/>
                <w:w w:val="86"/>
              </w:rPr>
              <w:t>Phase 2</w:t>
            </w:r>
          </w:p>
        </w:tc>
        <w:tc>
          <w:tcPr>
            <w:tcW w:w="15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CITN</w:t>
            </w:r>
          </w:p>
        </w:tc>
        <w:tc>
          <w:tcPr>
            <w:tcW w:w="20" w:type="dxa"/>
            <w:vAlign w:val="bottom"/>
          </w:tcPr>
          <w:p>
            <w:pPr>
              <w:spacing w:after="0"/>
              <w:rPr>
                <w:sz w:val="12"/>
                <w:szCs w:val="12"/>
                <w:color w:val="auto"/>
              </w:rPr>
            </w:pPr>
          </w:p>
        </w:tc>
      </w:tr>
      <w:tr>
        <w:trPr>
          <w:trHeight w:val="288"/>
        </w:trPr>
        <w:tc>
          <w:tcPr>
            <w:tcW w:w="3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0" w:type="dxa"/>
            <w:vAlign w:val="bottom"/>
          </w:tcPr>
          <w:p>
            <w:pPr>
              <w:ind w:left="2200"/>
              <w:spacing w:after="0"/>
              <w:rPr>
                <w:sz w:val="20"/>
                <w:szCs w:val="20"/>
                <w:color w:val="auto"/>
              </w:rPr>
            </w:pPr>
            <w:r>
              <w:rPr>
                <w:rFonts w:ascii="Arial" w:cs="Arial" w:eastAsia="Arial" w:hAnsi="Arial"/>
                <w:sz w:val="12"/>
                <w:szCs w:val="12"/>
                <w:color w:val="auto"/>
              </w:rPr>
              <w:t>15</w:t>
            </w: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5"/>
        </w:trPr>
        <w:tc>
          <w:tcPr>
            <w:tcW w:w="318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460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138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7289165</wp:posOffset>
            </wp:positionH>
            <wp:positionV relativeFrom="paragraph">
              <wp:posOffset>-17145</wp:posOffset>
            </wp:positionV>
            <wp:extent cx="12700" cy="114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1143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-17145</wp:posOffset>
            </wp:positionV>
            <wp:extent cx="12700" cy="114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11430"/>
                    </a:xfrm>
                    <a:prstGeom prst="rect">
                      <a:avLst/>
                    </a:prstGeom>
                    <a:noFill/>
                  </pic:spPr>
                </pic:pic>
              </a:graphicData>
            </a:graphic>
          </wp:anchor>
        </w:drawing>
      </w:r>
    </w:p>
    <w:p>
      <w:pPr>
        <w:spacing w:after="0" w:line="200" w:lineRule="exact"/>
        <w:rPr>
          <w:sz w:val="20"/>
          <w:szCs w:val="20"/>
          <w:color w:val="auto"/>
        </w:rPr>
      </w:pPr>
    </w:p>
    <w:p>
      <w:pPr>
        <w:spacing w:after="0"/>
        <w:rPr>
          <w:rFonts w:ascii="Arial" w:cs="Arial" w:eastAsia="Arial" w:hAnsi="Arial"/>
          <w:sz w:val="12"/>
          <w:szCs w:val="12"/>
          <w:u w:val="single" w:color="auto"/>
          <w:color w:val="0000EE"/>
        </w:rPr>
      </w:pPr>
      <w:hyperlink w:anchor="page1">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ind w:right="60" w:firstLine="432"/>
        <w:spacing w:after="0" w:line="263" w:lineRule="auto"/>
        <w:rPr>
          <w:sz w:val="20"/>
          <w:szCs w:val="20"/>
          <w:color w:val="auto"/>
        </w:rPr>
      </w:pPr>
      <w:r>
        <w:rPr>
          <w:rFonts w:ascii="Arial" w:cs="Arial" w:eastAsia="Arial" w:hAnsi="Arial"/>
          <w:sz w:val="12"/>
          <w:szCs w:val="12"/>
          <w:color w:val="auto"/>
        </w:rPr>
        <w:t>The expenditures that will be necessary to execute our business plan are subject to numerous uncertainties. Completion of clinical trials may take several years or more, and the length of time generally varies substantially according to the type, complexity, novelty and intended use of a product candidate. It is not unusual for the clinical development of these types of product candidates to each take five years or more and for total development costs to exceed $100 million for each product candidate. We estimate that clinical trials of the type we generally conduct are typically completed over the following timelines: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9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83"/>
              </w:rPr>
              <w:t>Estimated</w:t>
            </w:r>
          </w:p>
        </w:tc>
      </w:tr>
      <w:tr>
        <w:trPr>
          <w:trHeight w:val="99"/>
        </w:trPr>
        <w:tc>
          <w:tcPr>
            <w:tcW w:w="9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00" w:type="dxa"/>
            <w:vAlign w:val="bottom"/>
            <w:gridSpan w:val="2"/>
          </w:tcPr>
          <w:p>
            <w:pPr>
              <w:jc w:val="center"/>
              <w:ind w:right="100"/>
              <w:spacing w:after="0" w:line="99" w:lineRule="exact"/>
              <w:rPr>
                <w:sz w:val="20"/>
                <w:szCs w:val="20"/>
                <w:color w:val="auto"/>
              </w:rPr>
            </w:pPr>
            <w:r>
              <w:rPr>
                <w:rFonts w:ascii="Arial" w:cs="Arial" w:eastAsia="Arial" w:hAnsi="Arial"/>
                <w:sz w:val="10"/>
                <w:szCs w:val="10"/>
                <w:b w:val="1"/>
                <w:bCs w:val="1"/>
                <w:color w:val="auto"/>
                <w:w w:val="87"/>
              </w:rPr>
              <w:t>Completion</w:t>
            </w:r>
          </w:p>
        </w:tc>
      </w:tr>
      <w:tr>
        <w:trPr>
          <w:trHeight w:val="114"/>
        </w:trPr>
        <w:tc>
          <w:tcPr>
            <w:tcW w:w="9980" w:type="dxa"/>
            <w:vAlign w:val="bottom"/>
            <w:gridSpan w:val="2"/>
          </w:tcPr>
          <w:p>
            <w:pPr>
              <w:spacing w:after="0" w:line="114" w:lineRule="exact"/>
              <w:rPr>
                <w:sz w:val="20"/>
                <w:szCs w:val="20"/>
                <w:color w:val="auto"/>
              </w:rPr>
            </w:pPr>
            <w:r>
              <w:rPr>
                <w:rFonts w:ascii="Arial" w:cs="Arial" w:eastAsia="Arial" w:hAnsi="Arial"/>
                <w:sz w:val="10"/>
                <w:szCs w:val="10"/>
                <w:b w:val="1"/>
                <w:bCs w:val="1"/>
                <w:color w:val="auto"/>
              </w:rPr>
              <w:t>Clinical Phase</w:t>
            </w:r>
          </w:p>
        </w:tc>
        <w:tc>
          <w:tcPr>
            <w:tcW w:w="1500" w:type="dxa"/>
            <w:vAlign w:val="bottom"/>
            <w:gridSpan w:val="2"/>
          </w:tcPr>
          <w:p>
            <w:pPr>
              <w:jc w:val="center"/>
              <w:ind w:right="100"/>
              <w:spacing w:after="0" w:line="114" w:lineRule="exact"/>
              <w:rPr>
                <w:sz w:val="20"/>
                <w:szCs w:val="20"/>
                <w:color w:val="auto"/>
              </w:rPr>
            </w:pPr>
            <w:r>
              <w:rPr>
                <w:rFonts w:ascii="Arial" w:cs="Arial" w:eastAsia="Arial" w:hAnsi="Arial"/>
                <w:sz w:val="10"/>
                <w:szCs w:val="10"/>
                <w:b w:val="1"/>
                <w:bCs w:val="1"/>
                <w:color w:val="auto"/>
                <w:w w:val="89"/>
              </w:rPr>
              <w:t>Period</w:t>
            </w:r>
          </w:p>
        </w:tc>
      </w:tr>
      <w:tr>
        <w:trPr>
          <w:trHeight w:val="133"/>
        </w:trPr>
        <w:tc>
          <w:tcPr>
            <w:tcW w:w="970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rPr>
              <w:t>Phase 1</w:t>
            </w:r>
          </w:p>
        </w:tc>
        <w:tc>
          <w:tcPr>
            <w:tcW w:w="280" w:type="dxa"/>
            <w:vAlign w:val="bottom"/>
            <w:tcBorders>
              <w:top w:val="single" w:sz="8" w:color="CCEEFF"/>
            </w:tcBorders>
            <w:shd w:val="clear" w:color="auto" w:fill="CCEEFF"/>
          </w:tcPr>
          <w:p>
            <w:pPr>
              <w:spacing w:after="0"/>
              <w:rPr>
                <w:sz w:val="11"/>
                <w:szCs w:val="11"/>
                <w:color w:val="auto"/>
              </w:rPr>
            </w:pPr>
          </w:p>
        </w:tc>
        <w:tc>
          <w:tcPr>
            <w:tcW w:w="1380" w:type="dxa"/>
            <w:vAlign w:val="bottom"/>
            <w:tcBorders>
              <w:top w:val="single" w:sz="8" w:color="auto"/>
            </w:tcBorders>
            <w:shd w:val="clear" w:color="auto" w:fill="CCEEFF"/>
          </w:tcPr>
          <w:p>
            <w:pPr>
              <w:jc w:val="center"/>
              <w:spacing w:after="0" w:line="133" w:lineRule="exact"/>
              <w:rPr>
                <w:sz w:val="20"/>
                <w:szCs w:val="20"/>
                <w:color w:val="auto"/>
              </w:rPr>
            </w:pPr>
            <w:r>
              <w:rPr>
                <w:rFonts w:ascii="Arial" w:cs="Arial" w:eastAsia="Arial" w:hAnsi="Arial"/>
                <w:sz w:val="12"/>
                <w:szCs w:val="12"/>
                <w:color w:val="auto"/>
                <w:w w:val="88"/>
              </w:rPr>
              <w:t>1 - 2 Years</w:t>
            </w:r>
          </w:p>
        </w:tc>
        <w:tc>
          <w:tcPr>
            <w:tcW w:w="120" w:type="dxa"/>
            <w:vAlign w:val="bottom"/>
            <w:tcBorders>
              <w:top w:val="single" w:sz="8" w:color="CCEEFF"/>
            </w:tcBorders>
            <w:shd w:val="clear" w:color="auto" w:fill="CCEEFF"/>
          </w:tcPr>
          <w:p>
            <w:pPr>
              <w:spacing w:after="0"/>
              <w:rPr>
                <w:sz w:val="11"/>
                <w:szCs w:val="11"/>
                <w:color w:val="auto"/>
              </w:rPr>
            </w:pPr>
          </w:p>
        </w:tc>
      </w:tr>
      <w:tr>
        <w:trPr>
          <w:trHeight w:val="144"/>
        </w:trPr>
        <w:tc>
          <w:tcPr>
            <w:tcW w:w="9980" w:type="dxa"/>
            <w:vAlign w:val="bottom"/>
            <w:gridSpan w:val="2"/>
          </w:tcPr>
          <w:p>
            <w:pPr>
              <w:spacing w:after="0"/>
              <w:rPr>
                <w:sz w:val="20"/>
                <w:szCs w:val="20"/>
                <w:color w:val="auto"/>
              </w:rPr>
            </w:pPr>
            <w:r>
              <w:rPr>
                <w:rFonts w:ascii="Arial" w:cs="Arial" w:eastAsia="Arial" w:hAnsi="Arial"/>
                <w:sz w:val="12"/>
                <w:szCs w:val="12"/>
                <w:color w:val="auto"/>
              </w:rPr>
              <w:t>Phase 2</w:t>
            </w:r>
          </w:p>
        </w:tc>
        <w:tc>
          <w:tcPr>
            <w:tcW w:w="1500" w:type="dxa"/>
            <w:vAlign w:val="bottom"/>
            <w:gridSpan w:val="2"/>
          </w:tcPr>
          <w:p>
            <w:pPr>
              <w:jc w:val="center"/>
              <w:ind w:right="100"/>
              <w:spacing w:after="0"/>
              <w:rPr>
                <w:sz w:val="20"/>
                <w:szCs w:val="20"/>
                <w:color w:val="auto"/>
              </w:rPr>
            </w:pPr>
            <w:r>
              <w:rPr>
                <w:rFonts w:ascii="Arial" w:cs="Arial" w:eastAsia="Arial" w:hAnsi="Arial"/>
                <w:sz w:val="12"/>
                <w:szCs w:val="12"/>
                <w:color w:val="auto"/>
                <w:w w:val="88"/>
              </w:rPr>
              <w:t>1 - 5 Years</w:t>
            </w:r>
          </w:p>
        </w:tc>
      </w:tr>
      <w:tr>
        <w:trPr>
          <w:trHeight w:val="144"/>
        </w:trPr>
        <w:tc>
          <w:tcPr>
            <w:tcW w:w="99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Phase 3</w:t>
            </w:r>
          </w:p>
        </w:tc>
        <w:tc>
          <w:tcPr>
            <w:tcW w:w="150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88"/>
              </w:rPr>
              <w:t>1 - 5 Years</w:t>
            </w:r>
          </w:p>
        </w:tc>
      </w:tr>
      <w:tr>
        <w:trPr>
          <w:trHeight w:val="288"/>
        </w:trPr>
        <w:tc>
          <w:tcPr>
            <w:tcW w:w="9980" w:type="dxa"/>
            <w:vAlign w:val="bottom"/>
            <w:gridSpan w:val="2"/>
          </w:tcPr>
          <w:p>
            <w:pPr>
              <w:ind w:left="420"/>
              <w:spacing w:after="0"/>
              <w:rPr>
                <w:sz w:val="20"/>
                <w:szCs w:val="20"/>
                <w:color w:val="auto"/>
              </w:rPr>
            </w:pPr>
            <w:r>
              <w:rPr>
                <w:rFonts w:ascii="Arial" w:cs="Arial" w:eastAsia="Arial" w:hAnsi="Arial"/>
                <w:sz w:val="12"/>
                <w:szCs w:val="12"/>
                <w:color w:val="auto"/>
                <w:w w:val="94"/>
              </w:rPr>
              <w:t>The duration and the cost of clinical trials may vary significantly over the life of a project as a result of differences arising during the clinical trial protocol, including, among others, the following:</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88"/>
        </w:trPr>
        <w:tc>
          <w:tcPr>
            <w:tcW w:w="9980" w:type="dxa"/>
            <w:vAlign w:val="bottom"/>
            <w:gridSpan w:val="2"/>
          </w:tcPr>
          <w:p>
            <w:pPr>
              <w:ind w:left="420"/>
              <w:spacing w:after="0"/>
              <w:rPr>
                <w:sz w:val="20"/>
                <w:szCs w:val="20"/>
                <w:color w:val="auto"/>
              </w:rPr>
            </w:pPr>
            <w:r>
              <w:rPr>
                <w:rFonts w:ascii="Arial" w:cs="Arial" w:eastAsia="Arial" w:hAnsi="Arial"/>
                <w:sz w:val="12"/>
                <w:szCs w:val="12"/>
                <w:color w:val="auto"/>
              </w:rPr>
              <w:t>·   the number of patients that ultimately participate in the trial;</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88"/>
        </w:trPr>
        <w:tc>
          <w:tcPr>
            <w:tcW w:w="9980" w:type="dxa"/>
            <w:vAlign w:val="bottom"/>
            <w:gridSpan w:val="2"/>
          </w:tcPr>
          <w:p>
            <w:pPr>
              <w:ind w:left="420"/>
              <w:spacing w:after="0"/>
              <w:rPr>
                <w:sz w:val="20"/>
                <w:szCs w:val="20"/>
                <w:color w:val="auto"/>
              </w:rPr>
            </w:pPr>
            <w:r>
              <w:rPr>
                <w:rFonts w:ascii="Arial" w:cs="Arial" w:eastAsia="Arial" w:hAnsi="Arial"/>
                <w:sz w:val="12"/>
                <w:szCs w:val="12"/>
                <w:color w:val="auto"/>
              </w:rPr>
              <w:t>·   the duration of patient follow-up that seems appropriate in view of results;</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88"/>
        </w:trPr>
        <w:tc>
          <w:tcPr>
            <w:tcW w:w="9980" w:type="dxa"/>
            <w:vAlign w:val="bottom"/>
            <w:gridSpan w:val="2"/>
          </w:tcPr>
          <w:p>
            <w:pPr>
              <w:ind w:left="420"/>
              <w:spacing w:after="0"/>
              <w:rPr>
                <w:sz w:val="20"/>
                <w:szCs w:val="20"/>
                <w:color w:val="auto"/>
              </w:rPr>
            </w:pPr>
            <w:r>
              <w:rPr>
                <w:rFonts w:ascii="Arial" w:cs="Arial" w:eastAsia="Arial" w:hAnsi="Arial"/>
                <w:sz w:val="12"/>
                <w:szCs w:val="12"/>
                <w:color w:val="auto"/>
              </w:rPr>
              <w:t>·   the number of clinical sites included in the trials;</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88"/>
        </w:trPr>
        <w:tc>
          <w:tcPr>
            <w:tcW w:w="9980" w:type="dxa"/>
            <w:vAlign w:val="bottom"/>
            <w:gridSpan w:val="2"/>
          </w:tcPr>
          <w:p>
            <w:pPr>
              <w:ind w:left="420"/>
              <w:spacing w:after="0"/>
              <w:rPr>
                <w:sz w:val="20"/>
                <w:szCs w:val="20"/>
                <w:color w:val="auto"/>
              </w:rPr>
            </w:pPr>
            <w:r>
              <w:rPr>
                <w:rFonts w:ascii="Arial" w:cs="Arial" w:eastAsia="Arial" w:hAnsi="Arial"/>
                <w:sz w:val="12"/>
                <w:szCs w:val="12"/>
                <w:color w:val="auto"/>
              </w:rPr>
              <w:t>·   the length of time required to enroll suitable patient subjects; and</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88"/>
        </w:trPr>
        <w:tc>
          <w:tcPr>
            <w:tcW w:w="9980" w:type="dxa"/>
            <w:vAlign w:val="bottom"/>
            <w:gridSpan w:val="2"/>
          </w:tcPr>
          <w:p>
            <w:pPr>
              <w:ind w:left="420"/>
              <w:spacing w:after="0"/>
              <w:rPr>
                <w:sz w:val="20"/>
                <w:szCs w:val="20"/>
                <w:color w:val="auto"/>
              </w:rPr>
            </w:pPr>
            <w:r>
              <w:rPr>
                <w:rFonts w:ascii="Arial" w:cs="Arial" w:eastAsia="Arial" w:hAnsi="Arial"/>
                <w:sz w:val="12"/>
                <w:szCs w:val="12"/>
                <w:color w:val="auto"/>
              </w:rPr>
              <w:t>·   the efficacy and safety profile of the product candidate.</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135" w:lineRule="exact"/>
        <w:rPr>
          <w:sz w:val="20"/>
          <w:szCs w:val="20"/>
          <w:color w:val="auto"/>
        </w:rPr>
      </w:pPr>
    </w:p>
    <w:p>
      <w:pPr>
        <w:ind w:right="240" w:firstLine="432"/>
        <w:spacing w:after="0" w:line="276" w:lineRule="auto"/>
        <w:rPr>
          <w:sz w:val="20"/>
          <w:szCs w:val="20"/>
          <w:color w:val="auto"/>
        </w:rPr>
      </w:pPr>
      <w:r>
        <w:rPr>
          <w:rFonts w:ascii="Arial" w:cs="Arial" w:eastAsia="Arial" w:hAnsi="Arial"/>
          <w:sz w:val="12"/>
          <w:szCs w:val="12"/>
          <w:color w:val="auto"/>
        </w:rPr>
        <w:t>We test potential product candidates in numerous preclinical studies for safety, toxicology and immunogenicity. We may then conduct multiple clinical trials for each product candidate. As we obtain results from trials, we may elect to discontinue or delay clinical trials for certain product candidates in order to focus our resources on more promising product candidates.</w:t>
      </w:r>
    </w:p>
    <w:p>
      <w:pPr>
        <w:spacing w:after="0" w:line="115" w:lineRule="exact"/>
        <w:rPr>
          <w:sz w:val="20"/>
          <w:szCs w:val="20"/>
          <w:color w:val="auto"/>
        </w:rPr>
      </w:pPr>
    </w:p>
    <w:p>
      <w:pPr>
        <w:ind w:right="640" w:firstLine="432"/>
        <w:spacing w:after="0" w:line="276" w:lineRule="auto"/>
        <w:rPr>
          <w:sz w:val="20"/>
          <w:szCs w:val="20"/>
          <w:color w:val="auto"/>
        </w:rPr>
      </w:pPr>
      <w:r>
        <w:rPr>
          <w:rFonts w:ascii="Arial" w:cs="Arial" w:eastAsia="Arial" w:hAnsi="Arial"/>
          <w:sz w:val="12"/>
          <w:szCs w:val="12"/>
          <w:color w:val="auto"/>
        </w:rPr>
        <w:t>An element of our business strategy is to pursue the research and development of a broad portfolio of product candidates. This is intended to allow us to diversify the risks associated with our research and development expenditures. To the extent we are unable to maintain a broad range of product candidates, our dependence on the success of one or a few product candidates increases.</w:t>
      </w:r>
    </w:p>
    <w:p>
      <w:pPr>
        <w:spacing w:after="0" w:line="115" w:lineRule="exact"/>
        <w:rPr>
          <w:sz w:val="20"/>
          <w:szCs w:val="20"/>
          <w:color w:val="auto"/>
        </w:rPr>
      </w:pPr>
    </w:p>
    <w:p>
      <w:pPr>
        <w:jc w:val="both"/>
        <w:ind w:right="60" w:firstLine="432"/>
        <w:spacing w:after="0" w:line="298" w:lineRule="auto"/>
        <w:rPr>
          <w:sz w:val="20"/>
          <w:szCs w:val="20"/>
          <w:color w:val="auto"/>
        </w:rPr>
      </w:pPr>
      <w:r>
        <w:rPr>
          <w:rFonts w:ascii="Arial" w:cs="Arial" w:eastAsia="Arial" w:hAnsi="Arial"/>
          <w:sz w:val="11"/>
          <w:szCs w:val="11"/>
          <w:color w:val="auto"/>
        </w:rPr>
        <w:t>Regulatory approval is required before we can market our product candidates as therapeutic products. In order to proceed to subsequent clinical trial stages and to ultimately achieve regulatory approval, the regulatory agency must conclude that our clinical data are safe and effective. Historically, the results from preclinical testing and early clinical trials (through Phase 2) have often not been predictive of results obtained in later clinical trials. A number of new drugs and biologics have shown promising results in early clinical trials but subsequently failed to establish sufficient safety and efficacy data to obtain necessary regulatory approvals.</w:t>
      </w:r>
    </w:p>
    <w:p>
      <w:pPr>
        <w:sectPr>
          <w:pgSz w:w="11900" w:h="16838" w:orient="portrait"/>
          <w:cols w:equalWidth="0" w:num="1">
            <w:col w:w="11500"/>
          </w:cols>
          <w:pgMar w:left="220" w:top="131" w:right="179" w:bottom="0" w:gutter="0" w:footer="0" w:header="0"/>
        </w:sectPr>
      </w:pPr>
    </w:p>
    <w:bookmarkStart w:id="7" w:name="page8"/>
    <w:bookmarkEnd w:id="7"/>
    <w:p>
      <w:pPr>
        <w:spacing w:after="0" w:line="8" w:lineRule="exact"/>
        <w:rPr>
          <w:sz w:val="20"/>
          <w:szCs w:val="20"/>
          <w:color w:val="auto"/>
        </w:rPr>
      </w:pPr>
    </w:p>
    <w:p>
      <w:pPr>
        <w:ind w:right="20" w:firstLine="432"/>
        <w:spacing w:after="0" w:line="259" w:lineRule="auto"/>
        <w:rPr>
          <w:sz w:val="20"/>
          <w:szCs w:val="20"/>
          <w:color w:val="auto"/>
        </w:rPr>
      </w:pPr>
      <w:r>
        <w:rPr>
          <w:rFonts w:ascii="Arial" w:cs="Arial" w:eastAsia="Arial" w:hAnsi="Arial"/>
          <w:sz w:val="12"/>
          <w:szCs w:val="12"/>
          <w:color w:val="auto"/>
        </w:rPr>
        <w:t>Furthermore, our business strategy includes the option of entering into collaborative arrangements with third parties to complete the development and commercialization of our product candidates. In the event that third parties take over the clinical trial process for one of our product candidates, the estimated completion date would largely be under control of that third party rather than us. We cannot forecast with any degree of certainty which proprietary products, if any, will be subject to future collaborative arrangements, in whole or in part, and how such arrangements would affect our development plan or capital requirements. Our programs may also benefit from subsidies, grants, contracts or government or agency-sponsored studies that could reduce our development costs.</w:t>
      </w:r>
    </w:p>
    <w:p>
      <w:pPr>
        <w:spacing w:after="0" w:line="125" w:lineRule="exact"/>
        <w:rPr>
          <w:sz w:val="20"/>
          <w:szCs w:val="20"/>
          <w:color w:val="auto"/>
        </w:rPr>
      </w:pPr>
    </w:p>
    <w:p>
      <w:pPr>
        <w:ind w:right="40" w:firstLine="432"/>
        <w:spacing w:after="0" w:line="259" w:lineRule="auto"/>
        <w:rPr>
          <w:sz w:val="20"/>
          <w:szCs w:val="20"/>
          <w:color w:val="auto"/>
        </w:rPr>
      </w:pPr>
      <w:r>
        <w:rPr>
          <w:rFonts w:ascii="Arial" w:cs="Arial" w:eastAsia="Arial" w:hAnsi="Arial"/>
          <w:sz w:val="12"/>
          <w:szCs w:val="12"/>
          <w:color w:val="auto"/>
        </w:rPr>
        <w:t>As a result of the uncertainties discussed above, among others, it is difficult to accurately estimate the duration and completion costs of our research and development projects or when, if ever, and to what extent we will receive cash inflows from the commercialization and sale of a product. Our inability to complete our research and development projects in a timely manner or our failure to enter into collaborative agreements, when appropriate, could significantly increase our capital requirements and could adversely impact our liquidity. These uncertainties could force us to seek additional, external sources of financing from time to time in order to continue with our business strategy. Our inability to raise additional capital, or to do so on terms reasonably acceptable to us, would jeopardize the future success of our business.</w:t>
      </w:r>
    </w:p>
    <w:p>
      <w:pPr>
        <w:spacing w:after="0" w:line="125" w:lineRule="exact"/>
        <w:rPr>
          <w:sz w:val="20"/>
          <w:szCs w:val="20"/>
          <w:color w:val="auto"/>
        </w:rPr>
      </w:pPr>
    </w:p>
    <w:p>
      <w:pPr>
        <w:ind w:right="260" w:firstLine="432"/>
        <w:spacing w:after="0" w:line="276" w:lineRule="auto"/>
        <w:rPr>
          <w:sz w:val="20"/>
          <w:szCs w:val="20"/>
          <w:color w:val="auto"/>
        </w:rPr>
      </w:pPr>
      <w:r>
        <w:rPr>
          <w:rFonts w:ascii="Arial" w:cs="Arial" w:eastAsia="Arial" w:hAnsi="Arial"/>
          <w:sz w:val="12"/>
          <w:szCs w:val="12"/>
          <w:color w:val="auto"/>
        </w:rPr>
        <w:t>During the past five years through December 31, 2016, we incurred an aggregate of $422.1 million in research and development expenses. The following table indicates the amount incurred for each of our significant research programs and for other identified research and development activities during the six months ended June 30, 2017 and 2016. The amounts disclosed in the</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310755" cy="241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10755" cy="24130"/>
                    </a:xfrm>
                    <a:prstGeom prst="rect">
                      <a:avLst/>
                    </a:prstGeom>
                    <a:noFill/>
                  </pic:spPr>
                </pic:pic>
              </a:graphicData>
            </a:graphic>
          </wp:anchor>
        </w:drawing>
      </w:r>
    </w:p>
    <w:p>
      <w:pPr>
        <w:spacing w:after="0" w:line="319" w:lineRule="exact"/>
        <w:rPr>
          <w:sz w:val="20"/>
          <w:szCs w:val="20"/>
          <w:color w:val="auto"/>
        </w:rPr>
      </w:pPr>
    </w:p>
    <w:p>
      <w:pPr>
        <w:spacing w:after="0"/>
        <w:rPr>
          <w:rFonts w:ascii="Arial" w:cs="Arial" w:eastAsia="Arial" w:hAnsi="Arial"/>
          <w:sz w:val="12"/>
          <w:szCs w:val="12"/>
          <w:u w:val="single" w:color="auto"/>
          <w:color w:val="0000EE"/>
        </w:rPr>
      </w:pPr>
      <w:hyperlink w:anchor="page1">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following table reflect direct research and development costs, license fees associated with the underlying technology and an allocation of indirect research and development costs to each program.</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320" w:type="dxa"/>
            <w:vAlign w:val="bottom"/>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0"/>
                <w:szCs w:val="10"/>
                <w:b w:val="1"/>
                <w:bCs w:val="1"/>
                <w:color w:val="auto"/>
                <w:w w:val="91"/>
              </w:rPr>
              <w:t>Six Months Ended June 30,</w:t>
            </w:r>
          </w:p>
        </w:tc>
        <w:tc>
          <w:tcPr>
            <w:tcW w:w="8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88"/>
        </w:trPr>
        <w:tc>
          <w:tcPr>
            <w:tcW w:w="8320" w:type="dxa"/>
            <w:vAlign w:val="bottom"/>
          </w:tcPr>
          <w:p>
            <w:pPr>
              <w:spacing w:after="0"/>
              <w:rPr>
                <w:sz w:val="7"/>
                <w:szCs w:val="7"/>
                <w:color w:val="auto"/>
              </w:rPr>
            </w:pPr>
          </w:p>
        </w:tc>
        <w:tc>
          <w:tcPr>
            <w:tcW w:w="880" w:type="dxa"/>
            <w:vAlign w:val="bottom"/>
            <w:tcBorders>
              <w:bottom w:val="single" w:sz="8" w:color="auto"/>
            </w:tcBorders>
          </w:tcPr>
          <w:p>
            <w:pPr>
              <w:jc w:val="right"/>
              <w:ind w:right="31"/>
              <w:spacing w:after="0" w:line="88" w:lineRule="exact"/>
              <w:rPr>
                <w:sz w:val="20"/>
                <w:szCs w:val="20"/>
                <w:color w:val="auto"/>
              </w:rPr>
            </w:pPr>
            <w:r>
              <w:rPr>
                <w:rFonts w:ascii="Arial" w:cs="Arial" w:eastAsia="Arial" w:hAnsi="Arial"/>
                <w:sz w:val="10"/>
                <w:szCs w:val="10"/>
                <w:b w:val="1"/>
                <w:bCs w:val="1"/>
                <w:color w:val="auto"/>
              </w:rPr>
              <w:t>2017</w:t>
            </w:r>
          </w:p>
        </w:tc>
        <w:tc>
          <w:tcPr>
            <w:tcW w:w="5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jc w:val="right"/>
              <w:ind w:right="521"/>
              <w:spacing w:after="0" w:line="88" w:lineRule="exact"/>
              <w:rPr>
                <w:sz w:val="20"/>
                <w:szCs w:val="20"/>
                <w:color w:val="auto"/>
              </w:rPr>
            </w:pPr>
            <w:r>
              <w:rPr>
                <w:rFonts w:ascii="Arial" w:cs="Arial" w:eastAsia="Arial" w:hAnsi="Arial"/>
                <w:sz w:val="10"/>
                <w:szCs w:val="10"/>
                <w:b w:val="1"/>
                <w:bCs w:val="1"/>
                <w:color w:val="auto"/>
              </w:rPr>
              <w:t>2016</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88"/>
        </w:trPr>
        <w:tc>
          <w:tcPr>
            <w:tcW w:w="83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00" w:type="dxa"/>
            <w:vAlign w:val="bottom"/>
            <w:gridSpan w:val="3"/>
          </w:tcPr>
          <w:p>
            <w:pPr>
              <w:jc w:val="right"/>
              <w:ind w:right="310"/>
              <w:spacing w:after="0" w:line="88" w:lineRule="exact"/>
              <w:rPr>
                <w:sz w:val="20"/>
                <w:szCs w:val="20"/>
                <w:color w:val="auto"/>
              </w:rPr>
            </w:pPr>
            <w:r>
              <w:rPr>
                <w:rFonts w:ascii="Arial" w:cs="Arial" w:eastAsia="Arial" w:hAnsi="Arial"/>
                <w:sz w:val="10"/>
                <w:szCs w:val="10"/>
                <w:b w:val="1"/>
                <w:bCs w:val="1"/>
                <w:color w:val="auto"/>
              </w:rPr>
              <w:t>(In thousands)</w:t>
            </w:r>
          </w:p>
        </w:tc>
        <w:tc>
          <w:tcPr>
            <w:tcW w:w="8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144"/>
        </w:trPr>
        <w:tc>
          <w:tcPr>
            <w:tcW w:w="83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Glembatumumab vedotin</w:t>
            </w:r>
          </w:p>
        </w:tc>
        <w:tc>
          <w:tcPr>
            <w:tcW w:w="880" w:type="dxa"/>
            <w:vAlign w:val="bottom"/>
            <w:shd w:val="clear" w:color="auto" w:fill="CCEEFF"/>
          </w:tcPr>
          <w:p>
            <w:pPr>
              <w:jc w:val="right"/>
              <w:ind w:right="771"/>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18,532</w:t>
            </w:r>
          </w:p>
        </w:tc>
        <w:tc>
          <w:tcPr>
            <w:tcW w:w="500" w:type="dxa"/>
            <w:vAlign w:val="bottom"/>
            <w:shd w:val="clear" w:color="auto" w:fill="CCEEFF"/>
          </w:tcPr>
          <w:p>
            <w:pPr>
              <w:jc w:val="right"/>
              <w:ind w:right="390"/>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12,097</w:t>
            </w:r>
          </w:p>
        </w:tc>
        <w:tc>
          <w:tcPr>
            <w:tcW w:w="100" w:type="dxa"/>
            <w:vAlign w:val="bottom"/>
            <w:shd w:val="clear" w:color="auto" w:fill="CCEEFF"/>
          </w:tcPr>
          <w:p>
            <w:pPr>
              <w:spacing w:after="0"/>
              <w:rPr>
                <w:sz w:val="12"/>
                <w:szCs w:val="12"/>
                <w:color w:val="auto"/>
              </w:rPr>
            </w:pPr>
          </w:p>
        </w:tc>
      </w:tr>
      <w:tr>
        <w:trPr>
          <w:trHeight w:val="144"/>
        </w:trPr>
        <w:tc>
          <w:tcPr>
            <w:tcW w:w="8320" w:type="dxa"/>
            <w:vAlign w:val="bottom"/>
          </w:tcPr>
          <w:p>
            <w:pPr>
              <w:ind w:left="120"/>
              <w:spacing w:after="0"/>
              <w:rPr>
                <w:sz w:val="20"/>
                <w:szCs w:val="20"/>
                <w:color w:val="auto"/>
              </w:rPr>
            </w:pPr>
            <w:r>
              <w:rPr>
                <w:rFonts w:ascii="Arial" w:cs="Arial" w:eastAsia="Arial" w:hAnsi="Arial"/>
                <w:sz w:val="12"/>
                <w:szCs w:val="12"/>
                <w:color w:val="auto"/>
              </w:rPr>
              <w:t>Varlilumab</w:t>
            </w:r>
          </w:p>
        </w:tc>
        <w:tc>
          <w:tcPr>
            <w:tcW w:w="880" w:type="dxa"/>
            <w:vAlign w:val="bottom"/>
          </w:tcPr>
          <w:p>
            <w:pPr>
              <w:spacing w:after="0"/>
              <w:rPr>
                <w:sz w:val="12"/>
                <w:szCs w:val="12"/>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2"/>
                <w:szCs w:val="12"/>
                <w:color w:val="auto"/>
              </w:rPr>
              <w:t>8,620</w:t>
            </w:r>
          </w:p>
        </w:tc>
        <w:tc>
          <w:tcPr>
            <w:tcW w:w="500" w:type="dxa"/>
            <w:vAlign w:val="bottom"/>
          </w:tcPr>
          <w:p>
            <w:pPr>
              <w:spacing w:after="0"/>
              <w:rPr>
                <w:sz w:val="12"/>
                <w:szCs w:val="12"/>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2"/>
                <w:szCs w:val="12"/>
                <w:color w:val="auto"/>
              </w:rPr>
              <w:t>15,559</w:t>
            </w:r>
          </w:p>
        </w:tc>
        <w:tc>
          <w:tcPr>
            <w:tcW w:w="100" w:type="dxa"/>
            <w:vAlign w:val="bottom"/>
          </w:tcPr>
          <w:p>
            <w:pPr>
              <w:spacing w:after="0"/>
              <w:rPr>
                <w:sz w:val="12"/>
                <w:szCs w:val="12"/>
                <w:color w:val="auto"/>
              </w:rPr>
            </w:pPr>
          </w:p>
        </w:tc>
      </w:tr>
      <w:tr>
        <w:trPr>
          <w:trHeight w:val="144"/>
        </w:trPr>
        <w:tc>
          <w:tcPr>
            <w:tcW w:w="83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CDX-0158</w:t>
            </w:r>
          </w:p>
        </w:tc>
        <w:tc>
          <w:tcPr>
            <w:tcW w:w="8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2,376</w:t>
            </w:r>
          </w:p>
        </w:tc>
        <w:tc>
          <w:tcPr>
            <w:tcW w:w="500" w:type="dxa"/>
            <w:vAlign w:val="bottom"/>
            <w:shd w:val="clear" w:color="auto" w:fill="CCEEFF"/>
          </w:tcPr>
          <w:p>
            <w:pPr>
              <w:spacing w:after="0"/>
              <w:rPr>
                <w:sz w:val="12"/>
                <w:szCs w:val="12"/>
                <w:color w:val="auto"/>
              </w:rPr>
            </w:pPr>
          </w:p>
        </w:tc>
        <w:tc>
          <w:tcPr>
            <w:tcW w:w="980" w:type="dxa"/>
            <w:vAlign w:val="bottom"/>
            <w:gridSpan w:val="3"/>
            <w:shd w:val="clear" w:color="auto" w:fill="CCEEFF"/>
          </w:tcPr>
          <w:p>
            <w:pPr>
              <w:ind w:left="740"/>
              <w:spacing w:after="0"/>
              <w:rPr>
                <w:sz w:val="20"/>
                <w:szCs w:val="20"/>
                <w:color w:val="auto"/>
              </w:rPr>
            </w:pPr>
            <w:r>
              <w:rPr>
                <w:rFonts w:ascii="Arial" w:cs="Arial" w:eastAsia="Arial" w:hAnsi="Arial"/>
                <w:sz w:val="12"/>
                <w:szCs w:val="12"/>
                <w:color w:val="auto"/>
              </w:rPr>
              <w:t>—</w:t>
            </w:r>
          </w:p>
        </w:tc>
      </w:tr>
      <w:tr>
        <w:trPr>
          <w:trHeight w:val="144"/>
        </w:trPr>
        <w:tc>
          <w:tcPr>
            <w:tcW w:w="8320" w:type="dxa"/>
            <w:vAlign w:val="bottom"/>
          </w:tcPr>
          <w:p>
            <w:pPr>
              <w:ind w:left="120"/>
              <w:spacing w:after="0"/>
              <w:rPr>
                <w:sz w:val="20"/>
                <w:szCs w:val="20"/>
                <w:color w:val="auto"/>
              </w:rPr>
            </w:pPr>
            <w:r>
              <w:rPr>
                <w:rFonts w:ascii="Arial" w:cs="Arial" w:eastAsia="Arial" w:hAnsi="Arial"/>
                <w:sz w:val="12"/>
                <w:szCs w:val="12"/>
                <w:color w:val="auto"/>
              </w:rPr>
              <w:t>CDX-3379</w:t>
            </w:r>
          </w:p>
        </w:tc>
        <w:tc>
          <w:tcPr>
            <w:tcW w:w="880" w:type="dxa"/>
            <w:vAlign w:val="bottom"/>
          </w:tcPr>
          <w:p>
            <w:pPr>
              <w:spacing w:after="0"/>
              <w:rPr>
                <w:sz w:val="12"/>
                <w:szCs w:val="12"/>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2"/>
                <w:szCs w:val="12"/>
                <w:color w:val="auto"/>
              </w:rPr>
              <w:t>2,419</w:t>
            </w:r>
          </w:p>
        </w:tc>
        <w:tc>
          <w:tcPr>
            <w:tcW w:w="500" w:type="dxa"/>
            <w:vAlign w:val="bottom"/>
          </w:tcPr>
          <w:p>
            <w:pPr>
              <w:spacing w:after="0"/>
              <w:rPr>
                <w:sz w:val="12"/>
                <w:szCs w:val="12"/>
                <w:color w:val="auto"/>
              </w:rPr>
            </w:pPr>
          </w:p>
        </w:tc>
        <w:tc>
          <w:tcPr>
            <w:tcW w:w="980" w:type="dxa"/>
            <w:vAlign w:val="bottom"/>
            <w:gridSpan w:val="3"/>
          </w:tcPr>
          <w:p>
            <w:pPr>
              <w:ind w:left="740"/>
              <w:spacing w:after="0"/>
              <w:rPr>
                <w:sz w:val="20"/>
                <w:szCs w:val="20"/>
                <w:color w:val="auto"/>
              </w:rPr>
            </w:pPr>
            <w:r>
              <w:rPr>
                <w:rFonts w:ascii="Arial" w:cs="Arial" w:eastAsia="Arial" w:hAnsi="Arial"/>
                <w:sz w:val="12"/>
                <w:szCs w:val="12"/>
                <w:color w:val="auto"/>
              </w:rPr>
              <w:t>—</w:t>
            </w:r>
          </w:p>
        </w:tc>
      </w:tr>
      <w:tr>
        <w:trPr>
          <w:trHeight w:val="144"/>
        </w:trPr>
        <w:tc>
          <w:tcPr>
            <w:tcW w:w="83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CDX-014</w:t>
            </w:r>
          </w:p>
        </w:tc>
        <w:tc>
          <w:tcPr>
            <w:tcW w:w="8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1,350</w:t>
            </w:r>
          </w:p>
        </w:tc>
        <w:tc>
          <w:tcPr>
            <w:tcW w:w="5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1,882</w:t>
            </w:r>
          </w:p>
        </w:tc>
        <w:tc>
          <w:tcPr>
            <w:tcW w:w="100" w:type="dxa"/>
            <w:vAlign w:val="bottom"/>
            <w:shd w:val="clear" w:color="auto" w:fill="CCEEFF"/>
          </w:tcPr>
          <w:p>
            <w:pPr>
              <w:spacing w:after="0"/>
              <w:rPr>
                <w:sz w:val="12"/>
                <w:szCs w:val="12"/>
                <w:color w:val="auto"/>
              </w:rPr>
            </w:pPr>
          </w:p>
        </w:tc>
      </w:tr>
      <w:tr>
        <w:trPr>
          <w:trHeight w:val="144"/>
        </w:trPr>
        <w:tc>
          <w:tcPr>
            <w:tcW w:w="8320" w:type="dxa"/>
            <w:vAlign w:val="bottom"/>
          </w:tcPr>
          <w:p>
            <w:pPr>
              <w:ind w:left="120"/>
              <w:spacing w:after="0"/>
              <w:rPr>
                <w:sz w:val="20"/>
                <w:szCs w:val="20"/>
                <w:color w:val="auto"/>
              </w:rPr>
            </w:pPr>
            <w:r>
              <w:rPr>
                <w:rFonts w:ascii="Arial" w:cs="Arial" w:eastAsia="Arial" w:hAnsi="Arial"/>
                <w:sz w:val="12"/>
                <w:szCs w:val="12"/>
                <w:color w:val="auto"/>
              </w:rPr>
              <w:t>CDX-1401</w:t>
            </w:r>
          </w:p>
        </w:tc>
        <w:tc>
          <w:tcPr>
            <w:tcW w:w="880" w:type="dxa"/>
            <w:vAlign w:val="bottom"/>
          </w:tcPr>
          <w:p>
            <w:pPr>
              <w:spacing w:after="0"/>
              <w:rPr>
                <w:sz w:val="12"/>
                <w:szCs w:val="12"/>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2"/>
                <w:szCs w:val="12"/>
                <w:color w:val="auto"/>
              </w:rPr>
              <w:t>314</w:t>
            </w:r>
          </w:p>
        </w:tc>
        <w:tc>
          <w:tcPr>
            <w:tcW w:w="500" w:type="dxa"/>
            <w:vAlign w:val="bottom"/>
          </w:tcPr>
          <w:p>
            <w:pPr>
              <w:spacing w:after="0"/>
              <w:rPr>
                <w:sz w:val="12"/>
                <w:szCs w:val="12"/>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2"/>
                <w:szCs w:val="12"/>
                <w:color w:val="auto"/>
              </w:rPr>
              <w:t>3,039</w:t>
            </w:r>
          </w:p>
        </w:tc>
        <w:tc>
          <w:tcPr>
            <w:tcW w:w="100" w:type="dxa"/>
            <w:vAlign w:val="bottom"/>
          </w:tcPr>
          <w:p>
            <w:pPr>
              <w:spacing w:after="0"/>
              <w:rPr>
                <w:sz w:val="12"/>
                <w:szCs w:val="12"/>
                <w:color w:val="auto"/>
              </w:rPr>
            </w:pPr>
          </w:p>
        </w:tc>
      </w:tr>
      <w:tr>
        <w:trPr>
          <w:trHeight w:val="144"/>
        </w:trPr>
        <w:tc>
          <w:tcPr>
            <w:tcW w:w="83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CDX-301</w:t>
            </w:r>
          </w:p>
        </w:tc>
        <w:tc>
          <w:tcPr>
            <w:tcW w:w="8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661</w:t>
            </w:r>
          </w:p>
        </w:tc>
        <w:tc>
          <w:tcPr>
            <w:tcW w:w="5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2,643</w:t>
            </w:r>
          </w:p>
        </w:tc>
        <w:tc>
          <w:tcPr>
            <w:tcW w:w="100" w:type="dxa"/>
            <w:vAlign w:val="bottom"/>
            <w:shd w:val="clear" w:color="auto" w:fill="CCEEFF"/>
          </w:tcPr>
          <w:p>
            <w:pPr>
              <w:spacing w:after="0"/>
              <w:rPr>
                <w:sz w:val="12"/>
                <w:szCs w:val="12"/>
                <w:color w:val="auto"/>
              </w:rPr>
            </w:pPr>
          </w:p>
        </w:tc>
      </w:tr>
      <w:tr>
        <w:trPr>
          <w:trHeight w:val="144"/>
        </w:trPr>
        <w:tc>
          <w:tcPr>
            <w:tcW w:w="8320" w:type="dxa"/>
            <w:vAlign w:val="bottom"/>
          </w:tcPr>
          <w:p>
            <w:pPr>
              <w:ind w:left="120"/>
              <w:spacing w:after="0"/>
              <w:rPr>
                <w:sz w:val="20"/>
                <w:szCs w:val="20"/>
                <w:color w:val="auto"/>
              </w:rPr>
            </w:pPr>
            <w:r>
              <w:rPr>
                <w:rFonts w:ascii="Arial" w:cs="Arial" w:eastAsia="Arial" w:hAnsi="Arial"/>
                <w:sz w:val="12"/>
                <w:szCs w:val="12"/>
                <w:color w:val="auto"/>
              </w:rPr>
              <w:t>CDX-1140</w:t>
            </w:r>
          </w:p>
        </w:tc>
        <w:tc>
          <w:tcPr>
            <w:tcW w:w="880" w:type="dxa"/>
            <w:vAlign w:val="bottom"/>
          </w:tcPr>
          <w:p>
            <w:pPr>
              <w:spacing w:after="0"/>
              <w:rPr>
                <w:sz w:val="12"/>
                <w:szCs w:val="12"/>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2"/>
                <w:szCs w:val="12"/>
                <w:color w:val="auto"/>
              </w:rPr>
              <w:t>4,731</w:t>
            </w:r>
          </w:p>
        </w:tc>
        <w:tc>
          <w:tcPr>
            <w:tcW w:w="500" w:type="dxa"/>
            <w:vAlign w:val="bottom"/>
          </w:tcPr>
          <w:p>
            <w:pPr>
              <w:spacing w:after="0"/>
              <w:rPr>
                <w:sz w:val="12"/>
                <w:szCs w:val="12"/>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2"/>
                <w:szCs w:val="12"/>
                <w:color w:val="auto"/>
              </w:rPr>
              <w:t>609</w:t>
            </w:r>
          </w:p>
        </w:tc>
        <w:tc>
          <w:tcPr>
            <w:tcW w:w="100" w:type="dxa"/>
            <w:vAlign w:val="bottom"/>
          </w:tcPr>
          <w:p>
            <w:pPr>
              <w:spacing w:after="0"/>
              <w:rPr>
                <w:sz w:val="12"/>
                <w:szCs w:val="12"/>
                <w:color w:val="auto"/>
              </w:rPr>
            </w:pPr>
          </w:p>
        </w:tc>
      </w:tr>
      <w:tr>
        <w:trPr>
          <w:trHeight w:val="144"/>
        </w:trPr>
        <w:tc>
          <w:tcPr>
            <w:tcW w:w="83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TAM Program</w:t>
            </w:r>
          </w:p>
        </w:tc>
        <w:tc>
          <w:tcPr>
            <w:tcW w:w="8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2,384</w:t>
            </w:r>
          </w:p>
        </w:tc>
        <w:tc>
          <w:tcPr>
            <w:tcW w:w="500" w:type="dxa"/>
            <w:vAlign w:val="bottom"/>
            <w:shd w:val="clear" w:color="auto" w:fill="CCEEFF"/>
          </w:tcPr>
          <w:p>
            <w:pPr>
              <w:spacing w:after="0"/>
              <w:rPr>
                <w:sz w:val="12"/>
                <w:szCs w:val="12"/>
                <w:color w:val="auto"/>
              </w:rPr>
            </w:pPr>
          </w:p>
        </w:tc>
        <w:tc>
          <w:tcPr>
            <w:tcW w:w="980" w:type="dxa"/>
            <w:vAlign w:val="bottom"/>
            <w:gridSpan w:val="3"/>
            <w:shd w:val="clear" w:color="auto" w:fill="CCEEFF"/>
          </w:tcPr>
          <w:p>
            <w:pPr>
              <w:ind w:left="740"/>
              <w:spacing w:after="0"/>
              <w:rPr>
                <w:sz w:val="20"/>
                <w:szCs w:val="20"/>
                <w:color w:val="auto"/>
              </w:rPr>
            </w:pPr>
            <w:r>
              <w:rPr>
                <w:rFonts w:ascii="Arial" w:cs="Arial" w:eastAsia="Arial" w:hAnsi="Arial"/>
                <w:sz w:val="12"/>
                <w:szCs w:val="12"/>
                <w:color w:val="auto"/>
              </w:rPr>
              <w:t>—</w:t>
            </w:r>
          </w:p>
        </w:tc>
      </w:tr>
      <w:tr>
        <w:trPr>
          <w:trHeight w:val="144"/>
        </w:trPr>
        <w:tc>
          <w:tcPr>
            <w:tcW w:w="8320" w:type="dxa"/>
            <w:vAlign w:val="bottom"/>
          </w:tcPr>
          <w:p>
            <w:pPr>
              <w:ind w:left="120"/>
              <w:spacing w:after="0"/>
              <w:rPr>
                <w:sz w:val="20"/>
                <w:szCs w:val="20"/>
                <w:color w:val="auto"/>
              </w:rPr>
            </w:pPr>
            <w:r>
              <w:rPr>
                <w:rFonts w:ascii="Arial" w:cs="Arial" w:eastAsia="Arial" w:hAnsi="Arial"/>
                <w:sz w:val="12"/>
                <w:szCs w:val="12"/>
                <w:color w:val="auto"/>
              </w:rPr>
              <w:t>Rintega</w:t>
            </w:r>
          </w:p>
        </w:tc>
        <w:tc>
          <w:tcPr>
            <w:tcW w:w="880" w:type="dxa"/>
            <w:vAlign w:val="bottom"/>
          </w:tcPr>
          <w:p>
            <w:pPr>
              <w:spacing w:after="0"/>
              <w:rPr>
                <w:sz w:val="12"/>
                <w:szCs w:val="12"/>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2"/>
                <w:szCs w:val="12"/>
                <w:color w:val="auto"/>
              </w:rPr>
              <w:t>1,067</w:t>
            </w:r>
          </w:p>
        </w:tc>
        <w:tc>
          <w:tcPr>
            <w:tcW w:w="500" w:type="dxa"/>
            <w:vAlign w:val="bottom"/>
          </w:tcPr>
          <w:p>
            <w:pPr>
              <w:spacing w:after="0"/>
              <w:rPr>
                <w:sz w:val="12"/>
                <w:szCs w:val="12"/>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2"/>
                <w:szCs w:val="12"/>
                <w:color w:val="auto"/>
              </w:rPr>
              <w:t>13,640</w:t>
            </w:r>
          </w:p>
        </w:tc>
        <w:tc>
          <w:tcPr>
            <w:tcW w:w="100" w:type="dxa"/>
            <w:vAlign w:val="bottom"/>
          </w:tcPr>
          <w:p>
            <w:pPr>
              <w:spacing w:after="0"/>
              <w:rPr>
                <w:sz w:val="12"/>
                <w:szCs w:val="12"/>
                <w:color w:val="auto"/>
              </w:rPr>
            </w:pPr>
          </w:p>
        </w:tc>
      </w:tr>
      <w:tr>
        <w:trPr>
          <w:trHeight w:val="144"/>
        </w:trPr>
        <w:tc>
          <w:tcPr>
            <w:tcW w:w="83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Other Programs</w:t>
            </w:r>
          </w:p>
        </w:tc>
        <w:tc>
          <w:tcPr>
            <w:tcW w:w="8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8,338</w:t>
            </w:r>
          </w:p>
        </w:tc>
        <w:tc>
          <w:tcPr>
            <w:tcW w:w="5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3,689</w:t>
            </w:r>
          </w:p>
        </w:tc>
        <w:tc>
          <w:tcPr>
            <w:tcW w:w="100" w:type="dxa"/>
            <w:vAlign w:val="bottom"/>
            <w:shd w:val="clear" w:color="auto" w:fill="CCEEFF"/>
          </w:tcPr>
          <w:p>
            <w:pPr>
              <w:spacing w:after="0"/>
              <w:rPr>
                <w:sz w:val="12"/>
                <w:szCs w:val="12"/>
                <w:color w:val="auto"/>
              </w:rPr>
            </w:pPr>
          </w:p>
        </w:tc>
      </w:tr>
      <w:tr>
        <w:trPr>
          <w:trHeight w:val="140"/>
        </w:trPr>
        <w:tc>
          <w:tcPr>
            <w:tcW w:w="8320" w:type="dxa"/>
            <w:vAlign w:val="bottom"/>
          </w:tcPr>
          <w:p>
            <w:pPr>
              <w:spacing w:after="0" w:line="133" w:lineRule="exact"/>
              <w:rPr>
                <w:sz w:val="20"/>
                <w:szCs w:val="20"/>
                <w:color w:val="auto"/>
              </w:rPr>
            </w:pPr>
            <w:r>
              <w:rPr>
                <w:rFonts w:ascii="Arial" w:cs="Arial" w:eastAsia="Arial" w:hAnsi="Arial"/>
                <w:sz w:val="12"/>
                <w:szCs w:val="12"/>
                <w:color w:val="auto"/>
              </w:rPr>
              <w:t>Total R&amp;D Expense</w:t>
            </w:r>
          </w:p>
        </w:tc>
        <w:tc>
          <w:tcPr>
            <w:tcW w:w="880" w:type="dxa"/>
            <w:vAlign w:val="bottom"/>
            <w:tcBorders>
              <w:top w:val="single" w:sz="8" w:color="auto"/>
              <w:bottom w:val="single" w:sz="8" w:color="auto"/>
            </w:tcBorders>
          </w:tcPr>
          <w:p>
            <w:pPr>
              <w:jc w:val="right"/>
              <w:ind w:right="771"/>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50,792</w:t>
            </w:r>
          </w:p>
        </w:tc>
        <w:tc>
          <w:tcPr>
            <w:tcW w:w="28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53,158</w:t>
            </w:r>
          </w:p>
        </w:tc>
        <w:tc>
          <w:tcPr>
            <w:tcW w:w="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bl>
    <w:p>
      <w:pPr>
        <w:spacing w:after="0" w:line="13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Clinical Development Programs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Glembatumumab Vedotin</w:t>
      </w:r>
    </w:p>
    <w:p>
      <w:pPr>
        <w:spacing w:after="0" w:line="150" w:lineRule="exact"/>
        <w:rPr>
          <w:sz w:val="20"/>
          <w:szCs w:val="20"/>
          <w:color w:val="auto"/>
        </w:rPr>
      </w:pPr>
    </w:p>
    <w:p>
      <w:pPr>
        <w:ind w:right="100" w:firstLine="432"/>
        <w:spacing w:after="0" w:line="269" w:lineRule="auto"/>
        <w:rPr>
          <w:sz w:val="20"/>
          <w:szCs w:val="20"/>
          <w:color w:val="auto"/>
        </w:rPr>
      </w:pPr>
      <w:r>
        <w:rPr>
          <w:rFonts w:ascii="Arial" w:cs="Arial" w:eastAsia="Arial" w:hAnsi="Arial"/>
          <w:sz w:val="11"/>
          <w:szCs w:val="11"/>
          <w:color w:val="auto"/>
        </w:rPr>
        <w:t>Glembatumumab vedotin is an antibody-drug conjugate, or ADC, that consists of a fully human monoclonal antibody, CR011, linked to a potent cell-killing drug, monomethyl auristatin E, or MMAE. The CR011 antibody specifically targets glycoprotein NMB, referred to as gpNMB that is over-expressed in a variety of cancers including breast cancer, melanoma, non-small cell lung cancer, uveal melanoma and osteosarcoma, among others. The ADC technology, comprised of MMAE and a stable linker system for attaching it to CR011, was licensed from Seattle Genetics, Inc. and is the same as that used in the marketed product Adcetris</w:t>
      </w:r>
      <w:r>
        <w:rPr>
          <w:rFonts w:ascii="Arial" w:cs="Arial" w:eastAsia="Arial" w:hAnsi="Arial"/>
          <w:sz w:val="14"/>
          <w:szCs w:val="14"/>
          <w:color w:val="auto"/>
          <w:vertAlign w:val="superscript"/>
        </w:rPr>
        <w:t>®</w:t>
      </w:r>
      <w:r>
        <w:rPr>
          <w:rFonts w:ascii="Arial" w:cs="Arial" w:eastAsia="Arial" w:hAnsi="Arial"/>
          <w:sz w:val="11"/>
          <w:szCs w:val="11"/>
          <w:color w:val="auto"/>
        </w:rPr>
        <w:t>. The ADC is designed to be stable in the bloodstream. Following intravenous administration, glembatumumab vedotin targets and binds to gpNMB, and upon internalization into the targeted cell, glembatumumab vedotin is designed to release MMAE from CR011 to produce a cell-killing effect. Glembatumumab vedotin is being studied across multiple indications in company-sponsored trials and in collaborative studies with external parties. The U.S. Food and Drug Administration, or FDA, has granted Fast Track designation to glembatumumab vedotin for the treatment of advanced, refractory/resistant gpNMB-expressing breast cancer. A companion diagnostic is in development for certain indications, and we expect that, if necessary, such a companion diagnostic must be approved by the FDA or certain other foreign regulatory agencies before glembatumumab vedotin may be commercialized in those indications.</w:t>
      </w:r>
    </w:p>
    <w:p>
      <w:pPr>
        <w:spacing w:after="0" w:line="118" w:lineRule="exact"/>
        <w:rPr>
          <w:sz w:val="20"/>
          <w:szCs w:val="20"/>
          <w:color w:val="auto"/>
        </w:rPr>
      </w:pPr>
    </w:p>
    <w:p>
      <w:pPr>
        <w:ind w:right="40" w:firstLine="432"/>
        <w:spacing w:after="0" w:line="285" w:lineRule="auto"/>
        <w:rPr>
          <w:sz w:val="20"/>
          <w:szCs w:val="20"/>
          <w:color w:val="auto"/>
        </w:rPr>
      </w:pPr>
      <w:r>
        <w:rPr>
          <w:rFonts w:ascii="Arial" w:cs="Arial" w:eastAsia="Arial" w:hAnsi="Arial"/>
          <w:sz w:val="11"/>
          <w:szCs w:val="11"/>
          <w:b w:val="1"/>
          <w:bCs w:val="1"/>
          <w:color w:val="auto"/>
        </w:rPr>
        <w:t xml:space="preserve">Treatment of Metastatic Breast Cancer: </w:t>
      </w:r>
      <w:r>
        <w:rPr>
          <w:rFonts w:ascii="Arial" w:cs="Arial" w:eastAsia="Arial" w:hAnsi="Arial"/>
          <w:sz w:val="11"/>
          <w:szCs w:val="11"/>
          <w:color w:val="auto"/>
        </w:rPr>
        <w:t>The Phase 1/2 study of glembatumumab vedotin administered intravenously once every three weeks evaluated patients with locally advanced or metastatic breast cancer (MBC) who had</w:t>
      </w:r>
      <w:r>
        <w:rPr>
          <w:rFonts w:ascii="Arial" w:cs="Arial" w:eastAsia="Arial" w:hAnsi="Arial"/>
          <w:sz w:val="11"/>
          <w:szCs w:val="11"/>
          <w:b w:val="1"/>
          <w:bCs w:val="1"/>
          <w:color w:val="auto"/>
        </w:rPr>
        <w:t xml:space="preserve"> </w:t>
      </w:r>
      <w:r>
        <w:rPr>
          <w:rFonts w:ascii="Arial" w:cs="Arial" w:eastAsia="Arial" w:hAnsi="Arial"/>
          <w:sz w:val="11"/>
          <w:szCs w:val="11"/>
          <w:color w:val="auto"/>
        </w:rPr>
        <w:t xml:space="preserve">received prior therapy (median of seven prior regimens). Results were published in the </w:t>
      </w:r>
      <w:r>
        <w:rPr>
          <w:rFonts w:ascii="Arial" w:cs="Arial" w:eastAsia="Arial" w:hAnsi="Arial"/>
          <w:sz w:val="11"/>
          <w:szCs w:val="11"/>
          <w:i w:val="1"/>
          <w:iCs w:val="1"/>
          <w:color w:val="auto"/>
        </w:rPr>
        <w:t>Journal of Clinical Oncology</w:t>
      </w:r>
      <w:r>
        <w:rPr>
          <w:rFonts w:ascii="Arial" w:cs="Arial" w:eastAsia="Arial" w:hAnsi="Arial"/>
          <w:sz w:val="11"/>
          <w:szCs w:val="11"/>
          <w:color w:val="auto"/>
        </w:rPr>
        <w:t xml:space="preserve"> in September 2014. The study began with a bridging phase to confirm the maximum tolerated dose, or MTD, and then expanded into a Phase 2 open-label, multi-center study. The study supported an acceptable safety profile of glembatumumab vedotin at the pre-defined maximum dose level (1.88 mg/kg) in 6 patients. An additional 28 patients with MBC were enrolled in an expanded Phase 2 cohort (for a total of 34 treated patients at 1.88 mg/kg, the Phase 2 dose) to evaluate the progression-free survival (PFS) rate at 12 weeks. The 1.88 mg/kg dose exhibited an acceptable safety profile in this patient population with the most common adverse events being rash, neuropathy and fatigue. The primary anti-cancer activity endpoint, which called for at least 5 of 25 (20%) patients in the Phase 2 study portion to be progression-free at 12 weeks, was met as 9 of 27 (33%) evaluable patients were progression-free at 12 weeks. For all patients treated at the Phase 2 dose, median PFS was 9.1 weeks.</w:t>
      </w:r>
    </w:p>
    <w:p>
      <w:pPr>
        <w:spacing w:after="0" w:line="112" w:lineRule="exact"/>
        <w:rPr>
          <w:sz w:val="20"/>
          <w:szCs w:val="20"/>
          <w:color w:val="auto"/>
        </w:rPr>
      </w:pPr>
    </w:p>
    <w:p>
      <w:pPr>
        <w:jc w:val="both"/>
        <w:ind w:right="80" w:firstLine="432"/>
        <w:spacing w:after="0" w:line="263" w:lineRule="auto"/>
        <w:rPr>
          <w:sz w:val="20"/>
          <w:szCs w:val="20"/>
          <w:color w:val="auto"/>
        </w:rPr>
      </w:pPr>
      <w:r>
        <w:rPr>
          <w:rFonts w:ascii="Arial" w:cs="Arial" w:eastAsia="Arial" w:hAnsi="Arial"/>
          <w:sz w:val="12"/>
          <w:szCs w:val="12"/>
          <w:color w:val="auto"/>
        </w:rPr>
        <w:t>A subset of 10 patients had “triple negative disease,” a more aggressive metastatic breast cancer subtype that carries a high risk of relapse and reduced survival as well as limited therapeutic options. In these patients, the 12-week PFS rate was 60% (6/10), and median PFS was 17.9 weeks. Tumor samples from a subset of patients across all dose groups were analyzed for gpNMB expression. The tumor samples from most patients showed evidence of stromal and/or tumor cell expression of gpNMB.</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310755" cy="241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10755" cy="24130"/>
                    </a:xfrm>
                    <a:prstGeom prst="rect">
                      <a:avLst/>
                    </a:prstGeom>
                    <a:noFill/>
                  </pic:spPr>
                </pic:pic>
              </a:graphicData>
            </a:graphic>
          </wp:anchor>
        </w:drawing>
      </w:r>
    </w:p>
    <w:p>
      <w:pPr>
        <w:spacing w:after="0" w:line="319" w:lineRule="exact"/>
        <w:rPr>
          <w:sz w:val="20"/>
          <w:szCs w:val="20"/>
          <w:color w:val="auto"/>
        </w:rPr>
      </w:pPr>
    </w:p>
    <w:p>
      <w:pPr>
        <w:spacing w:after="0"/>
        <w:rPr>
          <w:rFonts w:ascii="Arial" w:cs="Arial" w:eastAsia="Arial" w:hAnsi="Arial"/>
          <w:sz w:val="12"/>
          <w:szCs w:val="12"/>
          <w:u w:val="single" w:color="auto"/>
          <w:color w:val="0000EE"/>
        </w:rPr>
      </w:pPr>
      <w:hyperlink w:anchor="page1">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ind w:right="80" w:firstLine="432"/>
        <w:spacing w:after="0" w:line="255" w:lineRule="auto"/>
        <w:rPr>
          <w:sz w:val="20"/>
          <w:szCs w:val="20"/>
          <w:color w:val="auto"/>
        </w:rPr>
      </w:pPr>
      <w:r>
        <w:rPr>
          <w:rFonts w:ascii="Arial" w:cs="Arial" w:eastAsia="Arial" w:hAnsi="Arial"/>
          <w:sz w:val="12"/>
          <w:szCs w:val="12"/>
          <w:color w:val="auto"/>
        </w:rPr>
        <w:t xml:space="preserve">The subsequent EMERGE study was a randomized, multi-center Phase 2b study of glembatumumab vedotin in 124 patients with heavily pre-treated, advanced, gpNMB-positive breast cancer. Results from EMERGE were published in the </w:t>
      </w:r>
      <w:r>
        <w:rPr>
          <w:rFonts w:ascii="Arial" w:cs="Arial" w:eastAsia="Arial" w:hAnsi="Arial"/>
          <w:sz w:val="12"/>
          <w:szCs w:val="12"/>
          <w:i w:val="1"/>
          <w:iCs w:val="1"/>
          <w:color w:val="auto"/>
        </w:rPr>
        <w:t>Journal of Clinical Oncology</w:t>
      </w:r>
      <w:r>
        <w:rPr>
          <w:rFonts w:ascii="Arial" w:cs="Arial" w:eastAsia="Arial" w:hAnsi="Arial"/>
          <w:sz w:val="12"/>
          <w:szCs w:val="12"/>
          <w:color w:val="auto"/>
        </w:rPr>
        <w:t xml:space="preserve"> in April 2015. Patients were randomized (2:1) to receive either glembatumumab vedotin or single-agent Investigator’s Choice chemotherapy. Patients randomized to receive Investigator’s Choice were allowed to cross over to receive glembatumumab vedotin following disease progression. Activity endpoints included response rate, PFS and overall survival (OS). The final study results, as shown below, suggested that glembatumumab vedotin induced significant response rates compared to currently available therapies in patient subsets with advanced, refractory breast cancers with high gpNMB expression (expression in at least 25% of tumor cells) and in patients with triple negative breast cancer. The OS and PFS of patients treated with glembatumumab vedotin were also observed to be greatest in patients with high gpNMB expression and, in particular, in patients with triple negative breast cancer who also had high gpNMB expression.</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EMERGE: Overall Response Rate and Disease Control Data (Intent-to-Treat Population)</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7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60" w:type="dxa"/>
            <w:vAlign w:val="bottom"/>
            <w:gridSpan w:val="3"/>
          </w:tcPr>
          <w:p>
            <w:pPr>
              <w:jc w:val="center"/>
              <w:ind w:left="1070"/>
              <w:spacing w:after="0"/>
              <w:rPr>
                <w:sz w:val="20"/>
                <w:szCs w:val="20"/>
                <w:color w:val="auto"/>
              </w:rPr>
            </w:pPr>
            <w:r>
              <w:rPr>
                <w:rFonts w:ascii="Arial" w:cs="Arial" w:eastAsia="Arial" w:hAnsi="Arial"/>
                <w:sz w:val="10"/>
                <w:szCs w:val="10"/>
                <w:b w:val="1"/>
                <w:bCs w:val="1"/>
                <w:color w:val="auto"/>
                <w:w w:val="86"/>
              </w:rPr>
              <w:t>Triple Negative</w:t>
            </w: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99"/>
        </w:trPr>
        <w:tc>
          <w:tcPr>
            <w:tcW w:w="476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60" w:type="dxa"/>
            <w:vAlign w:val="bottom"/>
            <w:gridSpan w:val="3"/>
          </w:tcPr>
          <w:p>
            <w:pPr>
              <w:jc w:val="center"/>
              <w:ind w:left="1070"/>
              <w:spacing w:after="0" w:line="99" w:lineRule="exact"/>
              <w:rPr>
                <w:sz w:val="20"/>
                <w:szCs w:val="20"/>
                <w:color w:val="auto"/>
              </w:rPr>
            </w:pPr>
            <w:r>
              <w:rPr>
                <w:rFonts w:ascii="Arial" w:cs="Arial" w:eastAsia="Arial" w:hAnsi="Arial"/>
                <w:sz w:val="10"/>
                <w:szCs w:val="10"/>
                <w:b w:val="1"/>
                <w:bCs w:val="1"/>
                <w:color w:val="auto"/>
                <w:w w:val="89"/>
              </w:rPr>
              <w:t>and gpNMB</w:t>
            </w: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114"/>
        </w:trPr>
        <w:tc>
          <w:tcPr>
            <w:tcW w:w="4760" w:type="dxa"/>
            <w:vAlign w:val="bottom"/>
          </w:tcPr>
          <w:p>
            <w:pPr>
              <w:spacing w:after="0"/>
              <w:rPr>
                <w:sz w:val="9"/>
                <w:szCs w:val="9"/>
                <w:color w:val="auto"/>
              </w:rPr>
            </w:pPr>
          </w:p>
        </w:tc>
        <w:tc>
          <w:tcPr>
            <w:tcW w:w="2140" w:type="dxa"/>
            <w:vAlign w:val="bottom"/>
            <w:tcBorders>
              <w:bottom w:val="single" w:sz="8" w:color="auto"/>
            </w:tcBorders>
            <w:gridSpan w:val="3"/>
          </w:tcPr>
          <w:p>
            <w:pPr>
              <w:ind w:left="1080"/>
              <w:spacing w:after="0" w:line="114" w:lineRule="exact"/>
              <w:rPr>
                <w:sz w:val="20"/>
                <w:szCs w:val="20"/>
                <w:color w:val="auto"/>
              </w:rPr>
            </w:pPr>
            <w:r>
              <w:rPr>
                <w:rFonts w:ascii="Arial" w:cs="Arial" w:eastAsia="Arial" w:hAnsi="Arial"/>
                <w:sz w:val="10"/>
                <w:szCs w:val="10"/>
                <w:b w:val="1"/>
                <w:bCs w:val="1"/>
                <w:color w:val="auto"/>
                <w:w w:val="89"/>
              </w:rPr>
              <w:t>High gpNMB Expression</w:t>
            </w:r>
          </w:p>
        </w:tc>
        <w:tc>
          <w:tcPr>
            <w:tcW w:w="10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060" w:type="dxa"/>
            <w:vAlign w:val="bottom"/>
            <w:tcBorders>
              <w:bottom w:val="single" w:sz="8" w:color="auto"/>
            </w:tcBorders>
            <w:gridSpan w:val="3"/>
          </w:tcPr>
          <w:p>
            <w:pPr>
              <w:jc w:val="center"/>
              <w:ind w:left="1070"/>
              <w:spacing w:after="0" w:line="114" w:lineRule="exact"/>
              <w:rPr>
                <w:sz w:val="20"/>
                <w:szCs w:val="20"/>
                <w:color w:val="auto"/>
              </w:rPr>
            </w:pPr>
            <w:r>
              <w:rPr>
                <w:rFonts w:ascii="Arial" w:cs="Arial" w:eastAsia="Arial" w:hAnsi="Arial"/>
                <w:sz w:val="10"/>
                <w:szCs w:val="10"/>
                <w:b w:val="1"/>
                <w:bCs w:val="1"/>
                <w:color w:val="auto"/>
                <w:w w:val="87"/>
              </w:rPr>
              <w:t>Over-Expression</w:t>
            </w:r>
          </w:p>
        </w:tc>
        <w:tc>
          <w:tcPr>
            <w:tcW w:w="11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r>
      <w:tr>
        <w:trPr>
          <w:trHeight w:val="74"/>
        </w:trPr>
        <w:tc>
          <w:tcPr>
            <w:tcW w:w="4760" w:type="dxa"/>
            <w:vAlign w:val="bottom"/>
          </w:tcPr>
          <w:p>
            <w:pPr>
              <w:spacing w:after="0"/>
              <w:rPr>
                <w:sz w:val="6"/>
                <w:szCs w:val="6"/>
                <w:color w:val="auto"/>
              </w:rPr>
            </w:pPr>
          </w:p>
        </w:tc>
        <w:tc>
          <w:tcPr>
            <w:tcW w:w="2140" w:type="dxa"/>
            <w:vAlign w:val="bottom"/>
            <w:gridSpan w:val="3"/>
          </w:tcPr>
          <w:p>
            <w:pPr>
              <w:jc w:val="center"/>
              <w:ind w:right="620"/>
              <w:spacing w:after="0" w:line="74" w:lineRule="exact"/>
              <w:rPr>
                <w:sz w:val="20"/>
                <w:szCs w:val="20"/>
                <w:color w:val="auto"/>
              </w:rPr>
            </w:pPr>
            <w:r>
              <w:rPr>
                <w:rFonts w:ascii="Arial" w:cs="Arial" w:eastAsia="Arial" w:hAnsi="Arial"/>
                <w:sz w:val="8"/>
                <w:szCs w:val="8"/>
                <w:b w:val="1"/>
                <w:bCs w:val="1"/>
                <w:color w:val="auto"/>
              </w:rPr>
              <w:t>Glembatumumab</w:t>
            </w:r>
          </w:p>
        </w:tc>
        <w:tc>
          <w:tcPr>
            <w:tcW w:w="1020" w:type="dxa"/>
            <w:vAlign w:val="bottom"/>
          </w:tcPr>
          <w:p>
            <w:pPr>
              <w:jc w:val="center"/>
              <w:ind w:right="288"/>
              <w:spacing w:after="0" w:line="74" w:lineRule="exact"/>
              <w:rPr>
                <w:sz w:val="20"/>
                <w:szCs w:val="20"/>
                <w:color w:val="auto"/>
              </w:rPr>
            </w:pPr>
            <w:r>
              <w:rPr>
                <w:rFonts w:ascii="Arial" w:cs="Arial" w:eastAsia="Arial" w:hAnsi="Arial"/>
                <w:sz w:val="8"/>
                <w:szCs w:val="8"/>
                <w:b w:val="1"/>
                <w:bCs w:val="1"/>
                <w:color w:val="auto"/>
              </w:rPr>
              <w:t>Investigator’s</w:t>
            </w:r>
          </w:p>
        </w:tc>
        <w:tc>
          <w:tcPr>
            <w:tcW w:w="280" w:type="dxa"/>
            <w:vAlign w:val="bottom"/>
          </w:tcPr>
          <w:p>
            <w:pPr>
              <w:spacing w:after="0"/>
              <w:rPr>
                <w:sz w:val="6"/>
                <w:szCs w:val="6"/>
                <w:color w:val="auto"/>
              </w:rPr>
            </w:pPr>
          </w:p>
        </w:tc>
        <w:tc>
          <w:tcPr>
            <w:tcW w:w="2060" w:type="dxa"/>
            <w:vAlign w:val="bottom"/>
            <w:gridSpan w:val="3"/>
          </w:tcPr>
          <w:p>
            <w:pPr>
              <w:jc w:val="center"/>
              <w:ind w:right="560"/>
              <w:spacing w:after="0" w:line="74" w:lineRule="exact"/>
              <w:rPr>
                <w:sz w:val="20"/>
                <w:szCs w:val="20"/>
                <w:color w:val="auto"/>
              </w:rPr>
            </w:pPr>
            <w:r>
              <w:rPr>
                <w:rFonts w:ascii="Arial" w:cs="Arial" w:eastAsia="Arial" w:hAnsi="Arial"/>
                <w:sz w:val="8"/>
                <w:szCs w:val="8"/>
                <w:b w:val="1"/>
                <w:bCs w:val="1"/>
                <w:color w:val="auto"/>
              </w:rPr>
              <w:t>Glembatumumab</w:t>
            </w:r>
          </w:p>
        </w:tc>
        <w:tc>
          <w:tcPr>
            <w:tcW w:w="1100" w:type="dxa"/>
            <w:vAlign w:val="bottom"/>
          </w:tcPr>
          <w:p>
            <w:pPr>
              <w:jc w:val="center"/>
              <w:ind w:right="228"/>
              <w:spacing w:after="0" w:line="74" w:lineRule="exact"/>
              <w:rPr>
                <w:sz w:val="20"/>
                <w:szCs w:val="20"/>
                <w:color w:val="auto"/>
              </w:rPr>
            </w:pPr>
            <w:r>
              <w:rPr>
                <w:rFonts w:ascii="Arial" w:cs="Arial" w:eastAsia="Arial" w:hAnsi="Arial"/>
                <w:sz w:val="8"/>
                <w:szCs w:val="8"/>
                <w:b w:val="1"/>
                <w:bCs w:val="1"/>
                <w:color w:val="auto"/>
              </w:rPr>
              <w:t>Investigator’s</w:t>
            </w:r>
          </w:p>
        </w:tc>
        <w:tc>
          <w:tcPr>
            <w:tcW w:w="120" w:type="dxa"/>
            <w:vAlign w:val="bottom"/>
          </w:tcPr>
          <w:p>
            <w:pPr>
              <w:spacing w:after="0"/>
              <w:rPr>
                <w:sz w:val="6"/>
                <w:szCs w:val="6"/>
                <w:color w:val="auto"/>
              </w:rPr>
            </w:pPr>
          </w:p>
        </w:tc>
      </w:tr>
      <w:tr>
        <w:trPr>
          <w:trHeight w:val="114"/>
        </w:trPr>
        <w:tc>
          <w:tcPr>
            <w:tcW w:w="4760" w:type="dxa"/>
            <w:vAlign w:val="bottom"/>
          </w:tcPr>
          <w:p>
            <w:pPr>
              <w:spacing w:after="0"/>
              <w:rPr>
                <w:sz w:val="9"/>
                <w:szCs w:val="9"/>
                <w:color w:val="auto"/>
              </w:rPr>
            </w:pPr>
          </w:p>
        </w:tc>
        <w:tc>
          <w:tcPr>
            <w:tcW w:w="2140" w:type="dxa"/>
            <w:vAlign w:val="bottom"/>
            <w:gridSpan w:val="3"/>
          </w:tcPr>
          <w:p>
            <w:pPr>
              <w:jc w:val="center"/>
              <w:ind w:right="620"/>
              <w:spacing w:after="0" w:line="114" w:lineRule="exact"/>
              <w:rPr>
                <w:sz w:val="20"/>
                <w:szCs w:val="20"/>
                <w:color w:val="auto"/>
              </w:rPr>
            </w:pPr>
            <w:r>
              <w:rPr>
                <w:rFonts w:ascii="Arial" w:cs="Arial" w:eastAsia="Arial" w:hAnsi="Arial"/>
                <w:sz w:val="10"/>
                <w:szCs w:val="10"/>
                <w:b w:val="1"/>
                <w:bCs w:val="1"/>
                <w:color w:val="auto"/>
                <w:w w:val="87"/>
              </w:rPr>
              <w:t>Vedotin</w:t>
            </w:r>
          </w:p>
        </w:tc>
        <w:tc>
          <w:tcPr>
            <w:tcW w:w="1300" w:type="dxa"/>
            <w:vAlign w:val="bottom"/>
            <w:gridSpan w:val="2"/>
          </w:tcPr>
          <w:p>
            <w:pPr>
              <w:jc w:val="center"/>
              <w:ind w:right="620"/>
              <w:spacing w:after="0" w:line="114" w:lineRule="exact"/>
              <w:rPr>
                <w:sz w:val="20"/>
                <w:szCs w:val="20"/>
                <w:color w:val="auto"/>
              </w:rPr>
            </w:pPr>
            <w:r>
              <w:rPr>
                <w:rFonts w:ascii="Arial" w:cs="Arial" w:eastAsia="Arial" w:hAnsi="Arial"/>
                <w:sz w:val="10"/>
                <w:szCs w:val="10"/>
                <w:b w:val="1"/>
                <w:bCs w:val="1"/>
                <w:color w:val="auto"/>
                <w:w w:val="83"/>
              </w:rPr>
              <w:t>Choice</w:t>
            </w:r>
          </w:p>
        </w:tc>
        <w:tc>
          <w:tcPr>
            <w:tcW w:w="2060" w:type="dxa"/>
            <w:vAlign w:val="bottom"/>
            <w:gridSpan w:val="3"/>
          </w:tcPr>
          <w:p>
            <w:pPr>
              <w:jc w:val="center"/>
              <w:ind w:right="560"/>
              <w:spacing w:after="0" w:line="114" w:lineRule="exact"/>
              <w:rPr>
                <w:sz w:val="20"/>
                <w:szCs w:val="20"/>
                <w:color w:val="auto"/>
              </w:rPr>
            </w:pPr>
            <w:r>
              <w:rPr>
                <w:rFonts w:ascii="Arial" w:cs="Arial" w:eastAsia="Arial" w:hAnsi="Arial"/>
                <w:sz w:val="10"/>
                <w:szCs w:val="10"/>
                <w:b w:val="1"/>
                <w:bCs w:val="1"/>
                <w:color w:val="auto"/>
                <w:w w:val="81"/>
              </w:rPr>
              <w:t>Vedotin</w:t>
            </w:r>
          </w:p>
        </w:tc>
        <w:tc>
          <w:tcPr>
            <w:tcW w:w="1220" w:type="dxa"/>
            <w:vAlign w:val="bottom"/>
            <w:gridSpan w:val="2"/>
          </w:tcPr>
          <w:p>
            <w:pPr>
              <w:jc w:val="center"/>
              <w:ind w:right="400"/>
              <w:spacing w:after="0" w:line="114" w:lineRule="exact"/>
              <w:rPr>
                <w:sz w:val="20"/>
                <w:szCs w:val="20"/>
                <w:color w:val="auto"/>
              </w:rPr>
            </w:pPr>
            <w:r>
              <w:rPr>
                <w:rFonts w:ascii="Arial" w:cs="Arial" w:eastAsia="Arial" w:hAnsi="Arial"/>
                <w:sz w:val="10"/>
                <w:szCs w:val="10"/>
                <w:b w:val="1"/>
                <w:bCs w:val="1"/>
                <w:color w:val="auto"/>
                <w:w w:val="89"/>
              </w:rPr>
              <w:t>Choice</w:t>
            </w:r>
          </w:p>
        </w:tc>
      </w:tr>
      <w:tr>
        <w:trPr>
          <w:trHeight w:val="88"/>
        </w:trPr>
        <w:tc>
          <w:tcPr>
            <w:tcW w:w="4760" w:type="dxa"/>
            <w:vAlign w:val="bottom"/>
            <w:tcBorders>
              <w:bottom w:val="single" w:sz="8" w:color="CCEEFF"/>
            </w:tcBorders>
          </w:tcPr>
          <w:p>
            <w:pPr>
              <w:spacing w:after="0"/>
              <w:rPr>
                <w:sz w:val="7"/>
                <w:szCs w:val="7"/>
                <w:color w:val="auto"/>
              </w:rPr>
            </w:pPr>
          </w:p>
        </w:tc>
        <w:tc>
          <w:tcPr>
            <w:tcW w:w="1500" w:type="dxa"/>
            <w:vAlign w:val="bottom"/>
            <w:tcBorders>
              <w:top w:val="single" w:sz="8" w:color="auto"/>
              <w:bottom w:val="single" w:sz="8" w:color="auto"/>
            </w:tcBorders>
          </w:tcPr>
          <w:p>
            <w:pPr>
              <w:jc w:val="center"/>
              <w:spacing w:after="0" w:line="88" w:lineRule="exact"/>
              <w:rPr>
                <w:sz w:val="20"/>
                <w:szCs w:val="20"/>
                <w:color w:val="auto"/>
              </w:rPr>
            </w:pPr>
            <w:r>
              <w:rPr>
                <w:rFonts w:ascii="Arial" w:cs="Arial" w:eastAsia="Arial" w:hAnsi="Arial"/>
                <w:sz w:val="10"/>
                <w:szCs w:val="10"/>
                <w:b w:val="1"/>
                <w:bCs w:val="1"/>
                <w:color w:val="auto"/>
                <w:w w:val="87"/>
              </w:rPr>
              <w:t>(n=23)</w:t>
            </w:r>
          </w:p>
        </w:tc>
        <w:tc>
          <w:tcPr>
            <w:tcW w:w="280" w:type="dxa"/>
            <w:vAlign w:val="bottom"/>
            <w:tcBorders>
              <w:bottom w:val="single" w:sz="8" w:color="CCEEFF"/>
            </w:tcBorders>
          </w:tcPr>
          <w:p>
            <w:pPr>
              <w:spacing w:after="0"/>
              <w:rPr>
                <w:sz w:val="7"/>
                <w:szCs w:val="7"/>
                <w:color w:val="auto"/>
              </w:rPr>
            </w:pPr>
          </w:p>
        </w:tc>
        <w:tc>
          <w:tcPr>
            <w:tcW w:w="360" w:type="dxa"/>
            <w:vAlign w:val="bottom"/>
            <w:tcBorders>
              <w:top w:val="single" w:sz="8" w:color="auto"/>
              <w:bottom w:val="single" w:sz="8" w:color="auto"/>
            </w:tcBorders>
          </w:tcPr>
          <w:p>
            <w:pPr>
              <w:spacing w:after="0"/>
              <w:rPr>
                <w:sz w:val="7"/>
                <w:szCs w:val="7"/>
                <w:color w:val="auto"/>
              </w:rPr>
            </w:pPr>
          </w:p>
        </w:tc>
        <w:tc>
          <w:tcPr>
            <w:tcW w:w="1020" w:type="dxa"/>
            <w:vAlign w:val="bottom"/>
            <w:tcBorders>
              <w:top w:val="single" w:sz="8" w:color="auto"/>
              <w:bottom w:val="single" w:sz="8" w:color="auto"/>
            </w:tcBorders>
          </w:tcPr>
          <w:p>
            <w:pPr>
              <w:jc w:val="center"/>
              <w:ind w:right="308"/>
              <w:spacing w:after="0" w:line="88" w:lineRule="exact"/>
              <w:rPr>
                <w:sz w:val="20"/>
                <w:szCs w:val="20"/>
                <w:color w:val="auto"/>
              </w:rPr>
            </w:pPr>
            <w:r>
              <w:rPr>
                <w:rFonts w:ascii="Arial" w:cs="Arial" w:eastAsia="Arial" w:hAnsi="Arial"/>
                <w:sz w:val="10"/>
                <w:szCs w:val="10"/>
                <w:b w:val="1"/>
                <w:bCs w:val="1"/>
                <w:color w:val="auto"/>
                <w:w w:val="87"/>
              </w:rPr>
              <w:t>(n=11)</w:t>
            </w:r>
          </w:p>
        </w:tc>
        <w:tc>
          <w:tcPr>
            <w:tcW w:w="280" w:type="dxa"/>
            <w:vAlign w:val="bottom"/>
            <w:tcBorders>
              <w:bottom w:val="single" w:sz="8" w:color="CCEEFF"/>
            </w:tcBorders>
          </w:tcPr>
          <w:p>
            <w:pPr>
              <w:spacing w:after="0"/>
              <w:rPr>
                <w:sz w:val="7"/>
                <w:szCs w:val="7"/>
                <w:color w:val="auto"/>
              </w:rPr>
            </w:pPr>
          </w:p>
        </w:tc>
        <w:tc>
          <w:tcPr>
            <w:tcW w:w="1500" w:type="dxa"/>
            <w:vAlign w:val="bottom"/>
            <w:tcBorders>
              <w:top w:val="single" w:sz="8" w:color="auto"/>
              <w:bottom w:val="single" w:sz="8" w:color="auto"/>
            </w:tcBorders>
          </w:tcPr>
          <w:p>
            <w:pPr>
              <w:jc w:val="center"/>
              <w:spacing w:after="0" w:line="88" w:lineRule="exact"/>
              <w:rPr>
                <w:sz w:val="20"/>
                <w:szCs w:val="20"/>
                <w:color w:val="auto"/>
              </w:rPr>
            </w:pPr>
            <w:r>
              <w:rPr>
                <w:rFonts w:ascii="Arial" w:cs="Arial" w:eastAsia="Arial" w:hAnsi="Arial"/>
                <w:sz w:val="10"/>
                <w:szCs w:val="10"/>
                <w:b w:val="1"/>
                <w:bCs w:val="1"/>
                <w:color w:val="auto"/>
                <w:w w:val="87"/>
              </w:rPr>
              <w:t>(n=10)</w:t>
            </w:r>
          </w:p>
        </w:tc>
        <w:tc>
          <w:tcPr>
            <w:tcW w:w="280" w:type="dxa"/>
            <w:vAlign w:val="bottom"/>
            <w:tcBorders>
              <w:bottom w:val="single" w:sz="8" w:color="CCEEFF"/>
            </w:tcBorders>
          </w:tcPr>
          <w:p>
            <w:pPr>
              <w:spacing w:after="0"/>
              <w:rPr>
                <w:sz w:val="7"/>
                <w:szCs w:val="7"/>
                <w:color w:val="auto"/>
              </w:rPr>
            </w:pPr>
          </w:p>
        </w:tc>
        <w:tc>
          <w:tcPr>
            <w:tcW w:w="280" w:type="dxa"/>
            <w:vAlign w:val="bottom"/>
            <w:tcBorders>
              <w:top w:val="single" w:sz="8" w:color="auto"/>
              <w:bottom w:val="single" w:sz="8" w:color="auto"/>
            </w:tcBorders>
          </w:tcPr>
          <w:p>
            <w:pPr>
              <w:spacing w:after="0"/>
              <w:rPr>
                <w:sz w:val="7"/>
                <w:szCs w:val="7"/>
                <w:color w:val="auto"/>
              </w:rPr>
            </w:pPr>
          </w:p>
        </w:tc>
        <w:tc>
          <w:tcPr>
            <w:tcW w:w="1100" w:type="dxa"/>
            <w:vAlign w:val="bottom"/>
            <w:tcBorders>
              <w:top w:val="single" w:sz="8" w:color="auto"/>
              <w:bottom w:val="single" w:sz="8" w:color="auto"/>
            </w:tcBorders>
          </w:tcPr>
          <w:p>
            <w:pPr>
              <w:jc w:val="center"/>
              <w:ind w:right="228"/>
              <w:spacing w:after="0" w:line="88" w:lineRule="exact"/>
              <w:rPr>
                <w:sz w:val="20"/>
                <w:szCs w:val="20"/>
                <w:color w:val="auto"/>
              </w:rPr>
            </w:pPr>
            <w:r>
              <w:rPr>
                <w:rFonts w:ascii="Arial" w:cs="Arial" w:eastAsia="Arial" w:hAnsi="Arial"/>
                <w:sz w:val="10"/>
                <w:szCs w:val="10"/>
                <w:b w:val="1"/>
                <w:bCs w:val="1"/>
                <w:color w:val="auto"/>
                <w:w w:val="90"/>
              </w:rPr>
              <w:t>(n=6)</w:t>
            </w:r>
          </w:p>
        </w:tc>
        <w:tc>
          <w:tcPr>
            <w:tcW w:w="120" w:type="dxa"/>
            <w:vAlign w:val="bottom"/>
            <w:tcBorders>
              <w:bottom w:val="single" w:sz="8" w:color="CCEEFF"/>
            </w:tcBorders>
          </w:tcPr>
          <w:p>
            <w:pPr>
              <w:spacing w:after="0"/>
              <w:rPr>
                <w:sz w:val="7"/>
                <w:szCs w:val="7"/>
                <w:color w:val="auto"/>
              </w:rPr>
            </w:pPr>
          </w:p>
        </w:tc>
      </w:tr>
      <w:tr>
        <w:trPr>
          <w:trHeight w:val="133"/>
        </w:trPr>
        <w:tc>
          <w:tcPr>
            <w:tcW w:w="476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Response Rate</w:t>
            </w:r>
          </w:p>
        </w:tc>
        <w:tc>
          <w:tcPr>
            <w:tcW w:w="1780" w:type="dxa"/>
            <w:vAlign w:val="bottom"/>
            <w:gridSpan w:val="2"/>
            <w:shd w:val="clear" w:color="auto" w:fill="CCEEFF"/>
          </w:tcPr>
          <w:p>
            <w:pPr>
              <w:jc w:val="right"/>
              <w:ind w:right="180"/>
              <w:spacing w:after="0" w:line="133" w:lineRule="exact"/>
              <w:rPr>
                <w:sz w:val="20"/>
                <w:szCs w:val="20"/>
                <w:color w:val="auto"/>
              </w:rPr>
            </w:pPr>
            <w:r>
              <w:rPr>
                <w:rFonts w:ascii="Arial" w:cs="Arial" w:eastAsia="Arial" w:hAnsi="Arial"/>
                <w:sz w:val="12"/>
                <w:szCs w:val="12"/>
                <w:color w:val="auto"/>
              </w:rPr>
              <w:t>30%</w:t>
            </w:r>
          </w:p>
        </w:tc>
        <w:tc>
          <w:tcPr>
            <w:tcW w:w="360" w:type="dxa"/>
            <w:vAlign w:val="bottom"/>
            <w:shd w:val="clear" w:color="auto" w:fill="CCEEFF"/>
          </w:tcPr>
          <w:p>
            <w:pPr>
              <w:spacing w:after="0"/>
              <w:rPr>
                <w:sz w:val="11"/>
                <w:szCs w:val="11"/>
                <w:color w:val="auto"/>
              </w:rPr>
            </w:pPr>
          </w:p>
        </w:tc>
        <w:tc>
          <w:tcPr>
            <w:tcW w:w="1300" w:type="dxa"/>
            <w:vAlign w:val="bottom"/>
            <w:gridSpan w:val="2"/>
            <w:shd w:val="clear" w:color="auto" w:fill="CCEEFF"/>
          </w:tcPr>
          <w:p>
            <w:pPr>
              <w:jc w:val="right"/>
              <w:ind w:right="180"/>
              <w:spacing w:after="0" w:line="133" w:lineRule="exact"/>
              <w:rPr>
                <w:sz w:val="20"/>
                <w:szCs w:val="20"/>
                <w:color w:val="auto"/>
              </w:rPr>
            </w:pPr>
            <w:r>
              <w:rPr>
                <w:rFonts w:ascii="Arial" w:cs="Arial" w:eastAsia="Arial" w:hAnsi="Arial"/>
                <w:sz w:val="12"/>
                <w:szCs w:val="12"/>
                <w:color w:val="auto"/>
              </w:rPr>
              <w:t>9%</w:t>
            </w:r>
          </w:p>
        </w:tc>
        <w:tc>
          <w:tcPr>
            <w:tcW w:w="1780" w:type="dxa"/>
            <w:vAlign w:val="bottom"/>
            <w:gridSpan w:val="2"/>
            <w:shd w:val="clear" w:color="auto" w:fill="CCEEFF"/>
          </w:tcPr>
          <w:p>
            <w:pPr>
              <w:jc w:val="right"/>
              <w:ind w:right="180"/>
              <w:spacing w:after="0" w:line="133" w:lineRule="exact"/>
              <w:rPr>
                <w:sz w:val="20"/>
                <w:szCs w:val="20"/>
                <w:color w:val="auto"/>
              </w:rPr>
            </w:pPr>
            <w:r>
              <w:rPr>
                <w:rFonts w:ascii="Arial" w:cs="Arial" w:eastAsia="Arial" w:hAnsi="Arial"/>
                <w:sz w:val="12"/>
                <w:szCs w:val="12"/>
                <w:color w:val="auto"/>
              </w:rPr>
              <w:t>40%</w:t>
            </w:r>
          </w:p>
        </w:tc>
        <w:tc>
          <w:tcPr>
            <w:tcW w:w="28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jc w:val="right"/>
              <w:ind w:right="20"/>
              <w:spacing w:after="0" w:line="133" w:lineRule="exact"/>
              <w:rPr>
                <w:sz w:val="20"/>
                <w:szCs w:val="20"/>
                <w:color w:val="auto"/>
              </w:rPr>
            </w:pPr>
            <w:r>
              <w:rPr>
                <w:rFonts w:ascii="Arial" w:cs="Arial" w:eastAsia="Arial" w:hAnsi="Arial"/>
                <w:sz w:val="12"/>
                <w:szCs w:val="12"/>
                <w:color w:val="auto"/>
              </w:rPr>
              <w:t>0%</w:t>
            </w:r>
          </w:p>
        </w:tc>
      </w:tr>
      <w:tr>
        <w:trPr>
          <w:trHeight w:val="153"/>
        </w:trPr>
        <w:tc>
          <w:tcPr>
            <w:tcW w:w="4760" w:type="dxa"/>
            <w:vAlign w:val="bottom"/>
          </w:tcPr>
          <w:p>
            <w:pPr>
              <w:spacing w:after="0"/>
              <w:rPr>
                <w:sz w:val="20"/>
                <w:szCs w:val="20"/>
                <w:color w:val="auto"/>
              </w:rPr>
            </w:pPr>
            <w:r>
              <w:rPr>
                <w:rFonts w:ascii="Arial" w:cs="Arial" w:eastAsia="Arial" w:hAnsi="Arial"/>
                <w:sz w:val="12"/>
                <w:szCs w:val="12"/>
                <w:color w:val="auto"/>
              </w:rPr>
              <w:t>Disease Control Rate</w:t>
            </w:r>
          </w:p>
        </w:tc>
        <w:tc>
          <w:tcPr>
            <w:tcW w:w="1780" w:type="dxa"/>
            <w:vAlign w:val="bottom"/>
            <w:gridSpan w:val="2"/>
          </w:tcPr>
          <w:p>
            <w:pPr>
              <w:jc w:val="right"/>
              <w:ind w:right="180"/>
              <w:spacing w:after="0"/>
              <w:rPr>
                <w:sz w:val="20"/>
                <w:szCs w:val="20"/>
                <w:color w:val="auto"/>
              </w:rPr>
            </w:pPr>
            <w:r>
              <w:rPr>
                <w:rFonts w:ascii="Arial" w:cs="Arial" w:eastAsia="Arial" w:hAnsi="Arial"/>
                <w:sz w:val="12"/>
                <w:szCs w:val="12"/>
                <w:color w:val="auto"/>
              </w:rPr>
              <w:t>65%</w:t>
            </w:r>
          </w:p>
        </w:tc>
        <w:tc>
          <w:tcPr>
            <w:tcW w:w="360" w:type="dxa"/>
            <w:vAlign w:val="bottom"/>
          </w:tcPr>
          <w:p>
            <w:pPr>
              <w:spacing w:after="0"/>
              <w:rPr>
                <w:sz w:val="13"/>
                <w:szCs w:val="13"/>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2"/>
                <w:szCs w:val="12"/>
                <w:color w:val="auto"/>
              </w:rPr>
              <w:t>27%</w:t>
            </w:r>
          </w:p>
        </w:tc>
        <w:tc>
          <w:tcPr>
            <w:tcW w:w="1780" w:type="dxa"/>
            <w:vAlign w:val="bottom"/>
            <w:gridSpan w:val="2"/>
          </w:tcPr>
          <w:p>
            <w:pPr>
              <w:jc w:val="right"/>
              <w:ind w:right="180"/>
              <w:spacing w:after="0"/>
              <w:rPr>
                <w:sz w:val="20"/>
                <w:szCs w:val="20"/>
                <w:color w:val="auto"/>
              </w:rPr>
            </w:pPr>
            <w:r>
              <w:rPr>
                <w:rFonts w:ascii="Arial" w:cs="Arial" w:eastAsia="Arial" w:hAnsi="Arial"/>
                <w:sz w:val="12"/>
                <w:szCs w:val="12"/>
                <w:color w:val="auto"/>
              </w:rPr>
              <w:t>90%</w:t>
            </w:r>
          </w:p>
        </w:tc>
        <w:tc>
          <w:tcPr>
            <w:tcW w:w="280" w:type="dxa"/>
            <w:vAlign w:val="bottom"/>
          </w:tcPr>
          <w:p>
            <w:pPr>
              <w:spacing w:after="0"/>
              <w:rPr>
                <w:sz w:val="13"/>
                <w:szCs w:val="13"/>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2"/>
                <w:szCs w:val="12"/>
                <w:color w:val="auto"/>
              </w:rPr>
              <w:t>17%</w:t>
            </w:r>
          </w:p>
        </w:tc>
      </w:tr>
    </w:tbl>
    <w:p>
      <w:pPr>
        <w:spacing w:after="0" w:line="12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Tumor response assessed by RECIST 1.1, inclusive of response observed at a single time point.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EMERGE: Progression Free Survival (PFS) and Overall Survival (OS) Data</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474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080" w:type="dxa"/>
            <w:vAlign w:val="bottom"/>
            <w:gridSpan w:val="4"/>
          </w:tcPr>
          <w:p>
            <w:pPr>
              <w:jc w:val="center"/>
              <w:ind w:right="1280"/>
              <w:spacing w:after="0"/>
              <w:rPr>
                <w:sz w:val="20"/>
                <w:szCs w:val="20"/>
                <w:color w:val="auto"/>
              </w:rPr>
            </w:pPr>
            <w:r>
              <w:rPr>
                <w:rFonts w:ascii="Arial" w:cs="Arial" w:eastAsia="Arial" w:hAnsi="Arial"/>
                <w:sz w:val="10"/>
                <w:szCs w:val="10"/>
                <w:b w:val="1"/>
                <w:bCs w:val="1"/>
                <w:color w:val="auto"/>
                <w:w w:val="89"/>
              </w:rPr>
              <w:t>Triple Negative</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474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80" w:type="dxa"/>
            <w:vAlign w:val="bottom"/>
            <w:gridSpan w:val="4"/>
          </w:tcPr>
          <w:p>
            <w:pPr>
              <w:jc w:val="center"/>
              <w:ind w:right="1300"/>
              <w:spacing w:after="0" w:line="99" w:lineRule="exact"/>
              <w:rPr>
                <w:sz w:val="20"/>
                <w:szCs w:val="20"/>
                <w:color w:val="auto"/>
              </w:rPr>
            </w:pPr>
            <w:r>
              <w:rPr>
                <w:rFonts w:ascii="Arial" w:cs="Arial" w:eastAsia="Arial" w:hAnsi="Arial"/>
                <w:sz w:val="10"/>
                <w:szCs w:val="10"/>
                <w:b w:val="1"/>
                <w:bCs w:val="1"/>
                <w:color w:val="auto"/>
                <w:w w:val="89"/>
              </w:rPr>
              <w:t>and gpNMB</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4740" w:type="dxa"/>
            <w:vAlign w:val="bottom"/>
          </w:tcPr>
          <w:p>
            <w:pPr>
              <w:spacing w:after="0"/>
              <w:rPr>
                <w:sz w:val="9"/>
                <w:szCs w:val="9"/>
                <w:color w:val="auto"/>
              </w:rPr>
            </w:pPr>
          </w:p>
        </w:tc>
        <w:tc>
          <w:tcPr>
            <w:tcW w:w="2160" w:type="dxa"/>
            <w:vAlign w:val="bottom"/>
            <w:gridSpan w:val="3"/>
          </w:tcPr>
          <w:p>
            <w:pPr>
              <w:ind w:left="1080"/>
              <w:spacing w:after="0" w:line="114" w:lineRule="exact"/>
              <w:rPr>
                <w:sz w:val="20"/>
                <w:szCs w:val="20"/>
                <w:color w:val="auto"/>
              </w:rPr>
            </w:pPr>
            <w:r>
              <w:rPr>
                <w:rFonts w:ascii="Arial" w:cs="Arial" w:eastAsia="Arial" w:hAnsi="Arial"/>
                <w:sz w:val="10"/>
                <w:szCs w:val="10"/>
                <w:b w:val="1"/>
                <w:bCs w:val="1"/>
                <w:color w:val="auto"/>
                <w:w w:val="90"/>
              </w:rPr>
              <w:t>High gpNMB Expression</w:t>
            </w: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80" w:type="dxa"/>
            <w:vAlign w:val="bottom"/>
            <w:gridSpan w:val="4"/>
          </w:tcPr>
          <w:p>
            <w:pPr>
              <w:jc w:val="center"/>
              <w:ind w:right="1280"/>
              <w:spacing w:after="0" w:line="114" w:lineRule="exact"/>
              <w:rPr>
                <w:sz w:val="20"/>
                <w:szCs w:val="20"/>
                <w:color w:val="auto"/>
              </w:rPr>
            </w:pPr>
            <w:r>
              <w:rPr>
                <w:rFonts w:ascii="Arial" w:cs="Arial" w:eastAsia="Arial" w:hAnsi="Arial"/>
                <w:sz w:val="10"/>
                <w:szCs w:val="10"/>
                <w:b w:val="1"/>
                <w:bCs w:val="1"/>
                <w:color w:val="auto"/>
                <w:w w:val="84"/>
              </w:rPr>
              <w:t>Over-Expression</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4740" w:type="dxa"/>
            <w:vAlign w:val="bottom"/>
          </w:tcPr>
          <w:p>
            <w:pPr>
              <w:spacing w:after="0"/>
              <w:rPr>
                <w:sz w:val="6"/>
                <w:szCs w:val="6"/>
                <w:color w:val="auto"/>
              </w:rPr>
            </w:pPr>
          </w:p>
        </w:tc>
        <w:tc>
          <w:tcPr>
            <w:tcW w:w="2160" w:type="dxa"/>
            <w:vAlign w:val="bottom"/>
            <w:tcBorders>
              <w:top w:val="single" w:sz="8" w:color="auto"/>
            </w:tcBorders>
            <w:gridSpan w:val="3"/>
          </w:tcPr>
          <w:p>
            <w:pPr>
              <w:jc w:val="center"/>
              <w:ind w:right="640"/>
              <w:spacing w:after="0" w:line="74" w:lineRule="exact"/>
              <w:rPr>
                <w:sz w:val="20"/>
                <w:szCs w:val="20"/>
                <w:color w:val="auto"/>
              </w:rPr>
            </w:pPr>
            <w:r>
              <w:rPr>
                <w:rFonts w:ascii="Arial" w:cs="Arial" w:eastAsia="Arial" w:hAnsi="Arial"/>
                <w:sz w:val="8"/>
                <w:szCs w:val="8"/>
                <w:b w:val="1"/>
                <w:bCs w:val="1"/>
                <w:color w:val="auto"/>
              </w:rPr>
              <w:t>Glembatumumab</w:t>
            </w:r>
          </w:p>
        </w:tc>
        <w:tc>
          <w:tcPr>
            <w:tcW w:w="740" w:type="dxa"/>
            <w:vAlign w:val="bottom"/>
            <w:tcBorders>
              <w:top w:val="single" w:sz="8" w:color="auto"/>
            </w:tcBorders>
          </w:tcPr>
          <w:p>
            <w:pPr>
              <w:jc w:val="center"/>
              <w:ind w:right="55"/>
              <w:spacing w:after="0" w:line="74" w:lineRule="exact"/>
              <w:rPr>
                <w:sz w:val="20"/>
                <w:szCs w:val="20"/>
                <w:color w:val="auto"/>
              </w:rPr>
            </w:pPr>
            <w:r>
              <w:rPr>
                <w:rFonts w:ascii="Arial" w:cs="Arial" w:eastAsia="Arial" w:hAnsi="Arial"/>
                <w:sz w:val="8"/>
                <w:szCs w:val="8"/>
                <w:b w:val="1"/>
                <w:bCs w:val="1"/>
                <w:color w:val="auto"/>
              </w:rPr>
              <w:t>Investigator’s</w:t>
            </w:r>
          </w:p>
        </w:tc>
        <w:tc>
          <w:tcPr>
            <w:tcW w:w="280" w:type="dxa"/>
            <w:vAlign w:val="bottom"/>
            <w:tcBorders>
              <w:top w:val="single" w:sz="8" w:color="auto"/>
            </w:tcBorders>
          </w:tcPr>
          <w:p>
            <w:pPr>
              <w:spacing w:after="0"/>
              <w:rPr>
                <w:sz w:val="6"/>
                <w:szCs w:val="6"/>
                <w:color w:val="auto"/>
              </w:rPr>
            </w:pPr>
          </w:p>
        </w:tc>
        <w:tc>
          <w:tcPr>
            <w:tcW w:w="280" w:type="dxa"/>
            <w:vAlign w:val="bottom"/>
          </w:tcPr>
          <w:p>
            <w:pPr>
              <w:spacing w:after="0"/>
              <w:rPr>
                <w:sz w:val="6"/>
                <w:szCs w:val="6"/>
                <w:color w:val="auto"/>
              </w:rPr>
            </w:pPr>
          </w:p>
        </w:tc>
        <w:tc>
          <w:tcPr>
            <w:tcW w:w="1180" w:type="dxa"/>
            <w:vAlign w:val="bottom"/>
            <w:tcBorders>
              <w:top w:val="single" w:sz="8" w:color="auto"/>
            </w:tcBorders>
          </w:tcPr>
          <w:p>
            <w:pPr>
              <w:jc w:val="center"/>
              <w:ind w:left="265"/>
              <w:spacing w:after="0" w:line="74" w:lineRule="exact"/>
              <w:rPr>
                <w:sz w:val="20"/>
                <w:szCs w:val="20"/>
                <w:color w:val="auto"/>
              </w:rPr>
            </w:pPr>
            <w:r>
              <w:rPr>
                <w:rFonts w:ascii="Arial" w:cs="Arial" w:eastAsia="Arial" w:hAnsi="Arial"/>
                <w:sz w:val="8"/>
                <w:szCs w:val="8"/>
                <w:b w:val="1"/>
                <w:bCs w:val="1"/>
                <w:color w:val="auto"/>
              </w:rPr>
              <w:t>Glembatumumab</w:t>
            </w:r>
          </w:p>
        </w:tc>
        <w:tc>
          <w:tcPr>
            <w:tcW w:w="320" w:type="dxa"/>
            <w:vAlign w:val="bottom"/>
            <w:tcBorders>
              <w:top w:val="single" w:sz="8" w:color="auto"/>
            </w:tcBorders>
          </w:tcPr>
          <w:p>
            <w:pPr>
              <w:spacing w:after="0"/>
              <w:rPr>
                <w:sz w:val="6"/>
                <w:szCs w:val="6"/>
                <w:color w:val="auto"/>
              </w:rPr>
            </w:pPr>
          </w:p>
        </w:tc>
        <w:tc>
          <w:tcPr>
            <w:tcW w:w="260" w:type="dxa"/>
            <w:vAlign w:val="bottom"/>
            <w:tcBorders>
              <w:top w:val="single" w:sz="8" w:color="auto"/>
            </w:tcBorders>
          </w:tcPr>
          <w:p>
            <w:pPr>
              <w:spacing w:after="0"/>
              <w:rPr>
                <w:sz w:val="6"/>
                <w:szCs w:val="6"/>
                <w:color w:val="auto"/>
              </w:rPr>
            </w:pPr>
          </w:p>
        </w:tc>
        <w:tc>
          <w:tcPr>
            <w:tcW w:w="1380" w:type="dxa"/>
            <w:vAlign w:val="bottom"/>
            <w:tcBorders>
              <w:top w:val="single" w:sz="8" w:color="auto"/>
            </w:tcBorders>
          </w:tcPr>
          <w:p>
            <w:pPr>
              <w:jc w:val="center"/>
              <w:spacing w:after="0" w:line="74" w:lineRule="exact"/>
              <w:rPr>
                <w:sz w:val="20"/>
                <w:szCs w:val="20"/>
                <w:color w:val="auto"/>
              </w:rPr>
            </w:pPr>
            <w:r>
              <w:rPr>
                <w:rFonts w:ascii="Arial" w:cs="Arial" w:eastAsia="Arial" w:hAnsi="Arial"/>
                <w:sz w:val="8"/>
                <w:szCs w:val="8"/>
                <w:b w:val="1"/>
                <w:bCs w:val="1"/>
                <w:color w:val="auto"/>
              </w:rPr>
              <w:t>Investigator’s</w:t>
            </w: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4740" w:type="dxa"/>
            <w:vAlign w:val="bottom"/>
          </w:tcPr>
          <w:p>
            <w:pPr>
              <w:spacing w:after="0"/>
              <w:rPr>
                <w:sz w:val="9"/>
                <w:szCs w:val="9"/>
                <w:color w:val="auto"/>
              </w:rPr>
            </w:pPr>
          </w:p>
        </w:tc>
        <w:tc>
          <w:tcPr>
            <w:tcW w:w="2160" w:type="dxa"/>
            <w:vAlign w:val="bottom"/>
            <w:gridSpan w:val="3"/>
          </w:tcPr>
          <w:p>
            <w:pPr>
              <w:jc w:val="center"/>
              <w:ind w:right="640"/>
              <w:spacing w:after="0" w:line="114" w:lineRule="exact"/>
              <w:rPr>
                <w:sz w:val="20"/>
                <w:szCs w:val="20"/>
                <w:color w:val="auto"/>
              </w:rPr>
            </w:pPr>
            <w:r>
              <w:rPr>
                <w:rFonts w:ascii="Arial" w:cs="Arial" w:eastAsia="Arial" w:hAnsi="Arial"/>
                <w:sz w:val="10"/>
                <w:szCs w:val="10"/>
                <w:b w:val="1"/>
                <w:bCs w:val="1"/>
                <w:color w:val="auto"/>
                <w:w w:val="87"/>
              </w:rPr>
              <w:t>Vedotin</w:t>
            </w:r>
          </w:p>
        </w:tc>
        <w:tc>
          <w:tcPr>
            <w:tcW w:w="740" w:type="dxa"/>
            <w:vAlign w:val="bottom"/>
          </w:tcPr>
          <w:p>
            <w:pPr>
              <w:jc w:val="center"/>
              <w:ind w:right="55"/>
              <w:spacing w:after="0" w:line="114" w:lineRule="exact"/>
              <w:rPr>
                <w:sz w:val="20"/>
                <w:szCs w:val="20"/>
                <w:color w:val="auto"/>
              </w:rPr>
            </w:pPr>
            <w:r>
              <w:rPr>
                <w:rFonts w:ascii="Arial" w:cs="Arial" w:eastAsia="Arial" w:hAnsi="Arial"/>
                <w:sz w:val="10"/>
                <w:szCs w:val="10"/>
                <w:b w:val="1"/>
                <w:bCs w:val="1"/>
                <w:color w:val="auto"/>
                <w:w w:val="83"/>
              </w:rPr>
              <w:t>Choice</w:t>
            </w: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80" w:type="dxa"/>
            <w:vAlign w:val="bottom"/>
          </w:tcPr>
          <w:p>
            <w:pPr>
              <w:jc w:val="center"/>
              <w:ind w:left="245"/>
              <w:spacing w:after="0" w:line="114" w:lineRule="exact"/>
              <w:rPr>
                <w:sz w:val="20"/>
                <w:szCs w:val="20"/>
                <w:color w:val="auto"/>
              </w:rPr>
            </w:pPr>
            <w:r>
              <w:rPr>
                <w:rFonts w:ascii="Arial" w:cs="Arial" w:eastAsia="Arial" w:hAnsi="Arial"/>
                <w:sz w:val="10"/>
                <w:szCs w:val="10"/>
                <w:b w:val="1"/>
                <w:bCs w:val="1"/>
                <w:color w:val="auto"/>
                <w:w w:val="87"/>
              </w:rPr>
              <w:t>Vedotin</w:t>
            </w: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00" w:type="dxa"/>
            <w:vAlign w:val="bottom"/>
            <w:gridSpan w:val="2"/>
          </w:tcPr>
          <w:p>
            <w:pPr>
              <w:jc w:val="center"/>
              <w:ind w:right="100"/>
              <w:spacing w:after="0" w:line="114" w:lineRule="exact"/>
              <w:rPr>
                <w:sz w:val="20"/>
                <w:szCs w:val="20"/>
                <w:color w:val="auto"/>
              </w:rPr>
            </w:pPr>
            <w:r>
              <w:rPr>
                <w:rFonts w:ascii="Arial" w:cs="Arial" w:eastAsia="Arial" w:hAnsi="Arial"/>
                <w:sz w:val="10"/>
                <w:szCs w:val="10"/>
                <w:b w:val="1"/>
                <w:bCs w:val="1"/>
                <w:color w:val="auto"/>
                <w:w w:val="83"/>
              </w:rPr>
              <w:t>Choice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74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Median PFS (months)</w:t>
            </w:r>
          </w:p>
        </w:tc>
        <w:tc>
          <w:tcPr>
            <w:tcW w:w="1500" w:type="dxa"/>
            <w:vAlign w:val="bottom"/>
            <w:tcBorders>
              <w:top w:val="single" w:sz="8" w:color="auto"/>
            </w:tcBorders>
            <w:shd w:val="clear" w:color="auto" w:fill="CCEEFF"/>
          </w:tcPr>
          <w:p>
            <w:pPr>
              <w:jc w:val="center"/>
              <w:spacing w:after="0" w:line="133" w:lineRule="exact"/>
              <w:rPr>
                <w:sz w:val="20"/>
                <w:szCs w:val="20"/>
                <w:color w:val="auto"/>
              </w:rPr>
            </w:pPr>
            <w:r>
              <w:rPr>
                <w:rFonts w:ascii="Arial" w:cs="Arial" w:eastAsia="Arial" w:hAnsi="Arial"/>
                <w:sz w:val="12"/>
                <w:szCs w:val="12"/>
                <w:color w:val="auto"/>
                <w:w w:val="83"/>
              </w:rPr>
              <w:t>2.8</w:t>
            </w:r>
          </w:p>
        </w:tc>
        <w:tc>
          <w:tcPr>
            <w:tcW w:w="28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1.5</w:t>
            </w:r>
          </w:p>
        </w:tc>
        <w:tc>
          <w:tcPr>
            <w:tcW w:w="280" w:type="dxa"/>
            <w:vAlign w:val="bottom"/>
            <w:tcBorders>
              <w:top w:val="single" w:sz="8" w:color="CCEEFF"/>
            </w:tcBorders>
            <w:shd w:val="clear" w:color="auto" w:fill="CCEEFF"/>
          </w:tcPr>
          <w:p>
            <w:pPr>
              <w:spacing w:after="0"/>
              <w:rPr>
                <w:sz w:val="11"/>
                <w:szCs w:val="11"/>
                <w:color w:val="auto"/>
              </w:rPr>
            </w:pPr>
          </w:p>
        </w:tc>
        <w:tc>
          <w:tcPr>
            <w:tcW w:w="1180" w:type="dxa"/>
            <w:vAlign w:val="bottom"/>
            <w:tcBorders>
              <w:top w:val="single" w:sz="8" w:color="auto"/>
            </w:tcBorders>
            <w:shd w:val="clear" w:color="auto" w:fill="CCEEFF"/>
          </w:tcPr>
          <w:p>
            <w:pPr>
              <w:jc w:val="center"/>
              <w:ind w:left="265"/>
              <w:spacing w:after="0" w:line="133" w:lineRule="exact"/>
              <w:rPr>
                <w:sz w:val="20"/>
                <w:szCs w:val="20"/>
                <w:color w:val="auto"/>
              </w:rPr>
            </w:pPr>
            <w:r>
              <w:rPr>
                <w:rFonts w:ascii="Arial" w:cs="Arial" w:eastAsia="Arial" w:hAnsi="Arial"/>
                <w:sz w:val="12"/>
                <w:szCs w:val="12"/>
                <w:color w:val="auto"/>
                <w:w w:val="83"/>
              </w:rPr>
              <w:t>3.5</w:t>
            </w:r>
          </w:p>
        </w:tc>
        <w:tc>
          <w:tcPr>
            <w:tcW w:w="32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1380" w:type="dxa"/>
            <w:vAlign w:val="bottom"/>
            <w:tcBorders>
              <w:top w:val="single" w:sz="8" w:color="auto"/>
            </w:tcBorders>
            <w:shd w:val="clear" w:color="auto" w:fill="CCEEFF"/>
          </w:tcPr>
          <w:p>
            <w:pPr>
              <w:ind w:left="1240"/>
              <w:spacing w:after="0" w:line="133" w:lineRule="exact"/>
              <w:rPr>
                <w:sz w:val="20"/>
                <w:szCs w:val="20"/>
                <w:color w:val="auto"/>
              </w:rPr>
            </w:pPr>
            <w:r>
              <w:rPr>
                <w:rFonts w:ascii="Arial" w:cs="Arial" w:eastAsia="Arial" w:hAnsi="Arial"/>
                <w:sz w:val="12"/>
                <w:szCs w:val="12"/>
                <w:color w:val="auto"/>
                <w:w w:val="71"/>
              </w:rPr>
              <w:t>1.5</w:t>
            </w: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2160" w:type="dxa"/>
            <w:vAlign w:val="bottom"/>
            <w:gridSpan w:val="3"/>
          </w:tcPr>
          <w:p>
            <w:pPr>
              <w:jc w:val="center"/>
              <w:ind w:right="660"/>
              <w:spacing w:after="0"/>
              <w:rPr>
                <w:sz w:val="20"/>
                <w:szCs w:val="20"/>
                <w:color w:val="auto"/>
              </w:rPr>
            </w:pPr>
            <w:r>
              <w:rPr>
                <w:rFonts w:ascii="Arial" w:cs="Arial" w:eastAsia="Arial" w:hAnsi="Arial"/>
                <w:sz w:val="12"/>
                <w:szCs w:val="12"/>
                <w:color w:val="auto"/>
                <w:w w:val="91"/>
              </w:rPr>
              <w:t>p=0.18</w:t>
            </w: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jc w:val="center"/>
              <w:ind w:left="265"/>
              <w:spacing w:after="0"/>
              <w:rPr>
                <w:sz w:val="20"/>
                <w:szCs w:val="20"/>
                <w:color w:val="auto"/>
              </w:rPr>
            </w:pPr>
            <w:r>
              <w:rPr>
                <w:rFonts w:ascii="Arial" w:cs="Arial" w:eastAsia="Arial" w:hAnsi="Arial"/>
                <w:sz w:val="12"/>
                <w:szCs w:val="12"/>
                <w:color w:val="auto"/>
                <w:w w:val="91"/>
              </w:rPr>
              <w:t>p=0.0017</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474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740" w:type="dxa"/>
            <w:vAlign w:val="bottom"/>
          </w:tcPr>
          <w:p>
            <w:pPr>
              <w:spacing w:after="0"/>
              <w:rPr>
                <w:sz w:val="20"/>
                <w:szCs w:val="20"/>
                <w:color w:val="auto"/>
              </w:rPr>
            </w:pPr>
            <w:r>
              <w:rPr>
                <w:rFonts w:ascii="Arial" w:cs="Arial" w:eastAsia="Arial" w:hAnsi="Arial"/>
                <w:sz w:val="12"/>
                <w:szCs w:val="12"/>
                <w:color w:val="auto"/>
              </w:rPr>
              <w:t>Median OS (months)</w:t>
            </w:r>
          </w:p>
        </w:tc>
        <w:tc>
          <w:tcPr>
            <w:tcW w:w="1500" w:type="dxa"/>
            <w:vAlign w:val="bottom"/>
          </w:tcPr>
          <w:p>
            <w:pPr>
              <w:jc w:val="center"/>
              <w:spacing w:after="0"/>
              <w:rPr>
                <w:sz w:val="20"/>
                <w:szCs w:val="20"/>
                <w:color w:val="auto"/>
              </w:rPr>
            </w:pPr>
            <w:r>
              <w:rPr>
                <w:rFonts w:ascii="Arial" w:cs="Arial" w:eastAsia="Arial" w:hAnsi="Arial"/>
                <w:sz w:val="12"/>
                <w:szCs w:val="12"/>
                <w:color w:val="auto"/>
                <w:w w:val="93"/>
              </w:rPr>
              <w:t>10.0</w:t>
            </w: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2"/>
                <w:szCs w:val="12"/>
                <w:color w:val="auto"/>
              </w:rPr>
              <w:t>5.7</w:t>
            </w:r>
          </w:p>
        </w:tc>
        <w:tc>
          <w:tcPr>
            <w:tcW w:w="280" w:type="dxa"/>
            <w:vAlign w:val="bottom"/>
          </w:tcPr>
          <w:p>
            <w:pPr>
              <w:spacing w:after="0"/>
              <w:rPr>
                <w:sz w:val="12"/>
                <w:szCs w:val="12"/>
                <w:color w:val="auto"/>
              </w:rPr>
            </w:pPr>
          </w:p>
        </w:tc>
        <w:tc>
          <w:tcPr>
            <w:tcW w:w="1180" w:type="dxa"/>
            <w:vAlign w:val="bottom"/>
          </w:tcPr>
          <w:p>
            <w:pPr>
              <w:jc w:val="center"/>
              <w:ind w:left="265"/>
              <w:spacing w:after="0"/>
              <w:rPr>
                <w:sz w:val="20"/>
                <w:szCs w:val="20"/>
                <w:color w:val="auto"/>
              </w:rPr>
            </w:pPr>
            <w:r>
              <w:rPr>
                <w:rFonts w:ascii="Arial" w:cs="Arial" w:eastAsia="Arial" w:hAnsi="Arial"/>
                <w:sz w:val="12"/>
                <w:szCs w:val="12"/>
                <w:color w:val="auto"/>
                <w:w w:val="93"/>
              </w:rPr>
              <w:t>10.0</w:t>
            </w:r>
          </w:p>
        </w:tc>
        <w:tc>
          <w:tcPr>
            <w:tcW w:w="2080" w:type="dxa"/>
            <w:vAlign w:val="bottom"/>
            <w:gridSpan w:val="4"/>
          </w:tcPr>
          <w:p>
            <w:pPr>
              <w:ind w:left="1820"/>
              <w:spacing w:after="0"/>
              <w:rPr>
                <w:sz w:val="20"/>
                <w:szCs w:val="20"/>
                <w:color w:val="auto"/>
              </w:rPr>
            </w:pPr>
            <w:r>
              <w:rPr>
                <w:rFonts w:ascii="Arial" w:cs="Arial" w:eastAsia="Arial" w:hAnsi="Arial"/>
                <w:sz w:val="12"/>
                <w:szCs w:val="12"/>
                <w:color w:val="auto"/>
              </w:rPr>
              <w:t>5.5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40" w:type="dxa"/>
            <w:vAlign w:val="bottom"/>
            <w:shd w:val="clear" w:color="auto" w:fill="CCEEFF"/>
          </w:tcPr>
          <w:p>
            <w:pPr>
              <w:spacing w:after="0"/>
              <w:rPr>
                <w:sz w:val="12"/>
                <w:szCs w:val="12"/>
                <w:color w:val="auto"/>
              </w:rPr>
            </w:pPr>
          </w:p>
        </w:tc>
        <w:tc>
          <w:tcPr>
            <w:tcW w:w="2160" w:type="dxa"/>
            <w:vAlign w:val="bottom"/>
            <w:gridSpan w:val="3"/>
            <w:shd w:val="clear" w:color="auto" w:fill="CCEEFF"/>
          </w:tcPr>
          <w:p>
            <w:pPr>
              <w:jc w:val="center"/>
              <w:ind w:right="660"/>
              <w:spacing w:after="0"/>
              <w:rPr>
                <w:sz w:val="20"/>
                <w:szCs w:val="20"/>
                <w:color w:val="auto"/>
              </w:rPr>
            </w:pPr>
            <w:r>
              <w:rPr>
                <w:rFonts w:ascii="Arial" w:cs="Arial" w:eastAsia="Arial" w:hAnsi="Arial"/>
                <w:sz w:val="12"/>
                <w:szCs w:val="12"/>
                <w:color w:val="auto"/>
                <w:w w:val="91"/>
              </w:rPr>
              <w:t>p=0.31</w:t>
            </w:r>
          </w:p>
        </w:tc>
        <w:tc>
          <w:tcPr>
            <w:tcW w:w="7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80" w:type="dxa"/>
            <w:vAlign w:val="bottom"/>
            <w:shd w:val="clear" w:color="auto" w:fill="CCEEFF"/>
          </w:tcPr>
          <w:p>
            <w:pPr>
              <w:jc w:val="center"/>
              <w:ind w:left="245"/>
              <w:spacing w:after="0"/>
              <w:rPr>
                <w:sz w:val="20"/>
                <w:szCs w:val="20"/>
                <w:color w:val="auto"/>
              </w:rPr>
            </w:pPr>
            <w:r>
              <w:rPr>
                <w:rFonts w:ascii="Arial" w:cs="Arial" w:eastAsia="Arial" w:hAnsi="Arial"/>
                <w:sz w:val="12"/>
                <w:szCs w:val="12"/>
                <w:color w:val="auto"/>
                <w:w w:val="91"/>
              </w:rPr>
              <w:t>p=0.003</w:t>
            </w:r>
          </w:p>
        </w:tc>
        <w:tc>
          <w:tcPr>
            <w:tcW w:w="3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ind w:right="40" w:firstLine="432"/>
        <w:spacing w:after="0" w:line="279" w:lineRule="auto"/>
        <w:rPr>
          <w:sz w:val="20"/>
          <w:szCs w:val="20"/>
          <w:color w:val="auto"/>
        </w:rPr>
      </w:pPr>
      <w:r>
        <w:rPr>
          <w:rFonts w:ascii="Arial" w:cs="Arial" w:eastAsia="Arial" w:hAnsi="Arial"/>
          <w:sz w:val="11"/>
          <w:szCs w:val="11"/>
          <w:color w:val="auto"/>
        </w:rPr>
        <w:t>In December 2013, we initiated METRIC, a randomized, controlled Phase 2b study of glembatumumab vedotin in patients with triple negative breast cancer that over-expresses gpNMB. Clinical trial study sites are open to enrollment across the U.S., Canada, Australia and the European Union. The METRIC protocol was amended in late 2014 based on feedback from clinical investigators conducting the study that the eligibility criteria for study entry were limiting their ability to enroll patients they felt were clinically appropriate. In addition, we had spoken to country-specific members of the European Medicines Agency, or EMA, and believed an opportunity existed to expand the study into the EU. The amendment expanded patient entry criteria to position it for the possibility of full marketing approval with global regulators, including the EMA, and to support improved enrollment in the study. The primary endpoint of the study is PFS as PFS is an established endpoint for full approval registration studies in this patient population in both the U.S. and the EU. The sample size (n=300) and the secondary endpoint of OS remained unchanged. Since implementation of these changes, both the FDA and central European regulatory authorities have reviewed the protocol design, and we believe the METRIC study could potentially support marketing approval in both the U.S. and Europe dependent upon data results and review. Target enrollment (n=300) in METRIC has been reached. Given the lack of treatment options for patients with triple negative breast cancer, previously screened patients whose tumors overexpress gpNMB will be allowed to enter the study before enrollment is formally completed, estimated to occur by the end of September 2017. Efforts to ensure delivery of manufactured drug that is ready for commercialization and a companion diagnostic, including partnering with a diagnostic company, are underway. While we have made and continue to make progress on these fronts, we have made the decision to stage some of the more costly work in these areas to begin after we have received results from the study. While this step will extend the timeline to complete our regulatory filings, we believe this is the most prudent use of our funds as we seek to advance our pipeline overall.</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310755" cy="241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10755" cy="24130"/>
                    </a:xfrm>
                    <a:prstGeom prst="rect">
                      <a:avLst/>
                    </a:prstGeom>
                    <a:noFill/>
                  </pic:spPr>
                </pic:pic>
              </a:graphicData>
            </a:graphic>
          </wp:anchor>
        </w:drawing>
      </w:r>
    </w:p>
    <w:p>
      <w:pPr>
        <w:spacing w:after="0" w:line="319" w:lineRule="exact"/>
        <w:rPr>
          <w:sz w:val="20"/>
          <w:szCs w:val="20"/>
          <w:color w:val="auto"/>
        </w:rPr>
      </w:pPr>
    </w:p>
    <w:p>
      <w:pPr>
        <w:spacing w:after="0"/>
        <w:rPr>
          <w:rFonts w:ascii="Arial" w:cs="Arial" w:eastAsia="Arial" w:hAnsi="Arial"/>
          <w:sz w:val="12"/>
          <w:szCs w:val="12"/>
          <w:u w:val="single" w:color="auto"/>
          <w:color w:val="0000EE"/>
        </w:rPr>
      </w:pPr>
      <w:hyperlink w:anchor="page1">
        <w:r>
          <w:rPr>
            <w:rFonts w:ascii="Arial" w:cs="Arial" w:eastAsia="Arial" w:hAnsi="Arial"/>
            <w:sz w:val="12"/>
            <w:szCs w:val="12"/>
            <w:u w:val="single" w:color="auto"/>
            <w:color w:val="0000EE"/>
          </w:rPr>
          <w:t>Table of Contents</w:t>
        </w:r>
      </w:hyperlink>
    </w:p>
    <w:p>
      <w:pPr>
        <w:spacing w:after="0" w:line="146" w:lineRule="exact"/>
        <w:rPr>
          <w:sz w:val="20"/>
          <w:szCs w:val="20"/>
          <w:color w:val="auto"/>
        </w:rPr>
      </w:pPr>
    </w:p>
    <w:p>
      <w:pPr>
        <w:ind w:right="40" w:firstLine="432"/>
        <w:spacing w:after="0" w:line="329" w:lineRule="auto"/>
        <w:rPr>
          <w:sz w:val="20"/>
          <w:szCs w:val="20"/>
          <w:color w:val="auto"/>
        </w:rPr>
      </w:pPr>
      <w:r>
        <w:rPr>
          <w:rFonts w:ascii="Arial" w:cs="Arial" w:eastAsia="Arial" w:hAnsi="Arial"/>
          <w:sz w:val="10"/>
          <w:szCs w:val="10"/>
          <w:b w:val="1"/>
          <w:bCs w:val="1"/>
          <w:color w:val="auto"/>
        </w:rPr>
        <w:t xml:space="preserve">Treatment of Metastatic Melanoma: </w:t>
      </w:r>
      <w:r>
        <w:rPr>
          <w:rFonts w:ascii="Arial" w:cs="Arial" w:eastAsia="Arial" w:hAnsi="Arial"/>
          <w:sz w:val="10"/>
          <w:szCs w:val="10"/>
          <w:color w:val="auto"/>
        </w:rPr>
        <w:t>The Phase 1/2 open-label, multi-center, dose escalation study evaluated the safety, tolerability and pharmacokinetics of glembatumumab vedotin in 117 patients with unresectable stage III or</w:t>
      </w:r>
      <w:r>
        <w:rPr>
          <w:rFonts w:ascii="Arial" w:cs="Arial" w:eastAsia="Arial" w:hAnsi="Arial"/>
          <w:sz w:val="10"/>
          <w:szCs w:val="10"/>
          <w:b w:val="1"/>
          <w:bCs w:val="1"/>
          <w:color w:val="auto"/>
        </w:rPr>
        <w:t xml:space="preserve"> </w:t>
      </w:r>
      <w:r>
        <w:rPr>
          <w:rFonts w:ascii="Arial" w:cs="Arial" w:eastAsia="Arial" w:hAnsi="Arial"/>
          <w:sz w:val="10"/>
          <w:szCs w:val="10"/>
          <w:color w:val="auto"/>
        </w:rPr>
        <w:t>IV melanoma who had failed no more than one prior line of cytotoxic therapy. The MTD and resulting Phase 2 dose was determined to be 1.88 mg/kg administered intravenously once every three weeks. The study achieved its primary activity objective with an overall response rate (ORR) in the Phase 2 cohort of 15% (5/34). Median PFS was 3.3 months for patients treated with the Phase 2 dose. Glembatumumab vedotin was generally well tolerated, with the most frequent treatment-related adverse events being rash, fatigue, alopecia, pruritus, diarrhea and nausea. The development of rash, which may be associated with the presence of gpNMB in the skin, also seemed to correlate with greater PFS.</w:t>
      </w:r>
    </w:p>
    <w:p>
      <w:pPr>
        <w:sectPr>
          <w:pgSz w:w="11900" w:h="16846" w:orient="portrait"/>
          <w:cols w:equalWidth="0" w:num="1">
            <w:col w:w="11480"/>
          </w:cols>
          <w:pgMar w:left="220" w:top="131" w:right="199" w:bottom="0" w:gutter="0" w:footer="0" w:header="0"/>
        </w:sectPr>
      </w:pPr>
    </w:p>
    <w:bookmarkStart w:id="8" w:name="page9"/>
    <w:bookmarkEnd w:id="8"/>
    <w:p>
      <w:pPr>
        <w:spacing w:after="0" w:line="87" w:lineRule="exact"/>
        <w:rPr>
          <w:sz w:val="20"/>
          <w:szCs w:val="20"/>
          <w:color w:val="auto"/>
        </w:rPr>
      </w:pPr>
    </w:p>
    <w:p>
      <w:pPr>
        <w:ind w:right="20" w:firstLine="432"/>
        <w:spacing w:after="0" w:line="255" w:lineRule="auto"/>
        <w:rPr>
          <w:sz w:val="20"/>
          <w:szCs w:val="20"/>
          <w:color w:val="auto"/>
        </w:rPr>
      </w:pPr>
      <w:r>
        <w:rPr>
          <w:rFonts w:ascii="Arial" w:cs="Arial" w:eastAsia="Arial" w:hAnsi="Arial"/>
          <w:sz w:val="12"/>
          <w:szCs w:val="12"/>
          <w:color w:val="auto"/>
        </w:rPr>
        <w:t>In December 2014, we initiated a single arm, single-agent, open-label Phase 2 study of glembatumumab vedotin in patients with unresectable stage III or IV melanoma (n=60), and enrollment has been completed. In May 2016, we amended the protocol to add a second cohort of patients to a glembatumumab vedotin and varlilumab combination arm to assess the potential clinical benefit of the combination and to explore varlilumab’s potential biologic and immunologic effect when combined with an ADC and enrollment has been completed. In November 2016, we amended the protocol again to add a third cohort of patients evaluating glembatumumab vedotin in combination with an approved checkpoint inhibitor (i.e., nivolumab or pembrolizumab) following progression on the checkpoint inhibitor alone and enrollment is ongoing. The primary endpoint for each cohort is ORR. Secondary endpoints include analyses of PFS, duration of response, OS, retrospective investigation of whether the anti-cancer activity of glembatumumab vedotin is dependent upon the degree of gpNMB expression in tumor tissue and safety of both the monotherapy and combination regimens.</w:t>
      </w:r>
    </w:p>
    <w:p>
      <w:pPr>
        <w:spacing w:after="0" w:line="129" w:lineRule="exact"/>
        <w:rPr>
          <w:sz w:val="20"/>
          <w:szCs w:val="20"/>
          <w:color w:val="auto"/>
        </w:rPr>
      </w:pPr>
    </w:p>
    <w:p>
      <w:pPr>
        <w:ind w:right="60" w:firstLine="432"/>
        <w:spacing w:after="0" w:line="278" w:lineRule="auto"/>
        <w:rPr>
          <w:sz w:val="20"/>
          <w:szCs w:val="20"/>
          <w:color w:val="auto"/>
        </w:rPr>
      </w:pPr>
      <w:r>
        <w:rPr>
          <w:rFonts w:ascii="Arial" w:cs="Arial" w:eastAsia="Arial" w:hAnsi="Arial"/>
          <w:sz w:val="11"/>
          <w:szCs w:val="11"/>
          <w:color w:val="auto"/>
        </w:rPr>
        <w:t>We presented mature data from the single-agent cohort in an oral presentation at the 2017 American Society of Clinical Oncology Annual Meeting in June. The cohort enrolled 62 evaluable patients with unresectable stage IV (n=62) melanoma. All patients had been heavily pre-treated (median prior therapies = 3; range 1-8) and had progressed during or after checkpoint inhibitor therapy, and almost all patients had received both ipilimumab (n=58; 94%) and anti-PD-1/anti-PD-L1 (n=58; 94%) therapy. Twelve patients presented with BRAF mutation, and fifteen had prior treatment with BRAF or BRAF/MEK targeted agents. Median overall survival (OS) for all patients was 9.0 months (95% CI: 6.1, 13.0). As previously reported in October 2016, the primary endpoint of the cohort (threshold of 6 or more objective responses in 52 evaluable patients) was exceeded. 7 of 62 (11%) patients experienced a confirmed response, and an additional three patients also experienced single timepoint partial responses. Since data were reported in October 2016, one patient converted from a confirmed partial response to a confirmed complete response. The median duration of response was 6.0 months. A 52% disease control rate (patients without progression for greater than three months) was demonstrated, and median progression free survival (PFS) for all patients was 4.4 months. Consistent with previous studies in melanoma and breast cancer, rash was associated with greater clinical benefit. Patients who experienced rash in Cycle 1 experienced a 21% confirmed response rate, a more prolonged PFS with a median of 5.5 months (p=0.006; HR=0.39) and a more prolonged OS with a median of 15.8 months (p=0.026, HR=0.44). The safety profile was consistent with prior studies of glembatumumab vedotin with rash, neutropenia and neuropathy experienced as the most significant adverse events. Pre-treatment tumor tissue was available for 59 patients. All samples were gpNMB positive, and 78% of patients had tumors with 100% of their epithelial cells expressing gpNMB. Given both the high level of expression and the intensity of expression across this patient population, identifying a potential population for gpNMB enrichment is not feasible; therefore, all patients with metastatic melanoma could be evaluated as potential candidates for treatment with glembatumumab vedotin in future studies. We intend to conduct exploratory analyses of pre-entry skin biopsies in future patients to investigate potential predictors of response to glembatumumab vedotin, given the association of rash and outcome.</w:t>
      </w:r>
    </w:p>
    <w:p>
      <w:pPr>
        <w:spacing w:after="0" w:line="111" w:lineRule="exact"/>
        <w:rPr>
          <w:sz w:val="20"/>
          <w:szCs w:val="20"/>
          <w:color w:val="auto"/>
        </w:rPr>
      </w:pPr>
    </w:p>
    <w:p>
      <w:pPr>
        <w:ind w:firstLine="432"/>
        <w:spacing w:after="0" w:line="256" w:lineRule="auto"/>
        <w:rPr>
          <w:sz w:val="20"/>
          <w:szCs w:val="20"/>
          <w:color w:val="auto"/>
        </w:rPr>
      </w:pPr>
      <w:r>
        <w:rPr>
          <w:rFonts w:ascii="Arial" w:cs="Arial" w:eastAsia="Arial" w:hAnsi="Arial"/>
          <w:sz w:val="12"/>
          <w:szCs w:val="12"/>
          <w:b w:val="1"/>
          <w:bCs w:val="1"/>
          <w:color w:val="auto"/>
        </w:rPr>
        <w:t xml:space="preserve">Treatment of Other Indications: </w:t>
      </w:r>
      <w:r>
        <w:rPr>
          <w:rFonts w:ascii="Arial" w:cs="Arial" w:eastAsia="Arial" w:hAnsi="Arial"/>
          <w:sz w:val="12"/>
          <w:szCs w:val="12"/>
          <w:color w:val="auto"/>
        </w:rPr>
        <w:t>We have entered into a collaborative relationship with PrECOG, LLC, which represents a research network established by the Eastern Cooperative Oncology Group (ECOG), under which</w:t>
      </w:r>
      <w:r>
        <w:rPr>
          <w:rFonts w:ascii="Arial" w:cs="Arial" w:eastAsia="Arial" w:hAnsi="Arial"/>
          <w:sz w:val="12"/>
          <w:szCs w:val="12"/>
          <w:b w:val="1"/>
          <w:bCs w:val="1"/>
          <w:color w:val="auto"/>
        </w:rPr>
        <w:t xml:space="preserve"> </w:t>
      </w:r>
      <w:r>
        <w:rPr>
          <w:rFonts w:ascii="Arial" w:cs="Arial" w:eastAsia="Arial" w:hAnsi="Arial"/>
          <w:sz w:val="12"/>
          <w:szCs w:val="12"/>
          <w:color w:val="auto"/>
        </w:rPr>
        <w:t>PrECOG, LLC, is conducting an open-label Phase 1/2 study in patients with unresectable stage IIIB or IV, gpNMB-expressing, advanced or metastatic squamous cell carcinoma (SCC) of the lung, who have progressed on prior platinum-based chemotherapy. This study opened to enrollment in April 2016 and is ongoing. The study includes a dose-escalation phase followed by a two-stage Phase 2 portion (Simon two-stage design). The Phase 1, dose-escalation portion of the study will assess the safety and tolerability of glembatumumab vedotin at the current dose of 1.9 mg/kg and then 2.2 mg/kg in order to determine whether higher dosing is feasible in this population. The first stage of the Phase 2 portion plans to enroll approximately 20 patients, and if at least two patients achieve a partial response or complete response, a second stage may enroll an additional 15 patients. The primary objective of the Phase 2 portion of the study is to assess the anti-tumor activity of glembatumumab vedotin in squamous cell lung cancer as measured by ORR. Secondary objectives of the study include analyses of safety and tolerability and further assessment of anti-tumor activity across a broad range of endpoints.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310755" cy="241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310755" cy="24130"/>
                    </a:xfrm>
                    <a:prstGeom prst="rect">
                      <a:avLst/>
                    </a:prstGeom>
                    <a:noFill/>
                  </pic:spPr>
                </pic:pic>
              </a:graphicData>
            </a:graphic>
          </wp:anchor>
        </w:drawing>
      </w:r>
    </w:p>
    <w:p>
      <w:pPr>
        <w:spacing w:after="0" w:line="319" w:lineRule="exact"/>
        <w:rPr>
          <w:sz w:val="20"/>
          <w:szCs w:val="20"/>
          <w:color w:val="auto"/>
        </w:rPr>
      </w:pPr>
    </w:p>
    <w:p>
      <w:pPr>
        <w:spacing w:after="0"/>
        <w:rPr>
          <w:rFonts w:ascii="Arial" w:cs="Arial" w:eastAsia="Arial" w:hAnsi="Arial"/>
          <w:sz w:val="12"/>
          <w:szCs w:val="12"/>
          <w:u w:val="single" w:color="auto"/>
          <w:color w:val="0000EE"/>
        </w:rPr>
      </w:pPr>
      <w:hyperlink w:anchor="page1">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ind w:right="60" w:firstLine="432"/>
        <w:spacing w:after="0" w:line="286" w:lineRule="auto"/>
        <w:rPr>
          <w:sz w:val="20"/>
          <w:szCs w:val="20"/>
          <w:color w:val="auto"/>
        </w:rPr>
      </w:pPr>
      <w:r>
        <w:rPr>
          <w:rFonts w:ascii="Arial" w:cs="Arial" w:eastAsia="Arial" w:hAnsi="Arial"/>
          <w:sz w:val="11"/>
          <w:szCs w:val="11"/>
          <w:color w:val="auto"/>
        </w:rPr>
        <w:t>We have also entered into a Cooperative Research and Development Agreement, or CRADA, with the National Cancer Institute, or NCI, under which NCI is sponsoring a Phase 2 study of glembatumumab vedotin in uveal melanoma. The study is a single-arm, open-label study in patients with locally recurrent or metastatic uveal melanoma. The study has a two stage design with a pre-specified activity threshold necessary in the first stage to progress enrollment to the second stage. The primary outcome measure is ORR. Secondary outcome measures include change in gpNMB expression on tumor tissue via immunohistochemistry, safety, OS and PFS. Interim data from this study were presented at the International Society of Ocular Oncology Biennial Conference in March 2017. Two (11%) objective responses were observed in 19 patients and 68% of patients experienced stable disease. Based on these interim data, the study met the activity threshold for progressing to stage 2, and enrollment in this cohort was recently completed. We expect data from this study will be presented at a future medical meeting.</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Varlilumab</w:t>
      </w:r>
    </w:p>
    <w:p>
      <w:pPr>
        <w:spacing w:after="0" w:line="150" w:lineRule="exact"/>
        <w:rPr>
          <w:sz w:val="20"/>
          <w:szCs w:val="20"/>
          <w:color w:val="auto"/>
        </w:rPr>
      </w:pPr>
    </w:p>
    <w:p>
      <w:pPr>
        <w:ind w:right="40" w:firstLine="432"/>
        <w:spacing w:after="0" w:line="281" w:lineRule="auto"/>
        <w:rPr>
          <w:sz w:val="20"/>
          <w:szCs w:val="20"/>
          <w:color w:val="auto"/>
        </w:rPr>
      </w:pPr>
      <w:r>
        <w:rPr>
          <w:rFonts w:ascii="Arial" w:cs="Arial" w:eastAsia="Arial" w:hAnsi="Arial"/>
          <w:sz w:val="11"/>
          <w:szCs w:val="11"/>
          <w:color w:val="auto"/>
        </w:rPr>
        <w:t xml:space="preserve">Varlilumab is a fully human monoclonal agonist antibody that binds to and activates CD27, a critical co-stimulatory molecule in the immune activation cascade. We believe varlilumab works primarily by stimulating T cells, an important component of a person’s immune system, to attack cancer cells. Restricted expression and regulation of CD27 enables varlilumab specifically to activate T cells, resulting in an enhanced immune response with the potential for a favorable safety profile. In preclinical studies, varlilumab has been shown to directly kill or inhibit the growth of CD27 expressing lymphomas and leukemias in </w:t>
      </w:r>
      <w:r>
        <w:rPr>
          <w:rFonts w:ascii="Arial" w:cs="Arial" w:eastAsia="Arial" w:hAnsi="Arial"/>
          <w:sz w:val="11"/>
          <w:szCs w:val="11"/>
          <w:i w:val="1"/>
          <w:iCs w:val="1"/>
          <w:color w:val="auto"/>
        </w:rPr>
        <w:t>in vitro</w:t>
      </w:r>
      <w:r>
        <w:rPr>
          <w:rFonts w:ascii="Arial" w:cs="Arial" w:eastAsia="Arial" w:hAnsi="Arial"/>
          <w:sz w:val="11"/>
          <w:szCs w:val="11"/>
          <w:color w:val="auto"/>
        </w:rPr>
        <w:t xml:space="preserve"> and </w:t>
      </w:r>
      <w:r>
        <w:rPr>
          <w:rFonts w:ascii="Arial" w:cs="Arial" w:eastAsia="Arial" w:hAnsi="Arial"/>
          <w:sz w:val="11"/>
          <w:szCs w:val="11"/>
          <w:i w:val="1"/>
          <w:iCs w:val="1"/>
          <w:color w:val="auto"/>
        </w:rPr>
        <w:t>in vivo</w:t>
      </w:r>
      <w:r>
        <w:rPr>
          <w:rFonts w:ascii="Arial" w:cs="Arial" w:eastAsia="Arial" w:hAnsi="Arial"/>
          <w:sz w:val="11"/>
          <w:szCs w:val="11"/>
          <w:color w:val="auto"/>
        </w:rPr>
        <w:t xml:space="preserve"> models. We have entered into license agreements with the University of Southampton, UK for intellectual property to use anti-CD27 antibodies and with Medarex (acquired by Bristol-Myers Squibb Company, or BMS) for access to the UltiMab technology to develop and commercialize human antibodies to CD27. Varlilumab was initially studied as a single-agent to establish a safety profile and assess immunologic and clinical activity in patients with cancer, but we believe the greatest opportunity for varlilumab is as an immune activator in combination with other agents. Currently, we are focusing our efforts on a Phase 1/2 clinical trial being conducted in collaboration with BMS and their PD-1 immune checkpoint inhibitor, Opdivo. Varlilumab is also being explored in combination studies, including with glembatumumab vedotin, and in ongoing and planned investigator-sponsored studies.</w:t>
      </w:r>
    </w:p>
    <w:p>
      <w:pPr>
        <w:spacing w:after="0" w:line="112" w:lineRule="exact"/>
        <w:rPr>
          <w:sz w:val="20"/>
          <w:szCs w:val="20"/>
          <w:color w:val="auto"/>
        </w:rPr>
      </w:pPr>
    </w:p>
    <w:p>
      <w:pPr>
        <w:ind w:firstLine="432"/>
        <w:spacing w:after="0" w:line="281" w:lineRule="auto"/>
        <w:rPr>
          <w:sz w:val="20"/>
          <w:szCs w:val="20"/>
          <w:color w:val="auto"/>
        </w:rPr>
      </w:pPr>
      <w:r>
        <w:rPr>
          <w:rFonts w:ascii="Arial" w:cs="Arial" w:eastAsia="Arial" w:hAnsi="Arial"/>
          <w:sz w:val="11"/>
          <w:szCs w:val="11"/>
          <w:b w:val="1"/>
          <w:bCs w:val="1"/>
          <w:color w:val="auto"/>
        </w:rPr>
        <w:t xml:space="preserve">Single-Agent Phase 1 Study: </w:t>
      </w:r>
      <w:r>
        <w:rPr>
          <w:rFonts w:ascii="Arial" w:cs="Arial" w:eastAsia="Arial" w:hAnsi="Arial"/>
          <w:sz w:val="11"/>
          <w:szCs w:val="11"/>
          <w:color w:val="auto"/>
        </w:rPr>
        <w:t>Data from the completed, open-label Phase 1 study of varlilumab in patients with selected malignant solid tumors or hematologic cancers were presented at the Annual Meeting of the American</w:t>
      </w:r>
      <w:r>
        <w:rPr>
          <w:rFonts w:ascii="Arial" w:cs="Arial" w:eastAsia="Arial" w:hAnsi="Arial"/>
          <w:sz w:val="11"/>
          <w:szCs w:val="11"/>
          <w:b w:val="1"/>
          <w:bCs w:val="1"/>
          <w:color w:val="auto"/>
        </w:rPr>
        <w:t xml:space="preserve"> </w:t>
      </w:r>
      <w:r>
        <w:rPr>
          <w:rFonts w:ascii="Arial" w:cs="Arial" w:eastAsia="Arial" w:hAnsi="Arial"/>
          <w:sz w:val="11"/>
          <w:szCs w:val="11"/>
          <w:color w:val="auto"/>
        </w:rPr>
        <w:t xml:space="preserve">Society of Clinical Oncology in June 2014. Varlilumab to date has shown an acceptable safety profile and induced immunologic activity in patients that is consistent with both its proposed mechanism of action and data in preclinical models. A total of 90 patients were dosed in the study at multiple clinical sites in the U.S. of which 56 patients were dosed in dose escalation cohorts (various solid and hematologic B-cell tumors), and 34 patients were dosed in the expansion cohorts (melanoma and RCC) at 3 mg/kg. In both the solid tumor and hematologic dose-escalations, the pre-specified maximum dose level (10 mg/kg) was reached without identification of a maximum tolerated dose. The majority of adverse events, or AEs, related to treatment have been mild to moderate (Grade 1/2) in severity, with only three serious AEs related to treatment reported. No significant immune-mediated adverse events (colitis, hepatitis, etc.) typically associated with checkpoint blockade have been observed to date. Two patients experienced significant objective responses including a complete response in Hodgkin lymphoma (continued at 33.1+ months as of September 2016; patient no longer on study) and a partial response in renal cell carcinoma of 27.7+ months (as of September 2016). Thirteen patients experienced stable disease with a range of 3-47.3+ months (as of September 2016). As of December 2016, there are two patients continuing in long term follow-up. Final results from the study in patients with solid tumors were published in the </w:t>
      </w:r>
      <w:r>
        <w:rPr>
          <w:rFonts w:ascii="Arial" w:cs="Arial" w:eastAsia="Arial" w:hAnsi="Arial"/>
          <w:sz w:val="11"/>
          <w:szCs w:val="11"/>
          <w:i w:val="1"/>
          <w:iCs w:val="1"/>
          <w:color w:val="auto"/>
        </w:rPr>
        <w:t>Journal of Clinical Oncology</w:t>
      </w:r>
      <w:r>
        <w:rPr>
          <w:rFonts w:ascii="Arial" w:cs="Arial" w:eastAsia="Arial" w:hAnsi="Arial"/>
          <w:sz w:val="11"/>
          <w:szCs w:val="11"/>
          <w:color w:val="auto"/>
        </w:rPr>
        <w:t xml:space="preserve"> in April 2017.</w:t>
      </w:r>
    </w:p>
    <w:p>
      <w:pPr>
        <w:spacing w:after="0" w:line="76" w:lineRule="exact"/>
        <w:rPr>
          <w:sz w:val="20"/>
          <w:szCs w:val="20"/>
          <w:color w:val="auto"/>
        </w:rPr>
      </w:pPr>
    </w:p>
    <w:p>
      <w:pPr>
        <w:ind w:right="200" w:firstLine="432"/>
        <w:spacing w:after="0" w:line="278" w:lineRule="auto"/>
        <w:rPr>
          <w:sz w:val="20"/>
          <w:szCs w:val="20"/>
          <w:color w:val="auto"/>
        </w:rPr>
      </w:pPr>
      <w:r>
        <w:rPr>
          <w:rFonts w:ascii="Arial" w:cs="Arial" w:eastAsia="Arial" w:hAnsi="Arial"/>
          <w:sz w:val="10"/>
          <w:szCs w:val="10"/>
          <w:b w:val="1"/>
          <w:bCs w:val="1"/>
          <w:color w:val="auto"/>
        </w:rPr>
        <w:t>Phase 1/2 Varlilumab/Opdivo</w:t>
      </w:r>
      <w:r>
        <w:rPr>
          <w:rFonts w:ascii="Arial" w:cs="Arial" w:eastAsia="Arial" w:hAnsi="Arial"/>
          <w:sz w:val="19"/>
          <w:szCs w:val="19"/>
          <w:b w:val="1"/>
          <w:bCs w:val="1"/>
          <w:color w:val="auto"/>
          <w:vertAlign w:val="superscript"/>
        </w:rPr>
        <w:t>®</w:t>
      </w:r>
      <w:r>
        <w:rPr>
          <w:rFonts w:ascii="Arial" w:cs="Arial" w:eastAsia="Arial" w:hAnsi="Arial"/>
          <w:sz w:val="10"/>
          <w:szCs w:val="10"/>
          <w:b w:val="1"/>
          <w:bCs w:val="1"/>
          <w:color w:val="auto"/>
        </w:rPr>
        <w:t xml:space="preserve"> Combination Study: </w:t>
      </w:r>
      <w:r>
        <w:rPr>
          <w:rFonts w:ascii="Arial" w:cs="Arial" w:eastAsia="Arial" w:hAnsi="Arial"/>
          <w:sz w:val="10"/>
          <w:szCs w:val="10"/>
          <w:color w:val="auto"/>
        </w:rPr>
        <w:t>In 2014, we entered into a clinical trial collaboration with Bristol-Myers Squibb to evaluate the safety, tolerability and preliminary efficacy of varlilumab and Opdivo,</w:t>
      </w:r>
      <w:r>
        <w:rPr>
          <w:rFonts w:ascii="Arial" w:cs="Arial" w:eastAsia="Arial" w:hAnsi="Arial"/>
          <w:sz w:val="10"/>
          <w:szCs w:val="10"/>
          <w:b w:val="1"/>
          <w:bCs w:val="1"/>
          <w:color w:val="auto"/>
        </w:rPr>
        <w:t xml:space="preserve"> </w:t>
      </w:r>
      <w:r>
        <w:rPr>
          <w:rFonts w:ascii="Arial" w:cs="Arial" w:eastAsia="Arial" w:hAnsi="Arial"/>
          <w:sz w:val="10"/>
          <w:szCs w:val="10"/>
          <w:color w:val="auto"/>
        </w:rPr>
        <w:t>Bristol-Myers Squibb’s PD-1 immune checkpoint inhibitor, in a Phase 1/2 study. Under the terms of this clinical trial collaboration, Bristol-Myers Squibb made a one-time payment to us of $5.0 million, and the companies amended the terms of our existing license agreement with Medarex (acquired by Bristol-Myers Squibb) related to our CD27 program whereby certain future milestone payments were waived and future royalty rates were reduced that may have been due from us to Medarex. In return, Bristol-Myers Squibb was granted a time-limited right of first negotiation if we wish to out-license varlilumab. The companies also agreed to work exclusively with each other to explore anti-PD-1 antagonist antibody and anti-CD27 agonist antibody combination regimens. The clinical trial collaboration provides that the companies will share development costs and that we will be responsible for conducting the Phase 1/2 study.</w:t>
      </w:r>
    </w:p>
    <w:p>
      <w:pPr>
        <w:spacing w:after="0" w:line="119" w:lineRule="exact"/>
        <w:rPr>
          <w:sz w:val="20"/>
          <w:szCs w:val="20"/>
          <w:color w:val="auto"/>
        </w:rPr>
      </w:pPr>
    </w:p>
    <w:p>
      <w:pPr>
        <w:ind w:right="20" w:firstLine="432"/>
        <w:spacing w:after="0" w:line="263" w:lineRule="auto"/>
        <w:rPr>
          <w:sz w:val="20"/>
          <w:szCs w:val="20"/>
          <w:color w:val="auto"/>
        </w:rPr>
      </w:pPr>
      <w:r>
        <w:rPr>
          <w:rFonts w:ascii="Arial" w:cs="Arial" w:eastAsia="Arial" w:hAnsi="Arial"/>
          <w:sz w:val="12"/>
          <w:szCs w:val="12"/>
          <w:color w:val="auto"/>
        </w:rPr>
        <w:t>The Phase 1/2 study was initiated in January 2015 and is being conducted in adult patients with multiple solid tumors to assess the safety and tolerability of varlilumab at varying doses when administered with Opdivo, followed by a Phase 2 expansion to evaluate the activity of the combination in disease specific cohorts. The Phase 1 dose escalation portion of the study, conducted in patients with solid tumors, has completed enrollment (n=36) and primarily enrolled patients with colorectal and ovarian cancer.</w:t>
      </w:r>
    </w:p>
    <w:p>
      <w:pPr>
        <w:spacing w:after="0" w:line="123" w:lineRule="exact"/>
        <w:rPr>
          <w:sz w:val="20"/>
          <w:szCs w:val="20"/>
          <w:color w:val="auto"/>
        </w:rPr>
      </w:pPr>
    </w:p>
    <w:p>
      <w:pPr>
        <w:ind w:right="120" w:firstLine="432"/>
        <w:spacing w:after="0" w:line="263" w:lineRule="auto"/>
        <w:rPr>
          <w:sz w:val="20"/>
          <w:szCs w:val="20"/>
          <w:color w:val="auto"/>
        </w:rPr>
      </w:pPr>
      <w:r>
        <w:rPr>
          <w:rFonts w:ascii="Arial" w:cs="Arial" w:eastAsia="Arial" w:hAnsi="Arial"/>
          <w:sz w:val="12"/>
          <w:szCs w:val="12"/>
          <w:color w:val="auto"/>
        </w:rPr>
        <w:t>Data were presented from the Phase 1 portion (n=36) of the varlilumab and Opdivo combination study in an oral presentation at the 2017 American Society of Clinical Oncology Annual Meeting in June. The majority of patients enrolled in the study had PD-L1 negative tumor at baseline and presented with stage IV, heavily-pretreated disease. 80% of patients enrolled presented with refractory or recurrent colorectal (n=21) or ovarian cancer (n=8), a population expected to have minimal response to checkpoint blockade. The</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310755" cy="241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310755" cy="24130"/>
                    </a:xfrm>
                    <a:prstGeom prst="rect">
                      <a:avLst/>
                    </a:prstGeom>
                    <a:noFill/>
                  </pic:spPr>
                </pic:pic>
              </a:graphicData>
            </a:graphic>
          </wp:anchor>
        </w:drawing>
      </w:r>
    </w:p>
    <w:p>
      <w:pPr>
        <w:spacing w:after="0" w:line="319" w:lineRule="exact"/>
        <w:rPr>
          <w:sz w:val="20"/>
          <w:szCs w:val="20"/>
          <w:color w:val="auto"/>
        </w:rPr>
      </w:pPr>
    </w:p>
    <w:p>
      <w:pPr>
        <w:spacing w:after="0"/>
        <w:rPr>
          <w:rFonts w:ascii="Arial" w:cs="Arial" w:eastAsia="Arial" w:hAnsi="Arial"/>
          <w:sz w:val="12"/>
          <w:szCs w:val="12"/>
          <w:u w:val="single" w:color="auto"/>
          <w:color w:val="0000EE"/>
        </w:rPr>
      </w:pPr>
      <w:hyperlink w:anchor="page1">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ind w:right="20"/>
        <w:spacing w:after="0" w:line="257" w:lineRule="auto"/>
        <w:rPr>
          <w:sz w:val="20"/>
          <w:szCs w:val="20"/>
          <w:color w:val="auto"/>
        </w:rPr>
      </w:pPr>
      <w:r>
        <w:rPr>
          <w:rFonts w:ascii="Arial" w:cs="Arial" w:eastAsia="Arial" w:hAnsi="Arial"/>
          <w:sz w:val="12"/>
          <w:szCs w:val="12"/>
          <w:color w:val="auto"/>
        </w:rPr>
        <w:t>primary objective of the Phase 1 portion of the study was to evaluate the safety and tolerability of the combination. The combination was well tolerated at all varlilumab dose levels tested without any evidence of increased autoimmunity or inappropriate immune activation. Marked changes in the tumor microenvironment including increased infiltrating CD8+ T cells and increased PD-L1 expression, which have been shown to correlate with a greater magnitude of treatment effect from checkpoint inhibitors in other clinical studies, were observed. Additional evidence of immune activity, such as increase in inflammatory chemokines and decrease in T regulatory cells, was also noted. Notable disease control was also observed (stable disease or better for at least 3 months), considering the stage IV patient population contained mostly colorectal and ovarian cases (80%): 0.1 mg/kg varlilumab + 240 mg Opdivo: 1/5 (20%), 1 mg/kg varlilumab + 240 mg Opdivo: 5/15 (33%) and 10 mg/kg varlilumab + 240 mg Opdivo: 6/15 (40%).</w:t>
      </w:r>
    </w:p>
    <w:p>
      <w:pPr>
        <w:spacing w:after="0" w:line="126" w:lineRule="exact"/>
        <w:rPr>
          <w:sz w:val="20"/>
          <w:szCs w:val="20"/>
          <w:color w:val="auto"/>
        </w:rPr>
      </w:pPr>
    </w:p>
    <w:p>
      <w:pPr>
        <w:ind w:right="60" w:firstLine="432"/>
        <w:spacing w:after="0" w:line="283" w:lineRule="auto"/>
        <w:rPr>
          <w:sz w:val="20"/>
          <w:szCs w:val="20"/>
          <w:color w:val="auto"/>
        </w:rPr>
      </w:pPr>
      <w:r>
        <w:rPr>
          <w:rFonts w:ascii="Arial" w:cs="Arial" w:eastAsia="Arial" w:hAnsi="Arial"/>
          <w:sz w:val="11"/>
          <w:szCs w:val="11"/>
          <w:color w:val="auto"/>
        </w:rPr>
        <w:t>Three partial responses (PR) were observed. A patient with PD-L1 negative, MMR proficient colorectal cancer, typically unlikely to respond to checkpoint blockade monotherapy, achieved a confirmed PR (95% decrease in target lesions) and, following completion of combination treatment, continues to receive treatment with Opdivo monotherapy at 22+ months. A patient with low PD-L1 (5% expression) squamous cell head and neck cancer achieved a confirmed PR (59% shrinkage) and experienced progression free survival of 6.7 months. A patient with PD-L1 negative ovarian cancer experienced a single timepoint PR (49% shrinkage) but discontinued treatment to a dose-limiting toxicity (immune hepatitis, an event known to be associated with checkpoint inhibition therapy). A subgroup analysis was conducted in patients with ovarian cancer based on an observed increase of PD-L1 and tumor-infiltrating lymphocytes in this patient population. In patients with paired baseline and on-treatment biopsies (n=13), only 15% were PD-L1 positive (</w:t>
      </w:r>
      <w:r>
        <w:rPr>
          <w:rFonts w:ascii="Arial" w:cs="Arial" w:eastAsia="Arial" w:hAnsi="Arial"/>
          <w:sz w:val="11"/>
          <w:szCs w:val="11"/>
          <w:u w:val="single" w:color="auto"/>
          <w:color w:val="auto"/>
        </w:rPr>
        <w:t>&gt;</w:t>
      </w:r>
      <w:r>
        <w:rPr>
          <w:rFonts w:ascii="Arial" w:cs="Arial" w:eastAsia="Arial" w:hAnsi="Arial"/>
          <w:sz w:val="11"/>
          <w:szCs w:val="11"/>
          <w:color w:val="auto"/>
        </w:rPr>
        <w:t xml:space="preserve"> 1% tumor cells) at baseline compared to 77% during treatment (p=0.015). Patients with increased tumor PD-L1 expression and tumor CD8 T cells correlated with better clinical outcome with treatment (stable disease or better).</w:t>
      </w:r>
    </w:p>
    <w:p>
      <w:pPr>
        <w:spacing w:after="0" w:line="114" w:lineRule="exact"/>
        <w:rPr>
          <w:sz w:val="20"/>
          <w:szCs w:val="20"/>
          <w:color w:val="auto"/>
        </w:rPr>
      </w:pPr>
    </w:p>
    <w:p>
      <w:pPr>
        <w:ind w:right="300" w:firstLine="432"/>
        <w:spacing w:after="0" w:line="286" w:lineRule="auto"/>
        <w:rPr>
          <w:sz w:val="20"/>
          <w:szCs w:val="20"/>
          <w:color w:val="auto"/>
        </w:rPr>
      </w:pPr>
      <w:r>
        <w:rPr>
          <w:rFonts w:ascii="Arial" w:cs="Arial" w:eastAsia="Arial" w:hAnsi="Arial"/>
          <w:sz w:val="11"/>
          <w:szCs w:val="11"/>
          <w:color w:val="auto"/>
        </w:rPr>
        <w:t>The Phase 2 portion of the study opened to enrollment in April 2016 and includes cohorts in colorectal cancer (n=18), ovarian cancer (n=54), head and neck squamous cell carcinoma (n=54), renal cell carcinoma (n=25) and glioblastoma (n=20). Based on recent protocol amendments, additional dosing schedules are being explored in ovarian cancer (versus renal cell carcinoma) and, as previously disclosed, in head and neck squamous cell carcinoma, increasing the overall size of the study compared to the original study design. The primary objective of the Phase 2 cohorts is ORR, except glioblastoma, where the primary objective is the rate of 12-month overall survival. Secondary objectives include pharmacokinetics assessments, determining the immunogenicity of varlilumab when given in combination with Opdivo and further assessing the anti-tumor activity of combination treatment. We plan to complete enrollment across all cohorts in the Phase 2 portion of the study in the first quarter of 2018 and expect to work with BMS to present data from the study at a future medical meeting.</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CDX-0158</w:t>
      </w:r>
    </w:p>
    <w:p>
      <w:pPr>
        <w:spacing w:after="0" w:line="150" w:lineRule="exact"/>
        <w:rPr>
          <w:sz w:val="20"/>
          <w:szCs w:val="20"/>
          <w:color w:val="auto"/>
        </w:rPr>
      </w:pPr>
    </w:p>
    <w:p>
      <w:pPr>
        <w:ind w:right="240" w:firstLine="432"/>
        <w:spacing w:after="0" w:line="290" w:lineRule="auto"/>
        <w:rPr>
          <w:sz w:val="20"/>
          <w:szCs w:val="20"/>
          <w:color w:val="auto"/>
        </w:rPr>
      </w:pPr>
      <w:r>
        <w:rPr>
          <w:rFonts w:ascii="Arial" w:cs="Arial" w:eastAsia="Arial" w:hAnsi="Arial"/>
          <w:sz w:val="11"/>
          <w:szCs w:val="11"/>
          <w:color w:val="auto"/>
        </w:rPr>
        <w:t>CDX-0158 is a humanized monoclonal antibody designed to inhibit KIT activation in tumor cells and mast cells. KIT is expressed in many tumor types including gastrointestinal stromal tumors (or GIST), sarcomas, small cell lung cancer, melanoma, acute myeloid leukemia (AML) and mast cell leukemia. It has also been implicated in asthma and neurofibromatosis. We are currently developing CDX-0158 for the treatment of GIST. Small molecule drugs currently approved to treat GIST inhibit mutant KIT, but acquired resistance develops via secondary, drug-resistant KIT mutations in the majority of patients over time. CDX-0158 is designed to uniquely prevent KIT activation by inhibiting both receptor dimerization and ligand binding. CDX-0158 has demonstrated preclinical activity versus the most common c-KIT mutations in human GIST, including treatment of mastocytoma in a canine model.</w:t>
      </w:r>
    </w:p>
    <w:p>
      <w:pPr>
        <w:spacing w:after="0" w:line="109" w:lineRule="exact"/>
        <w:rPr>
          <w:sz w:val="20"/>
          <w:szCs w:val="20"/>
          <w:color w:val="auto"/>
        </w:rPr>
      </w:pPr>
    </w:p>
    <w:p>
      <w:pPr>
        <w:ind w:firstLine="432"/>
        <w:spacing w:after="0" w:line="323" w:lineRule="auto"/>
        <w:rPr>
          <w:sz w:val="20"/>
          <w:szCs w:val="20"/>
          <w:color w:val="auto"/>
        </w:rPr>
      </w:pPr>
      <w:r>
        <w:rPr>
          <w:rFonts w:ascii="Arial" w:cs="Arial" w:eastAsia="Arial" w:hAnsi="Arial"/>
          <w:sz w:val="11"/>
          <w:szCs w:val="11"/>
          <w:color w:val="auto"/>
        </w:rPr>
        <w:t>A Phase 1 dose escalation study in patients with advanced refractory GIST and other KIT positive tumors opened to enrollment in December 2015 to determine the maximum tolerated dose, recommend a dose for further study and characterize the safety profile. Enrollment is ongoing. Upon completion of Phase 1 assuming a successful outcome, we plan to develop CDX-0158 in patients with refractory GIST given the significant unmet need for these patients.</w:t>
      </w:r>
    </w:p>
    <w:p>
      <w:pPr>
        <w:spacing w:after="0" w:line="92" w:lineRule="exact"/>
        <w:rPr>
          <w:sz w:val="20"/>
          <w:szCs w:val="20"/>
          <w:color w:val="auto"/>
        </w:rPr>
      </w:pPr>
    </w:p>
    <w:p>
      <w:pPr>
        <w:ind w:right="580" w:firstLine="432"/>
        <w:spacing w:after="0" w:line="276" w:lineRule="auto"/>
        <w:rPr>
          <w:sz w:val="20"/>
          <w:szCs w:val="20"/>
          <w:color w:val="auto"/>
        </w:rPr>
      </w:pPr>
      <w:r>
        <w:rPr>
          <w:rFonts w:ascii="Arial" w:cs="Arial" w:eastAsia="Arial" w:hAnsi="Arial"/>
          <w:sz w:val="12"/>
          <w:szCs w:val="12"/>
          <w:color w:val="auto"/>
        </w:rPr>
        <w:t xml:space="preserve">Preclinical data published in </w:t>
      </w:r>
      <w:r>
        <w:rPr>
          <w:rFonts w:ascii="Arial" w:cs="Arial" w:eastAsia="Arial" w:hAnsi="Arial"/>
          <w:sz w:val="12"/>
          <w:szCs w:val="12"/>
          <w:i w:val="1"/>
          <w:iCs w:val="1"/>
          <w:color w:val="auto"/>
        </w:rPr>
        <w:t>Molecular Cancer Therapeutics</w:t>
      </w:r>
      <w:r>
        <w:rPr>
          <w:rFonts w:ascii="Arial" w:cs="Arial" w:eastAsia="Arial" w:hAnsi="Arial"/>
          <w:sz w:val="12"/>
          <w:szCs w:val="12"/>
          <w:color w:val="auto"/>
        </w:rPr>
        <w:t xml:space="preserve"> in January 2017 demonstrate that KIT inhibition in certain immune cells with CDX-0158 enhances the activity of checkpoint blockade, providing additional opportunities for combination therapy. This mechanism may also be effective with other immunotherapies, in particular with our CD27 agonist, varlilumab.</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CDX-3379</w:t>
      </w:r>
    </w:p>
    <w:p>
      <w:pPr>
        <w:spacing w:after="0" w:line="150" w:lineRule="exact"/>
        <w:rPr>
          <w:sz w:val="20"/>
          <w:szCs w:val="20"/>
          <w:color w:val="auto"/>
        </w:rPr>
      </w:pPr>
    </w:p>
    <w:p>
      <w:pPr>
        <w:ind w:right="20" w:firstLine="432"/>
        <w:spacing w:after="0" w:line="380" w:lineRule="auto"/>
        <w:rPr>
          <w:sz w:val="20"/>
          <w:szCs w:val="20"/>
          <w:color w:val="auto"/>
        </w:rPr>
      </w:pPr>
      <w:r>
        <w:rPr>
          <w:rFonts w:ascii="Arial" w:cs="Arial" w:eastAsia="Arial" w:hAnsi="Arial"/>
          <w:sz w:val="10"/>
          <w:szCs w:val="10"/>
          <w:color w:val="auto"/>
        </w:rPr>
        <w:t>CDX-3379 is a human monoclonal antibody with half-life extension designed to block the activity of ErbB3 (HER3). We believe ErbB3 may be an important receptor regulating cancer cell growth and survival as well as resistance to targeted therapies and is expressed in many cancers, including head and neck, thyroid, breast, lung and gastric cancers, as well as melanoma. We believe the proposed mechanism of action for CDX-3379 sets it apart from other drugs in</w:t>
      </w:r>
    </w:p>
    <w:p>
      <w:pPr>
        <w:sectPr>
          <w:pgSz w:w="11900" w:h="16926" w:orient="portrait"/>
          <w:cols w:equalWidth="0" w:num="1">
            <w:col w:w="11480"/>
          </w:cols>
          <w:pgMar w:left="220" w:top="275" w:right="199" w:bottom="0" w:gutter="0" w:footer="0" w:header="0"/>
        </w:sectPr>
      </w:pPr>
    </w:p>
    <w:bookmarkStart w:id="9" w:name="page10"/>
    <w:bookmarkEnd w:id="9"/>
    <w:p>
      <w:pPr>
        <w:ind w:right="100"/>
        <w:spacing w:after="0" w:line="323" w:lineRule="auto"/>
        <w:rPr>
          <w:sz w:val="20"/>
          <w:szCs w:val="20"/>
          <w:color w:val="auto"/>
        </w:rPr>
      </w:pPr>
      <w:r>
        <w:rPr>
          <w:rFonts w:ascii="Arial" w:cs="Arial" w:eastAsia="Arial" w:hAnsi="Arial"/>
          <w:sz w:val="11"/>
          <w:szCs w:val="11"/>
          <w:color w:val="auto"/>
        </w:rPr>
        <w:t>development in this class due to its ability to block both ligand-independent and ligand-dependent ErbB3 signaling by binding to a unique epitope. It has a favorable pharmacologic profile, including a longer half-life and slower clearance relative to other drug candidates in this class. CDX-3379 also has potential to enhance anti-tumor activity and/or overcome resistance in combination with other targeted and cytotoxic therapies to directly kill</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310755" cy="241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310755" cy="24130"/>
                    </a:xfrm>
                    <a:prstGeom prst="rect">
                      <a:avLst/>
                    </a:prstGeom>
                    <a:noFill/>
                  </pic:spPr>
                </pic:pic>
              </a:graphicData>
            </a:graphic>
          </wp:anchor>
        </w:drawing>
      </w:r>
    </w:p>
    <w:p>
      <w:pPr>
        <w:spacing w:after="0" w:line="319" w:lineRule="exact"/>
        <w:rPr>
          <w:sz w:val="20"/>
          <w:szCs w:val="20"/>
          <w:color w:val="auto"/>
        </w:rPr>
      </w:pPr>
    </w:p>
    <w:p>
      <w:pPr>
        <w:spacing w:after="0"/>
        <w:rPr>
          <w:rFonts w:ascii="Arial" w:cs="Arial" w:eastAsia="Arial" w:hAnsi="Arial"/>
          <w:sz w:val="12"/>
          <w:szCs w:val="12"/>
          <w:u w:val="single" w:color="auto"/>
          <w:color w:val="0000EE"/>
        </w:rPr>
      </w:pPr>
      <w:hyperlink w:anchor="page1">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tumor cells. Tumor cell death and the ensuing release of new tumor antigens has the potential to serve as a focus for combination therapy with immuno-oncology approaches, even in refractory patients.</w:t>
      </w:r>
    </w:p>
    <w:p>
      <w:pPr>
        <w:spacing w:after="0" w:line="150" w:lineRule="exact"/>
        <w:rPr>
          <w:sz w:val="20"/>
          <w:szCs w:val="20"/>
          <w:color w:val="auto"/>
        </w:rPr>
      </w:pPr>
    </w:p>
    <w:p>
      <w:pPr>
        <w:ind w:right="60" w:firstLine="432"/>
        <w:spacing w:after="0" w:line="220" w:lineRule="auto"/>
        <w:rPr>
          <w:sz w:val="20"/>
          <w:szCs w:val="20"/>
          <w:color w:val="auto"/>
        </w:rPr>
      </w:pPr>
      <w:r>
        <w:rPr>
          <w:rFonts w:ascii="Arial" w:cs="Arial" w:eastAsia="Arial" w:hAnsi="Arial"/>
          <w:sz w:val="11"/>
          <w:szCs w:val="11"/>
          <w:color w:val="auto"/>
        </w:rPr>
        <w:t>A Phase 1a/1b study was conducted, including a single-agent dose-escalation portion and combination expansion cohorts. Data from the dose-escalation portion, which completed enrollment in September 2015, and initial data from the expansion cohorts (enrollment ongoing at the time) were presented at the American Society of Clinical Oncology Annual Meeting in June 2016. The single-agent dose-escalation portion of the study did not identify an MTD, and there were no dose limiting toxicities. The most common adverse events included rash and diarrhea and were predominantly grade 1 or 2. Four combination arms across multiple tumor types were added to evaluate CDX-3379 with several drugs that target EGFR, HER2 or BRAF. They include combinations with Erbitux</w:t>
      </w:r>
      <w:r>
        <w:rPr>
          <w:rFonts w:ascii="Arial" w:cs="Arial" w:eastAsia="Arial" w:hAnsi="Arial"/>
          <w:sz w:val="22"/>
          <w:szCs w:val="22"/>
          <w:color w:val="auto"/>
          <w:vertAlign w:val="superscript"/>
        </w:rPr>
        <w:t>®</w:t>
      </w:r>
      <w:r>
        <w:rPr>
          <w:rFonts w:ascii="Arial" w:cs="Arial" w:eastAsia="Arial" w:hAnsi="Arial"/>
          <w:sz w:val="11"/>
          <w:szCs w:val="11"/>
          <w:color w:val="auto"/>
        </w:rPr>
        <w:t xml:space="preserve"> (n=16), Tarceva</w:t>
      </w:r>
      <w:r>
        <w:rPr>
          <w:rFonts w:ascii="Arial" w:cs="Arial" w:eastAsia="Arial" w:hAnsi="Arial"/>
          <w:sz w:val="22"/>
          <w:szCs w:val="22"/>
          <w:color w:val="auto"/>
          <w:vertAlign w:val="superscript"/>
        </w:rPr>
        <w:t>®</w:t>
      </w:r>
      <w:r>
        <w:rPr>
          <w:rFonts w:ascii="Arial" w:cs="Arial" w:eastAsia="Arial" w:hAnsi="Arial"/>
          <w:sz w:val="11"/>
          <w:szCs w:val="11"/>
          <w:color w:val="auto"/>
        </w:rPr>
        <w:t xml:space="preserve"> (n=8), Zelboraf</w:t>
      </w:r>
      <w:r>
        <w:rPr>
          <w:rFonts w:ascii="Arial" w:cs="Arial" w:eastAsia="Arial" w:hAnsi="Arial"/>
          <w:sz w:val="22"/>
          <w:szCs w:val="22"/>
          <w:color w:val="auto"/>
          <w:vertAlign w:val="superscript"/>
        </w:rPr>
        <w:t>®</w:t>
      </w:r>
      <w:r>
        <w:rPr>
          <w:rFonts w:ascii="Arial" w:cs="Arial" w:eastAsia="Arial" w:hAnsi="Arial"/>
          <w:sz w:val="11"/>
          <w:szCs w:val="11"/>
          <w:color w:val="auto"/>
        </w:rPr>
        <w:t xml:space="preserve"> (n=4) and Herceptin</w:t>
      </w:r>
      <w:r>
        <w:rPr>
          <w:rFonts w:ascii="Arial" w:cs="Arial" w:eastAsia="Arial" w:hAnsi="Arial"/>
          <w:sz w:val="22"/>
          <w:szCs w:val="22"/>
          <w:color w:val="auto"/>
          <w:vertAlign w:val="superscript"/>
        </w:rPr>
        <w:t>®</w:t>
      </w:r>
      <w:r>
        <w:rPr>
          <w:rFonts w:ascii="Arial" w:cs="Arial" w:eastAsia="Arial" w:hAnsi="Arial"/>
          <w:sz w:val="11"/>
          <w:szCs w:val="11"/>
          <w:color w:val="auto"/>
        </w:rPr>
        <w:t xml:space="preserve"> (n=10). Patients had advanced disease and were generally heavily pretreated. Across the combination arms, the most frequent adverse events were diarrhea, nausea, rash and fatigue. Objective responses were observed in the Erbitux and Zelboraf combination arms. In the Erbitux arm, there was one complete response in a patient with head and neck cancer, who had been previously treated with Erbitux and was refractory. In the Zelboraf arm, there were two partial responses in patients who had lung cancer, one of whom had been previously treated with Tafinlar</w:t>
      </w:r>
      <w:r>
        <w:rPr>
          <w:rFonts w:ascii="Arial" w:cs="Arial" w:eastAsia="Arial" w:hAnsi="Arial"/>
          <w:sz w:val="22"/>
          <w:szCs w:val="22"/>
          <w:color w:val="auto"/>
          <w:vertAlign w:val="superscript"/>
        </w:rPr>
        <w:t>®</w:t>
      </w:r>
      <w:r>
        <w:rPr>
          <w:rFonts w:ascii="Arial" w:cs="Arial" w:eastAsia="Arial" w:hAnsi="Arial"/>
          <w:sz w:val="11"/>
          <w:szCs w:val="11"/>
          <w:color w:val="auto"/>
        </w:rPr>
        <w:t xml:space="preserve"> and was considered refractory. We have finalized plans for advancement into an open-label Phase 2 study in patients with recurrent/metastatic head and neck squamous cell cancer who are refractory to Erbitux (cetuximab). We anticipate initiating this study in the fourth quarter of 2017.</w:t>
      </w:r>
    </w:p>
    <w:p>
      <w:pPr>
        <w:spacing w:after="0" w:line="13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CDX-1401</w:t>
      </w:r>
    </w:p>
    <w:p>
      <w:pPr>
        <w:spacing w:after="0" w:line="150" w:lineRule="exact"/>
        <w:rPr>
          <w:sz w:val="20"/>
          <w:szCs w:val="20"/>
          <w:color w:val="auto"/>
        </w:rPr>
      </w:pPr>
    </w:p>
    <w:p>
      <w:pPr>
        <w:ind w:right="160" w:firstLine="432"/>
        <w:spacing w:after="0" w:line="257" w:lineRule="auto"/>
        <w:rPr>
          <w:sz w:val="20"/>
          <w:szCs w:val="20"/>
          <w:color w:val="auto"/>
        </w:rPr>
      </w:pPr>
      <w:r>
        <w:rPr>
          <w:rFonts w:ascii="Arial" w:cs="Arial" w:eastAsia="Arial" w:hAnsi="Arial"/>
          <w:sz w:val="12"/>
          <w:szCs w:val="12"/>
          <w:color w:val="auto"/>
        </w:rPr>
        <w:t xml:space="preserve">CDX-1401, developed from our APC Targeting Technology, is an NY-ESO-1-antibody fusion protein for immunotherapy in multiple solid tumors. CDX-1401, which is administered with an adjuvant, is composed of the cancer-specific antigen NY-ESO-1 fused to a fully human antibody that binds to DEC-205 for efficient delivery to dendritic cells. Delivery of tumor-specific proteins directly to dendritic cells </w:t>
      </w:r>
      <w:r>
        <w:rPr>
          <w:rFonts w:ascii="Arial" w:cs="Arial" w:eastAsia="Arial" w:hAnsi="Arial"/>
          <w:sz w:val="12"/>
          <w:szCs w:val="12"/>
          <w:i w:val="1"/>
          <w:iCs w:val="1"/>
          <w:color w:val="auto"/>
        </w:rPr>
        <w:t>in vivo</w:t>
      </w:r>
      <w:r>
        <w:rPr>
          <w:rFonts w:ascii="Arial" w:cs="Arial" w:eastAsia="Arial" w:hAnsi="Arial"/>
          <w:sz w:val="12"/>
          <w:szCs w:val="12"/>
          <w:color w:val="auto"/>
        </w:rPr>
        <w:t xml:space="preserve"> elicits potent, broad, anti-tumor immune responses across populations with different genetic backgrounds. In humans, NY-ESO-1 has been detected in 20% to 30% of melanoma, lung, esophageal, liver, gastric, ovarian and bladder cancers, and up to 70% of synovial sarcomas, thus representing a broad opportunity. CDX-1401 is being developed for the treatment of malignant melanoma and a variety of solid tumors which express the cancer antigen NY-ESO-1. Preclinical studies have shown that CDX-1401 treatment results in activation of human T cell responses against NY-ESO-1.</w:t>
      </w:r>
    </w:p>
    <w:p>
      <w:pPr>
        <w:spacing w:after="0" w:line="126" w:lineRule="exact"/>
        <w:rPr>
          <w:sz w:val="20"/>
          <w:szCs w:val="20"/>
          <w:color w:val="auto"/>
        </w:rPr>
      </w:pPr>
    </w:p>
    <w:p>
      <w:pPr>
        <w:ind w:right="60" w:firstLine="432"/>
        <w:spacing w:after="0" w:line="241" w:lineRule="auto"/>
        <w:rPr>
          <w:sz w:val="20"/>
          <w:szCs w:val="20"/>
          <w:color w:val="auto"/>
        </w:rPr>
      </w:pPr>
      <w:r>
        <w:rPr>
          <w:rFonts w:ascii="Arial" w:cs="Arial" w:eastAsia="Arial" w:hAnsi="Arial"/>
          <w:sz w:val="11"/>
          <w:szCs w:val="11"/>
          <w:color w:val="auto"/>
        </w:rPr>
        <w:t xml:space="preserve">We have completed a Phase 1 study of CDX-1401 which assessed the safety, immunogenicity and clinical activity of escalating doses of CDX-1401 with TLR agonists (resiquimod and/or poly-ICLC) in 45 patients with advanced malignancies refractory to all available therapies. Results were published in </w:t>
      </w:r>
      <w:r>
        <w:rPr>
          <w:rFonts w:ascii="Arial" w:cs="Arial" w:eastAsia="Arial" w:hAnsi="Arial"/>
          <w:sz w:val="11"/>
          <w:szCs w:val="11"/>
          <w:i w:val="1"/>
          <w:iCs w:val="1"/>
          <w:color w:val="auto"/>
        </w:rPr>
        <w:t>Science Translational Medicine</w:t>
      </w:r>
      <w:r>
        <w:rPr>
          <w:rFonts w:ascii="Arial" w:cs="Arial" w:eastAsia="Arial" w:hAnsi="Arial"/>
          <w:sz w:val="11"/>
          <w:szCs w:val="11"/>
          <w:color w:val="auto"/>
        </w:rPr>
        <w:t xml:space="preserve"> in April 2014. Sixty percent of patients had confirmed NY-ESO expression in archived tumor samples. Thirteen patients maintained stable disease for up to 13.4 months with a median of 6.7 months. Treatment indicates an acceptable safety profile to date, and there were no dose limiting toxicities. A variety of immune activation parameters were observed. Humoral responses were elicited in both NY-ESO-1 positive and negative patients. NY-ESO-1-specific T cell responses were absent or low at baseline, but increased post-vaccination in 56% of evaluable patients, including both CD4 and/or CD8 T cell responses. Robust immune responses were observed with CDX-1401 with resiquimod and poly-ICLC alone and in combination. Long-term patient follow up suggested that treatment with CDX-1401 may predispose patients to better outcomes on subsequent therapy with checkpoint inhibitors. Of the 45 patients in the Phase 1 study, eight went on to receive subsequent therapy of either Yervoy</w:t>
      </w:r>
      <w:r>
        <w:rPr>
          <w:rFonts w:ascii="Arial" w:cs="Arial" w:eastAsia="Arial" w:hAnsi="Arial"/>
          <w:sz w:val="22"/>
          <w:szCs w:val="22"/>
          <w:color w:val="auto"/>
          <w:vertAlign w:val="superscript"/>
        </w:rPr>
        <w:t>®</w:t>
      </w:r>
      <w:r>
        <w:rPr>
          <w:rFonts w:ascii="Arial" w:cs="Arial" w:eastAsia="Arial" w:hAnsi="Arial"/>
          <w:sz w:val="11"/>
          <w:szCs w:val="11"/>
          <w:color w:val="auto"/>
        </w:rPr>
        <w:t xml:space="preserve"> or an investigational checkpoint inhibitor, and six of these patients had objective tumor regression. Six patients with melanoma received Yervoy within three months of treatment with CDX-1401, and four (67%) had objective tumor responses, including one complete response, which compares favorably to the overall response rate of 11% previously reported in metastatic melanoma patients treated with single-agent Yervoy. In addition, two patients with non-small cell lung cancer received an investigational checkpoint blockade within two months of completing treatment with CDX-1401, and both achieved partial responses. Together with Roche, we are supporting an investigator initiated study of CDX-1401 in combination with</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Tecentriq</w:t>
      </w:r>
      <w:r>
        <w:rPr>
          <w:rFonts w:ascii="Arial" w:cs="Arial" w:eastAsia="Arial" w:hAnsi="Arial"/>
          <w:sz w:val="24"/>
          <w:szCs w:val="24"/>
          <w:color w:val="auto"/>
          <w:vertAlign w:val="superscript"/>
        </w:rPr>
        <w:t>®</w:t>
      </w:r>
      <w:r>
        <w:rPr>
          <w:rFonts w:ascii="Arial" w:cs="Arial" w:eastAsia="Arial" w:hAnsi="Arial"/>
          <w:sz w:val="12"/>
          <w:szCs w:val="12"/>
          <w:color w:val="auto"/>
        </w:rPr>
        <w:t xml:space="preserve"> (atezolizumab; anti-PD-L1) in patients with lung cancer.</w:t>
      </w:r>
    </w:p>
    <w:p>
      <w:pPr>
        <w:spacing w:after="0" w:line="38" w:lineRule="exact"/>
        <w:rPr>
          <w:sz w:val="20"/>
          <w:szCs w:val="20"/>
          <w:color w:val="auto"/>
        </w:rPr>
      </w:pPr>
    </w:p>
    <w:p>
      <w:pPr>
        <w:ind w:right="140" w:firstLine="432"/>
        <w:spacing w:after="0" w:line="283" w:lineRule="auto"/>
        <w:rPr>
          <w:sz w:val="20"/>
          <w:szCs w:val="20"/>
          <w:color w:val="auto"/>
        </w:rPr>
      </w:pPr>
      <w:r>
        <w:rPr>
          <w:rFonts w:ascii="Arial" w:cs="Arial" w:eastAsia="Arial" w:hAnsi="Arial"/>
          <w:sz w:val="11"/>
          <w:szCs w:val="11"/>
          <w:color w:val="auto"/>
        </w:rPr>
        <w:t>CDX-1401’s potential activity is being explored in investigator sponsored and collaborative studies. A Phase 2 study of CDX-1401 in combination with CDX-301 is being conducted in metastatic melanoma by the Cancer Immunotherapy Trials Network (CITN) under a CRADA with the Cancer Therapy Evaluation Program of the NCI. This study was designed to determine the activity of CDX-1401 with or without CDX-301 in melanoma. The primary outcome measure of the study is immune response to NY-ESO-1. Secondary outcome measures include analysis and characterization of peripheral blood mononuclear cells (dendritic cells, T cells, natural killer cells, etc.), additional immune monitoring, safety and clinical outcomes (survival and time to tumor recurrence). Enrollment is complete, and initial results were presented at the 2016 American Society of Clinical Oncology (ASCO) Annual Meeting. The data confirmed that CDX-1401 is capable of driving NY-ESO-1 immunity and further demonstrated the potential of CDX-301 as a combination agent for enhancing tumor specific immune responses. The NCI and CITN are planning to enroll additional cohorts to investigate alternative regimens of CDX-301. Other studies are being considered through investigator-sponsored and collaborative agreements.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310755" cy="241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310755" cy="24130"/>
                    </a:xfrm>
                    <a:prstGeom prst="rect">
                      <a:avLst/>
                    </a:prstGeom>
                    <a:noFill/>
                  </pic:spPr>
                </pic:pic>
              </a:graphicData>
            </a:graphic>
          </wp:anchor>
        </w:drawing>
      </w:r>
    </w:p>
    <w:p>
      <w:pPr>
        <w:spacing w:after="0" w:line="319" w:lineRule="exact"/>
        <w:rPr>
          <w:sz w:val="20"/>
          <w:szCs w:val="20"/>
          <w:color w:val="auto"/>
        </w:rPr>
      </w:pPr>
    </w:p>
    <w:p>
      <w:pPr>
        <w:spacing w:after="0"/>
        <w:rPr>
          <w:rFonts w:ascii="Arial" w:cs="Arial" w:eastAsia="Arial" w:hAnsi="Arial"/>
          <w:sz w:val="12"/>
          <w:szCs w:val="12"/>
          <w:u w:val="single" w:color="auto"/>
          <w:color w:val="0000EE"/>
        </w:rPr>
      </w:pPr>
      <w:hyperlink w:anchor="page1">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CDX-301</w:t>
      </w:r>
    </w:p>
    <w:p>
      <w:pPr>
        <w:spacing w:after="0" w:line="150" w:lineRule="exact"/>
        <w:rPr>
          <w:sz w:val="20"/>
          <w:szCs w:val="20"/>
          <w:color w:val="auto"/>
        </w:rPr>
      </w:pPr>
    </w:p>
    <w:p>
      <w:pPr>
        <w:jc w:val="both"/>
        <w:ind w:right="180" w:firstLine="432"/>
        <w:spacing w:after="0" w:line="340" w:lineRule="auto"/>
        <w:rPr>
          <w:sz w:val="20"/>
          <w:szCs w:val="20"/>
          <w:color w:val="auto"/>
        </w:rPr>
      </w:pPr>
      <w:r>
        <w:rPr>
          <w:rFonts w:ascii="Arial" w:cs="Arial" w:eastAsia="Arial" w:hAnsi="Arial"/>
          <w:sz w:val="10"/>
          <w:szCs w:val="10"/>
          <w:color w:val="auto"/>
        </w:rPr>
        <w:t>CDX-301, a recombinant FMS-like tyrosine kinase 3 ligand, or Flt3L, is a hematopoietic cytokine that uniquely expands dendritic cells and hematopoietic stem cells in combination with other agents to potentiate the anti-tumor response. Depending on the setting, cells expanded by CDX-301 promote either enhanced or permissive immunity. CDX-301 is in clinical development for multiple cancers, in combination with vaccines, adjuvants and other treatments that release tumor antigens. We licensed CDX-301 from Amgen Inc. in March 2009 and believe CDX-301 may hold significant opportunity for synergistic development in combination with other proprietary molecules in our portfolio.</w:t>
      </w:r>
    </w:p>
    <w:p>
      <w:pPr>
        <w:spacing w:after="0" w:line="88" w:lineRule="exact"/>
        <w:rPr>
          <w:sz w:val="20"/>
          <w:szCs w:val="20"/>
          <w:color w:val="auto"/>
        </w:rPr>
      </w:pPr>
    </w:p>
    <w:p>
      <w:pPr>
        <w:ind w:right="220" w:firstLine="432"/>
        <w:spacing w:after="0" w:line="323" w:lineRule="auto"/>
        <w:rPr>
          <w:sz w:val="20"/>
          <w:szCs w:val="20"/>
          <w:color w:val="auto"/>
        </w:rPr>
      </w:pPr>
      <w:r>
        <w:rPr>
          <w:rFonts w:ascii="Arial" w:cs="Arial" w:eastAsia="Arial" w:hAnsi="Arial"/>
          <w:sz w:val="11"/>
          <w:szCs w:val="11"/>
          <w:color w:val="auto"/>
        </w:rPr>
        <w:t>A Phase 1 study of CDX-301 evaluated seven different dosing regimens of CDX-301 to determine the appropriate dose for further development based on safety, tolerability and biological activity. The data from the study were consistent with previous clinical experience and demonstrated that CDX-301 has an acceptable safety profile to date and can mobilize hematopoietic stem cell (HSC) populations in healthy volunteers.</w:t>
      </w:r>
    </w:p>
    <w:p>
      <w:pPr>
        <w:spacing w:after="0" w:line="92" w:lineRule="exact"/>
        <w:rPr>
          <w:sz w:val="20"/>
          <w:szCs w:val="20"/>
          <w:color w:val="auto"/>
        </w:rPr>
      </w:pPr>
    </w:p>
    <w:p>
      <w:pPr>
        <w:jc w:val="both"/>
        <w:ind w:right="20" w:firstLine="432"/>
        <w:spacing w:after="0" w:line="298" w:lineRule="auto"/>
        <w:rPr>
          <w:sz w:val="20"/>
          <w:szCs w:val="20"/>
          <w:color w:val="auto"/>
        </w:rPr>
      </w:pPr>
      <w:r>
        <w:rPr>
          <w:rFonts w:ascii="Arial" w:cs="Arial" w:eastAsia="Arial" w:hAnsi="Arial"/>
          <w:sz w:val="11"/>
          <w:szCs w:val="11"/>
          <w:color w:val="auto"/>
        </w:rPr>
        <w:t>At the 2016 ASCO Annual Meeting, initial results from a Phase 2 study of CDX-1401 in combination with CDX-301 in metastatic melanoma were presented that further demonstrated the value of CDX-301 as a combination agent for enhancing tumor specific immune responses. The Phase 2 study was conducted by the Cancer Immunotherapy Trials Network, or CITN, under a CRADA with the Cancer Therapy Evaluation Program of the NCI. Based on these results the CITN is planning to enroll additional cohorts to investigate alternative regimens of CDX-301. Other studies are being considered through investigator-sponsored and collaborative agreements.</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CDX-014</w:t>
      </w:r>
    </w:p>
    <w:p>
      <w:pPr>
        <w:spacing w:after="0" w:line="150" w:lineRule="exact"/>
        <w:rPr>
          <w:sz w:val="20"/>
          <w:szCs w:val="20"/>
          <w:color w:val="auto"/>
        </w:rPr>
      </w:pPr>
    </w:p>
    <w:p>
      <w:pPr>
        <w:ind w:right="160" w:firstLine="432"/>
        <w:spacing w:after="0" w:line="281" w:lineRule="auto"/>
        <w:rPr>
          <w:sz w:val="20"/>
          <w:szCs w:val="20"/>
          <w:color w:val="auto"/>
        </w:rPr>
      </w:pPr>
      <w:r>
        <w:rPr>
          <w:rFonts w:ascii="Arial" w:cs="Arial" w:eastAsia="Arial" w:hAnsi="Arial"/>
          <w:sz w:val="11"/>
          <w:szCs w:val="11"/>
          <w:color w:val="auto"/>
        </w:rPr>
        <w:t>CDX-014 is a human monoclonal ADC that targets T cell immunoglobulin and mucin domain 1, or TIM-1. TIM-1 expression is upregulated in several cancers, most notably renal cell and ovarian carcinomas, and is associated with a more malignant phenotype of renal cell carcinoma (RCC) and tumor progression. TIM-1 has restricted expression in healthy tissues, making it potentially amenable to an ADC approach. The TIM-1 antibody is linked to MMAE using Seattle Genetics’ proprietary technology. The ADC is designed to be stable in the bloodstream but to release MMAE upon internalization into TIM-1-expressing tumor cells, resulting in a targeted cell-killing effect. CDX-014 has shown anti-tumor activity in preclinical models of ovarian and renal cancer. In July 2016, we announced that enrollment had opened in a Phase 1/2 study of CDX-014 to patients with both clear cell and papillary RCC. The Phase 1 dose-escalation portion of the study is evaluating cohorts of patients receiving increasing doses of CDX-014 to determine the maximum tolerated dose and a recommended dose for Phase 2 study. We anticipate the Phase 1 dose-escalation portion of the study will complete enrollment by year-end 2017. The Phase 2 portion of the study plans to enroll approximately 25 patients to assess the anti-tumor activity of CDX-014 at the recommended dose in advanced renal cell carcinoma as measured by objective response rate. Secondary objectives include safety and tolerability, pharmacokinetics, immunogenicity and additional measures of anti-tumor activity.</w:t>
      </w:r>
    </w:p>
    <w:p>
      <w:pPr>
        <w:spacing w:after="0" w:line="11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CRITICAL ACCOUNTING POLICIES</w:t>
      </w:r>
    </w:p>
    <w:p>
      <w:pPr>
        <w:spacing w:after="0" w:line="154" w:lineRule="exact"/>
        <w:rPr>
          <w:sz w:val="20"/>
          <w:szCs w:val="20"/>
          <w:color w:val="auto"/>
        </w:rPr>
      </w:pPr>
    </w:p>
    <w:p>
      <w:pPr>
        <w:jc w:val="both"/>
        <w:ind w:right="80" w:firstLine="432"/>
        <w:spacing w:after="0" w:line="298" w:lineRule="auto"/>
        <w:rPr>
          <w:sz w:val="20"/>
          <w:szCs w:val="20"/>
          <w:color w:val="auto"/>
        </w:rPr>
      </w:pPr>
      <w:r>
        <w:rPr>
          <w:rFonts w:ascii="Arial" w:cs="Arial" w:eastAsia="Arial" w:hAnsi="Arial"/>
          <w:sz w:val="11"/>
          <w:szCs w:val="11"/>
          <w:color w:val="auto"/>
        </w:rPr>
        <w:t>See Note 2 to the unaudited condensed consolidated financial statements included elsewhere in this quarterly report on Form 10-Q for information regarding newly-adopted and recent accounting pronouncements. See also Note 2 to our financial statements included in our Annual Report on Form 10-K for the year ended December 31, 2016 for a discussion of our critical accounting policies. There have been no material changes to such critical accounting policies. We believe our most critical accounting policies include accounting for revenue recognition, impairment of long-lived assets, research and development expenses and stock-based compensation expense.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310755" cy="241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310755" cy="24130"/>
                    </a:xfrm>
                    <a:prstGeom prst="rect">
                      <a:avLst/>
                    </a:prstGeom>
                    <a:noFill/>
                  </pic:spPr>
                </pic:pic>
              </a:graphicData>
            </a:graphic>
          </wp:anchor>
        </w:drawing>
      </w:r>
    </w:p>
    <w:p>
      <w:pPr>
        <w:spacing w:after="0" w:line="319" w:lineRule="exact"/>
        <w:rPr>
          <w:sz w:val="20"/>
          <w:szCs w:val="20"/>
          <w:color w:val="auto"/>
        </w:rPr>
      </w:pPr>
    </w:p>
    <w:p>
      <w:pPr>
        <w:spacing w:after="0"/>
        <w:rPr>
          <w:rFonts w:ascii="Arial" w:cs="Arial" w:eastAsia="Arial" w:hAnsi="Arial"/>
          <w:sz w:val="12"/>
          <w:szCs w:val="12"/>
          <w:u w:val="single" w:color="auto"/>
          <w:color w:val="0000EE"/>
        </w:rPr>
      </w:pPr>
      <w:hyperlink w:anchor="page1">
        <w:r>
          <w:rPr>
            <w:rFonts w:ascii="Arial" w:cs="Arial" w:eastAsia="Arial" w:hAnsi="Arial"/>
            <w:sz w:val="12"/>
            <w:szCs w:val="12"/>
            <w:u w:val="single" w:color="auto"/>
            <w:color w:val="0000EE"/>
          </w:rPr>
          <w:t>Table of Contents</w:t>
        </w:r>
      </w:hyperlink>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RESULTS OF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Three Months Ended June 30, 2017 compared with Three Months Ended June 30, 2016</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7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40" w:type="dxa"/>
            <w:vAlign w:val="bottom"/>
            <w:gridSpan w:val="4"/>
          </w:tcPr>
          <w:p>
            <w:pPr>
              <w:jc w:val="right"/>
              <w:ind w:right="150"/>
              <w:spacing w:after="0"/>
              <w:rPr>
                <w:sz w:val="20"/>
                <w:szCs w:val="20"/>
                <w:color w:val="auto"/>
              </w:rPr>
            </w:pPr>
            <w:r>
              <w:rPr>
                <w:rFonts w:ascii="Arial" w:cs="Arial" w:eastAsia="Arial" w:hAnsi="Arial"/>
                <w:sz w:val="10"/>
                <w:szCs w:val="10"/>
                <w:b w:val="1"/>
                <w:bCs w:val="1"/>
                <w:color w:val="auto"/>
              </w:rPr>
              <w:t>Three Months Ended</w:t>
            </w:r>
          </w:p>
        </w:tc>
        <w:tc>
          <w:tcPr>
            <w:tcW w:w="10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60" w:type="dxa"/>
            <w:vAlign w:val="bottom"/>
            <w:gridSpan w:val="2"/>
          </w:tcPr>
          <w:p>
            <w:pPr>
              <w:jc w:val="center"/>
              <w:ind w:right="540"/>
              <w:spacing w:after="0"/>
              <w:rPr>
                <w:sz w:val="20"/>
                <w:szCs w:val="20"/>
                <w:color w:val="auto"/>
              </w:rPr>
            </w:pPr>
            <w:r>
              <w:rPr>
                <w:rFonts w:ascii="Arial" w:cs="Arial" w:eastAsia="Arial" w:hAnsi="Arial"/>
                <w:sz w:val="10"/>
                <w:szCs w:val="10"/>
                <w:b w:val="1"/>
                <w:bCs w:val="1"/>
                <w:color w:val="auto"/>
                <w:w w:val="82"/>
              </w:rPr>
              <w:t>Increase/</w:t>
            </w:r>
          </w:p>
        </w:tc>
        <w:tc>
          <w:tcPr>
            <w:tcW w:w="124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87"/>
              </w:rPr>
              <w:t>Increase/</w:t>
            </w:r>
          </w:p>
        </w:tc>
      </w:tr>
      <w:tr>
        <w:trPr>
          <w:trHeight w:val="114"/>
        </w:trPr>
        <w:tc>
          <w:tcPr>
            <w:tcW w:w="4780" w:type="dxa"/>
            <w:vAlign w:val="bottom"/>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gridSpan w:val="2"/>
          </w:tcPr>
          <w:p>
            <w:pPr>
              <w:jc w:val="right"/>
              <w:spacing w:after="0" w:line="114" w:lineRule="exact"/>
              <w:rPr>
                <w:sz w:val="20"/>
                <w:szCs w:val="20"/>
                <w:color w:val="auto"/>
              </w:rPr>
            </w:pPr>
            <w:r>
              <w:rPr>
                <w:rFonts w:ascii="Arial" w:cs="Arial" w:eastAsia="Arial" w:hAnsi="Arial"/>
                <w:sz w:val="10"/>
                <w:szCs w:val="10"/>
                <w:b w:val="1"/>
                <w:bCs w:val="1"/>
                <w:color w:val="auto"/>
              </w:rPr>
              <w:t>June 30,</w:t>
            </w:r>
          </w:p>
        </w:tc>
        <w:tc>
          <w:tcPr>
            <w:tcW w:w="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60" w:type="dxa"/>
            <w:vAlign w:val="bottom"/>
            <w:gridSpan w:val="2"/>
          </w:tcPr>
          <w:p>
            <w:pPr>
              <w:jc w:val="center"/>
              <w:ind w:right="540"/>
              <w:spacing w:after="0" w:line="114" w:lineRule="exact"/>
              <w:rPr>
                <w:sz w:val="20"/>
                <w:szCs w:val="20"/>
                <w:color w:val="auto"/>
              </w:rPr>
            </w:pPr>
            <w:r>
              <w:rPr>
                <w:rFonts w:ascii="Arial" w:cs="Arial" w:eastAsia="Arial" w:hAnsi="Arial"/>
                <w:sz w:val="10"/>
                <w:szCs w:val="10"/>
                <w:b w:val="1"/>
                <w:bCs w:val="1"/>
                <w:color w:val="auto"/>
                <w:w w:val="85"/>
              </w:rPr>
              <w:t>(Decrease)</w:t>
            </w:r>
          </w:p>
        </w:tc>
        <w:tc>
          <w:tcPr>
            <w:tcW w:w="1240" w:type="dxa"/>
            <w:vAlign w:val="bottom"/>
            <w:gridSpan w:val="2"/>
          </w:tcPr>
          <w:p>
            <w:pPr>
              <w:jc w:val="center"/>
              <w:ind w:right="300"/>
              <w:spacing w:after="0" w:line="114" w:lineRule="exact"/>
              <w:rPr>
                <w:sz w:val="20"/>
                <w:szCs w:val="20"/>
                <w:color w:val="auto"/>
              </w:rPr>
            </w:pPr>
            <w:r>
              <w:rPr>
                <w:rFonts w:ascii="Arial" w:cs="Arial" w:eastAsia="Arial" w:hAnsi="Arial"/>
                <w:sz w:val="10"/>
                <w:szCs w:val="10"/>
                <w:b w:val="1"/>
                <w:bCs w:val="1"/>
                <w:color w:val="auto"/>
                <w:w w:val="82"/>
              </w:rPr>
              <w:t>(Decrease)</w:t>
            </w:r>
          </w:p>
        </w:tc>
      </w:tr>
      <w:tr>
        <w:trPr>
          <w:trHeight w:val="88"/>
        </w:trPr>
        <w:tc>
          <w:tcPr>
            <w:tcW w:w="4780" w:type="dxa"/>
            <w:vAlign w:val="bottom"/>
          </w:tcPr>
          <w:p>
            <w:pPr>
              <w:spacing w:after="0"/>
              <w:rPr>
                <w:sz w:val="7"/>
                <w:szCs w:val="7"/>
                <w:color w:val="auto"/>
              </w:rPr>
            </w:pPr>
          </w:p>
        </w:tc>
        <w:tc>
          <w:tcPr>
            <w:tcW w:w="1080" w:type="dxa"/>
            <w:vAlign w:val="bottom"/>
            <w:tcBorders>
              <w:bottom w:val="single" w:sz="8" w:color="auto"/>
            </w:tcBorders>
          </w:tcPr>
          <w:p>
            <w:pPr>
              <w:jc w:val="right"/>
              <w:ind w:right="110"/>
              <w:spacing w:after="0" w:line="88" w:lineRule="exact"/>
              <w:rPr>
                <w:sz w:val="20"/>
                <w:szCs w:val="20"/>
                <w:color w:val="auto"/>
              </w:rPr>
            </w:pPr>
            <w:r>
              <w:rPr>
                <w:rFonts w:ascii="Arial" w:cs="Arial" w:eastAsia="Arial" w:hAnsi="Arial"/>
                <w:sz w:val="10"/>
                <w:szCs w:val="10"/>
                <w:b w:val="1"/>
                <w:bCs w:val="1"/>
                <w:color w:val="auto"/>
              </w:rPr>
              <w:t>2017</w:t>
            </w:r>
          </w:p>
        </w:tc>
        <w:tc>
          <w:tcPr>
            <w:tcW w:w="54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jc w:val="right"/>
              <w:ind w:right="562"/>
              <w:spacing w:after="0" w:line="88" w:lineRule="exact"/>
              <w:rPr>
                <w:sz w:val="20"/>
                <w:szCs w:val="20"/>
                <w:color w:val="auto"/>
              </w:rPr>
            </w:pPr>
            <w:r>
              <w:rPr>
                <w:rFonts w:ascii="Arial" w:cs="Arial" w:eastAsia="Arial" w:hAnsi="Arial"/>
                <w:sz w:val="10"/>
                <w:szCs w:val="10"/>
                <w:b w:val="1"/>
                <w:bCs w:val="1"/>
                <w:color w:val="auto"/>
              </w:rPr>
              <w:t>2016</w:t>
            </w:r>
          </w:p>
        </w:tc>
        <w:tc>
          <w:tcPr>
            <w:tcW w:w="2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jc w:val="center"/>
              <w:ind w:right="223"/>
              <w:spacing w:after="0" w:line="88" w:lineRule="exact"/>
              <w:rPr>
                <w:sz w:val="20"/>
                <w:szCs w:val="20"/>
                <w:color w:val="auto"/>
              </w:rPr>
            </w:pPr>
            <w:r>
              <w:rPr>
                <w:rFonts w:ascii="Arial" w:cs="Arial" w:eastAsia="Arial" w:hAnsi="Arial"/>
                <w:sz w:val="10"/>
                <w:szCs w:val="10"/>
                <w:b w:val="1"/>
                <w:bCs w:val="1"/>
                <w:color w:val="auto"/>
                <w:w w:val="71"/>
              </w:rPr>
              <w:t>$</w:t>
            </w:r>
          </w:p>
        </w:tc>
        <w:tc>
          <w:tcPr>
            <w:tcW w:w="30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jc w:val="center"/>
              <w:spacing w:after="0" w:line="88" w:lineRule="exact"/>
              <w:rPr>
                <w:sz w:val="20"/>
                <w:szCs w:val="20"/>
                <w:color w:val="auto"/>
              </w:rPr>
            </w:pPr>
            <w:r>
              <w:rPr>
                <w:rFonts w:ascii="Arial" w:cs="Arial" w:eastAsia="Arial" w:hAnsi="Arial"/>
                <w:sz w:val="10"/>
                <w:szCs w:val="10"/>
                <w:b w:val="1"/>
                <w:bCs w:val="1"/>
                <w:color w:val="auto"/>
              </w:rPr>
              <w:t>%</w:t>
            </w:r>
          </w:p>
        </w:tc>
        <w:tc>
          <w:tcPr>
            <w:tcW w:w="300" w:type="dxa"/>
            <w:vAlign w:val="bottom"/>
          </w:tcPr>
          <w:p>
            <w:pPr>
              <w:spacing w:after="0"/>
              <w:rPr>
                <w:sz w:val="7"/>
                <w:szCs w:val="7"/>
                <w:color w:val="auto"/>
              </w:rPr>
            </w:pPr>
          </w:p>
        </w:tc>
      </w:tr>
      <w:tr>
        <w:trPr>
          <w:trHeight w:val="88"/>
        </w:trPr>
        <w:tc>
          <w:tcPr>
            <w:tcW w:w="4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300" w:type="dxa"/>
            <w:vAlign w:val="bottom"/>
            <w:gridSpan w:val="2"/>
          </w:tcPr>
          <w:p>
            <w:pPr>
              <w:jc w:val="right"/>
              <w:ind w:right="80"/>
              <w:spacing w:after="0" w:line="88" w:lineRule="exact"/>
              <w:rPr>
                <w:sz w:val="20"/>
                <w:szCs w:val="20"/>
                <w:color w:val="auto"/>
              </w:rPr>
            </w:pPr>
            <w:r>
              <w:rPr>
                <w:rFonts w:ascii="Arial" w:cs="Arial" w:eastAsia="Arial" w:hAnsi="Arial"/>
                <w:sz w:val="10"/>
                <w:szCs w:val="10"/>
                <w:b w:val="1"/>
                <w:bCs w:val="1"/>
                <w:color w:val="auto"/>
              </w:rPr>
              <w:t>(In thousands)</w:t>
            </w: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940" w:type="dxa"/>
            <w:vAlign w:val="bottom"/>
          </w:tcPr>
          <w:p>
            <w:pPr>
              <w:spacing w:after="0"/>
              <w:rPr>
                <w:sz w:val="7"/>
                <w:szCs w:val="7"/>
                <w:color w:val="auto"/>
              </w:rPr>
            </w:pPr>
          </w:p>
        </w:tc>
        <w:tc>
          <w:tcPr>
            <w:tcW w:w="300" w:type="dxa"/>
            <w:vAlign w:val="bottom"/>
          </w:tcPr>
          <w:p>
            <w:pPr>
              <w:spacing w:after="0"/>
              <w:rPr>
                <w:sz w:val="7"/>
                <w:szCs w:val="7"/>
                <w:color w:val="auto"/>
              </w:rPr>
            </w:pPr>
          </w:p>
        </w:tc>
      </w:tr>
      <w:tr>
        <w:trPr>
          <w:trHeight w:val="144"/>
        </w:trPr>
        <w:tc>
          <w:tcPr>
            <w:tcW w:w="4780" w:type="dxa"/>
            <w:vAlign w:val="bottom"/>
            <w:shd w:val="clear" w:color="auto" w:fill="CCEEFF"/>
          </w:tcPr>
          <w:p>
            <w:pPr>
              <w:spacing w:after="0"/>
              <w:rPr>
                <w:sz w:val="20"/>
                <w:szCs w:val="20"/>
                <w:color w:val="auto"/>
              </w:rPr>
            </w:pPr>
            <w:r>
              <w:rPr>
                <w:rFonts w:ascii="Arial" w:cs="Arial" w:eastAsia="Arial" w:hAnsi="Arial"/>
                <w:sz w:val="12"/>
                <w:szCs w:val="12"/>
                <w:color w:val="auto"/>
              </w:rPr>
              <w:t>Revenue:</w:t>
            </w:r>
          </w:p>
        </w:tc>
        <w:tc>
          <w:tcPr>
            <w:tcW w:w="10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r>
      <w:tr>
        <w:trPr>
          <w:trHeight w:val="144"/>
        </w:trPr>
        <w:tc>
          <w:tcPr>
            <w:tcW w:w="4780" w:type="dxa"/>
            <w:vAlign w:val="bottom"/>
          </w:tcPr>
          <w:p>
            <w:pPr>
              <w:ind w:left="120"/>
              <w:spacing w:after="0"/>
              <w:rPr>
                <w:sz w:val="20"/>
                <w:szCs w:val="20"/>
                <w:color w:val="auto"/>
              </w:rPr>
            </w:pPr>
            <w:r>
              <w:rPr>
                <w:rFonts w:ascii="Arial" w:cs="Arial" w:eastAsia="Arial" w:hAnsi="Arial"/>
                <w:sz w:val="12"/>
                <w:szCs w:val="12"/>
                <w:color w:val="auto"/>
              </w:rPr>
              <w:t>Product Development and Licensing Agreements</w:t>
            </w:r>
          </w:p>
        </w:tc>
        <w:tc>
          <w:tcPr>
            <w:tcW w:w="1080" w:type="dxa"/>
            <w:vAlign w:val="bottom"/>
          </w:tcPr>
          <w:p>
            <w:pPr>
              <w:jc w:val="right"/>
              <w:ind w:right="970"/>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694</w:t>
            </w:r>
          </w:p>
        </w:tc>
        <w:tc>
          <w:tcPr>
            <w:tcW w:w="260" w:type="dxa"/>
            <w:vAlign w:val="bottom"/>
          </w:tcPr>
          <w:p>
            <w:pPr>
              <w:spacing w:after="0"/>
              <w:rPr>
                <w:sz w:val="12"/>
                <w:szCs w:val="12"/>
                <w:color w:val="auto"/>
              </w:rPr>
            </w:pPr>
          </w:p>
        </w:tc>
        <w:tc>
          <w:tcPr>
            <w:tcW w:w="440" w:type="dxa"/>
            <w:vAlign w:val="bottom"/>
            <w:gridSpan w:val="2"/>
          </w:tcPr>
          <w:p>
            <w:pPr>
              <w:jc w:val="right"/>
              <w:ind w:right="310"/>
              <w:spacing w:after="0"/>
              <w:rPr>
                <w:sz w:val="20"/>
                <w:szCs w:val="20"/>
                <w:color w:val="auto"/>
              </w:rPr>
            </w:pPr>
            <w:r>
              <w:rPr>
                <w:rFonts w:ascii="Arial" w:cs="Arial" w:eastAsia="Arial" w:hAnsi="Arial"/>
                <w:sz w:val="12"/>
                <w:szCs w:val="12"/>
                <w:color w:val="auto"/>
                <w:w w:val="89"/>
              </w:rPr>
              <w:t>$</w:t>
            </w:r>
          </w:p>
        </w:tc>
        <w:tc>
          <w:tcPr>
            <w:tcW w:w="1300" w:type="dxa"/>
            <w:vAlign w:val="bottom"/>
            <w:gridSpan w:val="2"/>
          </w:tcPr>
          <w:p>
            <w:pPr>
              <w:jc w:val="right"/>
              <w:ind w:right="240"/>
              <w:spacing w:after="0"/>
              <w:rPr>
                <w:sz w:val="20"/>
                <w:szCs w:val="20"/>
                <w:color w:val="auto"/>
              </w:rPr>
            </w:pPr>
            <w:r>
              <w:rPr>
                <w:rFonts w:ascii="Arial" w:cs="Arial" w:eastAsia="Arial" w:hAnsi="Arial"/>
                <w:sz w:val="12"/>
                <w:szCs w:val="12"/>
                <w:color w:val="auto"/>
              </w:rPr>
              <w:t>604</w:t>
            </w:r>
          </w:p>
        </w:tc>
        <w:tc>
          <w:tcPr>
            <w:tcW w:w="380" w:type="dxa"/>
            <w:vAlign w:val="bottom"/>
            <w:gridSpan w:val="2"/>
          </w:tcPr>
          <w:p>
            <w:pPr>
              <w:jc w:val="right"/>
              <w:ind w:right="170"/>
              <w:spacing w:after="0"/>
              <w:rPr>
                <w:sz w:val="20"/>
                <w:szCs w:val="20"/>
                <w:color w:val="auto"/>
              </w:rPr>
            </w:pPr>
            <w:r>
              <w:rPr>
                <w:rFonts w:ascii="Arial" w:cs="Arial" w:eastAsia="Arial" w:hAnsi="Arial"/>
                <w:sz w:val="12"/>
                <w:szCs w:val="12"/>
                <w:color w:val="auto"/>
              </w:rPr>
              <w:t>$</w:t>
            </w:r>
          </w:p>
        </w:tc>
        <w:tc>
          <w:tcPr>
            <w:tcW w:w="1460" w:type="dxa"/>
            <w:vAlign w:val="bottom"/>
            <w:gridSpan w:val="2"/>
          </w:tcPr>
          <w:p>
            <w:pPr>
              <w:jc w:val="right"/>
              <w:ind w:right="260"/>
              <w:spacing w:after="0"/>
              <w:rPr>
                <w:sz w:val="20"/>
                <w:szCs w:val="20"/>
                <w:color w:val="auto"/>
              </w:rPr>
            </w:pPr>
            <w:r>
              <w:rPr>
                <w:rFonts w:ascii="Arial" w:cs="Arial" w:eastAsia="Arial" w:hAnsi="Arial"/>
                <w:sz w:val="12"/>
                <w:szCs w:val="12"/>
                <w:color w:val="auto"/>
              </w:rPr>
              <w:t>90</w:t>
            </w:r>
          </w:p>
        </w:tc>
        <w:tc>
          <w:tcPr>
            <w:tcW w:w="1240" w:type="dxa"/>
            <w:vAlign w:val="bottom"/>
            <w:gridSpan w:val="2"/>
          </w:tcPr>
          <w:p>
            <w:pPr>
              <w:jc w:val="right"/>
              <w:ind w:right="200"/>
              <w:spacing w:after="0"/>
              <w:rPr>
                <w:sz w:val="20"/>
                <w:szCs w:val="20"/>
                <w:color w:val="auto"/>
              </w:rPr>
            </w:pPr>
            <w:r>
              <w:rPr>
                <w:rFonts w:ascii="Arial" w:cs="Arial" w:eastAsia="Arial" w:hAnsi="Arial"/>
                <w:sz w:val="12"/>
                <w:szCs w:val="12"/>
                <w:color w:val="auto"/>
              </w:rPr>
              <w:t>15%</w:t>
            </w:r>
          </w:p>
        </w:tc>
      </w:tr>
      <w:tr>
        <w:trPr>
          <w:trHeight w:val="144"/>
        </w:trPr>
        <w:tc>
          <w:tcPr>
            <w:tcW w:w="47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Contracts and Grants</w:t>
            </w:r>
          </w:p>
        </w:tc>
        <w:tc>
          <w:tcPr>
            <w:tcW w:w="10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3,135</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785</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2,350</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299%</w:t>
            </w:r>
          </w:p>
        </w:tc>
      </w:tr>
      <w:tr>
        <w:trPr>
          <w:trHeight w:val="140"/>
        </w:trPr>
        <w:tc>
          <w:tcPr>
            <w:tcW w:w="4780" w:type="dxa"/>
            <w:vAlign w:val="bottom"/>
            <w:tcBorders>
              <w:bottom w:val="single" w:sz="8" w:color="CCEEFF"/>
            </w:tcBorders>
          </w:tcPr>
          <w:p>
            <w:pPr>
              <w:spacing w:after="0" w:line="133" w:lineRule="exact"/>
              <w:rPr>
                <w:sz w:val="20"/>
                <w:szCs w:val="20"/>
                <w:color w:val="auto"/>
              </w:rPr>
            </w:pPr>
            <w:r>
              <w:rPr>
                <w:rFonts w:ascii="Arial" w:cs="Arial" w:eastAsia="Arial" w:hAnsi="Arial"/>
                <w:sz w:val="12"/>
                <w:szCs w:val="12"/>
                <w:color w:val="auto"/>
              </w:rPr>
              <w:t>Total Revenue</w:t>
            </w:r>
          </w:p>
        </w:tc>
        <w:tc>
          <w:tcPr>
            <w:tcW w:w="1080" w:type="dxa"/>
            <w:vAlign w:val="bottom"/>
            <w:tcBorders>
              <w:top w:val="single" w:sz="8" w:color="auto"/>
              <w:bottom w:val="single" w:sz="8" w:color="auto"/>
            </w:tcBorders>
          </w:tcPr>
          <w:p>
            <w:pPr>
              <w:jc w:val="right"/>
              <w:ind w:right="970"/>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3,829</w:t>
            </w:r>
          </w:p>
        </w:tc>
        <w:tc>
          <w:tcPr>
            <w:tcW w:w="2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1,389</w:t>
            </w:r>
          </w:p>
        </w:tc>
        <w:tc>
          <w:tcPr>
            <w:tcW w:w="2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2,440</w:t>
            </w:r>
          </w:p>
        </w:tc>
        <w:tc>
          <w:tcPr>
            <w:tcW w:w="300" w:type="dxa"/>
            <w:vAlign w:val="bottom"/>
            <w:tcBorders>
              <w:bottom w:val="single" w:sz="8" w:color="CCEEFF"/>
            </w:tcBorders>
          </w:tcPr>
          <w:p>
            <w:pPr>
              <w:spacing w:after="0"/>
              <w:rPr>
                <w:sz w:val="12"/>
                <w:szCs w:val="12"/>
                <w:color w:val="auto"/>
              </w:rPr>
            </w:pPr>
          </w:p>
        </w:tc>
        <w:tc>
          <w:tcPr>
            <w:tcW w:w="1240" w:type="dxa"/>
            <w:vAlign w:val="bottom"/>
            <w:tcBorders>
              <w:bottom w:val="single" w:sz="8" w:color="CCEEFF"/>
            </w:tcBorders>
            <w:gridSpan w:val="2"/>
          </w:tcPr>
          <w:p>
            <w:pPr>
              <w:jc w:val="right"/>
              <w:ind w:right="200"/>
              <w:spacing w:after="0" w:line="133" w:lineRule="exact"/>
              <w:rPr>
                <w:sz w:val="20"/>
                <w:szCs w:val="20"/>
                <w:color w:val="auto"/>
              </w:rPr>
            </w:pPr>
            <w:r>
              <w:rPr>
                <w:rFonts w:ascii="Arial" w:cs="Arial" w:eastAsia="Arial" w:hAnsi="Arial"/>
                <w:sz w:val="12"/>
                <w:szCs w:val="12"/>
                <w:color w:val="auto"/>
              </w:rPr>
              <w:t>176%</w:t>
            </w:r>
          </w:p>
        </w:tc>
      </w:tr>
      <w:tr>
        <w:trPr>
          <w:trHeight w:val="126"/>
        </w:trPr>
        <w:tc>
          <w:tcPr>
            <w:tcW w:w="4780" w:type="dxa"/>
            <w:vAlign w:val="bottom"/>
            <w:shd w:val="clear" w:color="auto" w:fill="CCEEFF"/>
          </w:tcPr>
          <w:p>
            <w:pPr>
              <w:spacing w:after="0" w:line="126" w:lineRule="exact"/>
              <w:rPr>
                <w:sz w:val="20"/>
                <w:szCs w:val="20"/>
                <w:color w:val="auto"/>
              </w:rPr>
            </w:pPr>
            <w:r>
              <w:rPr>
                <w:rFonts w:ascii="Arial" w:cs="Arial" w:eastAsia="Arial" w:hAnsi="Arial"/>
                <w:sz w:val="12"/>
                <w:szCs w:val="12"/>
                <w:color w:val="auto"/>
              </w:rPr>
              <w:t>Operating Expense:</w:t>
            </w:r>
          </w:p>
        </w:tc>
        <w:tc>
          <w:tcPr>
            <w:tcW w:w="10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r>
      <w:tr>
        <w:trPr>
          <w:trHeight w:val="144"/>
        </w:trPr>
        <w:tc>
          <w:tcPr>
            <w:tcW w:w="4780" w:type="dxa"/>
            <w:vAlign w:val="bottom"/>
          </w:tcPr>
          <w:p>
            <w:pPr>
              <w:ind w:left="120"/>
              <w:spacing w:after="0"/>
              <w:rPr>
                <w:sz w:val="20"/>
                <w:szCs w:val="20"/>
                <w:color w:val="auto"/>
              </w:rPr>
            </w:pPr>
            <w:r>
              <w:rPr>
                <w:rFonts w:ascii="Arial" w:cs="Arial" w:eastAsia="Arial" w:hAnsi="Arial"/>
                <w:sz w:val="12"/>
                <w:szCs w:val="12"/>
                <w:color w:val="auto"/>
              </w:rPr>
              <w:t>Research and Development</w:t>
            </w:r>
          </w:p>
        </w:tc>
        <w:tc>
          <w:tcPr>
            <w:tcW w:w="1080" w:type="dxa"/>
            <w:vAlign w:val="bottom"/>
          </w:tcPr>
          <w:p>
            <w:pPr>
              <w:spacing w:after="0"/>
              <w:rPr>
                <w:sz w:val="12"/>
                <w:szCs w:val="1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rPr>
              <w:t>24,999</w:t>
            </w: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2"/>
                <w:szCs w:val="12"/>
                <w:color w:val="auto"/>
              </w:rPr>
              <w:t>25,711</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2"/>
                <w:szCs w:val="12"/>
                <w:color w:val="auto"/>
              </w:rPr>
              <w:t>(712)</w:t>
            </w:r>
          </w:p>
        </w:tc>
        <w:tc>
          <w:tcPr>
            <w:tcW w:w="1240" w:type="dxa"/>
            <w:vAlign w:val="bottom"/>
            <w:gridSpan w:val="2"/>
          </w:tcPr>
          <w:p>
            <w:pPr>
              <w:jc w:val="right"/>
              <w:ind w:right="160"/>
              <w:spacing w:after="0"/>
              <w:rPr>
                <w:sz w:val="20"/>
                <w:szCs w:val="20"/>
                <w:color w:val="auto"/>
              </w:rPr>
            </w:pPr>
            <w:r>
              <w:rPr>
                <w:rFonts w:ascii="Arial" w:cs="Arial" w:eastAsia="Arial" w:hAnsi="Arial"/>
                <w:sz w:val="12"/>
                <w:szCs w:val="12"/>
                <w:color w:val="auto"/>
              </w:rPr>
              <w:t>(3)%</w:t>
            </w:r>
          </w:p>
        </w:tc>
      </w:tr>
      <w:tr>
        <w:trPr>
          <w:trHeight w:val="144"/>
        </w:trPr>
        <w:tc>
          <w:tcPr>
            <w:tcW w:w="47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General and Administrative</w:t>
            </w:r>
          </w:p>
        </w:tc>
        <w:tc>
          <w:tcPr>
            <w:tcW w:w="10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6,534</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7,790</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(1,256)</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(16)%</w:t>
            </w:r>
          </w:p>
        </w:tc>
      </w:tr>
      <w:tr>
        <w:trPr>
          <w:trHeight w:val="144"/>
        </w:trPr>
        <w:tc>
          <w:tcPr>
            <w:tcW w:w="4780" w:type="dxa"/>
            <w:vAlign w:val="bottom"/>
          </w:tcPr>
          <w:p>
            <w:pPr>
              <w:ind w:left="120"/>
              <w:spacing w:after="0"/>
              <w:rPr>
                <w:sz w:val="20"/>
                <w:szCs w:val="20"/>
                <w:color w:val="auto"/>
              </w:rPr>
            </w:pPr>
            <w:r>
              <w:rPr>
                <w:rFonts w:ascii="Arial" w:cs="Arial" w:eastAsia="Arial" w:hAnsi="Arial"/>
                <w:sz w:val="12"/>
                <w:szCs w:val="12"/>
                <w:color w:val="auto"/>
              </w:rPr>
              <w:t>Loss on Fair Value Remeasurement of Contingent Consideration</w:t>
            </w:r>
          </w:p>
        </w:tc>
        <w:tc>
          <w:tcPr>
            <w:tcW w:w="10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1,000</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2"/>
                <w:szCs w:val="12"/>
                <w:color w:val="auto"/>
              </w:rPr>
              <w:t>1,000</w:t>
            </w:r>
          </w:p>
        </w:tc>
        <w:tc>
          <w:tcPr>
            <w:tcW w:w="1240" w:type="dxa"/>
            <w:vAlign w:val="bottom"/>
            <w:gridSpan w:val="2"/>
          </w:tcPr>
          <w:p>
            <w:pPr>
              <w:jc w:val="right"/>
              <w:ind w:right="300"/>
              <w:spacing w:after="0"/>
              <w:rPr>
                <w:sz w:val="20"/>
                <w:szCs w:val="20"/>
                <w:color w:val="auto"/>
              </w:rPr>
            </w:pPr>
            <w:r>
              <w:rPr>
                <w:rFonts w:ascii="Arial" w:cs="Arial" w:eastAsia="Arial" w:hAnsi="Arial"/>
                <w:sz w:val="12"/>
                <w:szCs w:val="12"/>
                <w:color w:val="auto"/>
              </w:rPr>
              <w:t>n/a</w:t>
            </w:r>
          </w:p>
        </w:tc>
      </w:tr>
      <w:tr>
        <w:trPr>
          <w:trHeight w:val="144"/>
        </w:trPr>
        <w:tc>
          <w:tcPr>
            <w:tcW w:w="47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Amortization of Acquired Intangible Assets</w:t>
            </w:r>
          </w:p>
        </w:tc>
        <w:tc>
          <w:tcPr>
            <w:tcW w:w="10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224</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254</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(30)</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(12)%</w:t>
            </w:r>
          </w:p>
        </w:tc>
      </w:tr>
      <w:tr>
        <w:trPr>
          <w:trHeight w:val="133"/>
        </w:trPr>
        <w:tc>
          <w:tcPr>
            <w:tcW w:w="4780" w:type="dxa"/>
            <w:vAlign w:val="bottom"/>
            <w:tcBorders>
              <w:bottom w:val="single" w:sz="8" w:color="CCEEFF"/>
            </w:tcBorders>
          </w:tcPr>
          <w:p>
            <w:pPr>
              <w:spacing w:after="0" w:line="133" w:lineRule="exact"/>
              <w:rPr>
                <w:sz w:val="20"/>
                <w:szCs w:val="20"/>
                <w:color w:val="auto"/>
              </w:rPr>
            </w:pPr>
            <w:r>
              <w:rPr>
                <w:rFonts w:ascii="Arial" w:cs="Arial" w:eastAsia="Arial" w:hAnsi="Arial"/>
                <w:sz w:val="12"/>
                <w:szCs w:val="12"/>
                <w:color w:val="auto"/>
              </w:rPr>
              <w:t>Total Operating Expense</w:t>
            </w:r>
          </w:p>
        </w:tc>
        <w:tc>
          <w:tcPr>
            <w:tcW w:w="108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32,757</w:t>
            </w:r>
          </w:p>
        </w:tc>
        <w:tc>
          <w:tcPr>
            <w:tcW w:w="26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420" w:type="dxa"/>
            <w:vAlign w:val="bottom"/>
            <w:tcBorders>
              <w:top w:val="single" w:sz="8" w:color="auto"/>
              <w:bottom w:val="single" w:sz="8" w:color="auto"/>
            </w:tcBorders>
          </w:tcPr>
          <w:p>
            <w:pPr>
              <w:spacing w:after="0"/>
              <w:rPr>
                <w:sz w:val="11"/>
                <w:szCs w:val="11"/>
                <w:color w:val="auto"/>
              </w:rPr>
            </w:pPr>
          </w:p>
        </w:tc>
        <w:tc>
          <w:tcPr>
            <w:tcW w:w="102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33,755</w:t>
            </w:r>
          </w:p>
        </w:tc>
        <w:tc>
          <w:tcPr>
            <w:tcW w:w="28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80" w:type="dxa"/>
            <w:vAlign w:val="bottom"/>
            <w:tcBorders>
              <w:top w:val="single" w:sz="8" w:color="auto"/>
              <w:bottom w:val="single" w:sz="8" w:color="auto"/>
            </w:tcBorders>
          </w:tcPr>
          <w:p>
            <w:pPr>
              <w:spacing w:after="0"/>
              <w:rPr>
                <w:sz w:val="11"/>
                <w:szCs w:val="11"/>
                <w:color w:val="auto"/>
              </w:rPr>
            </w:pPr>
          </w:p>
        </w:tc>
        <w:tc>
          <w:tcPr>
            <w:tcW w:w="116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(998)</w:t>
            </w:r>
          </w:p>
        </w:tc>
        <w:tc>
          <w:tcPr>
            <w:tcW w:w="300" w:type="dxa"/>
            <w:vAlign w:val="bottom"/>
            <w:tcBorders>
              <w:bottom w:val="single" w:sz="8" w:color="CCEEFF"/>
            </w:tcBorders>
          </w:tcPr>
          <w:p>
            <w:pPr>
              <w:spacing w:after="0"/>
              <w:rPr>
                <w:sz w:val="11"/>
                <w:szCs w:val="11"/>
                <w:color w:val="auto"/>
              </w:rPr>
            </w:pPr>
          </w:p>
        </w:tc>
        <w:tc>
          <w:tcPr>
            <w:tcW w:w="1240" w:type="dxa"/>
            <w:vAlign w:val="bottom"/>
            <w:tcBorders>
              <w:bottom w:val="single" w:sz="8" w:color="CCEEFF"/>
            </w:tcBorders>
            <w:gridSpan w:val="2"/>
          </w:tcPr>
          <w:p>
            <w:pPr>
              <w:jc w:val="right"/>
              <w:ind w:right="160"/>
              <w:spacing w:after="0" w:line="133" w:lineRule="exact"/>
              <w:rPr>
                <w:sz w:val="20"/>
                <w:szCs w:val="20"/>
                <w:color w:val="auto"/>
              </w:rPr>
            </w:pPr>
            <w:r>
              <w:rPr>
                <w:rFonts w:ascii="Arial" w:cs="Arial" w:eastAsia="Arial" w:hAnsi="Arial"/>
                <w:sz w:val="12"/>
                <w:szCs w:val="12"/>
                <w:color w:val="auto"/>
              </w:rPr>
              <w:t>(3)%</w:t>
            </w:r>
          </w:p>
        </w:tc>
      </w:tr>
      <w:tr>
        <w:trPr>
          <w:trHeight w:val="133"/>
        </w:trPr>
        <w:tc>
          <w:tcPr>
            <w:tcW w:w="478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Operating Loss</w:t>
            </w:r>
          </w:p>
        </w:tc>
        <w:tc>
          <w:tcPr>
            <w:tcW w:w="10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(28,928)</w:t>
            </w: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(32,366)</w:t>
            </w: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(3,438)</w:t>
            </w:r>
          </w:p>
        </w:tc>
        <w:tc>
          <w:tcPr>
            <w:tcW w:w="30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right"/>
              <w:ind w:right="160"/>
              <w:spacing w:after="0" w:line="133" w:lineRule="exact"/>
              <w:rPr>
                <w:sz w:val="20"/>
                <w:szCs w:val="20"/>
                <w:color w:val="auto"/>
              </w:rPr>
            </w:pPr>
            <w:r>
              <w:rPr>
                <w:rFonts w:ascii="Arial" w:cs="Arial" w:eastAsia="Arial" w:hAnsi="Arial"/>
                <w:sz w:val="12"/>
                <w:szCs w:val="12"/>
                <w:color w:val="auto"/>
              </w:rPr>
              <w:t>(11)%</w:t>
            </w:r>
          </w:p>
        </w:tc>
      </w:tr>
      <w:tr>
        <w:trPr>
          <w:trHeight w:val="144"/>
        </w:trPr>
        <w:tc>
          <w:tcPr>
            <w:tcW w:w="4780" w:type="dxa"/>
            <w:vAlign w:val="bottom"/>
          </w:tcPr>
          <w:p>
            <w:pPr>
              <w:spacing w:after="0"/>
              <w:rPr>
                <w:sz w:val="20"/>
                <w:szCs w:val="20"/>
                <w:color w:val="auto"/>
              </w:rPr>
            </w:pPr>
            <w:r>
              <w:rPr>
                <w:rFonts w:ascii="Arial" w:cs="Arial" w:eastAsia="Arial" w:hAnsi="Arial"/>
                <w:sz w:val="12"/>
                <w:szCs w:val="12"/>
                <w:color w:val="auto"/>
              </w:rPr>
              <w:t>Investment and Other Income, Net</w:t>
            </w:r>
          </w:p>
        </w:tc>
        <w:tc>
          <w:tcPr>
            <w:tcW w:w="10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362</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2"/>
                <w:szCs w:val="12"/>
                <w:color w:val="auto"/>
              </w:rPr>
              <w:t>414</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2"/>
                <w:szCs w:val="12"/>
                <w:color w:val="auto"/>
              </w:rPr>
              <w:t>(52)</w:t>
            </w:r>
          </w:p>
        </w:tc>
        <w:tc>
          <w:tcPr>
            <w:tcW w:w="1240" w:type="dxa"/>
            <w:vAlign w:val="bottom"/>
            <w:gridSpan w:val="2"/>
          </w:tcPr>
          <w:p>
            <w:pPr>
              <w:jc w:val="right"/>
              <w:ind w:right="160"/>
              <w:spacing w:after="0"/>
              <w:rPr>
                <w:sz w:val="20"/>
                <w:szCs w:val="20"/>
                <w:color w:val="auto"/>
              </w:rPr>
            </w:pPr>
            <w:r>
              <w:rPr>
                <w:rFonts w:ascii="Arial" w:cs="Arial" w:eastAsia="Arial" w:hAnsi="Arial"/>
                <w:sz w:val="12"/>
                <w:szCs w:val="12"/>
                <w:color w:val="auto"/>
              </w:rPr>
              <w:t>(13)%</w:t>
            </w:r>
          </w:p>
        </w:tc>
      </w:tr>
      <w:tr>
        <w:trPr>
          <w:trHeight w:val="149"/>
        </w:trPr>
        <w:tc>
          <w:tcPr>
            <w:tcW w:w="47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Net Loss</w:t>
            </w:r>
          </w:p>
        </w:tc>
        <w:tc>
          <w:tcPr>
            <w:tcW w:w="1080" w:type="dxa"/>
            <w:vAlign w:val="bottom"/>
            <w:tcBorders>
              <w:top w:val="single" w:sz="8" w:color="auto"/>
              <w:bottom w:val="single" w:sz="8" w:color="auto"/>
            </w:tcBorders>
            <w:shd w:val="clear" w:color="auto" w:fill="CCEEFF"/>
          </w:tcPr>
          <w:p>
            <w:pPr>
              <w:jc w:val="right"/>
              <w:ind w:right="970"/>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(28,566</w:t>
            </w:r>
          </w:p>
        </w:tc>
        <w:tc>
          <w:tcPr>
            <w:tcW w:w="260" w:type="dxa"/>
            <w:vAlign w:val="bottom"/>
            <w:tcBorders>
              <w:top w:val="single" w:sz="8" w:color="CCEEFF"/>
              <w:bottom w:val="single" w:sz="8" w:color="CCEEFF"/>
            </w:tcBorders>
            <w:shd w:val="clear" w:color="auto" w:fill="CCEEFF"/>
          </w:tcPr>
          <w:p>
            <w:pPr>
              <w:jc w:val="right"/>
              <w:ind w:right="180"/>
              <w:spacing w:after="0"/>
              <w:rPr>
                <w:sz w:val="20"/>
                <w:szCs w:val="20"/>
                <w:color w:val="auto"/>
              </w:rPr>
            </w:pPr>
            <w:r>
              <w:rPr>
                <w:rFonts w:ascii="Arial" w:cs="Arial" w:eastAsia="Arial" w:hAnsi="Arial"/>
                <w:sz w:val="8"/>
                <w:szCs w:val="8"/>
                <w:color w:val="auto"/>
                <w:w w:val="73"/>
              </w:rPr>
              <w:t>)</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42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(31,952</w:t>
            </w:r>
          </w:p>
        </w:tc>
        <w:tc>
          <w:tcPr>
            <w:tcW w:w="280" w:type="dxa"/>
            <w:vAlign w:val="bottom"/>
            <w:tcBorders>
              <w:top w:val="single" w:sz="8" w:color="CCEEFF"/>
              <w:bottom w:val="single" w:sz="8" w:color="CCEEFF"/>
            </w:tcBorders>
            <w:shd w:val="clear" w:color="auto" w:fill="CCEEFF"/>
          </w:tcPr>
          <w:p>
            <w:pPr>
              <w:jc w:val="right"/>
              <w:ind w:right="200"/>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(3,386</w:t>
            </w:r>
          </w:p>
        </w:tc>
        <w:tc>
          <w:tcPr>
            <w:tcW w:w="300" w:type="dxa"/>
            <w:vAlign w:val="bottom"/>
            <w:tcBorders>
              <w:top w:val="single" w:sz="8" w:color="CCEEFF"/>
              <w:bottom w:val="single" w:sz="8" w:color="CCEEFF"/>
            </w:tcBorders>
            <w:shd w:val="clear" w:color="auto" w:fill="CCEEFF"/>
          </w:tcPr>
          <w:p>
            <w:pPr>
              <w:jc w:val="right"/>
              <w:ind w:right="220"/>
              <w:spacing w:after="0"/>
              <w:rPr>
                <w:sz w:val="20"/>
                <w:szCs w:val="20"/>
                <w:color w:val="auto"/>
              </w:rPr>
            </w:pPr>
            <w:r>
              <w:rPr>
                <w:rFonts w:ascii="Arial" w:cs="Arial" w:eastAsia="Arial" w:hAnsi="Arial"/>
                <w:sz w:val="8"/>
                <w:szCs w:val="8"/>
                <w:color w:val="auto"/>
                <w:w w:val="73"/>
              </w:rPr>
              <w:t>)</w:t>
            </w:r>
          </w:p>
        </w:tc>
        <w:tc>
          <w:tcPr>
            <w:tcW w:w="1240" w:type="dxa"/>
            <w:vAlign w:val="bottom"/>
            <w:tcBorders>
              <w:top w:val="single" w:sz="8" w:color="CCEEFF"/>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(11)%</w:t>
            </w:r>
          </w:p>
        </w:tc>
      </w:tr>
    </w:tbl>
    <w:p>
      <w:pPr>
        <w:spacing w:after="0" w:line="13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Net Loss</w:t>
      </w:r>
    </w:p>
    <w:p>
      <w:pPr>
        <w:spacing w:after="0" w:line="150" w:lineRule="exact"/>
        <w:rPr>
          <w:sz w:val="20"/>
          <w:szCs w:val="20"/>
          <w:color w:val="auto"/>
        </w:rPr>
      </w:pPr>
    </w:p>
    <w:p>
      <w:pPr>
        <w:ind w:right="80" w:firstLine="432"/>
        <w:spacing w:after="0" w:line="276" w:lineRule="auto"/>
        <w:rPr>
          <w:sz w:val="20"/>
          <w:szCs w:val="20"/>
          <w:color w:val="auto"/>
        </w:rPr>
      </w:pPr>
      <w:r>
        <w:rPr>
          <w:rFonts w:ascii="Arial" w:cs="Arial" w:eastAsia="Arial" w:hAnsi="Arial"/>
          <w:sz w:val="12"/>
          <w:szCs w:val="12"/>
          <w:color w:val="auto"/>
        </w:rPr>
        <w:t>The $3.4 million decrease in net loss for the three months ended June 30, 2017, as compared to the three months ended June 30, 2016, was primarily the result of an increase in contracts and grants revenue as well as a decrease in research and development and general and administrative expenses, partially offset by the loss on fair value remeasurement of contingent consideration.</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Revenue</w:t>
      </w:r>
    </w:p>
    <w:p>
      <w:pPr>
        <w:sectPr>
          <w:pgSz w:w="11900" w:h="16838" w:orient="portrait"/>
          <w:cols w:equalWidth="0" w:num="1">
            <w:col w:w="11480"/>
          </w:cols>
          <w:pgMar w:left="220" w:top="131" w:right="199" w:bottom="0" w:gutter="0" w:footer="0" w:header="0"/>
        </w:sectPr>
      </w:pPr>
    </w:p>
    <w:bookmarkStart w:id="10" w:name="page11"/>
    <w:bookmarkEnd w:id="10"/>
    <w:p>
      <w:pPr>
        <w:spacing w:after="0" w:line="21" w:lineRule="exact"/>
        <w:rPr>
          <w:sz w:val="20"/>
          <w:szCs w:val="20"/>
          <w:color w:val="auto"/>
        </w:rPr>
      </w:pPr>
    </w:p>
    <w:p>
      <w:pPr>
        <w:ind w:right="140" w:firstLine="432"/>
        <w:spacing w:after="0" w:line="259" w:lineRule="auto"/>
        <w:rPr>
          <w:sz w:val="20"/>
          <w:szCs w:val="20"/>
          <w:color w:val="auto"/>
        </w:rPr>
      </w:pPr>
      <w:r>
        <w:rPr>
          <w:rFonts w:ascii="Arial" w:cs="Arial" w:eastAsia="Arial" w:hAnsi="Arial"/>
          <w:sz w:val="12"/>
          <w:szCs w:val="12"/>
          <w:color w:val="auto"/>
        </w:rPr>
        <w:t>The $0.1 million increase in product development and licensing agreements revenue for the three months ended June 30, 2017, as compared to the three months ended June 30, 2016, was primarily related to our BMS agreement. In 2014, we entered into a clinical trial collaboration with BMS whereby BMS made a one-time payment to us of $5.0 million which we are recognizing as revenue along with BMS’s 50% share of the clinical trial cost over our estimated performance period of five years. The $2.4 million increase in contracts and grants revenue for the three months ended June 30, 2017, compared to the three months ended June 30, 2016, was primarily related to our IAVI agreement pursuant to which we perform research and development services for IAVI.</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Research and Development Expense</w:t>
      </w:r>
    </w:p>
    <w:p>
      <w:pPr>
        <w:spacing w:after="0" w:line="150" w:lineRule="exact"/>
        <w:rPr>
          <w:sz w:val="20"/>
          <w:szCs w:val="20"/>
          <w:color w:val="auto"/>
        </w:rPr>
      </w:pPr>
    </w:p>
    <w:p>
      <w:pPr>
        <w:ind w:right="160" w:firstLine="432"/>
        <w:spacing w:after="0" w:line="276" w:lineRule="auto"/>
        <w:rPr>
          <w:sz w:val="20"/>
          <w:szCs w:val="20"/>
          <w:color w:val="auto"/>
        </w:rPr>
      </w:pPr>
      <w:r>
        <w:rPr>
          <w:rFonts w:ascii="Arial" w:cs="Arial" w:eastAsia="Arial" w:hAnsi="Arial"/>
          <w:sz w:val="12"/>
          <w:szCs w:val="12"/>
          <w:color w:val="auto"/>
        </w:rPr>
        <w:t>Research and development expenses consist primarily of (i) personnel expenses, (ii) laboratory supply expenses relating to the development of our technology, (iii) facility expenses, (iv) license fees and (v) product development expenses associated with our product candidates as follows: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0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180" w:type="dxa"/>
            <w:vAlign w:val="bottom"/>
            <w:gridSpan w:val="2"/>
          </w:tcPr>
          <w:p>
            <w:pPr>
              <w:jc w:val="center"/>
              <w:spacing w:after="0"/>
              <w:rPr>
                <w:sz w:val="20"/>
                <w:szCs w:val="20"/>
                <w:color w:val="auto"/>
              </w:rPr>
            </w:pPr>
            <w:r>
              <w:rPr>
                <w:rFonts w:ascii="Arial" w:cs="Arial" w:eastAsia="Arial" w:hAnsi="Arial"/>
                <w:sz w:val="10"/>
                <w:szCs w:val="10"/>
                <w:b w:val="1"/>
                <w:bCs w:val="1"/>
                <w:color w:val="auto"/>
                <w:w w:val="86"/>
              </w:rPr>
              <w:t>Three Months Ended</w:t>
            </w: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60" w:type="dxa"/>
            <w:vAlign w:val="bottom"/>
          </w:tcPr>
          <w:p>
            <w:pPr>
              <w:jc w:val="center"/>
              <w:ind w:right="584"/>
              <w:spacing w:after="0"/>
              <w:rPr>
                <w:sz w:val="20"/>
                <w:szCs w:val="20"/>
                <w:color w:val="auto"/>
              </w:rPr>
            </w:pPr>
            <w:r>
              <w:rPr>
                <w:rFonts w:ascii="Arial" w:cs="Arial" w:eastAsia="Arial" w:hAnsi="Arial"/>
                <w:sz w:val="10"/>
                <w:szCs w:val="10"/>
                <w:b w:val="1"/>
                <w:bCs w:val="1"/>
                <w:color w:val="auto"/>
                <w:w w:val="87"/>
              </w:rPr>
              <w:t>Increase/</w:t>
            </w:r>
          </w:p>
        </w:tc>
        <w:tc>
          <w:tcPr>
            <w:tcW w:w="1420" w:type="dxa"/>
            <w:vAlign w:val="bottom"/>
            <w:gridSpan w:val="2"/>
          </w:tcPr>
          <w:p>
            <w:pPr>
              <w:jc w:val="center"/>
              <w:ind w:right="360"/>
              <w:spacing w:after="0"/>
              <w:rPr>
                <w:sz w:val="20"/>
                <w:szCs w:val="20"/>
                <w:color w:val="auto"/>
              </w:rPr>
            </w:pPr>
            <w:r>
              <w:rPr>
                <w:rFonts w:ascii="Arial" w:cs="Arial" w:eastAsia="Arial" w:hAnsi="Arial"/>
                <w:sz w:val="10"/>
                <w:szCs w:val="10"/>
                <w:b w:val="1"/>
                <w:bCs w:val="1"/>
                <w:color w:val="auto"/>
                <w:w w:val="87"/>
              </w:rPr>
              <w:t>Increase/</w:t>
            </w:r>
          </w:p>
        </w:tc>
        <w:tc>
          <w:tcPr>
            <w:tcW w:w="20" w:type="dxa"/>
            <w:vAlign w:val="bottom"/>
          </w:tcPr>
          <w:p>
            <w:pPr>
              <w:spacing w:after="0"/>
              <w:rPr>
                <w:sz w:val="10"/>
                <w:szCs w:val="10"/>
                <w:color w:val="auto"/>
              </w:rPr>
            </w:pPr>
          </w:p>
        </w:tc>
      </w:tr>
      <w:tr>
        <w:trPr>
          <w:trHeight w:val="114"/>
        </w:trPr>
        <w:tc>
          <w:tcPr>
            <w:tcW w:w="500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gridSpan w:val="2"/>
          </w:tcPr>
          <w:p>
            <w:pPr>
              <w:jc w:val="center"/>
              <w:spacing w:after="0" w:line="114" w:lineRule="exact"/>
              <w:rPr>
                <w:sz w:val="20"/>
                <w:szCs w:val="20"/>
                <w:color w:val="auto"/>
              </w:rPr>
            </w:pPr>
            <w:r>
              <w:rPr>
                <w:rFonts w:ascii="Arial" w:cs="Arial" w:eastAsia="Arial" w:hAnsi="Arial"/>
                <w:sz w:val="10"/>
                <w:szCs w:val="10"/>
                <w:b w:val="1"/>
                <w:bCs w:val="1"/>
                <w:color w:val="auto"/>
                <w:w w:val="84"/>
              </w:rPr>
              <w:t>June 30,</w:t>
            </w:r>
          </w:p>
        </w:tc>
        <w:tc>
          <w:tcPr>
            <w:tcW w:w="9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60" w:type="dxa"/>
            <w:vAlign w:val="bottom"/>
          </w:tcPr>
          <w:p>
            <w:pPr>
              <w:jc w:val="center"/>
              <w:ind w:right="584"/>
              <w:spacing w:after="0" w:line="114" w:lineRule="exact"/>
              <w:rPr>
                <w:sz w:val="20"/>
                <w:szCs w:val="20"/>
                <w:color w:val="auto"/>
              </w:rPr>
            </w:pPr>
            <w:r>
              <w:rPr>
                <w:rFonts w:ascii="Arial" w:cs="Arial" w:eastAsia="Arial" w:hAnsi="Arial"/>
                <w:sz w:val="10"/>
                <w:szCs w:val="10"/>
                <w:b w:val="1"/>
                <w:bCs w:val="1"/>
                <w:color w:val="auto"/>
                <w:w w:val="82"/>
              </w:rPr>
              <w:t>(Decrease)</w:t>
            </w:r>
          </w:p>
        </w:tc>
        <w:tc>
          <w:tcPr>
            <w:tcW w:w="1420" w:type="dxa"/>
            <w:vAlign w:val="bottom"/>
            <w:gridSpan w:val="2"/>
          </w:tcPr>
          <w:p>
            <w:pPr>
              <w:jc w:val="center"/>
              <w:ind w:right="360"/>
              <w:spacing w:after="0" w:line="114" w:lineRule="exact"/>
              <w:rPr>
                <w:sz w:val="20"/>
                <w:szCs w:val="20"/>
                <w:color w:val="auto"/>
              </w:rPr>
            </w:pPr>
            <w:r>
              <w:rPr>
                <w:rFonts w:ascii="Arial" w:cs="Arial" w:eastAsia="Arial" w:hAnsi="Arial"/>
                <w:sz w:val="10"/>
                <w:szCs w:val="10"/>
                <w:b w:val="1"/>
                <w:bCs w:val="1"/>
                <w:color w:val="auto"/>
                <w:w w:val="82"/>
              </w:rPr>
              <w:t>(Decrease)</w:t>
            </w:r>
          </w:p>
        </w:tc>
        <w:tc>
          <w:tcPr>
            <w:tcW w:w="20" w:type="dxa"/>
            <w:vAlign w:val="bottom"/>
          </w:tcPr>
          <w:p>
            <w:pPr>
              <w:spacing w:after="0"/>
              <w:rPr>
                <w:sz w:val="9"/>
                <w:szCs w:val="9"/>
                <w:color w:val="auto"/>
              </w:rPr>
            </w:pPr>
          </w:p>
        </w:tc>
      </w:tr>
      <w:tr>
        <w:trPr>
          <w:trHeight w:val="88"/>
        </w:trPr>
        <w:tc>
          <w:tcPr>
            <w:tcW w:w="5000" w:type="dxa"/>
            <w:vAlign w:val="bottom"/>
          </w:tcPr>
          <w:p>
            <w:pPr>
              <w:spacing w:after="0"/>
              <w:rPr>
                <w:sz w:val="7"/>
                <w:szCs w:val="7"/>
                <w:color w:val="auto"/>
              </w:rPr>
            </w:pPr>
          </w:p>
        </w:tc>
        <w:tc>
          <w:tcPr>
            <w:tcW w:w="940" w:type="dxa"/>
            <w:vAlign w:val="bottom"/>
            <w:tcBorders>
              <w:bottom w:val="single" w:sz="8" w:color="auto"/>
            </w:tcBorders>
          </w:tcPr>
          <w:p>
            <w:pPr>
              <w:jc w:val="right"/>
              <w:ind w:right="87"/>
              <w:spacing w:after="0" w:line="88" w:lineRule="exact"/>
              <w:rPr>
                <w:sz w:val="20"/>
                <w:szCs w:val="20"/>
                <w:color w:val="auto"/>
              </w:rPr>
            </w:pPr>
            <w:r>
              <w:rPr>
                <w:rFonts w:ascii="Arial" w:cs="Arial" w:eastAsia="Arial" w:hAnsi="Arial"/>
                <w:sz w:val="10"/>
                <w:szCs w:val="10"/>
                <w:b w:val="1"/>
                <w:bCs w:val="1"/>
                <w:color w:val="auto"/>
              </w:rPr>
              <w:t>2017</w:t>
            </w:r>
          </w:p>
        </w:tc>
        <w:tc>
          <w:tcPr>
            <w:tcW w:w="58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jc w:val="right"/>
              <w:ind w:right="523"/>
              <w:spacing w:after="0" w:line="88" w:lineRule="exact"/>
              <w:rPr>
                <w:sz w:val="20"/>
                <w:szCs w:val="20"/>
                <w:color w:val="auto"/>
              </w:rPr>
            </w:pPr>
            <w:r>
              <w:rPr>
                <w:rFonts w:ascii="Arial" w:cs="Arial" w:eastAsia="Arial" w:hAnsi="Arial"/>
                <w:sz w:val="10"/>
                <w:szCs w:val="10"/>
                <w:b w:val="1"/>
                <w:bCs w:val="1"/>
                <w:color w:val="auto"/>
              </w:rPr>
              <w:t>2016</w:t>
            </w:r>
          </w:p>
        </w:tc>
        <w:tc>
          <w:tcPr>
            <w:tcW w:w="14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460" w:type="dxa"/>
            <w:vAlign w:val="bottom"/>
            <w:tcBorders>
              <w:bottom w:val="single" w:sz="8" w:color="auto"/>
            </w:tcBorders>
          </w:tcPr>
          <w:p>
            <w:pPr>
              <w:jc w:val="center"/>
              <w:ind w:right="584"/>
              <w:spacing w:after="0" w:line="88" w:lineRule="exact"/>
              <w:rPr>
                <w:sz w:val="20"/>
                <w:szCs w:val="20"/>
                <w:color w:val="auto"/>
              </w:rPr>
            </w:pPr>
            <w:r>
              <w:rPr>
                <w:rFonts w:ascii="Arial" w:cs="Arial" w:eastAsia="Arial" w:hAnsi="Arial"/>
                <w:sz w:val="10"/>
                <w:szCs w:val="10"/>
                <w:b w:val="1"/>
                <w:bCs w:val="1"/>
                <w:color w:val="auto"/>
              </w:rPr>
              <w:t>$</w:t>
            </w:r>
          </w:p>
        </w:tc>
        <w:tc>
          <w:tcPr>
            <w:tcW w:w="1140" w:type="dxa"/>
            <w:vAlign w:val="bottom"/>
            <w:tcBorders>
              <w:bottom w:val="single" w:sz="8" w:color="auto"/>
            </w:tcBorders>
          </w:tcPr>
          <w:p>
            <w:pPr>
              <w:jc w:val="center"/>
              <w:ind w:right="24"/>
              <w:spacing w:after="0" w:line="88" w:lineRule="exact"/>
              <w:rPr>
                <w:sz w:val="20"/>
                <w:szCs w:val="20"/>
                <w:color w:val="auto"/>
              </w:rPr>
            </w:pPr>
            <w:r>
              <w:rPr>
                <w:rFonts w:ascii="Arial" w:cs="Arial" w:eastAsia="Arial" w:hAnsi="Arial"/>
                <w:sz w:val="10"/>
                <w:szCs w:val="10"/>
                <w:b w:val="1"/>
                <w:bCs w:val="1"/>
                <w:color w:val="auto"/>
              </w:rPr>
              <w:t>%</w:t>
            </w: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88"/>
        </w:trPr>
        <w:tc>
          <w:tcPr>
            <w:tcW w:w="5000" w:type="dxa"/>
            <w:vAlign w:val="bottom"/>
          </w:tcPr>
          <w:p>
            <w:pPr>
              <w:spacing w:after="0"/>
              <w:rPr>
                <w:sz w:val="7"/>
                <w:szCs w:val="7"/>
                <w:color w:val="auto"/>
              </w:rPr>
            </w:pPr>
          </w:p>
        </w:tc>
        <w:tc>
          <w:tcPr>
            <w:tcW w:w="9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80" w:type="dxa"/>
            <w:vAlign w:val="bottom"/>
            <w:gridSpan w:val="3"/>
          </w:tcPr>
          <w:p>
            <w:pPr>
              <w:jc w:val="right"/>
              <w:ind w:right="140"/>
              <w:spacing w:after="0" w:line="88" w:lineRule="exact"/>
              <w:rPr>
                <w:sz w:val="20"/>
                <w:szCs w:val="20"/>
                <w:color w:val="auto"/>
              </w:rPr>
            </w:pPr>
            <w:r>
              <w:rPr>
                <w:rFonts w:ascii="Arial" w:cs="Arial" w:eastAsia="Arial" w:hAnsi="Arial"/>
                <w:sz w:val="10"/>
                <w:szCs w:val="10"/>
                <w:b w:val="1"/>
                <w:bCs w:val="1"/>
                <w:color w:val="auto"/>
              </w:rPr>
              <w:t>(In thousands)</w:t>
            </w:r>
          </w:p>
        </w:tc>
        <w:tc>
          <w:tcPr>
            <w:tcW w:w="14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144"/>
        </w:trPr>
        <w:tc>
          <w:tcPr>
            <w:tcW w:w="5000" w:type="dxa"/>
            <w:vAlign w:val="bottom"/>
            <w:shd w:val="clear" w:color="auto" w:fill="CCEEFF"/>
          </w:tcPr>
          <w:p>
            <w:pPr>
              <w:spacing w:after="0"/>
              <w:rPr>
                <w:sz w:val="20"/>
                <w:szCs w:val="20"/>
                <w:color w:val="auto"/>
              </w:rPr>
            </w:pPr>
            <w:r>
              <w:rPr>
                <w:rFonts w:ascii="Arial" w:cs="Arial" w:eastAsia="Arial" w:hAnsi="Arial"/>
                <w:sz w:val="12"/>
                <w:szCs w:val="12"/>
                <w:color w:val="auto"/>
              </w:rPr>
              <w:t>Personnel</w:t>
            </w:r>
          </w:p>
        </w:tc>
        <w:tc>
          <w:tcPr>
            <w:tcW w:w="940" w:type="dxa"/>
            <w:vAlign w:val="bottom"/>
            <w:shd w:val="clear" w:color="auto" w:fill="CCEEFF"/>
          </w:tcPr>
          <w:p>
            <w:pPr>
              <w:jc w:val="right"/>
              <w:ind w:right="827"/>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ind w:right="83"/>
              <w:spacing w:after="0"/>
              <w:rPr>
                <w:sz w:val="20"/>
                <w:szCs w:val="20"/>
                <w:color w:val="auto"/>
              </w:rPr>
            </w:pPr>
            <w:r>
              <w:rPr>
                <w:rFonts w:ascii="Arial" w:cs="Arial" w:eastAsia="Arial" w:hAnsi="Arial"/>
                <w:sz w:val="12"/>
                <w:szCs w:val="12"/>
                <w:color w:val="auto"/>
              </w:rPr>
              <w:t>9,123</w:t>
            </w:r>
          </w:p>
        </w:tc>
        <w:tc>
          <w:tcPr>
            <w:tcW w:w="600" w:type="dxa"/>
            <w:vAlign w:val="bottom"/>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8,779</w:t>
            </w:r>
          </w:p>
        </w:tc>
        <w:tc>
          <w:tcPr>
            <w:tcW w:w="42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60" w:type="dxa"/>
            <w:vAlign w:val="bottom"/>
            <w:shd w:val="clear" w:color="auto" w:fill="CCEEFF"/>
          </w:tcPr>
          <w:p>
            <w:pPr>
              <w:jc w:val="right"/>
              <w:ind w:right="304"/>
              <w:spacing w:after="0"/>
              <w:rPr>
                <w:sz w:val="20"/>
                <w:szCs w:val="20"/>
                <w:color w:val="auto"/>
              </w:rPr>
            </w:pPr>
            <w:r>
              <w:rPr>
                <w:rFonts w:ascii="Arial" w:cs="Arial" w:eastAsia="Arial" w:hAnsi="Arial"/>
                <w:sz w:val="12"/>
                <w:szCs w:val="12"/>
                <w:color w:val="auto"/>
              </w:rPr>
              <w:t>344</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4%</w:t>
            </w:r>
          </w:p>
        </w:tc>
        <w:tc>
          <w:tcPr>
            <w:tcW w:w="20" w:type="dxa"/>
            <w:vAlign w:val="bottom"/>
          </w:tcPr>
          <w:p>
            <w:pPr>
              <w:spacing w:after="0"/>
              <w:rPr>
                <w:sz w:val="12"/>
                <w:szCs w:val="12"/>
                <w:color w:val="auto"/>
              </w:rPr>
            </w:pPr>
          </w:p>
        </w:tc>
      </w:tr>
      <w:tr>
        <w:trPr>
          <w:trHeight w:val="144"/>
        </w:trPr>
        <w:tc>
          <w:tcPr>
            <w:tcW w:w="5000" w:type="dxa"/>
            <w:vAlign w:val="bottom"/>
          </w:tcPr>
          <w:p>
            <w:pPr>
              <w:spacing w:after="0"/>
              <w:rPr>
                <w:sz w:val="20"/>
                <w:szCs w:val="20"/>
                <w:color w:val="auto"/>
              </w:rPr>
            </w:pPr>
            <w:r>
              <w:rPr>
                <w:rFonts w:ascii="Arial" w:cs="Arial" w:eastAsia="Arial" w:hAnsi="Arial"/>
                <w:sz w:val="12"/>
                <w:szCs w:val="12"/>
                <w:color w:val="auto"/>
              </w:rPr>
              <w:t>Laboratory Supplies</w:t>
            </w:r>
          </w:p>
        </w:tc>
        <w:tc>
          <w:tcPr>
            <w:tcW w:w="940" w:type="dxa"/>
            <w:vAlign w:val="bottom"/>
          </w:tcPr>
          <w:p>
            <w:pPr>
              <w:spacing w:after="0"/>
              <w:rPr>
                <w:sz w:val="12"/>
                <w:szCs w:val="12"/>
                <w:color w:val="auto"/>
              </w:rPr>
            </w:pPr>
          </w:p>
        </w:tc>
        <w:tc>
          <w:tcPr>
            <w:tcW w:w="580" w:type="dxa"/>
            <w:vAlign w:val="bottom"/>
          </w:tcPr>
          <w:p>
            <w:pPr>
              <w:jc w:val="right"/>
              <w:ind w:right="83"/>
              <w:spacing w:after="0"/>
              <w:rPr>
                <w:sz w:val="20"/>
                <w:szCs w:val="20"/>
                <w:color w:val="auto"/>
              </w:rPr>
            </w:pPr>
            <w:r>
              <w:rPr>
                <w:rFonts w:ascii="Arial" w:cs="Arial" w:eastAsia="Arial" w:hAnsi="Arial"/>
                <w:sz w:val="12"/>
                <w:szCs w:val="12"/>
                <w:color w:val="auto"/>
              </w:rPr>
              <w:t>1,356</w:t>
            </w:r>
          </w:p>
        </w:tc>
        <w:tc>
          <w:tcPr>
            <w:tcW w:w="600" w:type="dxa"/>
            <w:vAlign w:val="bottom"/>
          </w:tcPr>
          <w:p>
            <w:pPr>
              <w:spacing w:after="0"/>
              <w:rPr>
                <w:sz w:val="12"/>
                <w:szCs w:val="12"/>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2"/>
                <w:szCs w:val="12"/>
                <w:color w:val="auto"/>
              </w:rPr>
              <w:t>877</w:t>
            </w:r>
          </w:p>
        </w:tc>
        <w:tc>
          <w:tcPr>
            <w:tcW w:w="420" w:type="dxa"/>
            <w:vAlign w:val="bottom"/>
          </w:tcPr>
          <w:p>
            <w:pPr>
              <w:spacing w:after="0"/>
              <w:rPr>
                <w:sz w:val="12"/>
                <w:szCs w:val="12"/>
                <w:color w:val="auto"/>
              </w:rPr>
            </w:pPr>
          </w:p>
        </w:tc>
        <w:tc>
          <w:tcPr>
            <w:tcW w:w="1460" w:type="dxa"/>
            <w:vAlign w:val="bottom"/>
          </w:tcPr>
          <w:p>
            <w:pPr>
              <w:jc w:val="right"/>
              <w:ind w:right="304"/>
              <w:spacing w:after="0"/>
              <w:rPr>
                <w:sz w:val="20"/>
                <w:szCs w:val="20"/>
                <w:color w:val="auto"/>
              </w:rPr>
            </w:pPr>
            <w:r>
              <w:rPr>
                <w:rFonts w:ascii="Arial" w:cs="Arial" w:eastAsia="Arial" w:hAnsi="Arial"/>
                <w:sz w:val="12"/>
                <w:szCs w:val="12"/>
                <w:color w:val="auto"/>
              </w:rPr>
              <w:t>479</w:t>
            </w:r>
          </w:p>
        </w:tc>
        <w:tc>
          <w:tcPr>
            <w:tcW w:w="1420" w:type="dxa"/>
            <w:vAlign w:val="bottom"/>
            <w:gridSpan w:val="2"/>
          </w:tcPr>
          <w:p>
            <w:pPr>
              <w:jc w:val="right"/>
              <w:ind w:right="180"/>
              <w:spacing w:after="0"/>
              <w:rPr>
                <w:sz w:val="20"/>
                <w:szCs w:val="20"/>
                <w:color w:val="auto"/>
              </w:rPr>
            </w:pPr>
            <w:r>
              <w:rPr>
                <w:rFonts w:ascii="Arial" w:cs="Arial" w:eastAsia="Arial" w:hAnsi="Arial"/>
                <w:sz w:val="12"/>
                <w:szCs w:val="12"/>
                <w:color w:val="auto"/>
              </w:rPr>
              <w:t>55%</w:t>
            </w:r>
          </w:p>
        </w:tc>
        <w:tc>
          <w:tcPr>
            <w:tcW w:w="20" w:type="dxa"/>
            <w:vAlign w:val="bottom"/>
          </w:tcPr>
          <w:p>
            <w:pPr>
              <w:spacing w:after="0"/>
              <w:rPr>
                <w:sz w:val="12"/>
                <w:szCs w:val="12"/>
                <w:color w:val="auto"/>
              </w:rPr>
            </w:pPr>
          </w:p>
        </w:tc>
      </w:tr>
      <w:tr>
        <w:trPr>
          <w:trHeight w:val="144"/>
        </w:trPr>
        <w:tc>
          <w:tcPr>
            <w:tcW w:w="5000" w:type="dxa"/>
            <w:vAlign w:val="bottom"/>
            <w:shd w:val="clear" w:color="auto" w:fill="CCEEFF"/>
          </w:tcPr>
          <w:p>
            <w:pPr>
              <w:spacing w:after="0"/>
              <w:rPr>
                <w:sz w:val="20"/>
                <w:szCs w:val="20"/>
                <w:color w:val="auto"/>
              </w:rPr>
            </w:pPr>
            <w:r>
              <w:rPr>
                <w:rFonts w:ascii="Arial" w:cs="Arial" w:eastAsia="Arial" w:hAnsi="Arial"/>
                <w:sz w:val="12"/>
                <w:szCs w:val="12"/>
                <w:color w:val="auto"/>
              </w:rPr>
              <w:t>Facility</w:t>
            </w:r>
          </w:p>
        </w:tc>
        <w:tc>
          <w:tcPr>
            <w:tcW w:w="94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83"/>
              <w:spacing w:after="0"/>
              <w:rPr>
                <w:sz w:val="20"/>
                <w:szCs w:val="20"/>
                <w:color w:val="auto"/>
              </w:rPr>
            </w:pPr>
            <w:r>
              <w:rPr>
                <w:rFonts w:ascii="Arial" w:cs="Arial" w:eastAsia="Arial" w:hAnsi="Arial"/>
                <w:sz w:val="12"/>
                <w:szCs w:val="12"/>
                <w:color w:val="auto"/>
              </w:rPr>
              <w:t>2,113</w:t>
            </w:r>
          </w:p>
        </w:tc>
        <w:tc>
          <w:tcPr>
            <w:tcW w:w="6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1,391</w:t>
            </w:r>
          </w:p>
        </w:tc>
        <w:tc>
          <w:tcPr>
            <w:tcW w:w="420" w:type="dxa"/>
            <w:vAlign w:val="bottom"/>
            <w:shd w:val="clear" w:color="auto" w:fill="CCEEFF"/>
          </w:tcPr>
          <w:p>
            <w:pPr>
              <w:spacing w:after="0"/>
              <w:rPr>
                <w:sz w:val="12"/>
                <w:szCs w:val="12"/>
                <w:color w:val="auto"/>
              </w:rPr>
            </w:pPr>
          </w:p>
        </w:tc>
        <w:tc>
          <w:tcPr>
            <w:tcW w:w="1460" w:type="dxa"/>
            <w:vAlign w:val="bottom"/>
            <w:shd w:val="clear" w:color="auto" w:fill="CCEEFF"/>
          </w:tcPr>
          <w:p>
            <w:pPr>
              <w:jc w:val="right"/>
              <w:ind w:right="304"/>
              <w:spacing w:after="0"/>
              <w:rPr>
                <w:sz w:val="20"/>
                <w:szCs w:val="20"/>
                <w:color w:val="auto"/>
              </w:rPr>
            </w:pPr>
            <w:r>
              <w:rPr>
                <w:rFonts w:ascii="Arial" w:cs="Arial" w:eastAsia="Arial" w:hAnsi="Arial"/>
                <w:sz w:val="12"/>
                <w:szCs w:val="12"/>
                <w:color w:val="auto"/>
              </w:rPr>
              <w:t>722</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52%</w:t>
            </w:r>
          </w:p>
        </w:tc>
        <w:tc>
          <w:tcPr>
            <w:tcW w:w="20" w:type="dxa"/>
            <w:vAlign w:val="bottom"/>
          </w:tcPr>
          <w:p>
            <w:pPr>
              <w:spacing w:after="0"/>
              <w:rPr>
                <w:sz w:val="12"/>
                <w:szCs w:val="12"/>
                <w:color w:val="auto"/>
              </w:rPr>
            </w:pPr>
          </w:p>
        </w:tc>
      </w:tr>
      <w:tr>
        <w:trPr>
          <w:trHeight w:val="144"/>
        </w:trPr>
        <w:tc>
          <w:tcPr>
            <w:tcW w:w="5000" w:type="dxa"/>
            <w:vAlign w:val="bottom"/>
          </w:tcPr>
          <w:p>
            <w:pPr>
              <w:spacing w:after="0"/>
              <w:rPr>
                <w:sz w:val="20"/>
                <w:szCs w:val="20"/>
                <w:color w:val="auto"/>
              </w:rPr>
            </w:pPr>
            <w:r>
              <w:rPr>
                <w:rFonts w:ascii="Arial" w:cs="Arial" w:eastAsia="Arial" w:hAnsi="Arial"/>
                <w:sz w:val="12"/>
                <w:szCs w:val="12"/>
                <w:color w:val="auto"/>
              </w:rPr>
              <w:t>License Fees</w:t>
            </w:r>
          </w:p>
        </w:tc>
        <w:tc>
          <w:tcPr>
            <w:tcW w:w="940" w:type="dxa"/>
            <w:vAlign w:val="bottom"/>
          </w:tcPr>
          <w:p>
            <w:pPr>
              <w:spacing w:after="0"/>
              <w:rPr>
                <w:sz w:val="12"/>
                <w:szCs w:val="12"/>
                <w:color w:val="auto"/>
              </w:rPr>
            </w:pPr>
          </w:p>
        </w:tc>
        <w:tc>
          <w:tcPr>
            <w:tcW w:w="580" w:type="dxa"/>
            <w:vAlign w:val="bottom"/>
          </w:tcPr>
          <w:p>
            <w:pPr>
              <w:jc w:val="right"/>
              <w:ind w:right="83"/>
              <w:spacing w:after="0"/>
              <w:rPr>
                <w:sz w:val="20"/>
                <w:szCs w:val="20"/>
                <w:color w:val="auto"/>
              </w:rPr>
            </w:pPr>
            <w:r>
              <w:rPr>
                <w:rFonts w:ascii="Arial" w:cs="Arial" w:eastAsia="Arial" w:hAnsi="Arial"/>
                <w:sz w:val="12"/>
                <w:szCs w:val="12"/>
                <w:color w:val="auto"/>
              </w:rPr>
              <w:t>147</w:t>
            </w:r>
          </w:p>
        </w:tc>
        <w:tc>
          <w:tcPr>
            <w:tcW w:w="600" w:type="dxa"/>
            <w:vAlign w:val="bottom"/>
          </w:tcPr>
          <w:p>
            <w:pPr>
              <w:spacing w:after="0"/>
              <w:rPr>
                <w:sz w:val="12"/>
                <w:szCs w:val="12"/>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2"/>
                <w:szCs w:val="12"/>
                <w:color w:val="auto"/>
              </w:rPr>
              <w:t>386</w:t>
            </w:r>
          </w:p>
        </w:tc>
        <w:tc>
          <w:tcPr>
            <w:tcW w:w="420" w:type="dxa"/>
            <w:vAlign w:val="bottom"/>
          </w:tcPr>
          <w:p>
            <w:pPr>
              <w:spacing w:after="0"/>
              <w:rPr>
                <w:sz w:val="12"/>
                <w:szCs w:val="12"/>
                <w:color w:val="auto"/>
              </w:rPr>
            </w:pPr>
          </w:p>
        </w:tc>
        <w:tc>
          <w:tcPr>
            <w:tcW w:w="1460" w:type="dxa"/>
            <w:vAlign w:val="bottom"/>
          </w:tcPr>
          <w:p>
            <w:pPr>
              <w:jc w:val="right"/>
              <w:ind w:right="264"/>
              <w:spacing w:after="0"/>
              <w:rPr>
                <w:sz w:val="20"/>
                <w:szCs w:val="20"/>
                <w:color w:val="auto"/>
              </w:rPr>
            </w:pPr>
            <w:r>
              <w:rPr>
                <w:rFonts w:ascii="Arial" w:cs="Arial" w:eastAsia="Arial" w:hAnsi="Arial"/>
                <w:sz w:val="12"/>
                <w:szCs w:val="12"/>
                <w:color w:val="auto"/>
              </w:rPr>
              <w:t>(239)</w:t>
            </w:r>
          </w:p>
        </w:tc>
        <w:tc>
          <w:tcPr>
            <w:tcW w:w="1420" w:type="dxa"/>
            <w:vAlign w:val="bottom"/>
            <w:gridSpan w:val="2"/>
          </w:tcPr>
          <w:p>
            <w:pPr>
              <w:jc w:val="right"/>
              <w:ind w:right="140"/>
              <w:spacing w:after="0"/>
              <w:rPr>
                <w:sz w:val="20"/>
                <w:szCs w:val="20"/>
                <w:color w:val="auto"/>
              </w:rPr>
            </w:pPr>
            <w:r>
              <w:rPr>
                <w:rFonts w:ascii="Arial" w:cs="Arial" w:eastAsia="Arial" w:hAnsi="Arial"/>
                <w:sz w:val="12"/>
                <w:szCs w:val="12"/>
                <w:color w:val="auto"/>
              </w:rPr>
              <w:t>(62)%</w:t>
            </w:r>
          </w:p>
        </w:tc>
        <w:tc>
          <w:tcPr>
            <w:tcW w:w="20" w:type="dxa"/>
            <w:vAlign w:val="bottom"/>
          </w:tcPr>
          <w:p>
            <w:pPr>
              <w:spacing w:after="0"/>
              <w:rPr>
                <w:sz w:val="12"/>
                <w:szCs w:val="12"/>
                <w:color w:val="auto"/>
              </w:rPr>
            </w:pPr>
          </w:p>
        </w:tc>
      </w:tr>
      <w:tr>
        <w:trPr>
          <w:trHeight w:val="144"/>
        </w:trPr>
        <w:tc>
          <w:tcPr>
            <w:tcW w:w="5000" w:type="dxa"/>
            <w:vAlign w:val="bottom"/>
            <w:shd w:val="clear" w:color="auto" w:fill="CCEEFF"/>
          </w:tcPr>
          <w:p>
            <w:pPr>
              <w:spacing w:after="0"/>
              <w:rPr>
                <w:sz w:val="20"/>
                <w:szCs w:val="20"/>
                <w:color w:val="auto"/>
              </w:rPr>
            </w:pPr>
            <w:r>
              <w:rPr>
                <w:rFonts w:ascii="Arial" w:cs="Arial" w:eastAsia="Arial" w:hAnsi="Arial"/>
                <w:sz w:val="12"/>
                <w:szCs w:val="12"/>
                <w:color w:val="auto"/>
              </w:rPr>
              <w:t>Product Development</w:t>
            </w:r>
          </w:p>
        </w:tc>
        <w:tc>
          <w:tcPr>
            <w:tcW w:w="94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83"/>
              <w:spacing w:after="0"/>
              <w:rPr>
                <w:sz w:val="20"/>
                <w:szCs w:val="20"/>
                <w:color w:val="auto"/>
              </w:rPr>
            </w:pPr>
            <w:r>
              <w:rPr>
                <w:rFonts w:ascii="Arial" w:cs="Arial" w:eastAsia="Arial" w:hAnsi="Arial"/>
                <w:sz w:val="12"/>
                <w:szCs w:val="12"/>
                <w:color w:val="auto"/>
              </w:rPr>
              <w:t>9,704</w:t>
            </w:r>
          </w:p>
        </w:tc>
        <w:tc>
          <w:tcPr>
            <w:tcW w:w="6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12,246</w:t>
            </w:r>
          </w:p>
        </w:tc>
        <w:tc>
          <w:tcPr>
            <w:tcW w:w="420" w:type="dxa"/>
            <w:vAlign w:val="bottom"/>
            <w:shd w:val="clear" w:color="auto" w:fill="CCEEFF"/>
          </w:tcPr>
          <w:p>
            <w:pPr>
              <w:spacing w:after="0"/>
              <w:rPr>
                <w:sz w:val="12"/>
                <w:szCs w:val="12"/>
                <w:color w:val="auto"/>
              </w:rPr>
            </w:pPr>
          </w:p>
        </w:tc>
        <w:tc>
          <w:tcPr>
            <w:tcW w:w="1460" w:type="dxa"/>
            <w:vAlign w:val="bottom"/>
            <w:shd w:val="clear" w:color="auto" w:fill="CCEEFF"/>
          </w:tcPr>
          <w:p>
            <w:pPr>
              <w:jc w:val="right"/>
              <w:ind w:right="264"/>
              <w:spacing w:after="0"/>
              <w:rPr>
                <w:sz w:val="20"/>
                <w:szCs w:val="20"/>
                <w:color w:val="auto"/>
              </w:rPr>
            </w:pPr>
            <w:r>
              <w:rPr>
                <w:rFonts w:ascii="Arial" w:cs="Arial" w:eastAsia="Arial" w:hAnsi="Arial"/>
                <w:sz w:val="12"/>
                <w:szCs w:val="12"/>
                <w:color w:val="auto"/>
              </w:rPr>
              <w:t>(2,542)</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(21)%</w:t>
            </w:r>
          </w:p>
        </w:tc>
        <w:tc>
          <w:tcPr>
            <w:tcW w:w="20" w:type="dxa"/>
            <w:vAlign w:val="bottom"/>
          </w:tcPr>
          <w:p>
            <w:pPr>
              <w:spacing w:after="0"/>
              <w:rPr>
                <w:sz w:val="12"/>
                <w:szCs w:val="12"/>
                <w:color w:val="auto"/>
              </w:rPr>
            </w:pPr>
          </w:p>
        </w:tc>
      </w:tr>
      <w:tr>
        <w:trPr>
          <w:trHeight w:val="288"/>
        </w:trPr>
        <w:tc>
          <w:tcPr>
            <w:tcW w:w="5000" w:type="dxa"/>
            <w:vAlign w:val="bottom"/>
          </w:tcPr>
          <w:p>
            <w:pPr>
              <w:spacing w:after="0"/>
              <w:rPr>
                <w:sz w:val="24"/>
                <w:szCs w:val="24"/>
                <w:color w:val="auto"/>
              </w:rPr>
            </w:pPr>
          </w:p>
        </w:tc>
        <w:tc>
          <w:tcPr>
            <w:tcW w:w="940" w:type="dxa"/>
            <w:vAlign w:val="bottom"/>
          </w:tcPr>
          <w:p>
            <w:pPr>
              <w:jc w:val="right"/>
              <w:ind w:right="87"/>
              <w:spacing w:after="0"/>
              <w:rPr>
                <w:sz w:val="20"/>
                <w:szCs w:val="20"/>
                <w:color w:val="auto"/>
              </w:rPr>
            </w:pPr>
            <w:r>
              <w:rPr>
                <w:rFonts w:ascii="Arial" w:cs="Arial" w:eastAsia="Arial" w:hAnsi="Arial"/>
                <w:sz w:val="12"/>
                <w:szCs w:val="12"/>
                <w:color w:val="auto"/>
              </w:rPr>
              <w:t>24</w:t>
            </w: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5"/>
        </w:trPr>
        <w:tc>
          <w:tcPr>
            <w:tcW w:w="5000" w:type="dxa"/>
            <w:vAlign w:val="bottom"/>
            <w:tcBorders>
              <w:bottom w:val="single" w:sz="8" w:color="808080"/>
            </w:tcBorders>
          </w:tcPr>
          <w:p>
            <w:pPr>
              <w:spacing w:after="0"/>
              <w:rPr>
                <w:sz w:val="7"/>
                <w:szCs w:val="7"/>
                <w:color w:val="auto"/>
              </w:rPr>
            </w:pPr>
          </w:p>
        </w:tc>
        <w:tc>
          <w:tcPr>
            <w:tcW w:w="940" w:type="dxa"/>
            <w:vAlign w:val="bottom"/>
            <w:tcBorders>
              <w:bottom w:val="single" w:sz="8" w:color="808080"/>
            </w:tcBorders>
          </w:tcPr>
          <w:p>
            <w:pPr>
              <w:spacing w:after="0"/>
              <w:rPr>
                <w:sz w:val="7"/>
                <w:szCs w:val="7"/>
                <w:color w:val="auto"/>
              </w:rPr>
            </w:pPr>
          </w:p>
        </w:tc>
        <w:tc>
          <w:tcPr>
            <w:tcW w:w="580" w:type="dxa"/>
            <w:vAlign w:val="bottom"/>
            <w:tcBorders>
              <w:bottom w:val="single" w:sz="8" w:color="808080"/>
            </w:tcBorders>
          </w:tcPr>
          <w:p>
            <w:pPr>
              <w:spacing w:after="0"/>
              <w:rPr>
                <w:sz w:val="7"/>
                <w:szCs w:val="7"/>
                <w:color w:val="auto"/>
              </w:rPr>
            </w:pPr>
          </w:p>
        </w:tc>
        <w:tc>
          <w:tcPr>
            <w:tcW w:w="600" w:type="dxa"/>
            <w:vAlign w:val="bottom"/>
            <w:tcBorders>
              <w:bottom w:val="single" w:sz="8" w:color="808080"/>
            </w:tcBorders>
          </w:tcPr>
          <w:p>
            <w:pPr>
              <w:spacing w:after="0"/>
              <w:rPr>
                <w:sz w:val="7"/>
                <w:szCs w:val="7"/>
                <w:color w:val="auto"/>
              </w:rPr>
            </w:pPr>
          </w:p>
        </w:tc>
        <w:tc>
          <w:tcPr>
            <w:tcW w:w="92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1460" w:type="dxa"/>
            <w:vAlign w:val="bottom"/>
            <w:tcBorders>
              <w:bottom w:val="single" w:sz="8" w:color="808080"/>
            </w:tcBorders>
          </w:tcPr>
          <w:p>
            <w:pPr>
              <w:spacing w:after="0"/>
              <w:rPr>
                <w:sz w:val="7"/>
                <w:szCs w:val="7"/>
                <w:color w:val="auto"/>
              </w:rPr>
            </w:pPr>
          </w:p>
        </w:tc>
        <w:tc>
          <w:tcPr>
            <w:tcW w:w="114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7289165</wp:posOffset>
            </wp:positionH>
            <wp:positionV relativeFrom="paragraph">
              <wp:posOffset>-17145</wp:posOffset>
            </wp:positionV>
            <wp:extent cx="12700" cy="114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1143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-17145</wp:posOffset>
            </wp:positionV>
            <wp:extent cx="12700" cy="114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11430"/>
                    </a:xfrm>
                    <a:prstGeom prst="rect">
                      <a:avLst/>
                    </a:prstGeom>
                    <a:noFill/>
                  </pic:spPr>
                </pic:pic>
              </a:graphicData>
            </a:graphic>
          </wp:anchor>
        </w:drawing>
      </w:r>
    </w:p>
    <w:p>
      <w:pPr>
        <w:spacing w:after="0" w:line="200" w:lineRule="exact"/>
        <w:rPr>
          <w:sz w:val="20"/>
          <w:szCs w:val="20"/>
          <w:color w:val="auto"/>
        </w:rPr>
      </w:pPr>
    </w:p>
    <w:p>
      <w:pPr>
        <w:spacing w:after="0"/>
        <w:rPr>
          <w:rFonts w:ascii="Arial" w:cs="Arial" w:eastAsia="Arial" w:hAnsi="Arial"/>
          <w:sz w:val="12"/>
          <w:szCs w:val="12"/>
          <w:u w:val="single" w:color="auto"/>
          <w:color w:val="0000EE"/>
        </w:rPr>
      </w:pPr>
      <w:hyperlink w:anchor="page1">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ind w:right="40" w:firstLine="432"/>
        <w:spacing w:after="0" w:line="263" w:lineRule="auto"/>
        <w:rPr>
          <w:sz w:val="20"/>
          <w:szCs w:val="20"/>
          <w:color w:val="auto"/>
        </w:rPr>
      </w:pPr>
      <w:r>
        <w:rPr>
          <w:rFonts w:ascii="Arial" w:cs="Arial" w:eastAsia="Arial" w:hAnsi="Arial"/>
          <w:sz w:val="12"/>
          <w:szCs w:val="12"/>
          <w:color w:val="auto"/>
        </w:rPr>
        <w:t>Personnel expenses primarily include salary, benefits, stock-based compensation and payroll taxes. The $0.3 million increase in personnel expenses for the three months ended June 30, 2017, as compared to the three months ended June 30, 2016, was primarily due to an increase in salaries expense due to increased headcount, partially offset by lower stock based compensation expenses. We expect personnel expenses to remain relatively consistent over the next twelve months, although there may be fluctuations on a quarterly basis.</w:t>
      </w:r>
    </w:p>
    <w:p>
      <w:pPr>
        <w:spacing w:after="0" w:line="123" w:lineRule="exact"/>
        <w:rPr>
          <w:sz w:val="20"/>
          <w:szCs w:val="20"/>
          <w:color w:val="auto"/>
        </w:rPr>
      </w:pPr>
    </w:p>
    <w:p>
      <w:pPr>
        <w:ind w:right="120" w:firstLine="432"/>
        <w:spacing w:after="0" w:line="263" w:lineRule="auto"/>
        <w:rPr>
          <w:sz w:val="20"/>
          <w:szCs w:val="20"/>
          <w:color w:val="auto"/>
        </w:rPr>
      </w:pPr>
      <w:r>
        <w:rPr>
          <w:rFonts w:ascii="Arial" w:cs="Arial" w:eastAsia="Arial" w:hAnsi="Arial"/>
          <w:sz w:val="12"/>
          <w:szCs w:val="12"/>
          <w:color w:val="auto"/>
        </w:rPr>
        <w:t>Laboratory supplies expense include laboratory materials and supplies, services, and other related expenses incurred in the development of our technology. The $0.5 million increase in laboratory supplies expense for the three months ended June 30, 2017, as compared to the three months ended June 30, 2016, was primarily due to higher manufacturing supply purchases. We expect laboratory supplies expense to remain relatively consistent over the next twelve months, although there may be fluctuations on a quarterly basis.</w:t>
      </w:r>
    </w:p>
    <w:p>
      <w:pPr>
        <w:spacing w:after="0" w:line="123" w:lineRule="exact"/>
        <w:rPr>
          <w:sz w:val="20"/>
          <w:szCs w:val="20"/>
          <w:color w:val="auto"/>
        </w:rPr>
      </w:pPr>
    </w:p>
    <w:p>
      <w:pPr>
        <w:ind w:right="100" w:firstLine="432"/>
        <w:spacing w:after="0" w:line="263" w:lineRule="auto"/>
        <w:rPr>
          <w:sz w:val="20"/>
          <w:szCs w:val="20"/>
          <w:color w:val="auto"/>
        </w:rPr>
      </w:pPr>
      <w:r>
        <w:rPr>
          <w:rFonts w:ascii="Arial" w:cs="Arial" w:eastAsia="Arial" w:hAnsi="Arial"/>
          <w:sz w:val="12"/>
          <w:szCs w:val="12"/>
          <w:color w:val="auto"/>
        </w:rPr>
        <w:t>Facility expenses include depreciation, amortization, utilities, rent, maintenance, and other related expenses incurred at our facilities. The $0.7 million increase in facility expenses for the three months ended June 30, 2017, as compared to the three months ended June 30, 2016, was primarily due to the addition of the New Haven facility that we acquired with the Kolltan acquisition and higher depreciation expense of $0.3 million. We expect facility expenses to remain relatively consistent over the next twelve months, although there may be fluctuations on a quarterly basis.</w:t>
      </w:r>
    </w:p>
    <w:p>
      <w:pPr>
        <w:spacing w:after="0" w:line="123" w:lineRule="exact"/>
        <w:rPr>
          <w:sz w:val="20"/>
          <w:szCs w:val="20"/>
          <w:color w:val="auto"/>
        </w:rPr>
      </w:pPr>
    </w:p>
    <w:p>
      <w:pPr>
        <w:ind w:right="60" w:firstLine="432"/>
        <w:spacing w:after="0" w:line="263" w:lineRule="auto"/>
        <w:rPr>
          <w:sz w:val="20"/>
          <w:szCs w:val="20"/>
          <w:color w:val="auto"/>
        </w:rPr>
      </w:pPr>
      <w:r>
        <w:rPr>
          <w:rFonts w:ascii="Arial" w:cs="Arial" w:eastAsia="Arial" w:hAnsi="Arial"/>
          <w:sz w:val="12"/>
          <w:szCs w:val="12"/>
          <w:color w:val="auto"/>
        </w:rPr>
        <w:t>License fees expense includes annual license maintenance fees and milestone payments due upon the achievement of certain development, regulatory and/or commercial milestones. The $0.2 million decrease in license fee expenses for the three months ended June 30, 2017, as compared to the three months ended June 30, 2016, was due to the timing of certain development and/or regulatory milestones achieved by our drug candidates. We expect license fees expense to remain relatively consistent over the next twelve months, although there may be fluctuations on a quarterly basis.</w:t>
      </w:r>
    </w:p>
    <w:p>
      <w:pPr>
        <w:spacing w:after="0" w:line="123" w:lineRule="exact"/>
        <w:rPr>
          <w:sz w:val="20"/>
          <w:szCs w:val="20"/>
          <w:color w:val="auto"/>
        </w:rPr>
      </w:pPr>
    </w:p>
    <w:p>
      <w:pPr>
        <w:ind w:right="40" w:firstLine="432"/>
        <w:spacing w:after="0" w:line="259" w:lineRule="auto"/>
        <w:rPr>
          <w:sz w:val="20"/>
          <w:szCs w:val="20"/>
          <w:color w:val="auto"/>
        </w:rPr>
      </w:pPr>
      <w:r>
        <w:rPr>
          <w:rFonts w:ascii="Arial" w:cs="Arial" w:eastAsia="Arial" w:hAnsi="Arial"/>
          <w:sz w:val="12"/>
          <w:szCs w:val="12"/>
          <w:color w:val="auto"/>
        </w:rPr>
        <w:t>Product development expenses include clinical investigator site fees, external trial monitoring costs, data accumulation costs, contracted research and outside clinical drug product manufacturing. The $2.5 million decrease in product development expenses for the three months ended June 30, 2017, as compared to the three months ended June 30, 2016, was primarily the result of a decrease in varlilumab contract manufacturing expenses of $4.3 million, partially offset by an increase in glembatumumab vedotin contract manufacturing expenses of $1.9 million. We expect product development expenses to remain relatively consistent over the next twelve months, although there may be fluctuations on a quarterly basis.</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Loss on Fair Value Remeasurement of Contingent Consideration</w:t>
      </w:r>
    </w:p>
    <w:p>
      <w:pPr>
        <w:spacing w:after="0" w:line="150" w:lineRule="exact"/>
        <w:rPr>
          <w:sz w:val="20"/>
          <w:szCs w:val="20"/>
          <w:color w:val="auto"/>
        </w:rPr>
      </w:pPr>
    </w:p>
    <w:p>
      <w:pPr>
        <w:ind w:right="420" w:firstLine="432"/>
        <w:spacing w:after="0" w:line="323" w:lineRule="auto"/>
        <w:rPr>
          <w:sz w:val="20"/>
          <w:szCs w:val="20"/>
          <w:color w:val="auto"/>
        </w:rPr>
      </w:pPr>
      <w:r>
        <w:rPr>
          <w:rFonts w:ascii="Arial" w:cs="Arial" w:eastAsia="Arial" w:hAnsi="Arial"/>
          <w:sz w:val="11"/>
          <w:szCs w:val="11"/>
          <w:color w:val="auto"/>
        </w:rPr>
        <w:t>The $1.0 million loss on fair value remeasurement of contingent consideration for the three months ended June 30, 2017 relates to an increase in the estimate of the fair value of the contingent consideration primarily due to changes in discount rates and the passage of time. See Note 3 to the financial statements included herein for a discussion of the contingent consideration that may be payable to Kolltan.</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General and Administrative Expense</w:t>
      </w:r>
    </w:p>
    <w:p>
      <w:pPr>
        <w:spacing w:after="0" w:line="150" w:lineRule="exact"/>
        <w:rPr>
          <w:sz w:val="20"/>
          <w:szCs w:val="20"/>
          <w:color w:val="auto"/>
        </w:rPr>
      </w:pPr>
    </w:p>
    <w:p>
      <w:pPr>
        <w:ind w:right="240" w:firstLine="432"/>
        <w:spacing w:after="0" w:line="323" w:lineRule="auto"/>
        <w:rPr>
          <w:sz w:val="20"/>
          <w:szCs w:val="20"/>
          <w:color w:val="auto"/>
        </w:rPr>
      </w:pPr>
      <w:r>
        <w:rPr>
          <w:rFonts w:ascii="Arial" w:cs="Arial" w:eastAsia="Arial" w:hAnsi="Arial"/>
          <w:sz w:val="11"/>
          <w:szCs w:val="11"/>
          <w:color w:val="auto"/>
        </w:rPr>
        <w:t>The $1.3 million decrease in general and administrative expenses for the three months ended June 30, 2017, as compared to the three months ended June 30, 2016, was primarily due to lower commercial planning costs of $0.6 million and lower stock-based compensation of $0.4 million. We expect general and administrative expense to remain relatively consistent over the next twelve months, although there may be fluctuations on a quarterly basis.</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Amortization Expense</w:t>
      </w:r>
    </w:p>
    <w:p>
      <w:pPr>
        <w:spacing w:after="0" w:line="150" w:lineRule="exact"/>
        <w:rPr>
          <w:sz w:val="20"/>
          <w:szCs w:val="20"/>
          <w:color w:val="auto"/>
        </w:rPr>
      </w:pPr>
    </w:p>
    <w:p>
      <w:pPr>
        <w:ind w:right="180" w:firstLine="432"/>
        <w:spacing w:after="0" w:line="276" w:lineRule="auto"/>
        <w:rPr>
          <w:sz w:val="20"/>
          <w:szCs w:val="20"/>
          <w:color w:val="auto"/>
        </w:rPr>
      </w:pPr>
      <w:r>
        <w:rPr>
          <w:rFonts w:ascii="Arial" w:cs="Arial" w:eastAsia="Arial" w:hAnsi="Arial"/>
          <w:sz w:val="12"/>
          <w:szCs w:val="12"/>
          <w:color w:val="auto"/>
        </w:rPr>
        <w:t>Amortization expenses for the three months ended June 30, 2017 were relatively consistent with the three months ended June 30, 2016. We expect amortization expense of acquired intangible assets to remain consistent over the next twelve months.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Investment and Other Income, Net</w:t>
      </w:r>
    </w:p>
    <w:p>
      <w:pPr>
        <w:spacing w:after="0" w:line="150" w:lineRule="exact"/>
        <w:rPr>
          <w:sz w:val="20"/>
          <w:szCs w:val="20"/>
          <w:color w:val="auto"/>
        </w:rPr>
      </w:pPr>
    </w:p>
    <w:p>
      <w:pPr>
        <w:ind w:right="100" w:firstLine="432"/>
        <w:spacing w:after="0" w:line="276" w:lineRule="auto"/>
        <w:rPr>
          <w:sz w:val="20"/>
          <w:szCs w:val="20"/>
          <w:color w:val="auto"/>
        </w:rPr>
      </w:pPr>
      <w:r>
        <w:rPr>
          <w:rFonts w:ascii="Arial" w:cs="Arial" w:eastAsia="Arial" w:hAnsi="Arial"/>
          <w:sz w:val="12"/>
          <w:szCs w:val="12"/>
          <w:color w:val="auto"/>
        </w:rPr>
        <w:t>Investment and other income, net for the three months ended June 30, 2017 decreased slightly as compared to the three months ended June 30, 2016 due to lower cash and investment balances. We anticipate investment income to decrease over the next twelve months.</w:t>
      </w:r>
    </w:p>
    <w:p>
      <w:pPr>
        <w:spacing w:after="0" w:line="11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310755" cy="241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310755" cy="24130"/>
                    </a:xfrm>
                    <a:prstGeom prst="rect">
                      <a:avLst/>
                    </a:prstGeom>
                    <a:noFill/>
                  </pic:spPr>
                </pic:pic>
              </a:graphicData>
            </a:graphic>
          </wp:anchor>
        </w:drawing>
      </w:r>
    </w:p>
    <w:p>
      <w:pPr>
        <w:spacing w:after="0" w:line="319" w:lineRule="exact"/>
        <w:rPr>
          <w:sz w:val="20"/>
          <w:szCs w:val="20"/>
          <w:color w:val="auto"/>
        </w:rPr>
      </w:pPr>
    </w:p>
    <w:p>
      <w:pPr>
        <w:spacing w:after="0"/>
        <w:rPr>
          <w:rFonts w:ascii="Arial" w:cs="Arial" w:eastAsia="Arial" w:hAnsi="Arial"/>
          <w:sz w:val="12"/>
          <w:szCs w:val="12"/>
          <w:u w:val="single" w:color="auto"/>
          <w:color w:val="0000EE"/>
        </w:rPr>
      </w:pPr>
      <w:hyperlink w:anchor="page1">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Six Months Ended June 30, 2017 compared with Six Months Ended June 30, 2016</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780" w:type="dxa"/>
            <w:vAlign w:val="bottom"/>
            <w:gridSpan w:val="4"/>
          </w:tcPr>
          <w:p>
            <w:pPr>
              <w:jc w:val="right"/>
              <w:ind w:right="150"/>
              <w:spacing w:after="0"/>
              <w:rPr>
                <w:sz w:val="20"/>
                <w:szCs w:val="20"/>
                <w:color w:val="auto"/>
              </w:rPr>
            </w:pPr>
            <w:r>
              <w:rPr>
                <w:rFonts w:ascii="Arial" w:cs="Arial" w:eastAsia="Arial" w:hAnsi="Arial"/>
                <w:sz w:val="10"/>
                <w:szCs w:val="10"/>
                <w:b w:val="1"/>
                <w:bCs w:val="1"/>
                <w:color w:val="auto"/>
              </w:rPr>
              <w:t>Six Months Ended</w:t>
            </w:r>
          </w:p>
        </w:tc>
        <w:tc>
          <w:tcPr>
            <w:tcW w:w="9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60" w:type="dxa"/>
            <w:vAlign w:val="bottom"/>
            <w:gridSpan w:val="2"/>
          </w:tcPr>
          <w:p>
            <w:pPr>
              <w:jc w:val="center"/>
              <w:ind w:right="680"/>
              <w:spacing w:after="0"/>
              <w:rPr>
                <w:sz w:val="20"/>
                <w:szCs w:val="20"/>
                <w:color w:val="auto"/>
              </w:rPr>
            </w:pPr>
            <w:r>
              <w:rPr>
                <w:rFonts w:ascii="Arial" w:cs="Arial" w:eastAsia="Arial" w:hAnsi="Arial"/>
                <w:sz w:val="10"/>
                <w:szCs w:val="10"/>
                <w:b w:val="1"/>
                <w:bCs w:val="1"/>
                <w:color w:val="auto"/>
                <w:w w:val="87"/>
              </w:rPr>
              <w:t>Increase/</w:t>
            </w:r>
          </w:p>
        </w:tc>
        <w:tc>
          <w:tcPr>
            <w:tcW w:w="154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87"/>
              </w:rPr>
              <w:t>Increase/</w:t>
            </w:r>
          </w:p>
        </w:tc>
        <w:tc>
          <w:tcPr>
            <w:tcW w:w="0" w:type="dxa"/>
            <w:vAlign w:val="bottom"/>
          </w:tcPr>
          <w:p>
            <w:pPr>
              <w:spacing w:after="0"/>
              <w:rPr>
                <w:sz w:val="1"/>
                <w:szCs w:val="1"/>
                <w:color w:val="auto"/>
              </w:rPr>
            </w:pPr>
          </w:p>
        </w:tc>
      </w:tr>
      <w:tr>
        <w:trPr>
          <w:trHeight w:val="114"/>
        </w:trPr>
        <w:tc>
          <w:tcPr>
            <w:tcW w:w="482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780" w:type="dxa"/>
            <w:vAlign w:val="bottom"/>
            <w:tcBorders>
              <w:bottom w:val="single" w:sz="8" w:color="auto"/>
            </w:tcBorders>
            <w:gridSpan w:val="4"/>
          </w:tcPr>
          <w:p>
            <w:pPr>
              <w:jc w:val="right"/>
              <w:ind w:right="350"/>
              <w:spacing w:after="0" w:line="114" w:lineRule="exact"/>
              <w:rPr>
                <w:sz w:val="20"/>
                <w:szCs w:val="20"/>
                <w:color w:val="auto"/>
              </w:rPr>
            </w:pPr>
            <w:r>
              <w:rPr>
                <w:rFonts w:ascii="Arial" w:cs="Arial" w:eastAsia="Arial" w:hAnsi="Arial"/>
                <w:sz w:val="10"/>
                <w:szCs w:val="10"/>
                <w:b w:val="1"/>
                <w:bCs w:val="1"/>
                <w:color w:val="auto"/>
              </w:rPr>
              <w:t>June 30,</w:t>
            </w:r>
          </w:p>
        </w:tc>
        <w:tc>
          <w:tcPr>
            <w:tcW w:w="96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60" w:type="dxa"/>
            <w:vAlign w:val="bottom"/>
            <w:gridSpan w:val="2"/>
          </w:tcPr>
          <w:p>
            <w:pPr>
              <w:jc w:val="center"/>
              <w:ind w:right="680"/>
              <w:spacing w:after="0" w:line="114" w:lineRule="exact"/>
              <w:rPr>
                <w:sz w:val="20"/>
                <w:szCs w:val="20"/>
                <w:color w:val="auto"/>
              </w:rPr>
            </w:pPr>
            <w:r>
              <w:rPr>
                <w:rFonts w:ascii="Arial" w:cs="Arial" w:eastAsia="Arial" w:hAnsi="Arial"/>
                <w:sz w:val="10"/>
                <w:szCs w:val="10"/>
                <w:b w:val="1"/>
                <w:bCs w:val="1"/>
                <w:color w:val="auto"/>
                <w:w w:val="82"/>
              </w:rPr>
              <w:t>(Decrease)</w:t>
            </w:r>
          </w:p>
        </w:tc>
        <w:tc>
          <w:tcPr>
            <w:tcW w:w="1540" w:type="dxa"/>
            <w:vAlign w:val="bottom"/>
            <w:gridSpan w:val="2"/>
          </w:tcPr>
          <w:p>
            <w:pPr>
              <w:jc w:val="center"/>
              <w:ind w:right="400"/>
              <w:spacing w:after="0" w:line="114" w:lineRule="exact"/>
              <w:rPr>
                <w:sz w:val="20"/>
                <w:szCs w:val="20"/>
                <w:color w:val="auto"/>
              </w:rPr>
            </w:pPr>
            <w:r>
              <w:rPr>
                <w:rFonts w:ascii="Arial" w:cs="Arial" w:eastAsia="Arial" w:hAnsi="Arial"/>
                <w:sz w:val="10"/>
                <w:szCs w:val="10"/>
                <w:b w:val="1"/>
                <w:bCs w:val="1"/>
                <w:color w:val="auto"/>
                <w:w w:val="82"/>
              </w:rPr>
              <w:t>(Decrease)</w:t>
            </w:r>
          </w:p>
        </w:tc>
        <w:tc>
          <w:tcPr>
            <w:tcW w:w="0" w:type="dxa"/>
            <w:vAlign w:val="bottom"/>
          </w:tcPr>
          <w:p>
            <w:pPr>
              <w:spacing w:after="0"/>
              <w:rPr>
                <w:sz w:val="1"/>
                <w:szCs w:val="1"/>
                <w:color w:val="auto"/>
              </w:rPr>
            </w:pPr>
          </w:p>
        </w:tc>
      </w:tr>
      <w:tr>
        <w:trPr>
          <w:trHeight w:val="88"/>
        </w:trPr>
        <w:tc>
          <w:tcPr>
            <w:tcW w:w="4820" w:type="dxa"/>
            <w:vAlign w:val="bottom"/>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jc w:val="right"/>
              <w:ind w:right="543"/>
              <w:spacing w:after="0" w:line="88" w:lineRule="exact"/>
              <w:rPr>
                <w:sz w:val="20"/>
                <w:szCs w:val="20"/>
                <w:color w:val="auto"/>
              </w:rPr>
            </w:pPr>
            <w:r>
              <w:rPr>
                <w:rFonts w:ascii="Arial" w:cs="Arial" w:eastAsia="Arial" w:hAnsi="Arial"/>
                <w:sz w:val="10"/>
                <w:szCs w:val="10"/>
                <w:b w:val="1"/>
                <w:bCs w:val="1"/>
                <w:color w:val="auto"/>
              </w:rPr>
              <w:t>2017</w:t>
            </w:r>
          </w:p>
        </w:tc>
        <w:tc>
          <w:tcPr>
            <w:tcW w:w="1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jc w:val="right"/>
              <w:ind w:right="542"/>
              <w:spacing w:after="0" w:line="88" w:lineRule="exact"/>
              <w:rPr>
                <w:sz w:val="20"/>
                <w:szCs w:val="20"/>
                <w:color w:val="auto"/>
              </w:rPr>
            </w:pPr>
            <w:r>
              <w:rPr>
                <w:rFonts w:ascii="Arial" w:cs="Arial" w:eastAsia="Arial" w:hAnsi="Arial"/>
                <w:sz w:val="10"/>
                <w:szCs w:val="10"/>
                <w:b w:val="1"/>
                <w:bCs w:val="1"/>
                <w:color w:val="auto"/>
              </w:rPr>
              <w:t>2016</w:t>
            </w:r>
          </w:p>
        </w:tc>
        <w:tc>
          <w:tcPr>
            <w:tcW w:w="30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jc w:val="center"/>
              <w:ind w:right="243"/>
              <w:spacing w:after="0" w:line="88" w:lineRule="exact"/>
              <w:rPr>
                <w:sz w:val="20"/>
                <w:szCs w:val="20"/>
                <w:color w:val="auto"/>
              </w:rPr>
            </w:pPr>
            <w:r>
              <w:rPr>
                <w:rFonts w:ascii="Arial" w:cs="Arial" w:eastAsia="Arial" w:hAnsi="Arial"/>
                <w:sz w:val="10"/>
                <w:szCs w:val="10"/>
                <w:b w:val="1"/>
                <w:bCs w:val="1"/>
                <w:color w:val="auto"/>
                <w:w w:val="71"/>
              </w:rPr>
              <w:t>$</w:t>
            </w:r>
          </w:p>
        </w:tc>
        <w:tc>
          <w:tcPr>
            <w:tcW w:w="40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jc w:val="center"/>
              <w:ind w:right="63"/>
              <w:spacing w:after="0" w:line="88" w:lineRule="exact"/>
              <w:rPr>
                <w:sz w:val="20"/>
                <w:szCs w:val="20"/>
                <w:color w:val="auto"/>
              </w:rPr>
            </w:pPr>
            <w:r>
              <w:rPr>
                <w:rFonts w:ascii="Arial" w:cs="Arial" w:eastAsia="Arial" w:hAnsi="Arial"/>
                <w:sz w:val="10"/>
                <w:szCs w:val="10"/>
                <w:b w:val="1"/>
                <w:bCs w:val="1"/>
                <w:color w:val="auto"/>
              </w:rPr>
              <w:t>%</w:t>
            </w: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48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560" w:type="dxa"/>
            <w:vAlign w:val="bottom"/>
            <w:gridSpan w:val="3"/>
          </w:tcPr>
          <w:p>
            <w:pPr>
              <w:jc w:val="right"/>
              <w:ind w:right="130"/>
              <w:spacing w:after="0" w:line="88" w:lineRule="exact"/>
              <w:rPr>
                <w:sz w:val="20"/>
                <w:szCs w:val="20"/>
                <w:color w:val="auto"/>
              </w:rPr>
            </w:pPr>
            <w:r>
              <w:rPr>
                <w:rFonts w:ascii="Arial" w:cs="Arial" w:eastAsia="Arial" w:hAnsi="Arial"/>
                <w:sz w:val="10"/>
                <w:szCs w:val="10"/>
                <w:b w:val="1"/>
                <w:bCs w:val="1"/>
                <w:color w:val="auto"/>
              </w:rPr>
              <w:t>(In thousands)</w:t>
            </w:r>
          </w:p>
        </w:tc>
        <w:tc>
          <w:tcPr>
            <w:tcW w:w="10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4820" w:type="dxa"/>
            <w:vAlign w:val="bottom"/>
            <w:shd w:val="clear" w:color="auto" w:fill="CCEEFF"/>
          </w:tcPr>
          <w:p>
            <w:pPr>
              <w:spacing w:after="0"/>
              <w:rPr>
                <w:sz w:val="20"/>
                <w:szCs w:val="20"/>
                <w:color w:val="auto"/>
              </w:rPr>
            </w:pPr>
            <w:r>
              <w:rPr>
                <w:rFonts w:ascii="Arial" w:cs="Arial" w:eastAsia="Arial" w:hAnsi="Arial"/>
                <w:sz w:val="12"/>
                <w:szCs w:val="12"/>
                <w:color w:val="auto"/>
              </w:rPr>
              <w:t>Revenue:</w:t>
            </w:r>
          </w:p>
        </w:tc>
        <w:tc>
          <w:tcPr>
            <w:tcW w:w="3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820" w:type="dxa"/>
            <w:vAlign w:val="bottom"/>
          </w:tcPr>
          <w:p>
            <w:pPr>
              <w:ind w:left="120"/>
              <w:spacing w:after="0"/>
              <w:rPr>
                <w:sz w:val="20"/>
                <w:szCs w:val="20"/>
                <w:color w:val="auto"/>
              </w:rPr>
            </w:pPr>
            <w:r>
              <w:rPr>
                <w:rFonts w:ascii="Arial" w:cs="Arial" w:eastAsia="Arial" w:hAnsi="Arial"/>
                <w:sz w:val="12"/>
                <w:szCs w:val="12"/>
                <w:color w:val="auto"/>
              </w:rPr>
              <w:t>Product Development and Licensing Agreements</w:t>
            </w:r>
          </w:p>
        </w:tc>
        <w:tc>
          <w:tcPr>
            <w:tcW w:w="320" w:type="dxa"/>
            <w:vAlign w:val="bottom"/>
          </w:tcPr>
          <w:p>
            <w:pPr>
              <w:jc w:val="right"/>
              <w:ind w:right="210"/>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140"/>
              <w:spacing w:after="0"/>
              <w:rPr>
                <w:sz w:val="20"/>
                <w:szCs w:val="20"/>
                <w:color w:val="auto"/>
              </w:rPr>
            </w:pPr>
            <w:r>
              <w:rPr>
                <w:rFonts w:ascii="Arial" w:cs="Arial" w:eastAsia="Arial" w:hAnsi="Arial"/>
                <w:sz w:val="12"/>
                <w:szCs w:val="12"/>
                <w:color w:val="auto"/>
              </w:rPr>
              <w:t>1,250</w:t>
            </w:r>
          </w:p>
        </w:tc>
        <w:tc>
          <w:tcPr>
            <w:tcW w:w="540" w:type="dxa"/>
            <w:vAlign w:val="bottom"/>
            <w:gridSpan w:val="2"/>
          </w:tcPr>
          <w:p>
            <w:pPr>
              <w:jc w:val="right"/>
              <w:ind w:right="310"/>
              <w:spacing w:after="0"/>
              <w:rPr>
                <w:sz w:val="20"/>
                <w:szCs w:val="20"/>
                <w:color w:val="auto"/>
              </w:rPr>
            </w:pPr>
            <w:r>
              <w:rPr>
                <w:rFonts w:ascii="Arial" w:cs="Arial" w:eastAsia="Arial" w:hAnsi="Arial"/>
                <w:sz w:val="12"/>
                <w:szCs w:val="12"/>
                <w:color w:val="auto"/>
              </w:rPr>
              <w:t>$</w:t>
            </w:r>
          </w:p>
        </w:tc>
        <w:tc>
          <w:tcPr>
            <w:tcW w:w="1260" w:type="dxa"/>
            <w:vAlign w:val="bottom"/>
            <w:gridSpan w:val="2"/>
          </w:tcPr>
          <w:p>
            <w:pPr>
              <w:jc w:val="right"/>
              <w:ind w:right="260"/>
              <w:spacing w:after="0"/>
              <w:rPr>
                <w:sz w:val="20"/>
                <w:szCs w:val="20"/>
                <w:color w:val="auto"/>
              </w:rPr>
            </w:pPr>
            <w:r>
              <w:rPr>
                <w:rFonts w:ascii="Arial" w:cs="Arial" w:eastAsia="Arial" w:hAnsi="Arial"/>
                <w:sz w:val="12"/>
                <w:szCs w:val="12"/>
                <w:color w:val="auto"/>
              </w:rPr>
              <w:t>1,057</w:t>
            </w:r>
          </w:p>
        </w:tc>
        <w:tc>
          <w:tcPr>
            <w:tcW w:w="300" w:type="dxa"/>
            <w:vAlign w:val="bottom"/>
          </w:tcPr>
          <w:p>
            <w:pPr>
              <w:jc w:val="right"/>
              <w:ind w:right="190"/>
              <w:spacing w:after="0"/>
              <w:rPr>
                <w:sz w:val="20"/>
                <w:szCs w:val="20"/>
                <w:color w:val="auto"/>
              </w:rPr>
            </w:pPr>
            <w:r>
              <w:rPr>
                <w:rFonts w:ascii="Arial" w:cs="Arial" w:eastAsia="Arial" w:hAnsi="Arial"/>
                <w:sz w:val="10"/>
                <w:szCs w:val="10"/>
                <w:color w:val="auto"/>
                <w:w w:val="71"/>
              </w:rPr>
              <w:t>$</w:t>
            </w:r>
          </w:p>
        </w:tc>
        <w:tc>
          <w:tcPr>
            <w:tcW w:w="1460" w:type="dxa"/>
            <w:vAlign w:val="bottom"/>
            <w:gridSpan w:val="2"/>
          </w:tcPr>
          <w:p>
            <w:pPr>
              <w:jc w:val="right"/>
              <w:ind w:right="360"/>
              <w:spacing w:after="0"/>
              <w:rPr>
                <w:sz w:val="20"/>
                <w:szCs w:val="20"/>
                <w:color w:val="auto"/>
              </w:rPr>
            </w:pPr>
            <w:r>
              <w:rPr>
                <w:rFonts w:ascii="Arial" w:cs="Arial" w:eastAsia="Arial" w:hAnsi="Arial"/>
                <w:sz w:val="12"/>
                <w:szCs w:val="12"/>
                <w:color w:val="auto"/>
              </w:rPr>
              <w:t>193</w:t>
            </w:r>
          </w:p>
        </w:tc>
        <w:tc>
          <w:tcPr>
            <w:tcW w:w="1540" w:type="dxa"/>
            <w:vAlign w:val="bottom"/>
            <w:gridSpan w:val="2"/>
          </w:tcPr>
          <w:p>
            <w:pPr>
              <w:jc w:val="right"/>
              <w:ind w:right="180"/>
              <w:spacing w:after="0"/>
              <w:rPr>
                <w:sz w:val="20"/>
                <w:szCs w:val="20"/>
                <w:color w:val="auto"/>
              </w:rPr>
            </w:pPr>
            <w:r>
              <w:rPr>
                <w:rFonts w:ascii="Arial" w:cs="Arial" w:eastAsia="Arial" w:hAnsi="Arial"/>
                <w:sz w:val="12"/>
                <w:szCs w:val="12"/>
                <w:color w:val="auto"/>
              </w:rPr>
              <w:t>18%</w:t>
            </w:r>
          </w:p>
        </w:tc>
        <w:tc>
          <w:tcPr>
            <w:tcW w:w="0" w:type="dxa"/>
            <w:vAlign w:val="bottom"/>
          </w:tcPr>
          <w:p>
            <w:pPr>
              <w:spacing w:after="0"/>
              <w:rPr>
                <w:sz w:val="1"/>
                <w:szCs w:val="1"/>
                <w:color w:val="auto"/>
              </w:rPr>
            </w:pPr>
          </w:p>
        </w:tc>
      </w:tr>
      <w:tr>
        <w:trPr>
          <w:trHeight w:val="144"/>
        </w:trPr>
        <w:tc>
          <w:tcPr>
            <w:tcW w:w="48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Contracts and Grants</w:t>
            </w:r>
          </w:p>
        </w:tc>
        <w:tc>
          <w:tcPr>
            <w:tcW w:w="3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4,113</w:t>
            </w: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1,635</w:t>
            </w:r>
          </w:p>
        </w:tc>
        <w:tc>
          <w:tcPr>
            <w:tcW w:w="3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2,478</w:t>
            </w:r>
          </w:p>
        </w:tc>
        <w:tc>
          <w:tcPr>
            <w:tcW w:w="40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152%</w:t>
            </w:r>
          </w:p>
        </w:tc>
        <w:tc>
          <w:tcPr>
            <w:tcW w:w="0" w:type="dxa"/>
            <w:vAlign w:val="bottom"/>
          </w:tcPr>
          <w:p>
            <w:pPr>
              <w:spacing w:after="0"/>
              <w:rPr>
                <w:sz w:val="1"/>
                <w:szCs w:val="1"/>
                <w:color w:val="auto"/>
              </w:rPr>
            </w:pPr>
          </w:p>
        </w:tc>
      </w:tr>
      <w:tr>
        <w:trPr>
          <w:trHeight w:val="140"/>
        </w:trPr>
        <w:tc>
          <w:tcPr>
            <w:tcW w:w="4820" w:type="dxa"/>
            <w:vAlign w:val="bottom"/>
            <w:tcBorders>
              <w:bottom w:val="single" w:sz="8" w:color="CCEEFF"/>
            </w:tcBorders>
          </w:tcPr>
          <w:p>
            <w:pPr>
              <w:spacing w:after="0" w:line="133" w:lineRule="exact"/>
              <w:rPr>
                <w:sz w:val="20"/>
                <w:szCs w:val="20"/>
                <w:color w:val="auto"/>
              </w:rPr>
            </w:pPr>
            <w:r>
              <w:rPr>
                <w:rFonts w:ascii="Arial" w:cs="Arial" w:eastAsia="Arial" w:hAnsi="Arial"/>
                <w:sz w:val="12"/>
                <w:szCs w:val="12"/>
                <w:color w:val="auto"/>
              </w:rPr>
              <w:t>Total Revenue</w:t>
            </w:r>
          </w:p>
        </w:tc>
        <w:tc>
          <w:tcPr>
            <w:tcW w:w="3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5,363</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2,692</w:t>
            </w:r>
          </w:p>
        </w:tc>
        <w:tc>
          <w:tcPr>
            <w:tcW w:w="300" w:type="dxa"/>
            <w:vAlign w:val="bottom"/>
            <w:tcBorders>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2,671</w:t>
            </w:r>
          </w:p>
        </w:tc>
        <w:tc>
          <w:tcPr>
            <w:tcW w:w="400" w:type="dxa"/>
            <w:vAlign w:val="bottom"/>
            <w:tcBorders>
              <w:bottom w:val="single" w:sz="8" w:color="CCEEFF"/>
            </w:tcBorders>
          </w:tcPr>
          <w:p>
            <w:pPr>
              <w:spacing w:after="0"/>
              <w:rPr>
                <w:sz w:val="12"/>
                <w:szCs w:val="12"/>
                <w:color w:val="auto"/>
              </w:rPr>
            </w:pPr>
          </w:p>
        </w:tc>
        <w:tc>
          <w:tcPr>
            <w:tcW w:w="1540" w:type="dxa"/>
            <w:vAlign w:val="bottom"/>
            <w:tcBorders>
              <w:bottom w:val="single" w:sz="8" w:color="CCEEFF"/>
            </w:tcBorders>
            <w:gridSpan w:val="2"/>
          </w:tcPr>
          <w:p>
            <w:pPr>
              <w:jc w:val="right"/>
              <w:ind w:right="180"/>
              <w:spacing w:after="0" w:line="133" w:lineRule="exact"/>
              <w:rPr>
                <w:sz w:val="20"/>
                <w:szCs w:val="20"/>
                <w:color w:val="auto"/>
              </w:rPr>
            </w:pPr>
            <w:r>
              <w:rPr>
                <w:rFonts w:ascii="Arial" w:cs="Arial" w:eastAsia="Arial" w:hAnsi="Arial"/>
                <w:sz w:val="12"/>
                <w:szCs w:val="12"/>
                <w:color w:val="auto"/>
              </w:rPr>
              <w:t>99%</w:t>
            </w:r>
          </w:p>
        </w:tc>
        <w:tc>
          <w:tcPr>
            <w:tcW w:w="0" w:type="dxa"/>
            <w:vAlign w:val="bottom"/>
          </w:tcPr>
          <w:p>
            <w:pPr>
              <w:spacing w:after="0"/>
              <w:rPr>
                <w:sz w:val="1"/>
                <w:szCs w:val="1"/>
                <w:color w:val="auto"/>
              </w:rPr>
            </w:pPr>
          </w:p>
        </w:tc>
      </w:tr>
      <w:tr>
        <w:trPr>
          <w:trHeight w:val="126"/>
        </w:trPr>
        <w:tc>
          <w:tcPr>
            <w:tcW w:w="4820" w:type="dxa"/>
            <w:vAlign w:val="bottom"/>
            <w:shd w:val="clear" w:color="auto" w:fill="CCEEFF"/>
          </w:tcPr>
          <w:p>
            <w:pPr>
              <w:spacing w:after="0" w:line="126" w:lineRule="exact"/>
              <w:rPr>
                <w:sz w:val="20"/>
                <w:szCs w:val="20"/>
                <w:color w:val="auto"/>
              </w:rPr>
            </w:pPr>
            <w:r>
              <w:rPr>
                <w:rFonts w:ascii="Arial" w:cs="Arial" w:eastAsia="Arial" w:hAnsi="Arial"/>
                <w:sz w:val="12"/>
                <w:szCs w:val="12"/>
                <w:color w:val="auto"/>
              </w:rPr>
              <w:t>Operating Expense:</w:t>
            </w:r>
          </w:p>
        </w:tc>
        <w:tc>
          <w:tcPr>
            <w:tcW w:w="32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4820" w:type="dxa"/>
            <w:vAlign w:val="bottom"/>
          </w:tcPr>
          <w:p>
            <w:pPr>
              <w:ind w:left="120"/>
              <w:spacing w:after="0"/>
              <w:rPr>
                <w:sz w:val="20"/>
                <w:szCs w:val="20"/>
                <w:color w:val="auto"/>
              </w:rPr>
            </w:pPr>
            <w:r>
              <w:rPr>
                <w:rFonts w:ascii="Arial" w:cs="Arial" w:eastAsia="Arial" w:hAnsi="Arial"/>
                <w:sz w:val="12"/>
                <w:szCs w:val="12"/>
                <w:color w:val="auto"/>
              </w:rPr>
              <w:t>Research and Development</w:t>
            </w:r>
          </w:p>
        </w:tc>
        <w:tc>
          <w:tcPr>
            <w:tcW w:w="320" w:type="dxa"/>
            <w:vAlign w:val="bottom"/>
          </w:tcPr>
          <w:p>
            <w:pPr>
              <w:spacing w:after="0"/>
              <w:rPr>
                <w:sz w:val="12"/>
                <w:szCs w:val="12"/>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2"/>
                <w:szCs w:val="12"/>
                <w:color w:val="auto"/>
              </w:rPr>
              <w:t>50,792</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2"/>
                <w:szCs w:val="12"/>
                <w:color w:val="auto"/>
              </w:rPr>
              <w:t>53,158</w:t>
            </w:r>
          </w:p>
        </w:tc>
        <w:tc>
          <w:tcPr>
            <w:tcW w:w="300" w:type="dxa"/>
            <w:vAlign w:val="bottom"/>
          </w:tcPr>
          <w:p>
            <w:pPr>
              <w:spacing w:after="0"/>
              <w:rPr>
                <w:sz w:val="12"/>
                <w:szCs w:val="12"/>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2"/>
                <w:szCs w:val="12"/>
                <w:color w:val="auto"/>
              </w:rPr>
              <w:t>(2,366)</w:t>
            </w:r>
          </w:p>
        </w:tc>
        <w:tc>
          <w:tcPr>
            <w:tcW w:w="1540" w:type="dxa"/>
            <w:vAlign w:val="bottom"/>
            <w:gridSpan w:val="2"/>
          </w:tcPr>
          <w:p>
            <w:pPr>
              <w:jc w:val="right"/>
              <w:ind w:right="140"/>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144"/>
        </w:trPr>
        <w:tc>
          <w:tcPr>
            <w:tcW w:w="48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General and Administrative</w:t>
            </w:r>
          </w:p>
        </w:tc>
        <w:tc>
          <w:tcPr>
            <w:tcW w:w="3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13,763</w:t>
            </w: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17,097</w:t>
            </w:r>
          </w:p>
        </w:tc>
        <w:tc>
          <w:tcPr>
            <w:tcW w:w="30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(3,334)</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(20)%</w:t>
            </w:r>
          </w:p>
        </w:tc>
        <w:tc>
          <w:tcPr>
            <w:tcW w:w="0" w:type="dxa"/>
            <w:vAlign w:val="bottom"/>
          </w:tcPr>
          <w:p>
            <w:pPr>
              <w:spacing w:after="0"/>
              <w:rPr>
                <w:sz w:val="1"/>
                <w:szCs w:val="1"/>
                <w:color w:val="auto"/>
              </w:rPr>
            </w:pPr>
          </w:p>
        </w:tc>
      </w:tr>
      <w:tr>
        <w:trPr>
          <w:trHeight w:val="144"/>
        </w:trPr>
        <w:tc>
          <w:tcPr>
            <w:tcW w:w="4820" w:type="dxa"/>
            <w:vAlign w:val="bottom"/>
          </w:tcPr>
          <w:p>
            <w:pPr>
              <w:ind w:left="120"/>
              <w:spacing w:after="0"/>
              <w:rPr>
                <w:sz w:val="20"/>
                <w:szCs w:val="20"/>
                <w:color w:val="auto"/>
              </w:rPr>
            </w:pPr>
            <w:r>
              <w:rPr>
                <w:rFonts w:ascii="Arial" w:cs="Arial" w:eastAsia="Arial" w:hAnsi="Arial"/>
                <w:sz w:val="12"/>
                <w:szCs w:val="12"/>
                <w:color w:val="auto"/>
              </w:rPr>
              <w:t>Loss on Fair Value Remeasurement of Contingent Consideration</w:t>
            </w:r>
          </w:p>
        </w:tc>
        <w:tc>
          <w:tcPr>
            <w:tcW w:w="320" w:type="dxa"/>
            <w:vAlign w:val="bottom"/>
          </w:tcPr>
          <w:p>
            <w:pPr>
              <w:spacing w:after="0"/>
              <w:rPr>
                <w:sz w:val="12"/>
                <w:szCs w:val="12"/>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2"/>
                <w:szCs w:val="12"/>
                <w:color w:val="auto"/>
              </w:rPr>
              <w:t>4,400</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4,400</w:t>
            </w:r>
          </w:p>
        </w:tc>
        <w:tc>
          <w:tcPr>
            <w:tcW w:w="400" w:type="dxa"/>
            <w:vAlign w:val="bottom"/>
          </w:tcPr>
          <w:p>
            <w:pPr>
              <w:spacing w:after="0"/>
              <w:rPr>
                <w:sz w:val="12"/>
                <w:szCs w:val="12"/>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2"/>
                <w:szCs w:val="12"/>
                <w:color w:val="auto"/>
              </w:rPr>
              <w:t>n/a</w:t>
            </w:r>
          </w:p>
        </w:tc>
        <w:tc>
          <w:tcPr>
            <w:tcW w:w="0" w:type="dxa"/>
            <w:vAlign w:val="bottom"/>
          </w:tcPr>
          <w:p>
            <w:pPr>
              <w:spacing w:after="0"/>
              <w:rPr>
                <w:sz w:val="1"/>
                <w:szCs w:val="1"/>
                <w:color w:val="auto"/>
              </w:rPr>
            </w:pPr>
          </w:p>
        </w:tc>
      </w:tr>
      <w:tr>
        <w:trPr>
          <w:trHeight w:val="144"/>
        </w:trPr>
        <w:tc>
          <w:tcPr>
            <w:tcW w:w="48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Amortization of Acquired Intangible Assets</w:t>
            </w:r>
          </w:p>
        </w:tc>
        <w:tc>
          <w:tcPr>
            <w:tcW w:w="3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448</w:t>
            </w: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507</w:t>
            </w:r>
          </w:p>
        </w:tc>
        <w:tc>
          <w:tcPr>
            <w:tcW w:w="30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(59)</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(12)%</w:t>
            </w:r>
          </w:p>
        </w:tc>
        <w:tc>
          <w:tcPr>
            <w:tcW w:w="0" w:type="dxa"/>
            <w:vAlign w:val="bottom"/>
          </w:tcPr>
          <w:p>
            <w:pPr>
              <w:spacing w:after="0"/>
              <w:rPr>
                <w:sz w:val="1"/>
                <w:szCs w:val="1"/>
                <w:color w:val="auto"/>
              </w:rPr>
            </w:pPr>
          </w:p>
        </w:tc>
      </w:tr>
      <w:tr>
        <w:trPr>
          <w:trHeight w:val="133"/>
        </w:trPr>
        <w:tc>
          <w:tcPr>
            <w:tcW w:w="4820" w:type="dxa"/>
            <w:vAlign w:val="bottom"/>
            <w:tcBorders>
              <w:bottom w:val="single" w:sz="8" w:color="CCEEFF"/>
            </w:tcBorders>
          </w:tcPr>
          <w:p>
            <w:pPr>
              <w:spacing w:after="0" w:line="133" w:lineRule="exact"/>
              <w:rPr>
                <w:sz w:val="20"/>
                <w:szCs w:val="20"/>
                <w:color w:val="auto"/>
              </w:rPr>
            </w:pPr>
            <w:r>
              <w:rPr>
                <w:rFonts w:ascii="Arial" w:cs="Arial" w:eastAsia="Arial" w:hAnsi="Arial"/>
                <w:sz w:val="12"/>
                <w:szCs w:val="12"/>
                <w:color w:val="auto"/>
              </w:rPr>
              <w:t>Total Operating Expense</w:t>
            </w:r>
          </w:p>
        </w:tc>
        <w:tc>
          <w:tcPr>
            <w:tcW w:w="320" w:type="dxa"/>
            <w:vAlign w:val="bottom"/>
            <w:tcBorders>
              <w:top w:val="single" w:sz="8" w:color="auto"/>
              <w:bottom w:val="single" w:sz="8" w:color="auto"/>
            </w:tcBorders>
          </w:tcPr>
          <w:p>
            <w:pPr>
              <w:spacing w:after="0"/>
              <w:rPr>
                <w:sz w:val="11"/>
                <w:szCs w:val="11"/>
                <w:color w:val="auto"/>
              </w:rPr>
            </w:pPr>
          </w:p>
        </w:tc>
        <w:tc>
          <w:tcPr>
            <w:tcW w:w="106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69,403</w:t>
            </w:r>
          </w:p>
        </w:tc>
        <w:tc>
          <w:tcPr>
            <w:tcW w:w="18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420" w:type="dxa"/>
            <w:vAlign w:val="bottom"/>
            <w:tcBorders>
              <w:top w:val="single" w:sz="8" w:color="auto"/>
              <w:bottom w:val="single" w:sz="8" w:color="auto"/>
            </w:tcBorders>
          </w:tcPr>
          <w:p>
            <w:pPr>
              <w:spacing w:after="0"/>
              <w:rPr>
                <w:sz w:val="11"/>
                <w:szCs w:val="11"/>
                <w:color w:val="auto"/>
              </w:rPr>
            </w:pPr>
          </w:p>
        </w:tc>
        <w:tc>
          <w:tcPr>
            <w:tcW w:w="96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70,762</w:t>
            </w:r>
          </w:p>
        </w:tc>
        <w:tc>
          <w:tcPr>
            <w:tcW w:w="300" w:type="dxa"/>
            <w:vAlign w:val="bottom"/>
            <w:tcBorders>
              <w:bottom w:val="single" w:sz="8" w:color="CCEEFF"/>
            </w:tcBorders>
          </w:tcPr>
          <w:p>
            <w:pPr>
              <w:spacing w:after="0"/>
              <w:rPr>
                <w:sz w:val="11"/>
                <w:szCs w:val="11"/>
                <w:color w:val="auto"/>
              </w:rPr>
            </w:pPr>
          </w:p>
        </w:tc>
        <w:tc>
          <w:tcPr>
            <w:tcW w:w="300" w:type="dxa"/>
            <w:vAlign w:val="bottom"/>
            <w:tcBorders>
              <w:top w:val="single" w:sz="8" w:color="auto"/>
              <w:bottom w:val="single" w:sz="8" w:color="auto"/>
            </w:tcBorders>
          </w:tcPr>
          <w:p>
            <w:pPr>
              <w:spacing w:after="0"/>
              <w:rPr>
                <w:sz w:val="11"/>
                <w:szCs w:val="11"/>
                <w:color w:val="auto"/>
              </w:rPr>
            </w:pPr>
          </w:p>
        </w:tc>
        <w:tc>
          <w:tcPr>
            <w:tcW w:w="106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(1,359)</w:t>
            </w:r>
          </w:p>
        </w:tc>
        <w:tc>
          <w:tcPr>
            <w:tcW w:w="400" w:type="dxa"/>
            <w:vAlign w:val="bottom"/>
            <w:tcBorders>
              <w:bottom w:val="single" w:sz="8" w:color="CCEEFF"/>
            </w:tcBorders>
          </w:tcPr>
          <w:p>
            <w:pPr>
              <w:spacing w:after="0"/>
              <w:rPr>
                <w:sz w:val="11"/>
                <w:szCs w:val="11"/>
                <w:color w:val="auto"/>
              </w:rPr>
            </w:pPr>
          </w:p>
        </w:tc>
        <w:tc>
          <w:tcPr>
            <w:tcW w:w="1540" w:type="dxa"/>
            <w:vAlign w:val="bottom"/>
            <w:tcBorders>
              <w:bottom w:val="single" w:sz="8" w:color="CCEEFF"/>
            </w:tcBorders>
            <w:gridSpan w:val="2"/>
          </w:tcPr>
          <w:p>
            <w:pPr>
              <w:jc w:val="right"/>
              <w:ind w:right="140"/>
              <w:spacing w:after="0" w:line="133" w:lineRule="exact"/>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33"/>
        </w:trPr>
        <w:tc>
          <w:tcPr>
            <w:tcW w:w="482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Operating Loss</w:t>
            </w:r>
          </w:p>
        </w:tc>
        <w:tc>
          <w:tcPr>
            <w:tcW w:w="32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(64,040)</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(68,070)</w:t>
            </w:r>
          </w:p>
        </w:tc>
        <w:tc>
          <w:tcPr>
            <w:tcW w:w="3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(4,030)</w:t>
            </w:r>
          </w:p>
        </w:tc>
        <w:tc>
          <w:tcPr>
            <w:tcW w:w="400" w:type="dxa"/>
            <w:vAlign w:val="bottom"/>
            <w:shd w:val="clear" w:color="auto" w:fill="CCEEFF"/>
          </w:tcPr>
          <w:p>
            <w:pPr>
              <w:spacing w:after="0"/>
              <w:rPr>
                <w:sz w:val="11"/>
                <w:szCs w:val="11"/>
                <w:color w:val="auto"/>
              </w:rPr>
            </w:pPr>
          </w:p>
        </w:tc>
        <w:tc>
          <w:tcPr>
            <w:tcW w:w="1540" w:type="dxa"/>
            <w:vAlign w:val="bottom"/>
            <w:gridSpan w:val="2"/>
            <w:shd w:val="clear" w:color="auto" w:fill="CCEEFF"/>
          </w:tcPr>
          <w:p>
            <w:pPr>
              <w:jc w:val="right"/>
              <w:ind w:right="140"/>
              <w:spacing w:after="0" w:line="133" w:lineRule="exact"/>
              <w:rPr>
                <w:sz w:val="20"/>
                <w:szCs w:val="20"/>
                <w:color w:val="auto"/>
              </w:rPr>
            </w:pP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144"/>
        </w:trPr>
        <w:tc>
          <w:tcPr>
            <w:tcW w:w="4820" w:type="dxa"/>
            <w:vAlign w:val="bottom"/>
          </w:tcPr>
          <w:p>
            <w:pPr>
              <w:spacing w:after="0"/>
              <w:rPr>
                <w:sz w:val="20"/>
                <w:szCs w:val="20"/>
                <w:color w:val="auto"/>
              </w:rPr>
            </w:pPr>
            <w:r>
              <w:rPr>
                <w:rFonts w:ascii="Arial" w:cs="Arial" w:eastAsia="Arial" w:hAnsi="Arial"/>
                <w:sz w:val="12"/>
                <w:szCs w:val="12"/>
                <w:color w:val="auto"/>
              </w:rPr>
              <w:t>Investment and Other Income, Net</w:t>
            </w:r>
          </w:p>
        </w:tc>
        <w:tc>
          <w:tcPr>
            <w:tcW w:w="320" w:type="dxa"/>
            <w:vAlign w:val="bottom"/>
          </w:tcPr>
          <w:p>
            <w:pPr>
              <w:spacing w:after="0"/>
              <w:rPr>
                <w:sz w:val="12"/>
                <w:szCs w:val="12"/>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2"/>
                <w:szCs w:val="12"/>
                <w:color w:val="auto"/>
              </w:rPr>
              <w:t>1,213</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2"/>
                <w:szCs w:val="12"/>
                <w:color w:val="auto"/>
              </w:rPr>
              <w:t>1,445</w:t>
            </w:r>
          </w:p>
        </w:tc>
        <w:tc>
          <w:tcPr>
            <w:tcW w:w="300" w:type="dxa"/>
            <w:vAlign w:val="bottom"/>
          </w:tcPr>
          <w:p>
            <w:pPr>
              <w:spacing w:after="0"/>
              <w:rPr>
                <w:sz w:val="12"/>
                <w:szCs w:val="12"/>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2"/>
                <w:szCs w:val="12"/>
                <w:color w:val="auto"/>
              </w:rPr>
              <w:t>(232)</w:t>
            </w:r>
          </w:p>
        </w:tc>
        <w:tc>
          <w:tcPr>
            <w:tcW w:w="1540" w:type="dxa"/>
            <w:vAlign w:val="bottom"/>
            <w:gridSpan w:val="2"/>
          </w:tcPr>
          <w:p>
            <w:pPr>
              <w:jc w:val="right"/>
              <w:ind w:right="140"/>
              <w:spacing w:after="0"/>
              <w:rPr>
                <w:sz w:val="20"/>
                <w:szCs w:val="20"/>
                <w:color w:val="auto"/>
              </w:rPr>
            </w:pPr>
            <w:r>
              <w:rPr>
                <w:rFonts w:ascii="Arial" w:cs="Arial" w:eastAsia="Arial" w:hAnsi="Arial"/>
                <w:sz w:val="12"/>
                <w:szCs w:val="12"/>
                <w:color w:val="auto"/>
              </w:rPr>
              <w:t>(16)%</w:t>
            </w:r>
          </w:p>
        </w:tc>
        <w:tc>
          <w:tcPr>
            <w:tcW w:w="0" w:type="dxa"/>
            <w:vAlign w:val="bottom"/>
          </w:tcPr>
          <w:p>
            <w:pPr>
              <w:spacing w:after="0"/>
              <w:rPr>
                <w:sz w:val="1"/>
                <w:szCs w:val="1"/>
                <w:color w:val="auto"/>
              </w:rPr>
            </w:pPr>
          </w:p>
        </w:tc>
      </w:tr>
      <w:tr>
        <w:trPr>
          <w:trHeight w:val="20"/>
        </w:trPr>
        <w:tc>
          <w:tcPr>
            <w:tcW w:w="4820" w:type="dxa"/>
            <w:vAlign w:val="bottom"/>
            <w:vMerge w:val="restart"/>
            <w:shd w:val="clear" w:color="auto" w:fill="CCEEFF"/>
          </w:tcPr>
          <w:p>
            <w:pPr>
              <w:spacing w:after="0"/>
              <w:rPr>
                <w:sz w:val="20"/>
                <w:szCs w:val="20"/>
                <w:color w:val="auto"/>
              </w:rPr>
            </w:pPr>
            <w:r>
              <w:rPr>
                <w:rFonts w:ascii="Arial" w:cs="Arial" w:eastAsia="Arial" w:hAnsi="Arial"/>
                <w:sz w:val="12"/>
                <w:szCs w:val="12"/>
                <w:color w:val="auto"/>
              </w:rPr>
              <w:t>Net Loss</w:t>
            </w: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jc w:val="right"/>
              <w:ind w:right="100"/>
              <w:spacing w:after="0"/>
              <w:rPr>
                <w:sz w:val="20"/>
                <w:szCs w:val="20"/>
                <w:color w:val="auto"/>
              </w:rPr>
            </w:pPr>
            <w:r>
              <w:rPr>
                <w:rFonts w:ascii="Arial" w:cs="Arial" w:eastAsia="Arial" w:hAnsi="Arial"/>
                <w:sz w:val="8"/>
                <w:szCs w:val="8"/>
                <w:color w:val="auto"/>
                <w:w w:val="73"/>
              </w:rPr>
              <w:t>)</w:t>
            </w:r>
          </w:p>
        </w:tc>
        <w:tc>
          <w:tcPr>
            <w:tcW w:w="12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jc w:val="right"/>
              <w:ind w:right="220"/>
              <w:spacing w:after="0"/>
              <w:rPr>
                <w:sz w:val="20"/>
                <w:szCs w:val="20"/>
                <w:color w:val="auto"/>
              </w:rPr>
            </w:pPr>
            <w:r>
              <w:rPr>
                <w:rFonts w:ascii="Arial" w:cs="Arial" w:eastAsia="Arial" w:hAnsi="Arial"/>
                <w:sz w:val="8"/>
                <w:szCs w:val="8"/>
                <w:color w:val="auto"/>
                <w:w w:val="73"/>
              </w:rPr>
              <w:t>)</w:t>
            </w: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jc w:val="right"/>
              <w:ind w:right="320"/>
              <w:spacing w:after="0"/>
              <w:rPr>
                <w:sz w:val="20"/>
                <w:szCs w:val="20"/>
                <w:color w:val="auto"/>
              </w:rPr>
            </w:pPr>
            <w:r>
              <w:rPr>
                <w:rFonts w:ascii="Arial" w:cs="Arial" w:eastAsia="Arial" w:hAnsi="Arial"/>
                <w:sz w:val="8"/>
                <w:szCs w:val="8"/>
                <w:color w:val="auto"/>
                <w:w w:val="73"/>
              </w:rPr>
              <w:t>)</w:t>
            </w:r>
          </w:p>
        </w:tc>
        <w:tc>
          <w:tcPr>
            <w:tcW w:w="12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820" w:type="dxa"/>
            <w:vAlign w:val="bottom"/>
            <w:vMerge w:val="continue"/>
            <w:shd w:val="clear" w:color="auto" w:fill="CCEEFF"/>
          </w:tcPr>
          <w:p>
            <w:pPr>
              <w:spacing w:after="0"/>
              <w:rPr>
                <w:sz w:val="12"/>
                <w:szCs w:val="12"/>
                <w:color w:val="auto"/>
              </w:rPr>
            </w:pPr>
          </w:p>
        </w:tc>
        <w:tc>
          <w:tcPr>
            <w:tcW w:w="320" w:type="dxa"/>
            <w:vAlign w:val="bottom"/>
            <w:shd w:val="clear" w:color="auto" w:fill="CCEEFF"/>
          </w:tcPr>
          <w:p>
            <w:pPr>
              <w:jc w:val="right"/>
              <w:ind w:right="210"/>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(62,827</w:t>
            </w:r>
          </w:p>
        </w:tc>
        <w:tc>
          <w:tcPr>
            <w:tcW w:w="180" w:type="dxa"/>
            <w:vAlign w:val="bottom"/>
            <w:vMerge w:val="continue"/>
            <w:shd w:val="clear" w:color="auto" w:fill="CCEEFF"/>
          </w:tcPr>
          <w:p>
            <w:pPr>
              <w:spacing w:after="0"/>
              <w:rPr>
                <w:sz w:val="12"/>
                <w:szCs w:val="12"/>
                <w:color w:val="auto"/>
              </w:rPr>
            </w:pPr>
          </w:p>
        </w:tc>
        <w:tc>
          <w:tcPr>
            <w:tcW w:w="540" w:type="dxa"/>
            <w:vAlign w:val="bottom"/>
            <w:gridSpan w:val="2"/>
            <w:shd w:val="clear" w:color="auto" w:fill="CCEEFF"/>
          </w:tcPr>
          <w:p>
            <w:pPr>
              <w:jc w:val="right"/>
              <w:ind w:right="310"/>
              <w:spacing w:after="0"/>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(66,625</w:t>
            </w:r>
          </w:p>
        </w:tc>
        <w:tc>
          <w:tcPr>
            <w:tcW w:w="300" w:type="dxa"/>
            <w:vAlign w:val="bottom"/>
            <w:vMerge w:val="continue"/>
            <w:shd w:val="clear" w:color="auto" w:fill="CCEEFF"/>
          </w:tcPr>
          <w:p>
            <w:pPr>
              <w:spacing w:after="0"/>
              <w:rPr>
                <w:sz w:val="12"/>
                <w:szCs w:val="12"/>
                <w:color w:val="auto"/>
              </w:rPr>
            </w:pPr>
          </w:p>
        </w:tc>
        <w:tc>
          <w:tcPr>
            <w:tcW w:w="300" w:type="dxa"/>
            <w:vAlign w:val="bottom"/>
            <w:shd w:val="clear" w:color="auto" w:fill="CCEEFF"/>
          </w:tcPr>
          <w:p>
            <w:pPr>
              <w:jc w:val="right"/>
              <w:ind w:right="190"/>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(3,798</w:t>
            </w:r>
          </w:p>
        </w:tc>
        <w:tc>
          <w:tcPr>
            <w:tcW w:w="400" w:type="dxa"/>
            <w:vAlign w:val="bottom"/>
            <w:vMerge w:val="continue"/>
            <w:shd w:val="clear" w:color="auto" w:fill="CCEEFF"/>
          </w:tcPr>
          <w:p>
            <w:pPr>
              <w:spacing w:after="0"/>
              <w:rPr>
                <w:sz w:val="12"/>
                <w:szCs w:val="12"/>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27"/>
        </w:trPr>
        <w:tc>
          <w:tcPr>
            <w:tcW w:w="48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Net Loss</w:t>
      </w:r>
    </w:p>
    <w:p>
      <w:pPr>
        <w:spacing w:after="0" w:line="150" w:lineRule="exact"/>
        <w:rPr>
          <w:sz w:val="20"/>
          <w:szCs w:val="20"/>
          <w:color w:val="auto"/>
        </w:rPr>
      </w:pPr>
    </w:p>
    <w:p>
      <w:pPr>
        <w:ind w:right="200" w:firstLine="432"/>
        <w:spacing w:after="0" w:line="276" w:lineRule="auto"/>
        <w:rPr>
          <w:sz w:val="20"/>
          <w:szCs w:val="20"/>
          <w:color w:val="auto"/>
        </w:rPr>
      </w:pPr>
      <w:r>
        <w:rPr>
          <w:rFonts w:ascii="Arial" w:cs="Arial" w:eastAsia="Arial" w:hAnsi="Arial"/>
          <w:sz w:val="12"/>
          <w:szCs w:val="12"/>
          <w:color w:val="auto"/>
        </w:rPr>
        <w:t>The $3.8 million decrease in net loss for the six months ended June 30, 2017, as compared to the six months ended June 30, 2016, was primarily the result of an increase in contracts and grants revenue and a decrease in general and administrative and research and development expenses, partially offset by a loss recognized on the fair value remeasurement of contingent consideration.</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Revenue</w:t>
      </w:r>
    </w:p>
    <w:p>
      <w:pPr>
        <w:spacing w:after="0" w:line="150" w:lineRule="exact"/>
        <w:rPr>
          <w:sz w:val="20"/>
          <w:szCs w:val="20"/>
          <w:color w:val="auto"/>
        </w:rPr>
      </w:pPr>
    </w:p>
    <w:p>
      <w:pPr>
        <w:ind w:right="120" w:firstLine="432"/>
        <w:spacing w:after="0" w:line="323" w:lineRule="auto"/>
        <w:rPr>
          <w:sz w:val="20"/>
          <w:szCs w:val="20"/>
          <w:color w:val="auto"/>
        </w:rPr>
      </w:pPr>
      <w:r>
        <w:rPr>
          <w:rFonts w:ascii="Arial" w:cs="Arial" w:eastAsia="Arial" w:hAnsi="Arial"/>
          <w:sz w:val="11"/>
          <w:szCs w:val="11"/>
          <w:color w:val="auto"/>
        </w:rPr>
        <w:t>The $0.2 million increase in product development and licensing agreements revenue for the six months ended June 30, 2017, as compared to the six months ended June 30, 2016, was primarily related to our BMS agreement. The $2.5 million increase in contracts and grants revenue for the six months ended June 30, 2017, as compared to the six months ended June 30, 2016, was primarily related to our IAVI agreement.</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Research and Development Expense</w:t>
      </w:r>
    </w:p>
    <w:p>
      <w:pPr>
        <w:spacing w:after="0" w:line="129" w:lineRule="exact"/>
        <w:rPr>
          <w:sz w:val="20"/>
          <w:szCs w:val="20"/>
          <w:color w:val="auto"/>
        </w:rPr>
      </w:pPr>
    </w:p>
    <w:tbl>
      <w:tblPr>
        <w:tblLayout w:type="fixed"/>
        <w:tblInd w:w="200" w:type="dxa"/>
        <w:tblCellMar>
          <w:top w:w="0" w:type="dxa"/>
          <w:left w:w="0" w:type="dxa"/>
          <w:bottom w:w="0" w:type="dxa"/>
          <w:right w:w="0" w:type="dxa"/>
        </w:tblCellMar>
      </w:tblPr>
      <w:tr>
        <w:trPr>
          <w:trHeight w:val="115"/>
        </w:trPr>
        <w:tc>
          <w:tcPr>
            <w:tcW w:w="40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760" w:type="dxa"/>
            <w:vAlign w:val="bottom"/>
            <w:gridSpan w:val="2"/>
          </w:tcPr>
          <w:p>
            <w:pPr>
              <w:jc w:val="center"/>
              <w:ind w:left="584"/>
              <w:spacing w:after="0"/>
              <w:rPr>
                <w:sz w:val="20"/>
                <w:szCs w:val="20"/>
                <w:color w:val="auto"/>
              </w:rPr>
            </w:pPr>
            <w:r>
              <w:rPr>
                <w:rFonts w:ascii="Arial" w:cs="Arial" w:eastAsia="Arial" w:hAnsi="Arial"/>
                <w:sz w:val="10"/>
                <w:szCs w:val="10"/>
                <w:b w:val="1"/>
                <w:bCs w:val="1"/>
                <w:color w:val="auto"/>
                <w:w w:val="87"/>
              </w:rPr>
              <w:t>Six Months Ended</w:t>
            </w:r>
          </w:p>
        </w:tc>
        <w:tc>
          <w:tcPr>
            <w:tcW w:w="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40" w:type="dxa"/>
            <w:vAlign w:val="bottom"/>
          </w:tcPr>
          <w:p>
            <w:pPr>
              <w:jc w:val="center"/>
              <w:ind w:right="644"/>
              <w:spacing w:after="0"/>
              <w:rPr>
                <w:sz w:val="20"/>
                <w:szCs w:val="20"/>
                <w:color w:val="auto"/>
              </w:rPr>
            </w:pPr>
            <w:r>
              <w:rPr>
                <w:rFonts w:ascii="Arial" w:cs="Arial" w:eastAsia="Arial" w:hAnsi="Arial"/>
                <w:sz w:val="10"/>
                <w:szCs w:val="10"/>
                <w:b w:val="1"/>
                <w:bCs w:val="1"/>
                <w:color w:val="auto"/>
                <w:w w:val="87"/>
              </w:rPr>
              <w:t>Increase/</w:t>
            </w:r>
          </w:p>
        </w:tc>
        <w:tc>
          <w:tcPr>
            <w:tcW w:w="154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82"/>
              </w:rPr>
              <w:t>Increase/</w:t>
            </w:r>
          </w:p>
        </w:tc>
      </w:tr>
      <w:tr>
        <w:trPr>
          <w:trHeight w:val="114"/>
        </w:trPr>
        <w:tc>
          <w:tcPr>
            <w:tcW w:w="406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760" w:type="dxa"/>
            <w:vAlign w:val="bottom"/>
            <w:tcBorders>
              <w:bottom w:val="single" w:sz="8" w:color="auto"/>
            </w:tcBorders>
            <w:gridSpan w:val="2"/>
          </w:tcPr>
          <w:p>
            <w:pPr>
              <w:jc w:val="center"/>
              <w:ind w:left="604"/>
              <w:spacing w:after="0" w:line="114" w:lineRule="exact"/>
              <w:rPr>
                <w:sz w:val="20"/>
                <w:szCs w:val="20"/>
                <w:color w:val="auto"/>
              </w:rPr>
            </w:pPr>
            <w:r>
              <w:rPr>
                <w:rFonts w:ascii="Arial" w:cs="Arial" w:eastAsia="Arial" w:hAnsi="Arial"/>
                <w:sz w:val="10"/>
                <w:szCs w:val="10"/>
                <w:b w:val="1"/>
                <w:bCs w:val="1"/>
                <w:color w:val="auto"/>
                <w:w w:val="84"/>
              </w:rPr>
              <w:t>June 30,</w:t>
            </w:r>
          </w:p>
        </w:tc>
        <w:tc>
          <w:tcPr>
            <w:tcW w:w="9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40" w:type="dxa"/>
            <w:vAlign w:val="bottom"/>
          </w:tcPr>
          <w:p>
            <w:pPr>
              <w:jc w:val="center"/>
              <w:ind w:right="644"/>
              <w:spacing w:after="0" w:line="114" w:lineRule="exact"/>
              <w:rPr>
                <w:sz w:val="20"/>
                <w:szCs w:val="20"/>
                <w:color w:val="auto"/>
              </w:rPr>
            </w:pPr>
            <w:r>
              <w:rPr>
                <w:rFonts w:ascii="Arial" w:cs="Arial" w:eastAsia="Arial" w:hAnsi="Arial"/>
                <w:sz w:val="10"/>
                <w:szCs w:val="10"/>
                <w:b w:val="1"/>
                <w:bCs w:val="1"/>
                <w:color w:val="auto"/>
                <w:w w:val="82"/>
              </w:rPr>
              <w:t>(Decrease)</w:t>
            </w:r>
          </w:p>
        </w:tc>
        <w:tc>
          <w:tcPr>
            <w:tcW w:w="1540" w:type="dxa"/>
            <w:vAlign w:val="bottom"/>
            <w:gridSpan w:val="2"/>
          </w:tcPr>
          <w:p>
            <w:pPr>
              <w:jc w:val="center"/>
              <w:ind w:right="380"/>
              <w:spacing w:after="0" w:line="114" w:lineRule="exact"/>
              <w:rPr>
                <w:sz w:val="20"/>
                <w:szCs w:val="20"/>
                <w:color w:val="auto"/>
              </w:rPr>
            </w:pPr>
            <w:r>
              <w:rPr>
                <w:rFonts w:ascii="Arial" w:cs="Arial" w:eastAsia="Arial" w:hAnsi="Arial"/>
                <w:sz w:val="10"/>
                <w:szCs w:val="10"/>
                <w:b w:val="1"/>
                <w:bCs w:val="1"/>
                <w:color w:val="auto"/>
                <w:w w:val="85"/>
              </w:rPr>
              <w:t>(Decrease)</w:t>
            </w:r>
          </w:p>
        </w:tc>
      </w:tr>
      <w:tr>
        <w:trPr>
          <w:trHeight w:val="88"/>
        </w:trPr>
        <w:tc>
          <w:tcPr>
            <w:tcW w:w="4060" w:type="dxa"/>
            <w:vAlign w:val="bottom"/>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tcPr>
          <w:p>
            <w:pPr>
              <w:jc w:val="right"/>
              <w:ind w:right="684"/>
              <w:spacing w:after="0" w:line="88" w:lineRule="exact"/>
              <w:rPr>
                <w:sz w:val="20"/>
                <w:szCs w:val="20"/>
                <w:color w:val="auto"/>
              </w:rPr>
            </w:pPr>
            <w:r>
              <w:rPr>
                <w:rFonts w:ascii="Arial" w:cs="Arial" w:eastAsia="Arial" w:hAnsi="Arial"/>
                <w:sz w:val="10"/>
                <w:szCs w:val="10"/>
                <w:b w:val="1"/>
                <w:bCs w:val="1"/>
                <w:color w:val="auto"/>
              </w:rPr>
              <w:t>2017</w:t>
            </w:r>
          </w:p>
        </w:tc>
        <w:tc>
          <w:tcPr>
            <w:tcW w:w="56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jc w:val="right"/>
              <w:ind w:right="543"/>
              <w:spacing w:after="0" w:line="88" w:lineRule="exact"/>
              <w:rPr>
                <w:sz w:val="20"/>
                <w:szCs w:val="20"/>
                <w:color w:val="auto"/>
              </w:rPr>
            </w:pPr>
            <w:r>
              <w:rPr>
                <w:rFonts w:ascii="Arial" w:cs="Arial" w:eastAsia="Arial" w:hAnsi="Arial"/>
                <w:sz w:val="10"/>
                <w:szCs w:val="10"/>
                <w:b w:val="1"/>
                <w:bCs w:val="1"/>
                <w:color w:val="auto"/>
              </w:rPr>
              <w:t>2016</w:t>
            </w:r>
          </w:p>
        </w:tc>
        <w:tc>
          <w:tcPr>
            <w:tcW w:w="14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440" w:type="dxa"/>
            <w:vAlign w:val="bottom"/>
            <w:tcBorders>
              <w:bottom w:val="single" w:sz="8" w:color="auto"/>
            </w:tcBorders>
          </w:tcPr>
          <w:p>
            <w:pPr>
              <w:jc w:val="center"/>
              <w:ind w:right="624"/>
              <w:spacing w:after="0" w:line="88" w:lineRule="exact"/>
              <w:rPr>
                <w:sz w:val="20"/>
                <w:szCs w:val="20"/>
                <w:color w:val="auto"/>
              </w:rPr>
            </w:pPr>
            <w:r>
              <w:rPr>
                <w:rFonts w:ascii="Arial" w:cs="Arial" w:eastAsia="Arial" w:hAnsi="Arial"/>
                <w:sz w:val="10"/>
                <w:szCs w:val="10"/>
                <w:b w:val="1"/>
                <w:bCs w:val="1"/>
                <w:color w:val="auto"/>
                <w:w w:val="71"/>
              </w:rPr>
              <w:t>$</w:t>
            </w:r>
          </w:p>
        </w:tc>
        <w:tc>
          <w:tcPr>
            <w:tcW w:w="1260" w:type="dxa"/>
            <w:vAlign w:val="bottom"/>
            <w:tcBorders>
              <w:bottom w:val="single" w:sz="8" w:color="auto"/>
            </w:tcBorders>
          </w:tcPr>
          <w:p>
            <w:pPr>
              <w:jc w:val="center"/>
              <w:ind w:right="64"/>
              <w:spacing w:after="0" w:line="88" w:lineRule="exact"/>
              <w:rPr>
                <w:sz w:val="20"/>
                <w:szCs w:val="20"/>
                <w:color w:val="auto"/>
              </w:rPr>
            </w:pPr>
            <w:r>
              <w:rPr>
                <w:rFonts w:ascii="Arial" w:cs="Arial" w:eastAsia="Arial" w:hAnsi="Arial"/>
                <w:sz w:val="10"/>
                <w:szCs w:val="10"/>
                <w:b w:val="1"/>
                <w:bCs w:val="1"/>
                <w:color w:val="auto"/>
              </w:rPr>
              <w:t>%</w:t>
            </w:r>
          </w:p>
        </w:tc>
        <w:tc>
          <w:tcPr>
            <w:tcW w:w="280" w:type="dxa"/>
            <w:vAlign w:val="bottom"/>
          </w:tcPr>
          <w:p>
            <w:pPr>
              <w:spacing w:after="0"/>
              <w:rPr>
                <w:sz w:val="7"/>
                <w:szCs w:val="7"/>
                <w:color w:val="auto"/>
              </w:rPr>
            </w:pPr>
          </w:p>
        </w:tc>
      </w:tr>
      <w:tr>
        <w:trPr>
          <w:trHeight w:val="88"/>
        </w:trPr>
        <w:tc>
          <w:tcPr>
            <w:tcW w:w="40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560" w:type="dxa"/>
            <w:vAlign w:val="bottom"/>
            <w:gridSpan w:val="3"/>
          </w:tcPr>
          <w:p>
            <w:pPr>
              <w:jc w:val="right"/>
              <w:ind w:right="120"/>
              <w:spacing w:after="0" w:line="88" w:lineRule="exact"/>
              <w:rPr>
                <w:sz w:val="20"/>
                <w:szCs w:val="20"/>
                <w:color w:val="auto"/>
              </w:rPr>
            </w:pPr>
            <w:r>
              <w:rPr>
                <w:rFonts w:ascii="Arial" w:cs="Arial" w:eastAsia="Arial" w:hAnsi="Arial"/>
                <w:sz w:val="10"/>
                <w:szCs w:val="10"/>
                <w:b w:val="1"/>
                <w:bCs w:val="1"/>
                <w:color w:val="auto"/>
              </w:rPr>
              <w:t>(In thousands)</w:t>
            </w:r>
          </w:p>
        </w:tc>
        <w:tc>
          <w:tcPr>
            <w:tcW w:w="14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280" w:type="dxa"/>
            <w:vAlign w:val="bottom"/>
          </w:tcPr>
          <w:p>
            <w:pPr>
              <w:spacing w:after="0"/>
              <w:rPr>
                <w:sz w:val="7"/>
                <w:szCs w:val="7"/>
                <w:color w:val="auto"/>
              </w:rPr>
            </w:pPr>
          </w:p>
        </w:tc>
      </w:tr>
      <w:tr>
        <w:trPr>
          <w:trHeight w:val="144"/>
        </w:trPr>
        <w:tc>
          <w:tcPr>
            <w:tcW w:w="4060" w:type="dxa"/>
            <w:vAlign w:val="bottom"/>
            <w:shd w:val="clear" w:color="auto" w:fill="CCEEFF"/>
          </w:tcPr>
          <w:p>
            <w:pPr>
              <w:spacing w:after="0"/>
              <w:rPr>
                <w:sz w:val="20"/>
                <w:szCs w:val="20"/>
                <w:color w:val="auto"/>
              </w:rPr>
            </w:pPr>
            <w:r>
              <w:rPr>
                <w:rFonts w:ascii="Arial" w:cs="Arial" w:eastAsia="Arial" w:hAnsi="Arial"/>
                <w:sz w:val="12"/>
                <w:szCs w:val="12"/>
                <w:color w:val="auto"/>
              </w:rPr>
              <w:t>Personnel</w:t>
            </w:r>
          </w:p>
        </w:tc>
        <w:tc>
          <w:tcPr>
            <w:tcW w:w="320" w:type="dxa"/>
            <w:vAlign w:val="bottom"/>
            <w:shd w:val="clear" w:color="auto" w:fill="CCEEFF"/>
          </w:tcPr>
          <w:p>
            <w:pPr>
              <w:jc w:val="right"/>
              <w:ind w:right="210"/>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CCEEFF"/>
          </w:tcPr>
          <w:p>
            <w:pPr>
              <w:jc w:val="right"/>
              <w:ind w:right="84"/>
              <w:spacing w:after="0"/>
              <w:rPr>
                <w:sz w:val="20"/>
                <w:szCs w:val="20"/>
                <w:color w:val="auto"/>
              </w:rPr>
            </w:pPr>
            <w:r>
              <w:rPr>
                <w:rFonts w:ascii="Arial" w:cs="Arial" w:eastAsia="Arial" w:hAnsi="Arial"/>
                <w:sz w:val="12"/>
                <w:szCs w:val="12"/>
                <w:color w:val="auto"/>
              </w:rPr>
              <w:t>19,146</w:t>
            </w:r>
          </w:p>
        </w:tc>
        <w:tc>
          <w:tcPr>
            <w:tcW w:w="560" w:type="dxa"/>
            <w:vAlign w:val="bottom"/>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17,611</w:t>
            </w:r>
          </w:p>
        </w:tc>
        <w:tc>
          <w:tcPr>
            <w:tcW w:w="44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440" w:type="dxa"/>
            <w:vAlign w:val="bottom"/>
            <w:shd w:val="clear" w:color="auto" w:fill="CCEEFF"/>
          </w:tcPr>
          <w:p>
            <w:pPr>
              <w:jc w:val="right"/>
              <w:ind w:right="324"/>
              <w:spacing w:after="0"/>
              <w:rPr>
                <w:sz w:val="20"/>
                <w:szCs w:val="20"/>
                <w:color w:val="auto"/>
              </w:rPr>
            </w:pPr>
            <w:r>
              <w:rPr>
                <w:rFonts w:ascii="Arial" w:cs="Arial" w:eastAsia="Arial" w:hAnsi="Arial"/>
                <w:sz w:val="12"/>
                <w:szCs w:val="12"/>
                <w:color w:val="auto"/>
              </w:rPr>
              <w:t>1,535</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9%</w:t>
            </w:r>
          </w:p>
        </w:tc>
      </w:tr>
      <w:tr>
        <w:trPr>
          <w:trHeight w:val="144"/>
        </w:trPr>
        <w:tc>
          <w:tcPr>
            <w:tcW w:w="4060" w:type="dxa"/>
            <w:vAlign w:val="bottom"/>
          </w:tcPr>
          <w:p>
            <w:pPr>
              <w:spacing w:after="0"/>
              <w:rPr>
                <w:sz w:val="20"/>
                <w:szCs w:val="20"/>
                <w:color w:val="auto"/>
              </w:rPr>
            </w:pPr>
            <w:r>
              <w:rPr>
                <w:rFonts w:ascii="Arial" w:cs="Arial" w:eastAsia="Arial" w:hAnsi="Arial"/>
                <w:sz w:val="12"/>
                <w:szCs w:val="12"/>
                <w:color w:val="auto"/>
              </w:rPr>
              <w:t>Laboratory Supplies</w:t>
            </w:r>
          </w:p>
        </w:tc>
        <w:tc>
          <w:tcPr>
            <w:tcW w:w="320" w:type="dxa"/>
            <w:vAlign w:val="bottom"/>
          </w:tcPr>
          <w:p>
            <w:pPr>
              <w:spacing w:after="0"/>
              <w:rPr>
                <w:sz w:val="12"/>
                <w:szCs w:val="12"/>
                <w:color w:val="auto"/>
              </w:rPr>
            </w:pPr>
          </w:p>
        </w:tc>
        <w:tc>
          <w:tcPr>
            <w:tcW w:w="1200" w:type="dxa"/>
            <w:vAlign w:val="bottom"/>
          </w:tcPr>
          <w:p>
            <w:pPr>
              <w:jc w:val="right"/>
              <w:ind w:right="84"/>
              <w:spacing w:after="0"/>
              <w:rPr>
                <w:sz w:val="20"/>
                <w:szCs w:val="20"/>
                <w:color w:val="auto"/>
              </w:rPr>
            </w:pPr>
            <w:r>
              <w:rPr>
                <w:rFonts w:ascii="Arial" w:cs="Arial" w:eastAsia="Arial" w:hAnsi="Arial"/>
                <w:sz w:val="12"/>
                <w:szCs w:val="12"/>
                <w:color w:val="auto"/>
              </w:rPr>
              <w:t>2,312</w:t>
            </w:r>
          </w:p>
        </w:tc>
        <w:tc>
          <w:tcPr>
            <w:tcW w:w="560" w:type="dxa"/>
            <w:vAlign w:val="bottom"/>
          </w:tcPr>
          <w:p>
            <w:pPr>
              <w:spacing w:after="0"/>
              <w:rPr>
                <w:sz w:val="12"/>
                <w:szCs w:val="12"/>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2"/>
                <w:szCs w:val="12"/>
                <w:color w:val="auto"/>
              </w:rPr>
              <w:t>1,661</w:t>
            </w:r>
          </w:p>
        </w:tc>
        <w:tc>
          <w:tcPr>
            <w:tcW w:w="440" w:type="dxa"/>
            <w:vAlign w:val="bottom"/>
          </w:tcPr>
          <w:p>
            <w:pPr>
              <w:spacing w:after="0"/>
              <w:rPr>
                <w:sz w:val="12"/>
                <w:szCs w:val="12"/>
                <w:color w:val="auto"/>
              </w:rPr>
            </w:pPr>
          </w:p>
        </w:tc>
        <w:tc>
          <w:tcPr>
            <w:tcW w:w="1440" w:type="dxa"/>
            <w:vAlign w:val="bottom"/>
          </w:tcPr>
          <w:p>
            <w:pPr>
              <w:jc w:val="right"/>
              <w:ind w:right="324"/>
              <w:spacing w:after="0"/>
              <w:rPr>
                <w:sz w:val="20"/>
                <w:szCs w:val="20"/>
                <w:color w:val="auto"/>
              </w:rPr>
            </w:pPr>
            <w:r>
              <w:rPr>
                <w:rFonts w:ascii="Arial" w:cs="Arial" w:eastAsia="Arial" w:hAnsi="Arial"/>
                <w:sz w:val="12"/>
                <w:szCs w:val="12"/>
                <w:color w:val="auto"/>
              </w:rPr>
              <w:t>651</w:t>
            </w:r>
          </w:p>
        </w:tc>
        <w:tc>
          <w:tcPr>
            <w:tcW w:w="1540" w:type="dxa"/>
            <w:vAlign w:val="bottom"/>
            <w:gridSpan w:val="2"/>
          </w:tcPr>
          <w:p>
            <w:pPr>
              <w:jc w:val="right"/>
              <w:ind w:right="180"/>
              <w:spacing w:after="0"/>
              <w:rPr>
                <w:sz w:val="20"/>
                <w:szCs w:val="20"/>
                <w:color w:val="auto"/>
              </w:rPr>
            </w:pPr>
            <w:r>
              <w:rPr>
                <w:rFonts w:ascii="Arial" w:cs="Arial" w:eastAsia="Arial" w:hAnsi="Arial"/>
                <w:sz w:val="12"/>
                <w:szCs w:val="12"/>
                <w:color w:val="auto"/>
              </w:rPr>
              <w:t>39%</w:t>
            </w:r>
          </w:p>
        </w:tc>
      </w:tr>
      <w:tr>
        <w:trPr>
          <w:trHeight w:val="144"/>
        </w:trPr>
        <w:tc>
          <w:tcPr>
            <w:tcW w:w="4060" w:type="dxa"/>
            <w:vAlign w:val="bottom"/>
            <w:shd w:val="clear" w:color="auto" w:fill="CCEEFF"/>
          </w:tcPr>
          <w:p>
            <w:pPr>
              <w:spacing w:after="0"/>
              <w:rPr>
                <w:sz w:val="20"/>
                <w:szCs w:val="20"/>
                <w:color w:val="auto"/>
              </w:rPr>
            </w:pPr>
            <w:r>
              <w:rPr>
                <w:rFonts w:ascii="Arial" w:cs="Arial" w:eastAsia="Arial" w:hAnsi="Arial"/>
                <w:sz w:val="12"/>
                <w:szCs w:val="12"/>
                <w:color w:val="auto"/>
              </w:rPr>
              <w:t>Facility</w:t>
            </w:r>
          </w:p>
        </w:tc>
        <w:tc>
          <w:tcPr>
            <w:tcW w:w="32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84"/>
              <w:spacing w:after="0"/>
              <w:rPr>
                <w:sz w:val="20"/>
                <w:szCs w:val="20"/>
                <w:color w:val="auto"/>
              </w:rPr>
            </w:pPr>
            <w:r>
              <w:rPr>
                <w:rFonts w:ascii="Arial" w:cs="Arial" w:eastAsia="Arial" w:hAnsi="Arial"/>
                <w:sz w:val="12"/>
                <w:szCs w:val="12"/>
                <w:color w:val="auto"/>
              </w:rPr>
              <w:t>4,593</w:t>
            </w:r>
          </w:p>
        </w:tc>
        <w:tc>
          <w:tcPr>
            <w:tcW w:w="5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2,884</w:t>
            </w:r>
          </w:p>
        </w:tc>
        <w:tc>
          <w:tcPr>
            <w:tcW w:w="440" w:type="dxa"/>
            <w:vAlign w:val="bottom"/>
            <w:shd w:val="clear" w:color="auto" w:fill="CCEEFF"/>
          </w:tcPr>
          <w:p>
            <w:pPr>
              <w:spacing w:after="0"/>
              <w:rPr>
                <w:sz w:val="12"/>
                <w:szCs w:val="12"/>
                <w:color w:val="auto"/>
              </w:rPr>
            </w:pPr>
          </w:p>
        </w:tc>
        <w:tc>
          <w:tcPr>
            <w:tcW w:w="1440" w:type="dxa"/>
            <w:vAlign w:val="bottom"/>
            <w:shd w:val="clear" w:color="auto" w:fill="CCEEFF"/>
          </w:tcPr>
          <w:p>
            <w:pPr>
              <w:jc w:val="right"/>
              <w:ind w:right="324"/>
              <w:spacing w:after="0"/>
              <w:rPr>
                <w:sz w:val="20"/>
                <w:szCs w:val="20"/>
                <w:color w:val="auto"/>
              </w:rPr>
            </w:pPr>
            <w:r>
              <w:rPr>
                <w:rFonts w:ascii="Arial" w:cs="Arial" w:eastAsia="Arial" w:hAnsi="Arial"/>
                <w:sz w:val="12"/>
                <w:szCs w:val="12"/>
                <w:color w:val="auto"/>
              </w:rPr>
              <w:t>1,709</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59%</w:t>
            </w:r>
          </w:p>
        </w:tc>
      </w:tr>
      <w:tr>
        <w:trPr>
          <w:trHeight w:val="144"/>
        </w:trPr>
        <w:tc>
          <w:tcPr>
            <w:tcW w:w="4060" w:type="dxa"/>
            <w:vAlign w:val="bottom"/>
          </w:tcPr>
          <w:p>
            <w:pPr>
              <w:spacing w:after="0"/>
              <w:rPr>
                <w:sz w:val="20"/>
                <w:szCs w:val="20"/>
                <w:color w:val="auto"/>
              </w:rPr>
            </w:pPr>
            <w:r>
              <w:rPr>
                <w:rFonts w:ascii="Arial" w:cs="Arial" w:eastAsia="Arial" w:hAnsi="Arial"/>
                <w:sz w:val="12"/>
                <w:szCs w:val="12"/>
                <w:color w:val="auto"/>
              </w:rPr>
              <w:t>License Fees</w:t>
            </w:r>
          </w:p>
        </w:tc>
        <w:tc>
          <w:tcPr>
            <w:tcW w:w="320" w:type="dxa"/>
            <w:vAlign w:val="bottom"/>
          </w:tcPr>
          <w:p>
            <w:pPr>
              <w:spacing w:after="0"/>
              <w:rPr>
                <w:sz w:val="12"/>
                <w:szCs w:val="12"/>
                <w:color w:val="auto"/>
              </w:rPr>
            </w:pPr>
          </w:p>
        </w:tc>
        <w:tc>
          <w:tcPr>
            <w:tcW w:w="1200" w:type="dxa"/>
            <w:vAlign w:val="bottom"/>
          </w:tcPr>
          <w:p>
            <w:pPr>
              <w:jc w:val="right"/>
              <w:ind w:right="84"/>
              <w:spacing w:after="0"/>
              <w:rPr>
                <w:sz w:val="20"/>
                <w:szCs w:val="20"/>
                <w:color w:val="auto"/>
              </w:rPr>
            </w:pPr>
            <w:r>
              <w:rPr>
                <w:rFonts w:ascii="Arial" w:cs="Arial" w:eastAsia="Arial" w:hAnsi="Arial"/>
                <w:sz w:val="12"/>
                <w:szCs w:val="12"/>
                <w:color w:val="auto"/>
              </w:rPr>
              <w:t>317</w:t>
            </w:r>
          </w:p>
        </w:tc>
        <w:tc>
          <w:tcPr>
            <w:tcW w:w="560" w:type="dxa"/>
            <w:vAlign w:val="bottom"/>
          </w:tcPr>
          <w:p>
            <w:pPr>
              <w:spacing w:after="0"/>
              <w:rPr>
                <w:sz w:val="12"/>
                <w:szCs w:val="12"/>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2"/>
                <w:szCs w:val="12"/>
                <w:color w:val="auto"/>
              </w:rPr>
              <w:t>439</w:t>
            </w:r>
          </w:p>
        </w:tc>
        <w:tc>
          <w:tcPr>
            <w:tcW w:w="440" w:type="dxa"/>
            <w:vAlign w:val="bottom"/>
          </w:tcPr>
          <w:p>
            <w:pPr>
              <w:spacing w:after="0"/>
              <w:rPr>
                <w:sz w:val="12"/>
                <w:szCs w:val="12"/>
                <w:color w:val="auto"/>
              </w:rPr>
            </w:pPr>
          </w:p>
        </w:tc>
        <w:tc>
          <w:tcPr>
            <w:tcW w:w="1440" w:type="dxa"/>
            <w:vAlign w:val="bottom"/>
          </w:tcPr>
          <w:p>
            <w:pPr>
              <w:jc w:val="right"/>
              <w:ind w:right="284"/>
              <w:spacing w:after="0"/>
              <w:rPr>
                <w:sz w:val="20"/>
                <w:szCs w:val="20"/>
                <w:color w:val="auto"/>
              </w:rPr>
            </w:pPr>
            <w:r>
              <w:rPr>
                <w:rFonts w:ascii="Arial" w:cs="Arial" w:eastAsia="Arial" w:hAnsi="Arial"/>
                <w:sz w:val="12"/>
                <w:szCs w:val="12"/>
                <w:color w:val="auto"/>
              </w:rPr>
              <w:t>(122)</w:t>
            </w:r>
          </w:p>
        </w:tc>
        <w:tc>
          <w:tcPr>
            <w:tcW w:w="1540" w:type="dxa"/>
            <w:vAlign w:val="bottom"/>
            <w:gridSpan w:val="2"/>
          </w:tcPr>
          <w:p>
            <w:pPr>
              <w:jc w:val="right"/>
              <w:ind w:right="140"/>
              <w:spacing w:after="0"/>
              <w:rPr>
                <w:sz w:val="20"/>
                <w:szCs w:val="20"/>
                <w:color w:val="auto"/>
              </w:rPr>
            </w:pPr>
            <w:r>
              <w:rPr>
                <w:rFonts w:ascii="Arial" w:cs="Arial" w:eastAsia="Arial" w:hAnsi="Arial"/>
                <w:sz w:val="12"/>
                <w:szCs w:val="12"/>
                <w:color w:val="auto"/>
              </w:rPr>
              <w:t>(28)%</w:t>
            </w:r>
          </w:p>
        </w:tc>
      </w:tr>
      <w:tr>
        <w:trPr>
          <w:trHeight w:val="144"/>
        </w:trPr>
        <w:tc>
          <w:tcPr>
            <w:tcW w:w="4060" w:type="dxa"/>
            <w:vAlign w:val="bottom"/>
            <w:shd w:val="clear" w:color="auto" w:fill="CCEEFF"/>
          </w:tcPr>
          <w:p>
            <w:pPr>
              <w:spacing w:after="0"/>
              <w:rPr>
                <w:sz w:val="20"/>
                <w:szCs w:val="20"/>
                <w:color w:val="auto"/>
              </w:rPr>
            </w:pPr>
            <w:r>
              <w:rPr>
                <w:rFonts w:ascii="Arial" w:cs="Arial" w:eastAsia="Arial" w:hAnsi="Arial"/>
                <w:sz w:val="12"/>
                <w:szCs w:val="12"/>
                <w:color w:val="auto"/>
              </w:rPr>
              <w:t>Product Development</w:t>
            </w:r>
          </w:p>
        </w:tc>
        <w:tc>
          <w:tcPr>
            <w:tcW w:w="32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84"/>
              <w:spacing w:after="0"/>
              <w:rPr>
                <w:sz w:val="20"/>
                <w:szCs w:val="20"/>
                <w:color w:val="auto"/>
              </w:rPr>
            </w:pPr>
            <w:r>
              <w:rPr>
                <w:rFonts w:ascii="Arial" w:cs="Arial" w:eastAsia="Arial" w:hAnsi="Arial"/>
                <w:sz w:val="12"/>
                <w:szCs w:val="12"/>
                <w:color w:val="auto"/>
              </w:rPr>
              <w:t>19,649</w:t>
            </w:r>
          </w:p>
        </w:tc>
        <w:tc>
          <w:tcPr>
            <w:tcW w:w="5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26,253</w:t>
            </w:r>
          </w:p>
        </w:tc>
        <w:tc>
          <w:tcPr>
            <w:tcW w:w="440" w:type="dxa"/>
            <w:vAlign w:val="bottom"/>
            <w:shd w:val="clear" w:color="auto" w:fill="CCEEFF"/>
          </w:tcPr>
          <w:p>
            <w:pPr>
              <w:spacing w:after="0"/>
              <w:rPr>
                <w:sz w:val="12"/>
                <w:szCs w:val="12"/>
                <w:color w:val="auto"/>
              </w:rPr>
            </w:pPr>
          </w:p>
        </w:tc>
        <w:tc>
          <w:tcPr>
            <w:tcW w:w="1440" w:type="dxa"/>
            <w:vAlign w:val="bottom"/>
            <w:shd w:val="clear" w:color="auto" w:fill="CCEEFF"/>
          </w:tcPr>
          <w:p>
            <w:pPr>
              <w:jc w:val="right"/>
              <w:ind w:right="284"/>
              <w:spacing w:after="0"/>
              <w:rPr>
                <w:sz w:val="20"/>
                <w:szCs w:val="20"/>
                <w:color w:val="auto"/>
              </w:rPr>
            </w:pPr>
            <w:r>
              <w:rPr>
                <w:rFonts w:ascii="Arial" w:cs="Arial" w:eastAsia="Arial" w:hAnsi="Arial"/>
                <w:sz w:val="12"/>
                <w:szCs w:val="12"/>
                <w:color w:val="auto"/>
              </w:rPr>
              <w:t>(6,604)</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(25)%</w:t>
            </w:r>
          </w:p>
        </w:tc>
      </w:tr>
    </w:tbl>
    <w:p>
      <w:pPr>
        <w:spacing w:after="0" w:line="135" w:lineRule="exact"/>
        <w:rPr>
          <w:sz w:val="20"/>
          <w:szCs w:val="20"/>
          <w:color w:val="auto"/>
        </w:rPr>
      </w:pPr>
    </w:p>
    <w:p>
      <w:pPr>
        <w:ind w:right="440" w:firstLine="432"/>
        <w:spacing w:after="0" w:line="276" w:lineRule="auto"/>
        <w:rPr>
          <w:sz w:val="20"/>
          <w:szCs w:val="20"/>
          <w:color w:val="auto"/>
        </w:rPr>
      </w:pPr>
      <w:r>
        <w:rPr>
          <w:rFonts w:ascii="Arial" w:cs="Arial" w:eastAsia="Arial" w:hAnsi="Arial"/>
          <w:sz w:val="12"/>
          <w:szCs w:val="12"/>
          <w:color w:val="auto"/>
        </w:rPr>
        <w:t>The $1.5 million increase in personnel expenses for the six months ended June 30, 2017, as compared to the six months ended June 30, 2016, was primarily due to an increase in salaries expense and associated taxes due to increased headcount.</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1"/>
          <w:szCs w:val="11"/>
          <w:color w:val="auto"/>
        </w:rPr>
        <w:t>The $0.7 million increase in laboratory supplies expense for the six months ended June 30, 2017, as compared to the six months ended June 30, 2016, was primarily due to higher manufacturing supply purchases.</w:t>
      </w:r>
    </w:p>
    <w:p>
      <w:pPr>
        <w:sectPr>
          <w:pgSz w:w="11900" w:h="16859" w:orient="portrait"/>
          <w:cols w:equalWidth="0" w:num="1">
            <w:col w:w="11500"/>
          </w:cols>
          <w:pgMar w:left="220" w:top="131" w:right="179" w:bottom="0" w:gutter="0" w:footer="0" w:header="0"/>
        </w:sectPr>
      </w:pPr>
    </w:p>
    <w:bookmarkStart w:id="11" w:name="page12"/>
    <w:bookmarkEnd w:id="11"/>
    <w:p>
      <w:pPr>
        <w:spacing w:after="0" w:line="46" w:lineRule="exact"/>
        <w:rPr>
          <w:sz w:val="20"/>
          <w:szCs w:val="20"/>
          <w:color w:val="auto"/>
        </w:rPr>
      </w:pPr>
    </w:p>
    <w:p>
      <w:pPr>
        <w:ind w:right="220" w:firstLine="432"/>
        <w:spacing w:after="0" w:line="323" w:lineRule="auto"/>
        <w:rPr>
          <w:sz w:val="20"/>
          <w:szCs w:val="20"/>
          <w:color w:val="auto"/>
        </w:rPr>
      </w:pPr>
      <w:r>
        <w:rPr>
          <w:rFonts w:ascii="Arial" w:cs="Arial" w:eastAsia="Arial" w:hAnsi="Arial"/>
          <w:sz w:val="11"/>
          <w:szCs w:val="11"/>
          <w:color w:val="auto"/>
        </w:rPr>
        <w:t>The $1.7 million increase in facility expenses for the six months ended June 30, 2017, as compared to the six months ended June 30, 2016, was primarily due to the addition of our New Haven facility that we acquired with the Kolltan acquisition and higher depreciation expense of $0.9 million. In March 2017, the Company terminated its lease in Branford, CT and consolidated its Connecticut operations in its New Haven facility.</w:t>
      </w:r>
    </w:p>
    <w:p>
      <w:pPr>
        <w:spacing w:after="0" w:line="92" w:lineRule="exact"/>
        <w:rPr>
          <w:sz w:val="20"/>
          <w:szCs w:val="20"/>
          <w:color w:val="auto"/>
        </w:rPr>
      </w:pPr>
    </w:p>
    <w:p>
      <w:pPr>
        <w:ind w:right="120" w:firstLine="432"/>
        <w:spacing w:after="0" w:line="276" w:lineRule="auto"/>
        <w:rPr>
          <w:sz w:val="20"/>
          <w:szCs w:val="20"/>
          <w:color w:val="auto"/>
        </w:rPr>
      </w:pPr>
      <w:r>
        <w:rPr>
          <w:rFonts w:ascii="Arial" w:cs="Arial" w:eastAsia="Arial" w:hAnsi="Arial"/>
          <w:sz w:val="12"/>
          <w:szCs w:val="12"/>
          <w:color w:val="auto"/>
        </w:rPr>
        <w:t>The $0.1 million decrease in license fees expense for the six months ended June 30, 2017, as compared to the six months ended June 30, 2016, was due to the timing of certain development and/or regulatory milestones achieved by our drug candidates.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310755" cy="241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310755" cy="24130"/>
                    </a:xfrm>
                    <a:prstGeom prst="rect">
                      <a:avLst/>
                    </a:prstGeom>
                    <a:noFill/>
                  </pic:spPr>
                </pic:pic>
              </a:graphicData>
            </a:graphic>
          </wp:anchor>
        </w:drawing>
      </w:r>
    </w:p>
    <w:p>
      <w:pPr>
        <w:spacing w:after="0" w:line="319" w:lineRule="exact"/>
        <w:rPr>
          <w:sz w:val="20"/>
          <w:szCs w:val="20"/>
          <w:color w:val="auto"/>
        </w:rPr>
      </w:pPr>
    </w:p>
    <w:p>
      <w:pPr>
        <w:spacing w:after="0"/>
        <w:rPr>
          <w:rFonts w:ascii="Arial" w:cs="Arial" w:eastAsia="Arial" w:hAnsi="Arial"/>
          <w:sz w:val="12"/>
          <w:szCs w:val="12"/>
          <w:u w:val="single" w:color="auto"/>
          <w:color w:val="0000EE"/>
        </w:rPr>
      </w:pPr>
      <w:hyperlink w:anchor="page1">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jc w:val="both"/>
        <w:ind w:right="180" w:firstLine="432"/>
        <w:spacing w:after="0" w:line="263" w:lineRule="auto"/>
        <w:rPr>
          <w:sz w:val="20"/>
          <w:szCs w:val="20"/>
          <w:color w:val="auto"/>
        </w:rPr>
      </w:pPr>
      <w:r>
        <w:rPr>
          <w:rFonts w:ascii="Arial" w:cs="Arial" w:eastAsia="Arial" w:hAnsi="Arial"/>
          <w:sz w:val="12"/>
          <w:szCs w:val="12"/>
          <w:color w:val="auto"/>
        </w:rPr>
        <w:t>The $6.6 million decrease in product development expenses for the six months ended June 30, 2017, as compared to the six months ended June 30, 2016, was primarily the result of decreases in varlilumab and Rintega contract manufacturing expenses of $5.1 million and $2.6 million, respectively, partially offset by an increase in glembatumumab vedotin contract manufacturing expenses of $3.4 million. A decrease in Rintega clinical trial costs of $4.9 million was partially offset by increases in glembatumumab vedotin, CDX-0158 and CDX-3379 clinical trial costs of $2.9 million.</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Loss on Fair Value Remeasurement of Contingent Consideration</w:t>
      </w:r>
    </w:p>
    <w:p>
      <w:pPr>
        <w:spacing w:after="0" w:line="150" w:lineRule="exact"/>
        <w:rPr>
          <w:sz w:val="20"/>
          <w:szCs w:val="20"/>
          <w:color w:val="auto"/>
        </w:rPr>
      </w:pPr>
    </w:p>
    <w:p>
      <w:pPr>
        <w:ind w:right="60" w:firstLine="432"/>
        <w:spacing w:after="0" w:line="276" w:lineRule="auto"/>
        <w:rPr>
          <w:sz w:val="20"/>
          <w:szCs w:val="20"/>
          <w:color w:val="auto"/>
        </w:rPr>
      </w:pPr>
      <w:r>
        <w:rPr>
          <w:rFonts w:ascii="Arial" w:cs="Arial" w:eastAsia="Arial" w:hAnsi="Arial"/>
          <w:sz w:val="12"/>
          <w:szCs w:val="12"/>
          <w:color w:val="auto"/>
        </w:rPr>
        <w:t>The $4.4 million loss on fair value remeasurement of contingent consideration for the six months ended June 30, 2017 relates to an increase in the estimate of the fair value of the contingent consideration primarily due to changes in discount rates and the passage of time.</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General and Administrative Expense</w:t>
      </w:r>
    </w:p>
    <w:p>
      <w:pPr>
        <w:spacing w:after="0" w:line="150" w:lineRule="exact"/>
        <w:rPr>
          <w:sz w:val="20"/>
          <w:szCs w:val="20"/>
          <w:color w:val="auto"/>
        </w:rPr>
      </w:pPr>
    </w:p>
    <w:p>
      <w:pPr>
        <w:ind w:right="40" w:firstLine="432"/>
        <w:spacing w:after="0" w:line="276" w:lineRule="auto"/>
        <w:rPr>
          <w:sz w:val="20"/>
          <w:szCs w:val="20"/>
          <w:color w:val="auto"/>
        </w:rPr>
      </w:pPr>
      <w:r>
        <w:rPr>
          <w:rFonts w:ascii="Arial" w:cs="Arial" w:eastAsia="Arial" w:hAnsi="Arial"/>
          <w:sz w:val="12"/>
          <w:szCs w:val="12"/>
          <w:color w:val="auto"/>
        </w:rPr>
        <w:t>The $3.3 million decrease in general and administrative expenses for the six months ended June 30, 2017, as compared to the six months ended June 30, 2016, was primarily due to lower commercial planning costs of $2.4 million and lower stock-based compensation of $0.9 million.</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Amortization Expense</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Amortization expenses for the six months ended June 30, 2017 were relatively consistent as compared to the six months ended June 30, 2016.</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Investment and Other Income, Net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1"/>
          <w:szCs w:val="11"/>
          <w:color w:val="auto"/>
        </w:rPr>
        <w:t>The $0.2 million decrease in investment and other income, net for the six months ended June 30, 2017, as compared to the six months ended June 30, 2016, was primarily due to lower levels of cash and investment balances.</w:t>
      </w:r>
    </w:p>
    <w:p>
      <w:pPr>
        <w:spacing w:after="0" w:line="15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LIQUIDITY AND CAPITAL RESOURCES</w:t>
      </w:r>
    </w:p>
    <w:p>
      <w:pPr>
        <w:spacing w:after="0" w:line="154" w:lineRule="exact"/>
        <w:rPr>
          <w:sz w:val="20"/>
          <w:szCs w:val="20"/>
          <w:color w:val="auto"/>
        </w:rPr>
      </w:pPr>
    </w:p>
    <w:p>
      <w:pPr>
        <w:ind w:firstLine="432"/>
        <w:spacing w:after="0" w:line="259" w:lineRule="auto"/>
        <w:rPr>
          <w:sz w:val="20"/>
          <w:szCs w:val="20"/>
          <w:color w:val="auto"/>
        </w:rPr>
      </w:pPr>
      <w:r>
        <w:rPr>
          <w:rFonts w:ascii="Arial" w:cs="Arial" w:eastAsia="Arial" w:hAnsi="Arial"/>
          <w:sz w:val="12"/>
          <w:szCs w:val="12"/>
          <w:color w:val="auto"/>
        </w:rPr>
        <w:t>Our cash equivalents are highly liquid investments with a maturity of three months or less at the date of purchase and consist primarily of investments in money market mutual funds with commercial banks and financial institutions. We maintain cash balances with financial institutions in excess of insured limits. We do not anticipate any losses with respect to such cash balances. We invest our excess cash balances in marketable securities including municipal bond securities, U.S. government agency securities, and high-grade corporate bonds that meet high credit quality standards, as specified in our investment policy. Our investment policy seeks to manage these assets to achieve our goals of preserving principal and maintaining adequate liquidity.</w:t>
      </w:r>
    </w:p>
    <w:p>
      <w:pPr>
        <w:spacing w:after="0" w:line="125" w:lineRule="exact"/>
        <w:rPr>
          <w:sz w:val="20"/>
          <w:szCs w:val="20"/>
          <w:color w:val="auto"/>
        </w:rPr>
      </w:pPr>
    </w:p>
    <w:p>
      <w:pPr>
        <w:ind w:right="80" w:firstLine="432"/>
        <w:spacing w:after="0" w:line="259" w:lineRule="auto"/>
        <w:rPr>
          <w:sz w:val="20"/>
          <w:szCs w:val="20"/>
          <w:color w:val="auto"/>
        </w:rPr>
      </w:pPr>
      <w:r>
        <w:rPr>
          <w:rFonts w:ascii="Arial" w:cs="Arial" w:eastAsia="Arial" w:hAnsi="Arial"/>
          <w:sz w:val="12"/>
          <w:szCs w:val="12"/>
          <w:color w:val="auto"/>
        </w:rPr>
        <w:t>The use of our cash flows for operations has primarily consisted of salaries and wages for our employees; facility and facility-related costs for our offices, laboratories and manufacturing facility; fees paid in connection with preclinical studies, clinical studies, contract manufacturing, laboratory supplies and services; and consulting, legal and other professional fees. To date, the primary sources of cash flows from operations have been payments received from our collaborative partners and from government entities. The timing of any new collaboration agreements, government contracts or grants and any payments under these agreements, contracts or grants cannot be easily predicted and may vary significantly from quarter to quarter.</w:t>
      </w:r>
    </w:p>
    <w:p>
      <w:pPr>
        <w:spacing w:after="0" w:line="125" w:lineRule="exact"/>
        <w:rPr>
          <w:sz w:val="20"/>
          <w:szCs w:val="20"/>
          <w:color w:val="auto"/>
        </w:rPr>
      </w:pPr>
    </w:p>
    <w:p>
      <w:pPr>
        <w:ind w:right="160" w:firstLine="432"/>
        <w:spacing w:after="0" w:line="259" w:lineRule="auto"/>
        <w:rPr>
          <w:sz w:val="20"/>
          <w:szCs w:val="20"/>
          <w:color w:val="auto"/>
        </w:rPr>
      </w:pPr>
      <w:r>
        <w:rPr>
          <w:rFonts w:ascii="Arial" w:cs="Arial" w:eastAsia="Arial" w:hAnsi="Arial"/>
          <w:sz w:val="12"/>
          <w:szCs w:val="12"/>
          <w:color w:val="auto"/>
        </w:rPr>
        <w:t>At June 30, 2017, our principal sources of liquidity consisted of cash, cash equivalents and marketable securities of $154.0 million. We have had recurring losses and incurred a net loss of $62.8 million for the six months ended June 30, 2017. Net cash used in operations for the six months ended June 30, 2017 was $56.0 million. We believe that the cash, cash equivalents and marketable securities at June 30, 2017 combined with the anticipated proceeds from future sales of our common stock under the Cantor agreement, are sufficient to meet estimated working capital requirements and fund planned operations through 2018; however, this could be impacted if we elected to pay Kolltan contingent milestones, if any, in cash.</w:t>
      </w:r>
    </w:p>
    <w:p>
      <w:pPr>
        <w:spacing w:after="0" w:line="125" w:lineRule="exact"/>
        <w:rPr>
          <w:sz w:val="20"/>
          <w:szCs w:val="20"/>
          <w:color w:val="auto"/>
        </w:rPr>
      </w:pPr>
    </w:p>
    <w:p>
      <w:pPr>
        <w:ind w:right="120" w:firstLine="432"/>
        <w:spacing w:after="0" w:line="255" w:lineRule="auto"/>
        <w:rPr>
          <w:sz w:val="20"/>
          <w:szCs w:val="20"/>
          <w:color w:val="auto"/>
        </w:rPr>
      </w:pPr>
      <w:r>
        <w:rPr>
          <w:rFonts w:ascii="Arial" w:cs="Arial" w:eastAsia="Arial" w:hAnsi="Arial"/>
          <w:sz w:val="12"/>
          <w:szCs w:val="12"/>
          <w:color w:val="auto"/>
        </w:rPr>
        <w:t>During the next twelve months, we will take further steps to raise additional capital to meet our liquidity needs. Our capital raising activities may include, but may not be limited to, one or more of the following: the licensing of drug candidates with existing or new collaborative partners, possible business combinations, issuance of debt, or the issuance of common stock or other securities via private placements or public offerings. While we may seek capital through a number of means, there can be no assurance that additional financing will be available on acceptable terms, if at all, and our negotiating position in capital-raising efforts may worsen as existing resources are used. There is also no assurance that we will be able to enter into further collaborative relationships. Additional equity financings may be dilutive to our stockholders; debt financing, if available, may involve significant cash payment obligations and covenants that restrict our ability to operate as a business; and licensing or strategic collaborations may result in royalties or other terms which reduce our economic potential from products under development. Our ability to continue funding our</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310755" cy="241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310755" cy="24130"/>
                    </a:xfrm>
                    <a:prstGeom prst="rect">
                      <a:avLst/>
                    </a:prstGeom>
                    <a:noFill/>
                  </pic:spPr>
                </pic:pic>
              </a:graphicData>
            </a:graphic>
          </wp:anchor>
        </w:drawing>
      </w:r>
    </w:p>
    <w:p>
      <w:pPr>
        <w:spacing w:after="0" w:line="319" w:lineRule="exact"/>
        <w:rPr>
          <w:sz w:val="20"/>
          <w:szCs w:val="20"/>
          <w:color w:val="auto"/>
        </w:rPr>
      </w:pPr>
    </w:p>
    <w:p>
      <w:pPr>
        <w:spacing w:after="0"/>
        <w:rPr>
          <w:rFonts w:ascii="Arial" w:cs="Arial" w:eastAsia="Arial" w:hAnsi="Arial"/>
          <w:sz w:val="12"/>
          <w:szCs w:val="12"/>
          <w:u w:val="single" w:color="auto"/>
          <w:color w:val="0000EE"/>
        </w:rPr>
      </w:pPr>
      <w:hyperlink w:anchor="page1">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spacing w:after="0" w:line="259" w:lineRule="auto"/>
        <w:rPr>
          <w:sz w:val="20"/>
          <w:szCs w:val="20"/>
          <w:color w:val="auto"/>
        </w:rPr>
      </w:pPr>
      <w:r>
        <w:rPr>
          <w:rFonts w:ascii="Arial" w:cs="Arial" w:eastAsia="Arial" w:hAnsi="Arial"/>
          <w:sz w:val="12"/>
          <w:szCs w:val="12"/>
          <w:color w:val="auto"/>
        </w:rPr>
        <w:t>planned operations into and beyond twelve months from the issuance date is also dependent on the timing and manner of payment of future contingent milestones from the Kolltan acquisition, in the event that we achieve the drug candidate milestones related to those payments. We may decide to pay those milestone payments in cash, shares of our common stock or a combination thereof. If we are unable to raise the funds necessary to meet our liquidity needs, we may have to delay or discontinue the development of one or more programs, discontinue or delay ongoing or anticipated clinical trials, license out programs earlier than expected, raise funds at a significant discount or on other unfavorable terms, if at all, or sell all or a part of our business.</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Operating Activities</w:t>
      </w:r>
    </w:p>
    <w:p>
      <w:pPr>
        <w:spacing w:after="0" w:line="150" w:lineRule="exact"/>
        <w:rPr>
          <w:sz w:val="20"/>
          <w:szCs w:val="20"/>
          <w:color w:val="auto"/>
        </w:rPr>
      </w:pPr>
    </w:p>
    <w:p>
      <w:pPr>
        <w:jc w:val="both"/>
        <w:ind w:right="340" w:firstLine="432"/>
        <w:spacing w:after="0" w:line="263" w:lineRule="auto"/>
        <w:rPr>
          <w:sz w:val="20"/>
          <w:szCs w:val="20"/>
          <w:color w:val="auto"/>
        </w:rPr>
      </w:pPr>
      <w:r>
        <w:rPr>
          <w:rFonts w:ascii="Arial" w:cs="Arial" w:eastAsia="Arial" w:hAnsi="Arial"/>
          <w:sz w:val="12"/>
          <w:szCs w:val="12"/>
          <w:color w:val="auto"/>
        </w:rPr>
        <w:t>Net cash used in operating activities was $56.0 million for the six months ended June 30, 2017 as compared to $68.7 million for the six months ended June 30, 2016. The decrease in net cash used in operating activities was primarily due to a decrease in net loss of $3.8 million and changes in operating assets and liabilities. We expect that cash used in operating activities will decrease over the next twelve months, although there may be fluctuations on a quarterly basis.</w:t>
      </w:r>
    </w:p>
    <w:p>
      <w:pPr>
        <w:spacing w:after="0" w:line="123" w:lineRule="exact"/>
        <w:rPr>
          <w:sz w:val="20"/>
          <w:szCs w:val="20"/>
          <w:color w:val="auto"/>
        </w:rPr>
      </w:pPr>
    </w:p>
    <w:p>
      <w:pPr>
        <w:jc w:val="both"/>
        <w:ind w:right="40" w:firstLine="432"/>
        <w:spacing w:after="0" w:line="263" w:lineRule="auto"/>
        <w:rPr>
          <w:sz w:val="20"/>
          <w:szCs w:val="20"/>
          <w:color w:val="auto"/>
        </w:rPr>
      </w:pPr>
      <w:r>
        <w:rPr>
          <w:rFonts w:ascii="Arial" w:cs="Arial" w:eastAsia="Arial" w:hAnsi="Arial"/>
          <w:sz w:val="12"/>
          <w:szCs w:val="12"/>
          <w:color w:val="auto"/>
        </w:rPr>
        <w:t>We have incurred and will continue to incur significant costs in the area of research and development, including preclinical studies and clinical trials, as our drug candidates are developed. We plan to spend significant amounts to progress our current drug candidates through the clinical trial and commercialization process as well as to develop additional drug candidates. As our drug candidates progress through the clinical trial process, we may be obligated to make significant milestone payments.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Investing Activities</w:t>
      </w:r>
    </w:p>
    <w:p>
      <w:pPr>
        <w:spacing w:after="0" w:line="150" w:lineRule="exact"/>
        <w:rPr>
          <w:sz w:val="20"/>
          <w:szCs w:val="20"/>
          <w:color w:val="auto"/>
        </w:rPr>
      </w:pPr>
    </w:p>
    <w:p>
      <w:pPr>
        <w:ind w:right="160" w:firstLine="432"/>
        <w:spacing w:after="0" w:line="323" w:lineRule="auto"/>
        <w:rPr>
          <w:sz w:val="20"/>
          <w:szCs w:val="20"/>
          <w:color w:val="auto"/>
        </w:rPr>
      </w:pPr>
      <w:r>
        <w:rPr>
          <w:rFonts w:ascii="Arial" w:cs="Arial" w:eastAsia="Arial" w:hAnsi="Arial"/>
          <w:sz w:val="11"/>
          <w:szCs w:val="11"/>
          <w:color w:val="auto"/>
        </w:rPr>
        <w:t>Net cash provided by investing activities was $58.2 million for the six months ended June 30, 2017 as compared to $26.2 million for the six months ended June 30, 2016. The increase in net cash provided by investing activities was primarily due to net sales and maturities of marketable securities for the six months ended June 30, 2017 of $59.5 million as compared to $29.3 million for the six months ended June 30, 2016.</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Financing Activities</w:t>
      </w:r>
    </w:p>
    <w:p>
      <w:pPr>
        <w:spacing w:after="0" w:line="150" w:lineRule="exact"/>
        <w:rPr>
          <w:sz w:val="20"/>
          <w:szCs w:val="20"/>
          <w:color w:val="auto"/>
        </w:rPr>
      </w:pPr>
    </w:p>
    <w:p>
      <w:pPr>
        <w:ind w:right="320" w:firstLine="432"/>
        <w:spacing w:after="0" w:line="276" w:lineRule="auto"/>
        <w:rPr>
          <w:sz w:val="20"/>
          <w:szCs w:val="20"/>
          <w:color w:val="auto"/>
        </w:rPr>
      </w:pPr>
      <w:r>
        <w:rPr>
          <w:rFonts w:ascii="Arial" w:cs="Arial" w:eastAsia="Arial" w:hAnsi="Arial"/>
          <w:sz w:val="12"/>
          <w:szCs w:val="12"/>
          <w:color w:val="auto"/>
        </w:rPr>
        <w:t>Net cash provided by financing activities was $21.6 million for the six months ended June 30, 2017 compared to $2.9 million for the six months ended June 30, 2016. Net proceeds from stock issuances pursuant to employee benefit plans were $0.1 million during the six months ended June 30, 2017 as compared to $0.3 million for the six months ended June 30, 2016.</w:t>
      </w:r>
    </w:p>
    <w:p>
      <w:pPr>
        <w:spacing w:after="0" w:line="115" w:lineRule="exact"/>
        <w:rPr>
          <w:sz w:val="20"/>
          <w:szCs w:val="20"/>
          <w:color w:val="auto"/>
        </w:rPr>
      </w:pPr>
    </w:p>
    <w:p>
      <w:pPr>
        <w:ind w:right="20" w:firstLine="432"/>
        <w:spacing w:after="0" w:line="263" w:lineRule="auto"/>
        <w:rPr>
          <w:sz w:val="20"/>
          <w:szCs w:val="20"/>
          <w:color w:val="auto"/>
        </w:rPr>
      </w:pPr>
      <w:r>
        <w:rPr>
          <w:rFonts w:ascii="Arial" w:cs="Arial" w:eastAsia="Arial" w:hAnsi="Arial"/>
          <w:sz w:val="12"/>
          <w:szCs w:val="12"/>
          <w:color w:val="auto"/>
        </w:rPr>
        <w:t>In May 2016, we entered into an agreement with Cantor Fitzgerald &amp; Co. to allow us to issue and sell shares of our common stock having an aggregate offering price of up to $60.0 million from time to time through Cantor, acting as agent. During the six months ended June 30, 2017 and 2016, we issued 6,731,066 and 593,111 shares under the agreement and raised $21.5 million and $2.7 million in net proceeds, respectively. At June 30, 2017, we had $23.1 million remaining in aggregate offering price available under the agreement.</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AGGREGATE CONTRACTUAL OBLIGATIONS</w:t>
      </w:r>
    </w:p>
    <w:p>
      <w:pPr>
        <w:spacing w:after="0" w:line="154" w:lineRule="exact"/>
        <w:rPr>
          <w:sz w:val="20"/>
          <w:szCs w:val="20"/>
          <w:color w:val="auto"/>
        </w:rPr>
      </w:pPr>
    </w:p>
    <w:p>
      <w:pPr>
        <w:ind w:right="140" w:firstLine="432"/>
        <w:spacing w:after="0" w:line="276" w:lineRule="auto"/>
        <w:rPr>
          <w:sz w:val="20"/>
          <w:szCs w:val="20"/>
          <w:color w:val="auto"/>
        </w:rPr>
      </w:pPr>
      <w:r>
        <w:rPr>
          <w:rFonts w:ascii="Arial" w:cs="Arial" w:eastAsia="Arial" w:hAnsi="Arial"/>
          <w:sz w:val="12"/>
          <w:szCs w:val="12"/>
          <w:color w:val="auto"/>
        </w:rPr>
        <w:t>The disclosures relating to our contractual obligations reported in our Annual Report on Form 10-K for the year ended December 31, 2016 which was filed with the SEC on March 14, 2017 have not materially changed since we filed that report.</w:t>
      </w:r>
    </w:p>
    <w:p>
      <w:pPr>
        <w:spacing w:after="0" w:line="111" w:lineRule="exact"/>
        <w:rPr>
          <w:sz w:val="20"/>
          <w:szCs w:val="20"/>
          <w:color w:val="auto"/>
        </w:rPr>
      </w:pPr>
    </w:p>
    <w:p>
      <w:pPr>
        <w:spacing w:after="0"/>
        <w:tabs>
          <w:tab w:leader="none" w:pos="560" w:val="left"/>
        </w:tabs>
        <w:rPr>
          <w:sz w:val="20"/>
          <w:szCs w:val="20"/>
          <w:color w:val="auto"/>
        </w:rPr>
      </w:pPr>
      <w:r>
        <w:rPr>
          <w:rFonts w:ascii="Arial" w:cs="Arial" w:eastAsia="Arial" w:hAnsi="Arial"/>
          <w:sz w:val="12"/>
          <w:szCs w:val="12"/>
          <w:b w:val="1"/>
          <w:bCs w:val="1"/>
          <w:color w:val="auto"/>
        </w:rPr>
        <w:t>Item 3.</w:t>
      </w:r>
      <w:r>
        <w:rPr>
          <w:sz w:val="20"/>
          <w:szCs w:val="20"/>
          <w:color w:val="auto"/>
        </w:rPr>
        <w:tab/>
      </w:r>
      <w:r>
        <w:rPr>
          <w:rFonts w:ascii="Arial" w:cs="Arial" w:eastAsia="Arial" w:hAnsi="Arial"/>
          <w:sz w:val="10"/>
          <w:szCs w:val="10"/>
          <w:b w:val="1"/>
          <w:bCs w:val="1"/>
          <w:u w:val="single" w:color="auto"/>
          <w:color w:val="auto"/>
        </w:rPr>
        <w:t>Quantitative and Qualitative Disclosures about Market Risk</w:t>
      </w:r>
    </w:p>
    <w:p>
      <w:pPr>
        <w:spacing w:after="0" w:line="154" w:lineRule="exact"/>
        <w:rPr>
          <w:sz w:val="20"/>
          <w:szCs w:val="20"/>
          <w:color w:val="auto"/>
        </w:rPr>
      </w:pPr>
    </w:p>
    <w:p>
      <w:pPr>
        <w:ind w:right="20" w:firstLine="432"/>
        <w:spacing w:after="0" w:line="286" w:lineRule="auto"/>
        <w:rPr>
          <w:sz w:val="20"/>
          <w:szCs w:val="20"/>
          <w:color w:val="auto"/>
        </w:rPr>
      </w:pPr>
      <w:r>
        <w:rPr>
          <w:rFonts w:ascii="Arial" w:cs="Arial" w:eastAsia="Arial" w:hAnsi="Arial"/>
          <w:sz w:val="11"/>
          <w:szCs w:val="11"/>
          <w:color w:val="auto"/>
        </w:rPr>
        <w:t>We own financial instruments that are sensitive to market risk as part of our investment portfolio. Our investment portfolio is used to preserve our capital until it is used to fund operations, including our research and development activities. None of these market-risk sensitive instruments are held for trading purposes. We invest our cash primarily in money market mutual funds. These investments are evaluated quarterly to determine the fair value of the portfolio. From time to time, we invest our excess cash balances in marketable securities including municipal bond securities, U.S. government agency securities, and high-grade corporate bonds that meet high credit quality standards, as specified in our investment policy. Our investment policy seeks to manage these assets to achieve our goals of preserving principal and maintaining adequate liquidity. Because of the short-term nature of these investments, we do not believe we have material exposure due to market risk. The impact to our financial position and results of operations from likely changes in interest rates is not material.</w:t>
      </w:r>
    </w:p>
    <w:p>
      <w:pPr>
        <w:spacing w:after="0" w:line="111"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color w:val="auto"/>
        </w:rPr>
        <w:t>We do not utilize derivative financial instruments. The carrying amounts reflected in the consolidated balance sheet of cash and cash equivalents, accounts receivables and accounts payable approximates fair value at June 30, 2017 due to the short-term maturities of these instruments.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310755" cy="241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310755" cy="24130"/>
                    </a:xfrm>
                    <a:prstGeom prst="rect">
                      <a:avLst/>
                    </a:prstGeom>
                    <a:noFill/>
                  </pic:spPr>
                </pic:pic>
              </a:graphicData>
            </a:graphic>
          </wp:anchor>
        </w:drawing>
      </w:r>
    </w:p>
    <w:p>
      <w:pPr>
        <w:spacing w:after="0" w:line="319" w:lineRule="exact"/>
        <w:rPr>
          <w:sz w:val="20"/>
          <w:szCs w:val="20"/>
          <w:color w:val="auto"/>
        </w:rPr>
      </w:pPr>
    </w:p>
    <w:p>
      <w:pPr>
        <w:spacing w:after="0"/>
        <w:rPr>
          <w:rFonts w:ascii="Arial" w:cs="Arial" w:eastAsia="Arial" w:hAnsi="Arial"/>
          <w:sz w:val="12"/>
          <w:szCs w:val="12"/>
          <w:u w:val="single" w:color="auto"/>
          <w:color w:val="0000EE"/>
        </w:rPr>
      </w:pPr>
      <w:hyperlink w:anchor="page1">
        <w:r>
          <w:rPr>
            <w:rFonts w:ascii="Arial" w:cs="Arial" w:eastAsia="Arial" w:hAnsi="Arial"/>
            <w:sz w:val="12"/>
            <w:szCs w:val="12"/>
            <w:u w:val="single" w:color="auto"/>
            <w:color w:val="0000EE"/>
          </w:rPr>
          <w:t>Table of Contents</w:t>
        </w:r>
      </w:hyperlink>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Item 4. </w:t>
      </w:r>
      <w:r>
        <w:rPr>
          <w:rFonts w:ascii="Arial" w:cs="Arial" w:eastAsia="Arial" w:hAnsi="Arial"/>
          <w:sz w:val="12"/>
          <w:szCs w:val="12"/>
          <w:b w:val="1"/>
          <w:bCs w:val="1"/>
          <w:u w:val="single" w:color="auto"/>
          <w:color w:val="auto"/>
        </w:rPr>
        <w:t>Controls and Procedures</w:t>
      </w:r>
    </w:p>
    <w:p>
      <w:pPr>
        <w:sectPr>
          <w:pgSz w:w="11900" w:h="16885" w:orient="portrait"/>
          <w:cols w:equalWidth="0" w:num="1">
            <w:col w:w="11460"/>
          </w:cols>
          <w:pgMar w:left="220" w:top="275" w:right="219" w:bottom="0" w:gutter="0" w:footer="0" w:header="0"/>
        </w:sectPr>
      </w:pPr>
    </w:p>
    <w:bookmarkStart w:id="12" w:name="page13"/>
    <w:bookmarkEnd w:id="12"/>
    <w:p>
      <w:pPr>
        <w:spacing w:after="0"/>
        <w:rPr>
          <w:sz w:val="20"/>
          <w:szCs w:val="20"/>
          <w:color w:val="auto"/>
        </w:rPr>
      </w:pPr>
      <w:r>
        <w:rPr>
          <w:rFonts w:ascii="Arial" w:cs="Arial" w:eastAsia="Arial" w:hAnsi="Arial"/>
          <w:sz w:val="12"/>
          <w:szCs w:val="12"/>
          <w:i w:val="1"/>
          <w:iCs w:val="1"/>
          <w:color w:val="auto"/>
        </w:rPr>
        <w:t>Evaluation of Disclosure Controls and Procedures.</w:t>
      </w:r>
    </w:p>
    <w:p>
      <w:pPr>
        <w:spacing w:after="0" w:line="150" w:lineRule="exact"/>
        <w:rPr>
          <w:sz w:val="20"/>
          <w:szCs w:val="20"/>
          <w:color w:val="auto"/>
        </w:rPr>
      </w:pPr>
    </w:p>
    <w:p>
      <w:pPr>
        <w:ind w:right="100" w:firstLine="432"/>
        <w:spacing w:after="0" w:line="257" w:lineRule="auto"/>
        <w:rPr>
          <w:sz w:val="20"/>
          <w:szCs w:val="20"/>
          <w:color w:val="auto"/>
        </w:rPr>
      </w:pPr>
      <w:r>
        <w:rPr>
          <w:rFonts w:ascii="Arial" w:cs="Arial" w:eastAsia="Arial" w:hAnsi="Arial"/>
          <w:sz w:val="12"/>
          <w:szCs w:val="12"/>
          <w:color w:val="auto"/>
        </w:rPr>
        <w:t>As of June 30, 2017, we evaluated, with the participation of our Chief Executive Officer and Chief Financial Officer, the effectiveness of our disclosure controls and procedures (as defined in Rules 13a-15(e) and 15d-15(e) under the Securities Exchange Act of 1934, as amended (the “Exchange Act”)). Based on that evaluation, our Chief Executive Officer and Chief Financial Officer concluded that our disclosure controls and procedures were effective at the reasonable assurance level as of June 30, 2017. Our disclosure controls and procedures are designed to provide reasonable assurance that information required to be disclosed in the reports that we file or submit under the Exchange Act is recorded, processed, summarized and reported within time periods specified by the SEC’s rules and forms, and that such information is accumulated and communicated to our management, including our Chief Executive Officer and Chief Financial Officer, as appropriate to allow timely decisions regarding required disclosure.</w:t>
      </w:r>
    </w:p>
    <w:p>
      <w:pPr>
        <w:spacing w:after="0" w:line="12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Changes in Internal Control Over Financial Reporting.</w:t>
      </w:r>
    </w:p>
    <w:p>
      <w:pPr>
        <w:spacing w:after="0" w:line="150" w:lineRule="exact"/>
        <w:rPr>
          <w:sz w:val="20"/>
          <w:szCs w:val="20"/>
          <w:color w:val="auto"/>
        </w:rPr>
      </w:pPr>
    </w:p>
    <w:p>
      <w:pPr>
        <w:jc w:val="center"/>
        <w:ind w:left="360"/>
        <w:spacing w:after="0"/>
        <w:rPr>
          <w:sz w:val="20"/>
          <w:szCs w:val="20"/>
          <w:color w:val="auto"/>
        </w:rPr>
      </w:pPr>
      <w:r>
        <w:rPr>
          <w:rFonts w:ascii="Arial" w:cs="Arial" w:eastAsia="Arial" w:hAnsi="Arial"/>
          <w:sz w:val="11"/>
          <w:szCs w:val="11"/>
          <w:color w:val="auto"/>
        </w:rPr>
        <w:t>There were no changes in our internal control over financial reporting during the quarter ended June 30, 2017 that have materially affected, or are reasonably likely to materially affect, our internal control over financial reporting.</w:t>
      </w:r>
    </w:p>
    <w:p>
      <w:pPr>
        <w:spacing w:after="0" w:line="162"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310755" cy="241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310755" cy="24130"/>
                    </a:xfrm>
                    <a:prstGeom prst="rect">
                      <a:avLst/>
                    </a:prstGeom>
                    <a:noFill/>
                  </pic:spPr>
                </pic:pic>
              </a:graphicData>
            </a:graphic>
          </wp:anchor>
        </w:drawing>
      </w:r>
    </w:p>
    <w:p>
      <w:pPr>
        <w:spacing w:after="0" w:line="319" w:lineRule="exact"/>
        <w:rPr>
          <w:sz w:val="20"/>
          <w:szCs w:val="20"/>
          <w:color w:val="auto"/>
        </w:rPr>
      </w:pPr>
    </w:p>
    <w:p>
      <w:pPr>
        <w:spacing w:after="0"/>
        <w:rPr>
          <w:rFonts w:ascii="Arial" w:cs="Arial" w:eastAsia="Arial" w:hAnsi="Arial"/>
          <w:sz w:val="12"/>
          <w:szCs w:val="12"/>
          <w:u w:val="single" w:color="auto"/>
          <w:color w:val="0000EE"/>
        </w:rPr>
      </w:pPr>
      <w:hyperlink w:anchor="page1">
        <w:r>
          <w:rPr>
            <w:rFonts w:ascii="Arial" w:cs="Arial" w:eastAsia="Arial" w:hAnsi="Arial"/>
            <w:sz w:val="12"/>
            <w:szCs w:val="12"/>
            <w:u w:val="single" w:color="auto"/>
            <w:color w:val="0000EE"/>
          </w:rPr>
          <w:t>Table of Contents</w:t>
        </w:r>
      </w:hyperlink>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PART II — OTHER INFORMATION</w:t>
      </w:r>
    </w:p>
    <w:p>
      <w:pPr>
        <w:spacing w:after="0" w:line="150" w:lineRule="exact"/>
        <w:rPr>
          <w:sz w:val="20"/>
          <w:szCs w:val="20"/>
          <w:color w:val="auto"/>
        </w:rPr>
      </w:pPr>
    </w:p>
    <w:p>
      <w:pPr>
        <w:spacing w:after="0"/>
        <w:tabs>
          <w:tab w:leader="none" w:pos="560" w:val="left"/>
        </w:tabs>
        <w:rPr>
          <w:sz w:val="20"/>
          <w:szCs w:val="20"/>
          <w:color w:val="auto"/>
        </w:rPr>
      </w:pPr>
      <w:r>
        <w:rPr>
          <w:rFonts w:ascii="Arial" w:cs="Arial" w:eastAsia="Arial" w:hAnsi="Arial"/>
          <w:sz w:val="12"/>
          <w:szCs w:val="12"/>
          <w:b w:val="1"/>
          <w:bCs w:val="1"/>
          <w:color w:val="auto"/>
        </w:rPr>
        <w:t>Item 1A.</w:t>
      </w:r>
      <w:r>
        <w:rPr>
          <w:sz w:val="20"/>
          <w:szCs w:val="20"/>
          <w:color w:val="auto"/>
        </w:rPr>
        <w:tab/>
      </w:r>
      <w:r>
        <w:rPr>
          <w:rFonts w:ascii="Arial" w:cs="Arial" w:eastAsia="Arial" w:hAnsi="Arial"/>
          <w:sz w:val="10"/>
          <w:szCs w:val="10"/>
          <w:b w:val="1"/>
          <w:bCs w:val="1"/>
          <w:color w:val="auto"/>
        </w:rPr>
        <w:t>Risk Factors</w:t>
      </w:r>
    </w:p>
    <w:p>
      <w:pPr>
        <w:spacing w:after="0" w:line="154" w:lineRule="exact"/>
        <w:rPr>
          <w:sz w:val="20"/>
          <w:szCs w:val="20"/>
          <w:color w:val="auto"/>
        </w:rPr>
      </w:pPr>
    </w:p>
    <w:p>
      <w:pPr>
        <w:ind w:right="60" w:firstLine="432"/>
        <w:spacing w:after="0" w:line="263" w:lineRule="auto"/>
        <w:rPr>
          <w:sz w:val="20"/>
          <w:szCs w:val="20"/>
          <w:color w:val="auto"/>
        </w:rPr>
      </w:pPr>
      <w:r>
        <w:rPr>
          <w:rFonts w:ascii="Arial" w:cs="Arial" w:eastAsia="Arial" w:hAnsi="Arial"/>
          <w:sz w:val="12"/>
          <w:szCs w:val="12"/>
          <w:color w:val="auto"/>
        </w:rPr>
        <w:t>In addition to the other information set forth in this report, you should carefully consider the factors discussed in Part I, “Item 1A. Risk Factors” in our Annual Report on Form 10-K for the year ended December 31, 2016, which could materially affect our business, financial condition or future results. The risks described in our Annual Report on Form 10-K may not be the only risks facing the Company. Additional risks and uncertainties not currently known to the Company or that the Company currently deems to be immaterial also may materially adversely affect the Company’s business, financial condition and/or operating results.</w:t>
      </w:r>
    </w:p>
    <w:p>
      <w:pPr>
        <w:spacing w:after="0" w:line="12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There were no material changes to the risk factors previously disclosed in our Annual Report on Form 10-K filed with the Securities and Exchange Commission on March 14, 2017.</w:t>
      </w:r>
    </w:p>
    <w:p>
      <w:pPr>
        <w:spacing w:after="0" w:line="146" w:lineRule="exact"/>
        <w:rPr>
          <w:sz w:val="20"/>
          <w:szCs w:val="20"/>
          <w:color w:val="auto"/>
        </w:rPr>
      </w:pPr>
    </w:p>
    <w:p>
      <w:pPr>
        <w:spacing w:after="0"/>
        <w:tabs>
          <w:tab w:leader="none" w:pos="560" w:val="left"/>
        </w:tabs>
        <w:rPr>
          <w:sz w:val="20"/>
          <w:szCs w:val="20"/>
          <w:color w:val="auto"/>
        </w:rPr>
      </w:pPr>
      <w:r>
        <w:rPr>
          <w:rFonts w:ascii="Arial" w:cs="Arial" w:eastAsia="Arial" w:hAnsi="Arial"/>
          <w:sz w:val="12"/>
          <w:szCs w:val="12"/>
          <w:b w:val="1"/>
          <w:bCs w:val="1"/>
          <w:color w:val="auto"/>
        </w:rPr>
        <w:t>Item 6.</w:t>
      </w:r>
      <w:r>
        <w:rPr>
          <w:sz w:val="20"/>
          <w:szCs w:val="20"/>
          <w:color w:val="auto"/>
        </w:rPr>
        <w:tab/>
      </w:r>
      <w:r>
        <w:rPr>
          <w:rFonts w:ascii="Arial" w:cs="Arial" w:eastAsia="Arial" w:hAnsi="Arial"/>
          <w:sz w:val="10"/>
          <w:szCs w:val="10"/>
          <w:b w:val="1"/>
          <w:bCs w:val="1"/>
          <w:color w:val="auto"/>
        </w:rPr>
        <w:t>Exhibits</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exhibits filed as part of this quarterly report on Form 10-Q are listed in the exhibit index immediately preceding the exhibits and are incorporated by reference herein.</w:t>
      </w:r>
    </w:p>
    <w:p>
      <w:pPr>
        <w:spacing w:after="0" w:line="150"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310755" cy="241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310755" cy="24130"/>
                    </a:xfrm>
                    <a:prstGeom prst="rect">
                      <a:avLst/>
                    </a:prstGeom>
                    <a:noFill/>
                  </pic:spPr>
                </pic:pic>
              </a:graphicData>
            </a:graphic>
          </wp:anchor>
        </w:drawing>
      </w:r>
    </w:p>
    <w:p>
      <w:pPr>
        <w:spacing w:after="0" w:line="319" w:lineRule="exact"/>
        <w:rPr>
          <w:sz w:val="20"/>
          <w:szCs w:val="20"/>
          <w:color w:val="auto"/>
        </w:rPr>
      </w:pPr>
    </w:p>
    <w:p>
      <w:pPr>
        <w:spacing w:after="0"/>
        <w:rPr>
          <w:rFonts w:ascii="Arial" w:cs="Arial" w:eastAsia="Arial" w:hAnsi="Arial"/>
          <w:sz w:val="12"/>
          <w:szCs w:val="12"/>
          <w:u w:val="single" w:color="auto"/>
          <w:color w:val="0000EE"/>
        </w:rPr>
      </w:pPr>
      <w:hyperlink w:anchor="page1">
        <w:r>
          <w:rPr>
            <w:rFonts w:ascii="Arial" w:cs="Arial" w:eastAsia="Arial" w:hAnsi="Arial"/>
            <w:sz w:val="12"/>
            <w:szCs w:val="12"/>
            <w:u w:val="single" w:color="auto"/>
            <w:color w:val="0000EE"/>
          </w:rPr>
          <w:t>Table of Contents</w:t>
        </w:r>
      </w:hyperlink>
    </w:p>
    <w:p>
      <w:pPr>
        <w:spacing w:after="0" w:line="146"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SIGNATURES</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thereunto duly authorized.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5740" w:type="dxa"/>
            <w:vAlign w:val="bottom"/>
          </w:tcPr>
          <w:p>
            <w:pPr>
              <w:spacing w:after="0"/>
              <w:rPr>
                <w:sz w:val="20"/>
                <w:szCs w:val="20"/>
                <w:color w:val="auto"/>
              </w:rPr>
            </w:pPr>
            <w:r>
              <w:rPr>
                <w:rFonts w:ascii="Arial" w:cs="Arial" w:eastAsia="Arial" w:hAnsi="Arial"/>
                <w:sz w:val="12"/>
                <w:szCs w:val="12"/>
                <w:b w:val="1"/>
                <w:bCs w:val="1"/>
                <w:color w:val="auto"/>
              </w:rPr>
              <w:t>CELLDEX THERAPEUTICS, INC.</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5740" w:type="dxa"/>
            <w:vAlign w:val="bottom"/>
          </w:tcPr>
          <w:p>
            <w:pPr>
              <w:spacing w:after="0"/>
              <w:rPr>
                <w:sz w:val="20"/>
                <w:szCs w:val="20"/>
                <w:color w:val="auto"/>
              </w:rPr>
            </w:pPr>
            <w:r>
              <w:rPr>
                <w:rFonts w:ascii="Arial" w:cs="Arial" w:eastAsia="Arial" w:hAnsi="Arial"/>
                <w:sz w:val="12"/>
                <w:szCs w:val="12"/>
                <w:color w:val="auto"/>
              </w:rPr>
              <w:t>BY:</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1140" w:type="dxa"/>
            <w:vAlign w:val="bottom"/>
            <w:gridSpan w:val="3"/>
            <w:vMerge w:val="restart"/>
          </w:tcPr>
          <w:p>
            <w:pPr>
              <w:spacing w:after="0"/>
              <w:rPr>
                <w:sz w:val="20"/>
                <w:szCs w:val="20"/>
                <w:color w:val="auto"/>
              </w:rPr>
            </w:pPr>
            <w:r>
              <w:rPr>
                <w:rFonts w:ascii="Arial" w:cs="Arial" w:eastAsia="Arial" w:hAnsi="Arial"/>
                <w:sz w:val="12"/>
                <w:szCs w:val="12"/>
                <w:color w:val="auto"/>
                <w:w w:val="93"/>
              </w:rPr>
              <w:t>Dated: August 8, 2017</w:t>
            </w:r>
          </w:p>
        </w:tc>
        <w:tc>
          <w:tcPr>
            <w:tcW w:w="34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57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ANTHONY S. MARUCCI</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1140" w:type="dxa"/>
            <w:vAlign w:val="bottom"/>
            <w:gridSpan w:val="3"/>
            <w:vMerge w:val="continue"/>
          </w:tcPr>
          <w:p>
            <w:pPr>
              <w:spacing w:after="0"/>
              <w:rPr>
                <w:sz w:val="10"/>
                <w:szCs w:val="10"/>
                <w:color w:val="auto"/>
              </w:rPr>
            </w:pPr>
          </w:p>
        </w:tc>
        <w:tc>
          <w:tcPr>
            <w:tcW w:w="340" w:type="dxa"/>
            <w:vAlign w:val="bottom"/>
          </w:tcPr>
          <w:p>
            <w:pPr>
              <w:spacing w:after="0"/>
              <w:rPr>
                <w:sz w:val="10"/>
                <w:szCs w:val="10"/>
                <w:color w:val="auto"/>
              </w:rPr>
            </w:pPr>
          </w:p>
        </w:tc>
        <w:tc>
          <w:tcPr>
            <w:tcW w:w="4260" w:type="dxa"/>
            <w:vAlign w:val="bottom"/>
          </w:tcPr>
          <w:p>
            <w:pPr>
              <w:spacing w:after="0"/>
              <w:rPr>
                <w:sz w:val="10"/>
                <w:szCs w:val="10"/>
                <w:color w:val="auto"/>
              </w:rPr>
            </w:pPr>
          </w:p>
        </w:tc>
        <w:tc>
          <w:tcPr>
            <w:tcW w:w="5740" w:type="dxa"/>
            <w:vAlign w:val="bottom"/>
          </w:tcPr>
          <w:p>
            <w:pPr>
              <w:spacing w:after="0" w:line="125" w:lineRule="exact"/>
              <w:rPr>
                <w:sz w:val="20"/>
                <w:szCs w:val="20"/>
                <w:color w:val="auto"/>
              </w:rPr>
            </w:pPr>
            <w:r>
              <w:rPr>
                <w:rFonts w:ascii="Arial" w:cs="Arial" w:eastAsia="Arial" w:hAnsi="Arial"/>
                <w:sz w:val="12"/>
                <w:szCs w:val="12"/>
                <w:color w:val="auto"/>
              </w:rPr>
              <w:t>Anthony S. Marucci</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5740" w:type="dxa"/>
            <w:vAlign w:val="bottom"/>
          </w:tcPr>
          <w:p>
            <w:pPr>
              <w:spacing w:after="0"/>
              <w:rPr>
                <w:sz w:val="20"/>
                <w:szCs w:val="20"/>
                <w:color w:val="auto"/>
              </w:rPr>
            </w:pPr>
            <w:r>
              <w:rPr>
                <w:rFonts w:ascii="Arial" w:cs="Arial" w:eastAsia="Arial" w:hAnsi="Arial"/>
                <w:sz w:val="12"/>
                <w:szCs w:val="12"/>
                <w:color w:val="auto"/>
              </w:rPr>
              <w:t>President and Chief Executive Officer</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5740" w:type="dxa"/>
            <w:vAlign w:val="bottom"/>
          </w:tcPr>
          <w:p>
            <w:pPr>
              <w:spacing w:after="0"/>
              <w:rPr>
                <w:sz w:val="20"/>
                <w:szCs w:val="20"/>
                <w:color w:val="auto"/>
              </w:rPr>
            </w:pPr>
            <w:r>
              <w:rPr>
                <w:rFonts w:ascii="Arial" w:cs="Arial" w:eastAsia="Arial" w:hAnsi="Arial"/>
                <w:sz w:val="12"/>
                <w:szCs w:val="12"/>
                <w:color w:val="auto"/>
              </w:rPr>
              <w:t>(Principal Executive Officer)</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1140" w:type="dxa"/>
            <w:vAlign w:val="bottom"/>
            <w:gridSpan w:val="3"/>
            <w:vMerge w:val="restart"/>
          </w:tcPr>
          <w:p>
            <w:pPr>
              <w:spacing w:after="0"/>
              <w:rPr>
                <w:sz w:val="20"/>
                <w:szCs w:val="20"/>
                <w:color w:val="auto"/>
              </w:rPr>
            </w:pPr>
            <w:r>
              <w:rPr>
                <w:rFonts w:ascii="Arial" w:cs="Arial" w:eastAsia="Arial" w:hAnsi="Arial"/>
                <w:sz w:val="12"/>
                <w:szCs w:val="12"/>
                <w:color w:val="auto"/>
                <w:w w:val="93"/>
              </w:rPr>
              <w:t>Dated: August 8, 2017</w:t>
            </w:r>
          </w:p>
        </w:tc>
        <w:tc>
          <w:tcPr>
            <w:tcW w:w="34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57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SAM MARTIN</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1140" w:type="dxa"/>
            <w:vAlign w:val="bottom"/>
            <w:gridSpan w:val="3"/>
            <w:vMerge w:val="continue"/>
          </w:tcPr>
          <w:p>
            <w:pPr>
              <w:spacing w:after="0"/>
              <w:rPr>
                <w:sz w:val="10"/>
                <w:szCs w:val="10"/>
                <w:color w:val="auto"/>
              </w:rPr>
            </w:pPr>
          </w:p>
        </w:tc>
        <w:tc>
          <w:tcPr>
            <w:tcW w:w="340" w:type="dxa"/>
            <w:vAlign w:val="bottom"/>
          </w:tcPr>
          <w:p>
            <w:pPr>
              <w:spacing w:after="0"/>
              <w:rPr>
                <w:sz w:val="10"/>
                <w:szCs w:val="10"/>
                <w:color w:val="auto"/>
              </w:rPr>
            </w:pPr>
          </w:p>
        </w:tc>
        <w:tc>
          <w:tcPr>
            <w:tcW w:w="4260" w:type="dxa"/>
            <w:vAlign w:val="bottom"/>
          </w:tcPr>
          <w:p>
            <w:pPr>
              <w:spacing w:after="0"/>
              <w:rPr>
                <w:sz w:val="10"/>
                <w:szCs w:val="10"/>
                <w:color w:val="auto"/>
              </w:rPr>
            </w:pPr>
          </w:p>
        </w:tc>
        <w:tc>
          <w:tcPr>
            <w:tcW w:w="5740" w:type="dxa"/>
            <w:vAlign w:val="bottom"/>
          </w:tcPr>
          <w:p>
            <w:pPr>
              <w:spacing w:after="0" w:line="125" w:lineRule="exact"/>
              <w:rPr>
                <w:sz w:val="20"/>
                <w:szCs w:val="20"/>
                <w:color w:val="auto"/>
              </w:rPr>
            </w:pPr>
            <w:r>
              <w:rPr>
                <w:rFonts w:ascii="Arial" w:cs="Arial" w:eastAsia="Arial" w:hAnsi="Arial"/>
                <w:sz w:val="12"/>
                <w:szCs w:val="12"/>
                <w:color w:val="auto"/>
              </w:rPr>
              <w:t>Sam Martin</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5740" w:type="dxa"/>
            <w:vAlign w:val="bottom"/>
          </w:tcPr>
          <w:p>
            <w:pPr>
              <w:spacing w:after="0"/>
              <w:rPr>
                <w:sz w:val="20"/>
                <w:szCs w:val="20"/>
                <w:color w:val="auto"/>
              </w:rPr>
            </w:pPr>
            <w:r>
              <w:rPr>
                <w:rFonts w:ascii="Arial" w:cs="Arial" w:eastAsia="Arial" w:hAnsi="Arial"/>
                <w:sz w:val="12"/>
                <w:szCs w:val="12"/>
                <w:color w:val="auto"/>
              </w:rPr>
              <w:t>Senior Vice President and Chief Financial Officer</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5740" w:type="dxa"/>
            <w:vAlign w:val="bottom"/>
          </w:tcPr>
          <w:p>
            <w:pPr>
              <w:spacing w:after="0"/>
              <w:rPr>
                <w:sz w:val="20"/>
                <w:szCs w:val="20"/>
                <w:color w:val="auto"/>
              </w:rPr>
            </w:pPr>
            <w:r>
              <w:rPr>
                <w:rFonts w:ascii="Arial" w:cs="Arial" w:eastAsia="Arial" w:hAnsi="Arial"/>
                <w:sz w:val="12"/>
                <w:szCs w:val="12"/>
                <w:color w:val="auto"/>
              </w:rPr>
              <w:t>(Principal Financial and Accounting Officer)</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340" w:type="dxa"/>
            <w:vAlign w:val="bottom"/>
            <w:gridSpan w:val="3"/>
          </w:tcPr>
          <w:p>
            <w:pPr>
              <w:jc w:val="right"/>
              <w:ind w:right="5621"/>
              <w:spacing w:after="0"/>
              <w:rPr>
                <w:sz w:val="20"/>
                <w:szCs w:val="20"/>
                <w:color w:val="auto"/>
              </w:rPr>
            </w:pPr>
            <w:r>
              <w:rPr>
                <w:rFonts w:ascii="Arial" w:cs="Arial" w:eastAsia="Arial" w:hAnsi="Arial"/>
                <w:sz w:val="12"/>
                <w:szCs w:val="12"/>
                <w:color w:val="auto"/>
              </w:rPr>
              <w:t>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2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4260" w:type="dxa"/>
            <w:vAlign w:val="bottom"/>
            <w:tcBorders>
              <w:bottom w:val="single" w:sz="8" w:color="808080"/>
            </w:tcBorders>
          </w:tcPr>
          <w:p>
            <w:pPr>
              <w:spacing w:after="0"/>
              <w:rPr>
                <w:sz w:val="7"/>
                <w:szCs w:val="7"/>
                <w:color w:val="auto"/>
              </w:rPr>
            </w:pPr>
          </w:p>
        </w:tc>
        <w:tc>
          <w:tcPr>
            <w:tcW w:w="574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346"/>
        </w:trPr>
        <w:tc>
          <w:tcPr>
            <w:tcW w:w="1140" w:type="dxa"/>
            <w:vAlign w:val="bottom"/>
            <w:gridSpan w:val="3"/>
          </w:tcPr>
          <w:p>
            <w:pPr>
              <w:spacing w:after="0"/>
              <w:rPr>
                <w:rFonts w:ascii="Arial" w:cs="Arial" w:eastAsia="Arial" w:hAnsi="Arial"/>
                <w:sz w:val="12"/>
                <w:szCs w:val="12"/>
                <w:color w:val="0000EE"/>
              </w:rPr>
            </w:pPr>
            <w:hyperlink w:anchor="page1">
              <w:r>
                <w:rPr>
                  <w:rFonts w:ascii="Arial" w:cs="Arial" w:eastAsia="Arial" w:hAnsi="Arial"/>
                  <w:sz w:val="12"/>
                  <w:szCs w:val="12"/>
                  <w:color w:val="0000EE"/>
                </w:rPr>
                <w:t>Table of Contents</w:t>
              </w:r>
            </w:hyperlink>
          </w:p>
        </w:tc>
        <w:tc>
          <w:tcPr>
            <w:tcW w:w="34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0" w:type="dxa"/>
            <w:vAlign w:val="bottom"/>
            <w:gridSpan w:val="2"/>
          </w:tcPr>
          <w:p>
            <w:pPr>
              <w:jc w:val="center"/>
              <w:ind w:right="1441"/>
              <w:spacing w:after="0"/>
              <w:rPr>
                <w:sz w:val="20"/>
                <w:szCs w:val="20"/>
                <w:color w:val="auto"/>
              </w:rPr>
            </w:pPr>
            <w:r>
              <w:rPr>
                <w:rFonts w:ascii="Arial" w:cs="Arial" w:eastAsia="Arial" w:hAnsi="Arial"/>
                <w:sz w:val="12"/>
                <w:szCs w:val="12"/>
                <w:b w:val="1"/>
                <w:bCs w:val="1"/>
                <w:color w:val="auto"/>
              </w:rPr>
              <w:t>EXHIBIT INDEX</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140" w:type="dxa"/>
            <w:vAlign w:val="bottom"/>
            <w:gridSpan w:val="3"/>
          </w:tcPr>
          <w:p>
            <w:pPr>
              <w:spacing w:after="0"/>
              <w:rPr>
                <w:sz w:val="20"/>
                <w:szCs w:val="20"/>
                <w:color w:val="auto"/>
              </w:rPr>
            </w:pPr>
            <w:r>
              <w:rPr>
                <w:rFonts w:ascii="Arial" w:cs="Arial" w:eastAsia="Arial" w:hAnsi="Arial"/>
                <w:sz w:val="10"/>
                <w:szCs w:val="10"/>
                <w:b w:val="1"/>
                <w:bCs w:val="1"/>
                <w:color w:val="auto"/>
              </w:rPr>
              <w:t>Exhibit</w:t>
            </w:r>
          </w:p>
        </w:tc>
        <w:tc>
          <w:tcPr>
            <w:tcW w:w="34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5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4"/>
        </w:trPr>
        <w:tc>
          <w:tcPr>
            <w:tcW w:w="1140" w:type="dxa"/>
            <w:vAlign w:val="bottom"/>
            <w:gridSpan w:val="3"/>
          </w:tcPr>
          <w:p>
            <w:pPr>
              <w:spacing w:after="0" w:line="114" w:lineRule="exact"/>
              <w:rPr>
                <w:sz w:val="20"/>
                <w:szCs w:val="20"/>
                <w:color w:val="auto"/>
              </w:rPr>
            </w:pPr>
            <w:r>
              <w:rPr>
                <w:rFonts w:ascii="Arial" w:cs="Arial" w:eastAsia="Arial" w:hAnsi="Arial"/>
                <w:sz w:val="10"/>
                <w:szCs w:val="10"/>
                <w:b w:val="1"/>
                <w:bCs w:val="1"/>
                <w:color w:val="auto"/>
              </w:rPr>
              <w:t>No.</w:t>
            </w:r>
          </w:p>
        </w:tc>
        <w:tc>
          <w:tcPr>
            <w:tcW w:w="340" w:type="dxa"/>
            <w:vAlign w:val="bottom"/>
          </w:tcPr>
          <w:p>
            <w:pPr>
              <w:spacing w:after="0"/>
              <w:rPr>
                <w:sz w:val="9"/>
                <w:szCs w:val="9"/>
                <w:color w:val="auto"/>
              </w:rPr>
            </w:pPr>
          </w:p>
        </w:tc>
        <w:tc>
          <w:tcPr>
            <w:tcW w:w="4260" w:type="dxa"/>
            <w:vAlign w:val="bottom"/>
          </w:tcPr>
          <w:p>
            <w:pPr>
              <w:spacing w:after="0"/>
              <w:rPr>
                <w:sz w:val="9"/>
                <w:szCs w:val="9"/>
                <w:color w:val="auto"/>
              </w:rPr>
            </w:pPr>
          </w:p>
        </w:tc>
        <w:tc>
          <w:tcPr>
            <w:tcW w:w="5740" w:type="dxa"/>
            <w:vAlign w:val="bottom"/>
          </w:tcPr>
          <w:p>
            <w:pPr>
              <w:ind w:left="500"/>
              <w:spacing w:after="0" w:line="114" w:lineRule="exact"/>
              <w:rPr>
                <w:sz w:val="20"/>
                <w:szCs w:val="20"/>
                <w:color w:val="auto"/>
              </w:rPr>
            </w:pPr>
            <w:r>
              <w:rPr>
                <w:rFonts w:ascii="Arial" w:cs="Arial" w:eastAsia="Arial" w:hAnsi="Arial"/>
                <w:sz w:val="10"/>
                <w:szCs w:val="10"/>
                <w:b w:val="1"/>
                <w:bCs w:val="1"/>
                <w:color w:val="auto"/>
              </w:rPr>
              <w:t>Description</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20" w:type="dxa"/>
            <w:vAlign w:val="bottom"/>
            <w:tcBorders>
              <w:top w:val="single" w:sz="8" w:color="auto"/>
            </w:tcBorders>
          </w:tcPr>
          <w:p>
            <w:pPr>
              <w:spacing w:after="0" w:line="125" w:lineRule="exact"/>
              <w:rPr>
                <w:sz w:val="20"/>
                <w:szCs w:val="20"/>
                <w:color w:val="auto"/>
              </w:rPr>
            </w:pPr>
            <w:r>
              <w:rPr>
                <w:rFonts w:ascii="Arial" w:cs="Arial" w:eastAsia="Arial" w:hAnsi="Arial"/>
                <w:sz w:val="12"/>
                <w:szCs w:val="12"/>
                <w:color w:val="auto"/>
              </w:rPr>
              <w:t>3.1</w:t>
            </w:r>
          </w:p>
        </w:tc>
        <w:tc>
          <w:tcPr>
            <w:tcW w:w="30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0000" w:type="dxa"/>
            <w:vAlign w:val="bottom"/>
            <w:tcBorders>
              <w:top w:val="single" w:sz="8" w:color="auto"/>
            </w:tcBorders>
            <w:gridSpan w:val="2"/>
          </w:tcPr>
          <w:p>
            <w:pPr>
              <w:spacing w:after="0" w:line="125" w:lineRule="exact"/>
              <w:rPr>
                <w:sz w:val="20"/>
                <w:szCs w:val="20"/>
                <w:color w:val="auto"/>
              </w:rPr>
            </w:pPr>
            <w:r>
              <w:rPr>
                <w:rFonts w:ascii="Arial" w:cs="Arial" w:eastAsia="Arial" w:hAnsi="Arial"/>
                <w:sz w:val="12"/>
                <w:szCs w:val="12"/>
                <w:color w:val="auto"/>
                <w:w w:val="91"/>
              </w:rPr>
              <w:t>Third Restated Certificate of Incorporation of the Company, incorporated by reference to Exhibit 3.1 of the Company’s Registration Statement on Form S-4 (Reg. No. 333-59215), filed July 16, 1998 with the</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340" w:type="dxa"/>
            <w:vAlign w:val="bottom"/>
            <w:gridSpan w:val="3"/>
          </w:tcPr>
          <w:p>
            <w:pPr>
              <w:ind w:left="340"/>
              <w:spacing w:after="0"/>
              <w:rPr>
                <w:sz w:val="20"/>
                <w:szCs w:val="20"/>
                <w:color w:val="auto"/>
              </w:rPr>
            </w:pPr>
            <w:r>
              <w:rPr>
                <w:rFonts w:ascii="Arial" w:cs="Arial" w:eastAsia="Arial" w:hAnsi="Arial"/>
                <w:sz w:val="12"/>
                <w:szCs w:val="12"/>
                <w:color w:val="auto"/>
              </w:rPr>
              <w:t>Securities and Exchange Commission.</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40" w:type="dxa"/>
            <w:vAlign w:val="bottom"/>
            <w:gridSpan w:val="2"/>
          </w:tcPr>
          <w:p>
            <w:pPr>
              <w:spacing w:after="0"/>
              <w:rPr>
                <w:sz w:val="20"/>
                <w:szCs w:val="20"/>
                <w:color w:val="auto"/>
              </w:rPr>
            </w:pPr>
            <w:r>
              <w:rPr>
                <w:rFonts w:ascii="Arial" w:cs="Arial" w:eastAsia="Arial" w:hAnsi="Arial"/>
                <w:sz w:val="12"/>
                <w:szCs w:val="12"/>
                <w:color w:val="auto"/>
              </w:rPr>
              <w:t>3.2</w:t>
            </w:r>
          </w:p>
        </w:tc>
        <w:tc>
          <w:tcPr>
            <w:tcW w:w="300" w:type="dxa"/>
            <w:vAlign w:val="bottom"/>
          </w:tcPr>
          <w:p>
            <w:pPr>
              <w:spacing w:after="0"/>
              <w:rPr>
                <w:sz w:val="12"/>
                <w:szCs w:val="12"/>
                <w:color w:val="auto"/>
              </w:rPr>
            </w:pPr>
          </w:p>
        </w:tc>
        <w:tc>
          <w:tcPr>
            <w:tcW w:w="10340" w:type="dxa"/>
            <w:vAlign w:val="bottom"/>
            <w:gridSpan w:val="3"/>
          </w:tcPr>
          <w:p>
            <w:pPr>
              <w:ind w:left="340"/>
              <w:spacing w:after="0"/>
              <w:rPr>
                <w:sz w:val="20"/>
                <w:szCs w:val="20"/>
                <w:color w:val="auto"/>
              </w:rPr>
            </w:pPr>
            <w:r>
              <w:rPr>
                <w:rFonts w:ascii="Arial" w:cs="Arial" w:eastAsia="Arial" w:hAnsi="Arial"/>
                <w:sz w:val="12"/>
                <w:szCs w:val="12"/>
                <w:color w:val="auto"/>
                <w:w w:val="94"/>
              </w:rPr>
              <w:t>Certificate of Amendment of Third Restated Certificate of Incorporation of the Company, incorporated by reference to Exhibit 3.1 of the Company’s Registration Statement on Form S-4 (Reg. No. 333-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340" w:type="dxa"/>
            <w:vAlign w:val="bottom"/>
            <w:gridSpan w:val="3"/>
          </w:tcPr>
          <w:p>
            <w:pPr>
              <w:ind w:left="340"/>
              <w:spacing w:after="0"/>
              <w:rPr>
                <w:sz w:val="20"/>
                <w:szCs w:val="20"/>
                <w:color w:val="auto"/>
              </w:rPr>
            </w:pPr>
            <w:r>
              <w:rPr>
                <w:rFonts w:ascii="Arial" w:cs="Arial" w:eastAsia="Arial" w:hAnsi="Arial"/>
                <w:sz w:val="12"/>
                <w:szCs w:val="12"/>
                <w:color w:val="auto"/>
              </w:rPr>
              <w:t>59215), filed July 16, 1998 with the Securities and Exchange Commission.</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40" w:type="dxa"/>
            <w:vAlign w:val="bottom"/>
            <w:gridSpan w:val="2"/>
          </w:tcPr>
          <w:p>
            <w:pPr>
              <w:spacing w:after="0"/>
              <w:rPr>
                <w:sz w:val="20"/>
                <w:szCs w:val="20"/>
                <w:color w:val="auto"/>
              </w:rPr>
            </w:pPr>
            <w:r>
              <w:rPr>
                <w:rFonts w:ascii="Arial" w:cs="Arial" w:eastAsia="Arial" w:hAnsi="Arial"/>
                <w:sz w:val="12"/>
                <w:szCs w:val="12"/>
                <w:color w:val="auto"/>
              </w:rPr>
              <w:t>3.3</w:t>
            </w:r>
          </w:p>
        </w:tc>
        <w:tc>
          <w:tcPr>
            <w:tcW w:w="300" w:type="dxa"/>
            <w:vAlign w:val="bottom"/>
          </w:tcPr>
          <w:p>
            <w:pPr>
              <w:spacing w:after="0"/>
              <w:rPr>
                <w:sz w:val="12"/>
                <w:szCs w:val="12"/>
                <w:color w:val="auto"/>
              </w:rPr>
            </w:pPr>
          </w:p>
        </w:tc>
        <w:tc>
          <w:tcPr>
            <w:tcW w:w="10340" w:type="dxa"/>
            <w:vAlign w:val="bottom"/>
            <w:gridSpan w:val="3"/>
          </w:tcPr>
          <w:p>
            <w:pPr>
              <w:ind w:left="340"/>
              <w:spacing w:after="0"/>
              <w:rPr>
                <w:sz w:val="20"/>
                <w:szCs w:val="20"/>
                <w:color w:val="auto"/>
              </w:rPr>
            </w:pPr>
            <w:r>
              <w:rPr>
                <w:rFonts w:ascii="Arial" w:cs="Arial" w:eastAsia="Arial" w:hAnsi="Arial"/>
                <w:sz w:val="12"/>
                <w:szCs w:val="12"/>
                <w:color w:val="auto"/>
                <w:w w:val="95"/>
              </w:rPr>
              <w:t>Second Certificate of Amendment of Third Restated Certificate of Incorporation of the Company, incorporated by reference to Exhibit 3.2 of the Company’s Registration Statement on Form S-4 (Reg.</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340" w:type="dxa"/>
            <w:vAlign w:val="bottom"/>
            <w:gridSpan w:val="3"/>
          </w:tcPr>
          <w:p>
            <w:pPr>
              <w:ind w:left="340"/>
              <w:spacing w:after="0"/>
              <w:rPr>
                <w:sz w:val="20"/>
                <w:szCs w:val="20"/>
                <w:color w:val="auto"/>
              </w:rPr>
            </w:pPr>
            <w:r>
              <w:rPr>
                <w:rFonts w:ascii="Arial" w:cs="Arial" w:eastAsia="Arial" w:hAnsi="Arial"/>
                <w:sz w:val="12"/>
                <w:szCs w:val="12"/>
                <w:color w:val="auto"/>
              </w:rPr>
              <w:t>No. 333-59215), filed July 16, 1998 with the Securities and Exchange Commission.</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40" w:type="dxa"/>
            <w:vAlign w:val="bottom"/>
            <w:gridSpan w:val="2"/>
          </w:tcPr>
          <w:p>
            <w:pPr>
              <w:spacing w:after="0"/>
              <w:rPr>
                <w:sz w:val="20"/>
                <w:szCs w:val="20"/>
                <w:color w:val="auto"/>
              </w:rPr>
            </w:pPr>
            <w:r>
              <w:rPr>
                <w:rFonts w:ascii="Arial" w:cs="Arial" w:eastAsia="Arial" w:hAnsi="Arial"/>
                <w:sz w:val="12"/>
                <w:szCs w:val="12"/>
                <w:color w:val="auto"/>
              </w:rPr>
              <w:t>3.4</w:t>
            </w:r>
          </w:p>
        </w:tc>
        <w:tc>
          <w:tcPr>
            <w:tcW w:w="300" w:type="dxa"/>
            <w:vAlign w:val="bottom"/>
          </w:tcPr>
          <w:p>
            <w:pPr>
              <w:spacing w:after="0"/>
              <w:rPr>
                <w:sz w:val="12"/>
                <w:szCs w:val="12"/>
                <w:color w:val="auto"/>
              </w:rPr>
            </w:pPr>
          </w:p>
        </w:tc>
        <w:tc>
          <w:tcPr>
            <w:tcW w:w="10340" w:type="dxa"/>
            <w:vAlign w:val="bottom"/>
            <w:gridSpan w:val="3"/>
          </w:tcPr>
          <w:p>
            <w:pPr>
              <w:ind w:left="340"/>
              <w:spacing w:after="0"/>
              <w:rPr>
                <w:sz w:val="20"/>
                <w:szCs w:val="20"/>
                <w:color w:val="auto"/>
              </w:rPr>
            </w:pPr>
            <w:r>
              <w:rPr>
                <w:rFonts w:ascii="Arial" w:cs="Arial" w:eastAsia="Arial" w:hAnsi="Arial"/>
                <w:sz w:val="12"/>
                <w:szCs w:val="12"/>
                <w:color w:val="auto"/>
                <w:w w:val="92"/>
              </w:rPr>
              <w:t>Third Certificate of Amendment of Third Restated Certificate of Incorporation of the Company, incorporated by reference to Exhibit 3.1 of the Company’s Quarterly Report on Form 10-Q, filed May 10, 2002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340" w:type="dxa"/>
            <w:vAlign w:val="bottom"/>
            <w:gridSpan w:val="3"/>
          </w:tcPr>
          <w:p>
            <w:pPr>
              <w:ind w:left="340"/>
              <w:spacing w:after="0"/>
              <w:rPr>
                <w:sz w:val="20"/>
                <w:szCs w:val="20"/>
                <w:color w:val="auto"/>
              </w:rPr>
            </w:pPr>
            <w:r>
              <w:rPr>
                <w:rFonts w:ascii="Arial" w:cs="Arial" w:eastAsia="Arial" w:hAnsi="Arial"/>
                <w:sz w:val="12"/>
                <w:szCs w:val="12"/>
                <w:color w:val="auto"/>
              </w:rPr>
              <w:t>with the Securities and Exchange Commission.</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40" w:type="dxa"/>
            <w:vAlign w:val="bottom"/>
            <w:gridSpan w:val="2"/>
          </w:tcPr>
          <w:p>
            <w:pPr>
              <w:spacing w:after="0"/>
              <w:rPr>
                <w:sz w:val="20"/>
                <w:szCs w:val="20"/>
                <w:color w:val="auto"/>
              </w:rPr>
            </w:pPr>
            <w:r>
              <w:rPr>
                <w:rFonts w:ascii="Arial" w:cs="Arial" w:eastAsia="Arial" w:hAnsi="Arial"/>
                <w:sz w:val="12"/>
                <w:szCs w:val="12"/>
                <w:color w:val="auto"/>
              </w:rPr>
              <w:t>3.5</w:t>
            </w:r>
          </w:p>
        </w:tc>
        <w:tc>
          <w:tcPr>
            <w:tcW w:w="300" w:type="dxa"/>
            <w:vAlign w:val="bottom"/>
          </w:tcPr>
          <w:p>
            <w:pPr>
              <w:spacing w:after="0"/>
              <w:rPr>
                <w:sz w:val="12"/>
                <w:szCs w:val="12"/>
                <w:color w:val="auto"/>
              </w:rPr>
            </w:pPr>
          </w:p>
        </w:tc>
        <w:tc>
          <w:tcPr>
            <w:tcW w:w="10340" w:type="dxa"/>
            <w:vAlign w:val="bottom"/>
            <w:gridSpan w:val="3"/>
          </w:tcPr>
          <w:p>
            <w:pPr>
              <w:ind w:left="340"/>
              <w:spacing w:after="0"/>
              <w:rPr>
                <w:sz w:val="20"/>
                <w:szCs w:val="20"/>
                <w:color w:val="auto"/>
              </w:rPr>
            </w:pPr>
            <w:r>
              <w:rPr>
                <w:rFonts w:ascii="Arial" w:cs="Arial" w:eastAsia="Arial" w:hAnsi="Arial"/>
                <w:sz w:val="12"/>
                <w:szCs w:val="12"/>
                <w:color w:val="auto"/>
                <w:w w:val="93"/>
              </w:rPr>
              <w:t>Fourth Certificate of Amendment of Third Restated Certificate of Incorporation of the Company, incorporated by reference to Exhibit 3.1 of the Company’s Current Report on Form 8-K, filed on March 11,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340" w:type="dxa"/>
            <w:vAlign w:val="bottom"/>
            <w:gridSpan w:val="3"/>
          </w:tcPr>
          <w:p>
            <w:pPr>
              <w:ind w:left="340"/>
              <w:spacing w:after="0"/>
              <w:rPr>
                <w:sz w:val="20"/>
                <w:szCs w:val="20"/>
                <w:color w:val="auto"/>
              </w:rPr>
            </w:pPr>
            <w:r>
              <w:rPr>
                <w:rFonts w:ascii="Arial" w:cs="Arial" w:eastAsia="Arial" w:hAnsi="Arial"/>
                <w:sz w:val="12"/>
                <w:szCs w:val="12"/>
                <w:color w:val="auto"/>
              </w:rPr>
              <w:t>2008 with the Securities and Exchange Commission.</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40" w:type="dxa"/>
            <w:vAlign w:val="bottom"/>
            <w:gridSpan w:val="2"/>
          </w:tcPr>
          <w:p>
            <w:pPr>
              <w:spacing w:after="0"/>
              <w:rPr>
                <w:sz w:val="20"/>
                <w:szCs w:val="20"/>
                <w:color w:val="auto"/>
              </w:rPr>
            </w:pPr>
            <w:r>
              <w:rPr>
                <w:rFonts w:ascii="Arial" w:cs="Arial" w:eastAsia="Arial" w:hAnsi="Arial"/>
                <w:sz w:val="12"/>
                <w:szCs w:val="12"/>
                <w:color w:val="auto"/>
              </w:rPr>
              <w:t>3.6</w:t>
            </w:r>
          </w:p>
        </w:tc>
        <w:tc>
          <w:tcPr>
            <w:tcW w:w="300" w:type="dxa"/>
            <w:vAlign w:val="bottom"/>
          </w:tcPr>
          <w:p>
            <w:pPr>
              <w:spacing w:after="0"/>
              <w:rPr>
                <w:sz w:val="12"/>
                <w:szCs w:val="12"/>
                <w:color w:val="auto"/>
              </w:rPr>
            </w:pPr>
          </w:p>
        </w:tc>
        <w:tc>
          <w:tcPr>
            <w:tcW w:w="10340" w:type="dxa"/>
            <w:vAlign w:val="bottom"/>
            <w:gridSpan w:val="3"/>
          </w:tcPr>
          <w:p>
            <w:pPr>
              <w:ind w:left="340"/>
              <w:spacing w:after="0"/>
              <w:rPr>
                <w:sz w:val="20"/>
                <w:szCs w:val="20"/>
                <w:color w:val="auto"/>
              </w:rPr>
            </w:pPr>
            <w:r>
              <w:rPr>
                <w:rFonts w:ascii="Arial" w:cs="Arial" w:eastAsia="Arial" w:hAnsi="Arial"/>
                <w:sz w:val="12"/>
                <w:szCs w:val="12"/>
                <w:color w:val="auto"/>
                <w:w w:val="94"/>
              </w:rPr>
              <w:t>Fifth Certificate of Amendment of Third Restated Certificate of Incorporation of the Company, incorporated by reference to Exhibit 3.2 of the Company’s Current Report on Form 8-K, filed on March 11,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340" w:type="dxa"/>
            <w:vAlign w:val="bottom"/>
            <w:gridSpan w:val="3"/>
          </w:tcPr>
          <w:p>
            <w:pPr>
              <w:ind w:left="340"/>
              <w:spacing w:after="0"/>
              <w:rPr>
                <w:sz w:val="20"/>
                <w:szCs w:val="20"/>
                <w:color w:val="auto"/>
              </w:rPr>
            </w:pPr>
            <w:r>
              <w:rPr>
                <w:rFonts w:ascii="Arial" w:cs="Arial" w:eastAsia="Arial" w:hAnsi="Arial"/>
                <w:sz w:val="12"/>
                <w:szCs w:val="12"/>
                <w:color w:val="auto"/>
              </w:rPr>
              <w:t>2008 with the Securities and Exchange Commission.</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40" w:type="dxa"/>
            <w:vAlign w:val="bottom"/>
            <w:gridSpan w:val="2"/>
          </w:tcPr>
          <w:p>
            <w:pPr>
              <w:spacing w:after="0"/>
              <w:rPr>
                <w:sz w:val="20"/>
                <w:szCs w:val="20"/>
                <w:color w:val="auto"/>
              </w:rPr>
            </w:pPr>
            <w:r>
              <w:rPr>
                <w:rFonts w:ascii="Arial" w:cs="Arial" w:eastAsia="Arial" w:hAnsi="Arial"/>
                <w:sz w:val="12"/>
                <w:szCs w:val="12"/>
                <w:color w:val="auto"/>
              </w:rPr>
              <w:t>3.7</w:t>
            </w:r>
          </w:p>
        </w:tc>
        <w:tc>
          <w:tcPr>
            <w:tcW w:w="300" w:type="dxa"/>
            <w:vAlign w:val="bottom"/>
          </w:tcPr>
          <w:p>
            <w:pPr>
              <w:spacing w:after="0"/>
              <w:rPr>
                <w:sz w:val="12"/>
                <w:szCs w:val="12"/>
                <w:color w:val="auto"/>
              </w:rPr>
            </w:pPr>
          </w:p>
        </w:tc>
        <w:tc>
          <w:tcPr>
            <w:tcW w:w="10340" w:type="dxa"/>
            <w:vAlign w:val="bottom"/>
            <w:gridSpan w:val="3"/>
          </w:tcPr>
          <w:p>
            <w:pPr>
              <w:ind w:left="340"/>
              <w:spacing w:after="0"/>
              <w:rPr>
                <w:sz w:val="20"/>
                <w:szCs w:val="20"/>
                <w:color w:val="auto"/>
              </w:rPr>
            </w:pPr>
            <w:r>
              <w:rPr>
                <w:rFonts w:ascii="Arial" w:cs="Arial" w:eastAsia="Arial" w:hAnsi="Arial"/>
                <w:sz w:val="12"/>
                <w:szCs w:val="12"/>
                <w:color w:val="auto"/>
                <w:w w:val="92"/>
              </w:rPr>
              <w:t>Sixth Certificate of Amendment of Third Restated Certificate of Incorporation of the Company, incorporated by reference to Exhibit 3.7 of the Company’s Quarterly Report on Form 10-Q, filed November 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340" w:type="dxa"/>
            <w:vAlign w:val="bottom"/>
            <w:gridSpan w:val="3"/>
          </w:tcPr>
          <w:p>
            <w:pPr>
              <w:ind w:left="340"/>
              <w:spacing w:after="0"/>
              <w:rPr>
                <w:sz w:val="20"/>
                <w:szCs w:val="20"/>
                <w:color w:val="auto"/>
              </w:rPr>
            </w:pPr>
            <w:r>
              <w:rPr>
                <w:rFonts w:ascii="Arial" w:cs="Arial" w:eastAsia="Arial" w:hAnsi="Arial"/>
                <w:sz w:val="12"/>
                <w:szCs w:val="12"/>
                <w:color w:val="auto"/>
              </w:rPr>
              <w:t>2008 with the Securities and Exchange Commission.</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40" w:type="dxa"/>
            <w:vAlign w:val="bottom"/>
            <w:gridSpan w:val="2"/>
          </w:tcPr>
          <w:p>
            <w:pPr>
              <w:spacing w:after="0"/>
              <w:rPr>
                <w:sz w:val="20"/>
                <w:szCs w:val="20"/>
                <w:color w:val="auto"/>
              </w:rPr>
            </w:pPr>
            <w:r>
              <w:rPr>
                <w:rFonts w:ascii="Arial" w:cs="Arial" w:eastAsia="Arial" w:hAnsi="Arial"/>
                <w:sz w:val="12"/>
                <w:szCs w:val="12"/>
                <w:color w:val="auto"/>
              </w:rPr>
              <w:t>*4.1</w:t>
            </w:r>
          </w:p>
        </w:tc>
        <w:tc>
          <w:tcPr>
            <w:tcW w:w="300" w:type="dxa"/>
            <w:vAlign w:val="bottom"/>
          </w:tcPr>
          <w:p>
            <w:pPr>
              <w:spacing w:after="0"/>
              <w:rPr>
                <w:sz w:val="12"/>
                <w:szCs w:val="12"/>
                <w:color w:val="auto"/>
              </w:rPr>
            </w:pPr>
          </w:p>
        </w:tc>
        <w:tc>
          <w:tcPr>
            <w:tcW w:w="10340" w:type="dxa"/>
            <w:vAlign w:val="bottom"/>
            <w:gridSpan w:val="3"/>
          </w:tcPr>
          <w:p>
            <w:pPr>
              <w:ind w:left="340"/>
              <w:spacing w:after="0"/>
              <w:rPr>
                <w:sz w:val="20"/>
                <w:szCs w:val="20"/>
                <w:color w:val="auto"/>
              </w:rPr>
            </w:pPr>
            <w:r>
              <w:rPr>
                <w:rFonts w:ascii="Arial" w:cs="Arial" w:eastAsia="Arial" w:hAnsi="Arial"/>
                <w:sz w:val="12"/>
                <w:szCs w:val="12"/>
                <w:color w:val="auto"/>
              </w:rPr>
              <w:t>Specimen of Common Stock Certificate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40" w:type="dxa"/>
            <w:vAlign w:val="bottom"/>
            <w:gridSpan w:val="2"/>
          </w:tcPr>
          <w:p>
            <w:pPr>
              <w:spacing w:after="0"/>
              <w:rPr>
                <w:sz w:val="20"/>
                <w:szCs w:val="20"/>
                <w:color w:val="auto"/>
              </w:rPr>
            </w:pPr>
            <w:r>
              <w:rPr>
                <w:rFonts w:ascii="Arial" w:cs="Arial" w:eastAsia="Arial" w:hAnsi="Arial"/>
                <w:sz w:val="12"/>
                <w:szCs w:val="12"/>
                <w:color w:val="auto"/>
              </w:rPr>
              <w:t>10.1</w:t>
            </w:r>
          </w:p>
        </w:tc>
        <w:tc>
          <w:tcPr>
            <w:tcW w:w="300" w:type="dxa"/>
            <w:vAlign w:val="bottom"/>
          </w:tcPr>
          <w:p>
            <w:pPr>
              <w:spacing w:after="0"/>
              <w:rPr>
                <w:sz w:val="12"/>
                <w:szCs w:val="12"/>
                <w:color w:val="auto"/>
              </w:rPr>
            </w:pPr>
          </w:p>
        </w:tc>
        <w:tc>
          <w:tcPr>
            <w:tcW w:w="10340" w:type="dxa"/>
            <w:vAlign w:val="bottom"/>
            <w:gridSpan w:val="3"/>
          </w:tcPr>
          <w:p>
            <w:pPr>
              <w:ind w:left="340"/>
              <w:spacing w:after="0"/>
              <w:rPr>
                <w:sz w:val="20"/>
                <w:szCs w:val="20"/>
                <w:color w:val="auto"/>
              </w:rPr>
            </w:pPr>
            <w:r>
              <w:rPr>
                <w:rFonts w:ascii="Arial" w:cs="Arial" w:eastAsia="Arial" w:hAnsi="Arial"/>
                <w:sz w:val="12"/>
                <w:szCs w:val="12"/>
                <w:color w:val="auto"/>
                <w:w w:val="92"/>
              </w:rPr>
              <w:t>Employment Agreement, dated June 15, 2017, by and between Sarah Cavanaugh and Celldex Therapeutics., Inc., incorporated by reference to Exhibit 10.1 of the Company’s Current Report on Form 8-K,</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340" w:type="dxa"/>
            <w:vAlign w:val="bottom"/>
            <w:gridSpan w:val="3"/>
          </w:tcPr>
          <w:p>
            <w:pPr>
              <w:ind w:left="340"/>
              <w:spacing w:after="0"/>
              <w:rPr>
                <w:sz w:val="20"/>
                <w:szCs w:val="20"/>
                <w:color w:val="auto"/>
              </w:rPr>
            </w:pPr>
            <w:r>
              <w:rPr>
                <w:rFonts w:ascii="Arial" w:cs="Arial" w:eastAsia="Arial" w:hAnsi="Arial"/>
                <w:sz w:val="12"/>
                <w:szCs w:val="12"/>
                <w:color w:val="auto"/>
              </w:rPr>
              <w:t>filed on June 16, 2017 with the Securities and Exchange Commission.</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40" w:type="dxa"/>
            <w:vAlign w:val="bottom"/>
            <w:gridSpan w:val="2"/>
          </w:tcPr>
          <w:p>
            <w:pPr>
              <w:spacing w:after="0"/>
              <w:rPr>
                <w:sz w:val="20"/>
                <w:szCs w:val="20"/>
                <w:color w:val="auto"/>
              </w:rPr>
            </w:pPr>
            <w:r>
              <w:rPr>
                <w:rFonts w:ascii="Arial" w:cs="Arial" w:eastAsia="Arial" w:hAnsi="Arial"/>
                <w:sz w:val="12"/>
                <w:szCs w:val="12"/>
                <w:color w:val="auto"/>
              </w:rPr>
              <w:t>10.2</w:t>
            </w:r>
          </w:p>
        </w:tc>
        <w:tc>
          <w:tcPr>
            <w:tcW w:w="300" w:type="dxa"/>
            <w:vAlign w:val="bottom"/>
          </w:tcPr>
          <w:p>
            <w:pPr>
              <w:spacing w:after="0"/>
              <w:rPr>
                <w:sz w:val="12"/>
                <w:szCs w:val="12"/>
                <w:color w:val="auto"/>
              </w:rPr>
            </w:pPr>
          </w:p>
        </w:tc>
        <w:tc>
          <w:tcPr>
            <w:tcW w:w="10340" w:type="dxa"/>
            <w:vAlign w:val="bottom"/>
            <w:gridSpan w:val="3"/>
          </w:tcPr>
          <w:p>
            <w:pPr>
              <w:ind w:left="340"/>
              <w:spacing w:after="0"/>
              <w:rPr>
                <w:sz w:val="20"/>
                <w:szCs w:val="20"/>
                <w:color w:val="auto"/>
              </w:rPr>
            </w:pPr>
            <w:r>
              <w:rPr>
                <w:rFonts w:ascii="Arial" w:cs="Arial" w:eastAsia="Arial" w:hAnsi="Arial"/>
                <w:sz w:val="12"/>
                <w:szCs w:val="12"/>
                <w:color w:val="auto"/>
                <w:w w:val="92"/>
              </w:rPr>
              <w:t>Employment Agreement, dated July 1, 2017, by and between Sam Martin and Celldex Therapeutics., Inc., incorporated by reference to Exhibit 10.1 of the Company’s Current Report on Form 8-K, filed on</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340" w:type="dxa"/>
            <w:vAlign w:val="bottom"/>
            <w:gridSpan w:val="3"/>
          </w:tcPr>
          <w:p>
            <w:pPr>
              <w:ind w:left="340"/>
              <w:spacing w:after="0"/>
              <w:rPr>
                <w:sz w:val="20"/>
                <w:szCs w:val="20"/>
                <w:color w:val="auto"/>
              </w:rPr>
            </w:pPr>
            <w:r>
              <w:rPr>
                <w:rFonts w:ascii="Arial" w:cs="Arial" w:eastAsia="Arial" w:hAnsi="Arial"/>
                <w:sz w:val="12"/>
                <w:szCs w:val="12"/>
                <w:color w:val="auto"/>
              </w:rPr>
              <w:t>July 5, 2017 with the Securities and Exchange Commission.</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40" w:type="dxa"/>
            <w:vAlign w:val="bottom"/>
            <w:gridSpan w:val="2"/>
          </w:tcPr>
          <w:p>
            <w:pPr>
              <w:spacing w:after="0"/>
              <w:rPr>
                <w:sz w:val="20"/>
                <w:szCs w:val="20"/>
                <w:color w:val="auto"/>
              </w:rPr>
            </w:pPr>
            <w:r>
              <w:rPr>
                <w:rFonts w:ascii="Arial" w:cs="Arial" w:eastAsia="Arial" w:hAnsi="Arial"/>
                <w:sz w:val="12"/>
                <w:szCs w:val="12"/>
                <w:color w:val="auto"/>
              </w:rPr>
              <w:t>*31.1</w:t>
            </w:r>
          </w:p>
        </w:tc>
        <w:tc>
          <w:tcPr>
            <w:tcW w:w="300" w:type="dxa"/>
            <w:vAlign w:val="bottom"/>
          </w:tcPr>
          <w:p>
            <w:pPr>
              <w:spacing w:after="0"/>
              <w:rPr>
                <w:sz w:val="12"/>
                <w:szCs w:val="12"/>
                <w:color w:val="auto"/>
              </w:rPr>
            </w:pPr>
          </w:p>
        </w:tc>
        <w:tc>
          <w:tcPr>
            <w:tcW w:w="10340" w:type="dxa"/>
            <w:vAlign w:val="bottom"/>
            <w:gridSpan w:val="3"/>
          </w:tcPr>
          <w:p>
            <w:pPr>
              <w:ind w:left="340"/>
              <w:spacing w:after="0"/>
              <w:rPr>
                <w:sz w:val="20"/>
                <w:szCs w:val="20"/>
                <w:color w:val="auto"/>
              </w:rPr>
            </w:pPr>
            <w:r>
              <w:rPr>
                <w:rFonts w:ascii="Arial" w:cs="Arial" w:eastAsia="Arial" w:hAnsi="Arial"/>
                <w:sz w:val="12"/>
                <w:szCs w:val="12"/>
                <w:color w:val="auto"/>
              </w:rPr>
              <w:t>Certification of President and Chief Executive Officer</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40" w:type="dxa"/>
            <w:vAlign w:val="bottom"/>
            <w:gridSpan w:val="2"/>
          </w:tcPr>
          <w:p>
            <w:pPr>
              <w:spacing w:after="0"/>
              <w:rPr>
                <w:sz w:val="20"/>
                <w:szCs w:val="20"/>
                <w:color w:val="auto"/>
              </w:rPr>
            </w:pPr>
            <w:r>
              <w:rPr>
                <w:rFonts w:ascii="Arial" w:cs="Arial" w:eastAsia="Arial" w:hAnsi="Arial"/>
                <w:sz w:val="12"/>
                <w:szCs w:val="12"/>
                <w:color w:val="auto"/>
              </w:rPr>
              <w:t>*31.2</w:t>
            </w:r>
          </w:p>
        </w:tc>
        <w:tc>
          <w:tcPr>
            <w:tcW w:w="300" w:type="dxa"/>
            <w:vAlign w:val="bottom"/>
          </w:tcPr>
          <w:p>
            <w:pPr>
              <w:spacing w:after="0"/>
              <w:rPr>
                <w:sz w:val="12"/>
                <w:szCs w:val="12"/>
                <w:color w:val="auto"/>
              </w:rPr>
            </w:pPr>
          </w:p>
        </w:tc>
        <w:tc>
          <w:tcPr>
            <w:tcW w:w="10340" w:type="dxa"/>
            <w:vAlign w:val="bottom"/>
            <w:gridSpan w:val="3"/>
          </w:tcPr>
          <w:p>
            <w:pPr>
              <w:ind w:left="340"/>
              <w:spacing w:after="0"/>
              <w:rPr>
                <w:sz w:val="20"/>
                <w:szCs w:val="20"/>
                <w:color w:val="auto"/>
              </w:rPr>
            </w:pPr>
            <w:r>
              <w:rPr>
                <w:rFonts w:ascii="Arial" w:cs="Arial" w:eastAsia="Arial" w:hAnsi="Arial"/>
                <w:sz w:val="12"/>
                <w:szCs w:val="12"/>
                <w:color w:val="auto"/>
              </w:rPr>
              <w:t>Certification of Senior Vice President and Chief Financial Officer</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40" w:type="dxa"/>
            <w:vAlign w:val="bottom"/>
            <w:gridSpan w:val="2"/>
          </w:tcPr>
          <w:p>
            <w:pPr>
              <w:spacing w:after="0"/>
              <w:rPr>
                <w:sz w:val="20"/>
                <w:szCs w:val="20"/>
                <w:color w:val="auto"/>
              </w:rPr>
            </w:pPr>
            <w:r>
              <w:rPr>
                <w:rFonts w:ascii="Arial" w:cs="Arial" w:eastAsia="Arial" w:hAnsi="Arial"/>
                <w:sz w:val="12"/>
                <w:szCs w:val="12"/>
                <w:color w:val="auto"/>
              </w:rPr>
              <w:t>**32.1</w:t>
            </w:r>
          </w:p>
        </w:tc>
        <w:tc>
          <w:tcPr>
            <w:tcW w:w="300" w:type="dxa"/>
            <w:vAlign w:val="bottom"/>
          </w:tcPr>
          <w:p>
            <w:pPr>
              <w:spacing w:after="0"/>
              <w:rPr>
                <w:sz w:val="12"/>
                <w:szCs w:val="12"/>
                <w:color w:val="auto"/>
              </w:rPr>
            </w:pPr>
          </w:p>
        </w:tc>
        <w:tc>
          <w:tcPr>
            <w:tcW w:w="10340" w:type="dxa"/>
            <w:vAlign w:val="bottom"/>
            <w:gridSpan w:val="3"/>
          </w:tcPr>
          <w:p>
            <w:pPr>
              <w:ind w:left="340"/>
              <w:spacing w:after="0"/>
              <w:rPr>
                <w:sz w:val="20"/>
                <w:szCs w:val="20"/>
                <w:color w:val="auto"/>
              </w:rPr>
            </w:pPr>
            <w:r>
              <w:rPr>
                <w:rFonts w:ascii="Arial" w:cs="Arial" w:eastAsia="Arial" w:hAnsi="Arial"/>
                <w:sz w:val="12"/>
                <w:szCs w:val="12"/>
                <w:color w:val="auto"/>
              </w:rPr>
              <w:t>Section 1350 Certifications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40" w:type="dxa"/>
            <w:vAlign w:val="bottom"/>
            <w:gridSpan w:val="2"/>
          </w:tcPr>
          <w:p>
            <w:pPr>
              <w:spacing w:after="0"/>
              <w:rPr>
                <w:sz w:val="20"/>
                <w:szCs w:val="20"/>
                <w:color w:val="auto"/>
              </w:rPr>
            </w:pPr>
            <w:r>
              <w:rPr>
                <w:rFonts w:ascii="Arial" w:cs="Arial" w:eastAsia="Arial" w:hAnsi="Arial"/>
                <w:sz w:val="12"/>
                <w:szCs w:val="12"/>
                <w:color w:val="auto"/>
              </w:rPr>
              <w:t>*101</w:t>
            </w:r>
          </w:p>
        </w:tc>
        <w:tc>
          <w:tcPr>
            <w:tcW w:w="300" w:type="dxa"/>
            <w:vAlign w:val="bottom"/>
          </w:tcPr>
          <w:p>
            <w:pPr>
              <w:spacing w:after="0"/>
              <w:rPr>
                <w:sz w:val="12"/>
                <w:szCs w:val="12"/>
                <w:color w:val="auto"/>
              </w:rPr>
            </w:pPr>
          </w:p>
        </w:tc>
        <w:tc>
          <w:tcPr>
            <w:tcW w:w="10340" w:type="dxa"/>
            <w:vAlign w:val="bottom"/>
            <w:gridSpan w:val="3"/>
          </w:tcPr>
          <w:p>
            <w:pPr>
              <w:ind w:left="340"/>
              <w:spacing w:after="0"/>
              <w:rPr>
                <w:sz w:val="20"/>
                <w:szCs w:val="20"/>
                <w:color w:val="auto"/>
              </w:rPr>
            </w:pPr>
            <w:r>
              <w:rPr>
                <w:rFonts w:ascii="Arial" w:cs="Arial" w:eastAsia="Arial" w:hAnsi="Arial"/>
                <w:sz w:val="12"/>
                <w:szCs w:val="12"/>
                <w:color w:val="auto"/>
              </w:rPr>
              <w:t>XBRL Instance Document.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40" w:type="dxa"/>
            <w:vAlign w:val="bottom"/>
            <w:gridSpan w:val="2"/>
          </w:tcPr>
          <w:p>
            <w:pPr>
              <w:spacing w:after="0"/>
              <w:rPr>
                <w:sz w:val="20"/>
                <w:szCs w:val="20"/>
                <w:color w:val="auto"/>
              </w:rPr>
            </w:pPr>
            <w:r>
              <w:rPr>
                <w:rFonts w:ascii="Arial" w:cs="Arial" w:eastAsia="Arial" w:hAnsi="Arial"/>
                <w:sz w:val="12"/>
                <w:szCs w:val="12"/>
                <w:color w:val="auto"/>
              </w:rPr>
              <w:t>*101</w:t>
            </w:r>
          </w:p>
        </w:tc>
        <w:tc>
          <w:tcPr>
            <w:tcW w:w="300" w:type="dxa"/>
            <w:vAlign w:val="bottom"/>
          </w:tcPr>
          <w:p>
            <w:pPr>
              <w:spacing w:after="0"/>
              <w:rPr>
                <w:sz w:val="12"/>
                <w:szCs w:val="12"/>
                <w:color w:val="auto"/>
              </w:rPr>
            </w:pPr>
          </w:p>
        </w:tc>
        <w:tc>
          <w:tcPr>
            <w:tcW w:w="10340" w:type="dxa"/>
            <w:vAlign w:val="bottom"/>
            <w:gridSpan w:val="3"/>
          </w:tcPr>
          <w:p>
            <w:pPr>
              <w:ind w:left="340"/>
              <w:spacing w:after="0"/>
              <w:rPr>
                <w:sz w:val="20"/>
                <w:szCs w:val="20"/>
                <w:color w:val="auto"/>
              </w:rPr>
            </w:pPr>
            <w:r>
              <w:rPr>
                <w:rFonts w:ascii="Arial" w:cs="Arial" w:eastAsia="Arial" w:hAnsi="Arial"/>
                <w:sz w:val="12"/>
                <w:szCs w:val="12"/>
                <w:color w:val="auto"/>
              </w:rPr>
              <w:t>XBRL Taxonomy Extension Schema Document.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40" w:type="dxa"/>
            <w:vAlign w:val="bottom"/>
            <w:gridSpan w:val="2"/>
          </w:tcPr>
          <w:p>
            <w:pPr>
              <w:spacing w:after="0"/>
              <w:rPr>
                <w:sz w:val="20"/>
                <w:szCs w:val="20"/>
                <w:color w:val="auto"/>
              </w:rPr>
            </w:pPr>
            <w:r>
              <w:rPr>
                <w:rFonts w:ascii="Arial" w:cs="Arial" w:eastAsia="Arial" w:hAnsi="Arial"/>
                <w:sz w:val="12"/>
                <w:szCs w:val="12"/>
                <w:color w:val="auto"/>
              </w:rPr>
              <w:t>*101</w:t>
            </w:r>
          </w:p>
        </w:tc>
        <w:tc>
          <w:tcPr>
            <w:tcW w:w="300" w:type="dxa"/>
            <w:vAlign w:val="bottom"/>
          </w:tcPr>
          <w:p>
            <w:pPr>
              <w:spacing w:after="0"/>
              <w:rPr>
                <w:sz w:val="12"/>
                <w:szCs w:val="12"/>
                <w:color w:val="auto"/>
              </w:rPr>
            </w:pPr>
          </w:p>
        </w:tc>
        <w:tc>
          <w:tcPr>
            <w:tcW w:w="10340" w:type="dxa"/>
            <w:vAlign w:val="bottom"/>
            <w:gridSpan w:val="3"/>
          </w:tcPr>
          <w:p>
            <w:pPr>
              <w:ind w:left="340"/>
              <w:spacing w:after="0"/>
              <w:rPr>
                <w:sz w:val="20"/>
                <w:szCs w:val="20"/>
                <w:color w:val="auto"/>
              </w:rPr>
            </w:pPr>
            <w:r>
              <w:rPr>
                <w:rFonts w:ascii="Arial" w:cs="Arial" w:eastAsia="Arial" w:hAnsi="Arial"/>
                <w:sz w:val="12"/>
                <w:szCs w:val="12"/>
                <w:color w:val="auto"/>
              </w:rPr>
              <w:t>XBRL Taxonomy Extension Calculation Linkbase Document.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40" w:type="dxa"/>
            <w:vAlign w:val="bottom"/>
            <w:gridSpan w:val="2"/>
          </w:tcPr>
          <w:p>
            <w:pPr>
              <w:spacing w:after="0"/>
              <w:rPr>
                <w:sz w:val="20"/>
                <w:szCs w:val="20"/>
                <w:color w:val="auto"/>
              </w:rPr>
            </w:pPr>
            <w:r>
              <w:rPr>
                <w:rFonts w:ascii="Arial" w:cs="Arial" w:eastAsia="Arial" w:hAnsi="Arial"/>
                <w:sz w:val="12"/>
                <w:szCs w:val="12"/>
                <w:color w:val="auto"/>
              </w:rPr>
              <w:t>*101</w:t>
            </w:r>
          </w:p>
        </w:tc>
        <w:tc>
          <w:tcPr>
            <w:tcW w:w="300" w:type="dxa"/>
            <w:vAlign w:val="bottom"/>
          </w:tcPr>
          <w:p>
            <w:pPr>
              <w:spacing w:after="0"/>
              <w:rPr>
                <w:sz w:val="12"/>
                <w:szCs w:val="12"/>
                <w:color w:val="auto"/>
              </w:rPr>
            </w:pPr>
          </w:p>
        </w:tc>
        <w:tc>
          <w:tcPr>
            <w:tcW w:w="10340" w:type="dxa"/>
            <w:vAlign w:val="bottom"/>
            <w:gridSpan w:val="3"/>
          </w:tcPr>
          <w:p>
            <w:pPr>
              <w:ind w:left="340"/>
              <w:spacing w:after="0"/>
              <w:rPr>
                <w:sz w:val="20"/>
                <w:szCs w:val="20"/>
                <w:color w:val="auto"/>
              </w:rPr>
            </w:pPr>
            <w:r>
              <w:rPr>
                <w:rFonts w:ascii="Arial" w:cs="Arial" w:eastAsia="Arial" w:hAnsi="Arial"/>
                <w:sz w:val="12"/>
                <w:szCs w:val="12"/>
                <w:color w:val="auto"/>
              </w:rPr>
              <w:t>XBRL Taxonomy Extension Definition Linkbase Document.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40" w:type="dxa"/>
            <w:vAlign w:val="bottom"/>
            <w:gridSpan w:val="2"/>
          </w:tcPr>
          <w:p>
            <w:pPr>
              <w:spacing w:after="0"/>
              <w:rPr>
                <w:sz w:val="20"/>
                <w:szCs w:val="20"/>
                <w:color w:val="auto"/>
              </w:rPr>
            </w:pPr>
            <w:r>
              <w:rPr>
                <w:rFonts w:ascii="Arial" w:cs="Arial" w:eastAsia="Arial" w:hAnsi="Arial"/>
                <w:sz w:val="12"/>
                <w:szCs w:val="12"/>
                <w:color w:val="auto"/>
              </w:rPr>
              <w:t>*101</w:t>
            </w:r>
          </w:p>
        </w:tc>
        <w:tc>
          <w:tcPr>
            <w:tcW w:w="300" w:type="dxa"/>
            <w:vAlign w:val="bottom"/>
          </w:tcPr>
          <w:p>
            <w:pPr>
              <w:spacing w:after="0"/>
              <w:rPr>
                <w:sz w:val="12"/>
                <w:szCs w:val="12"/>
                <w:color w:val="auto"/>
              </w:rPr>
            </w:pPr>
          </w:p>
        </w:tc>
        <w:tc>
          <w:tcPr>
            <w:tcW w:w="10340" w:type="dxa"/>
            <w:vAlign w:val="bottom"/>
            <w:gridSpan w:val="3"/>
          </w:tcPr>
          <w:p>
            <w:pPr>
              <w:ind w:left="340"/>
              <w:spacing w:after="0"/>
              <w:rPr>
                <w:sz w:val="20"/>
                <w:szCs w:val="20"/>
                <w:color w:val="auto"/>
              </w:rPr>
            </w:pPr>
            <w:r>
              <w:rPr>
                <w:rFonts w:ascii="Arial" w:cs="Arial" w:eastAsia="Arial" w:hAnsi="Arial"/>
                <w:sz w:val="12"/>
                <w:szCs w:val="12"/>
                <w:color w:val="auto"/>
              </w:rPr>
              <w:t>XBRL Taxonomy Extension Label Linkbase Document.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840" w:type="dxa"/>
            <w:vAlign w:val="bottom"/>
            <w:gridSpan w:val="2"/>
          </w:tcPr>
          <w:p>
            <w:pPr>
              <w:spacing w:after="0"/>
              <w:rPr>
                <w:sz w:val="20"/>
                <w:szCs w:val="20"/>
                <w:color w:val="auto"/>
              </w:rPr>
            </w:pPr>
            <w:r>
              <w:rPr>
                <w:rFonts w:ascii="Arial" w:cs="Arial" w:eastAsia="Arial" w:hAnsi="Arial"/>
                <w:sz w:val="12"/>
                <w:szCs w:val="12"/>
                <w:color w:val="auto"/>
              </w:rPr>
              <w:t>*101</w:t>
            </w:r>
          </w:p>
        </w:tc>
        <w:tc>
          <w:tcPr>
            <w:tcW w:w="300" w:type="dxa"/>
            <w:vAlign w:val="bottom"/>
          </w:tcPr>
          <w:p>
            <w:pPr>
              <w:spacing w:after="0"/>
              <w:rPr>
                <w:sz w:val="13"/>
                <w:szCs w:val="13"/>
                <w:color w:val="auto"/>
              </w:rPr>
            </w:pPr>
          </w:p>
        </w:tc>
        <w:tc>
          <w:tcPr>
            <w:tcW w:w="10340" w:type="dxa"/>
            <w:vAlign w:val="bottom"/>
            <w:gridSpan w:val="3"/>
          </w:tcPr>
          <w:p>
            <w:pPr>
              <w:ind w:left="340"/>
              <w:spacing w:after="0"/>
              <w:rPr>
                <w:sz w:val="20"/>
                <w:szCs w:val="20"/>
                <w:color w:val="auto"/>
              </w:rPr>
            </w:pPr>
            <w:r>
              <w:rPr>
                <w:rFonts w:ascii="Arial" w:cs="Arial" w:eastAsia="Arial" w:hAnsi="Arial"/>
                <w:sz w:val="12"/>
                <w:szCs w:val="12"/>
                <w:color w:val="auto"/>
              </w:rPr>
              <w:t>XBRL Taxonomy Extension Presentation Linkbase Document.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7289165</wp:posOffset>
            </wp:positionH>
            <wp:positionV relativeFrom="paragraph">
              <wp:posOffset>-3221990</wp:posOffset>
            </wp:positionV>
            <wp:extent cx="12700" cy="114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1143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-3221990</wp:posOffset>
            </wp:positionV>
            <wp:extent cx="12700" cy="114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114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137160</wp:posOffset>
            </wp:positionV>
            <wp:extent cx="1835785" cy="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835785" cy="5715"/>
                    </a:xfrm>
                    <a:prstGeom prst="rect">
                      <a:avLst/>
                    </a:prstGeom>
                    <a:noFill/>
                  </pic:spPr>
                </pic:pic>
              </a:graphicData>
            </a:graphic>
          </wp:anchor>
        </w:drawing>
      </w:r>
    </w:p>
    <w:p>
      <w:pPr>
        <w:spacing w:after="0" w:line="268" w:lineRule="exact"/>
        <w:rPr>
          <w:sz w:val="20"/>
          <w:szCs w:val="20"/>
          <w:color w:val="auto"/>
        </w:rPr>
      </w:pPr>
    </w:p>
    <w:p>
      <w:pPr>
        <w:ind w:left="640" w:hanging="432"/>
        <w:spacing w:after="0"/>
        <w:tabs>
          <w:tab w:leader="none" w:pos="640" w:val="left"/>
        </w:tabs>
        <w:numPr>
          <w:ilvl w:val="0"/>
          <w:numId w:val="5"/>
        </w:numPr>
        <w:rPr>
          <w:rFonts w:ascii="Arial" w:cs="Arial" w:eastAsia="Arial" w:hAnsi="Arial"/>
          <w:sz w:val="12"/>
          <w:szCs w:val="12"/>
          <w:color w:val="auto"/>
        </w:rPr>
      </w:pPr>
      <w:r>
        <w:rPr>
          <w:rFonts w:ascii="Arial" w:cs="Arial" w:eastAsia="Arial" w:hAnsi="Arial"/>
          <w:sz w:val="12"/>
          <w:szCs w:val="12"/>
          <w:color w:val="auto"/>
        </w:rPr>
        <w:t>Filed herewith.</w:t>
      </w:r>
    </w:p>
    <w:p>
      <w:pPr>
        <w:spacing w:after="0" w:line="15" w:lineRule="exact"/>
        <w:rPr>
          <w:sz w:val="20"/>
          <w:szCs w:val="20"/>
          <w:color w:val="auto"/>
        </w:rPr>
      </w:pPr>
    </w:p>
    <w:p>
      <w:pPr>
        <w:ind w:left="640" w:hanging="432"/>
        <w:spacing w:after="0"/>
        <w:tabs>
          <w:tab w:leader="none" w:pos="640" w:val="left"/>
        </w:tabs>
        <w:numPr>
          <w:ilvl w:val="0"/>
          <w:numId w:val="6"/>
        </w:numPr>
        <w:rPr>
          <w:rFonts w:ascii="Arial" w:cs="Arial" w:eastAsia="Arial" w:hAnsi="Arial"/>
          <w:sz w:val="12"/>
          <w:szCs w:val="12"/>
          <w:color w:val="auto"/>
        </w:rPr>
      </w:pPr>
      <w:r>
        <w:rPr>
          <w:rFonts w:ascii="Arial" w:cs="Arial" w:eastAsia="Arial" w:hAnsi="Arial"/>
          <w:sz w:val="12"/>
          <w:szCs w:val="12"/>
          <w:color w:val="auto"/>
        </w:rPr>
        <w:t>Furnished herewith.</w:t>
      </w:r>
    </w:p>
    <w:p>
      <w:pPr>
        <w:spacing w:after="0" w:line="141"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310755" cy="241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310755" cy="24130"/>
                    </a:xfrm>
                    <a:prstGeom prst="rect">
                      <a:avLst/>
                    </a:prstGeom>
                    <a:noFill/>
                  </pic:spPr>
                </pic:pic>
              </a:graphicData>
            </a:graphic>
          </wp:anchor>
        </w:drawing>
      </w:r>
    </w:p>
    <w:p>
      <w:pPr>
        <w:sectPr>
          <w:pgSz w:w="11900" w:h="16838" w:orient="portrait"/>
          <w:cols w:equalWidth="0" w:num="1">
            <w:col w:w="11500"/>
          </w:cols>
          <w:pgMar w:left="220" w:top="275" w:right="179" w:bottom="1440" w:gutter="0" w:footer="0" w:header="0"/>
        </w:sectPr>
      </w:pPr>
    </w:p>
    <w:bookmarkStart w:id="13" w:name="page14"/>
    <w:bookmarkEnd w:id="13"/>
    <w:p>
      <w:pPr>
        <w:ind w:left="9700"/>
        <w:spacing w:after="0"/>
        <w:rPr>
          <w:sz w:val="20"/>
          <w:szCs w:val="20"/>
          <w:color w:val="auto"/>
        </w:rPr>
      </w:pPr>
      <w:r>
        <w:rPr>
          <w:rFonts w:ascii="Arial" w:cs="Arial" w:eastAsia="Arial" w:hAnsi="Arial"/>
          <w:sz w:val="11"/>
          <w:szCs w:val="11"/>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25400</wp:posOffset>
            </wp:positionV>
            <wp:extent cx="7332980" cy="52273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332980" cy="5227320"/>
                    </a:xfrm>
                    <a:prstGeom prst="rect">
                      <a:avLst/>
                    </a:prstGeom>
                    <a:noFill/>
                  </pic:spPr>
                </pic:pic>
              </a:graphicData>
            </a:graphic>
          </wp:anchor>
        </w:drawing>
      </w:r>
    </w:p>
    <w:p>
      <w:pPr>
        <w:sectPr>
          <w:pgSz w:w="11900" w:h="16838" w:orient="portrait"/>
          <w:cols w:equalWidth="0" w:num="1">
            <w:col w:w="10260"/>
          </w:cols>
          <w:pgMar w:left="1440" w:top="127" w:right="199" w:bottom="1440"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1106805</wp:posOffset>
            </wp:positionH>
            <wp:positionV relativeFrom="page">
              <wp:posOffset>88900</wp:posOffset>
            </wp:positionV>
            <wp:extent cx="5347970" cy="88023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5347970" cy="8802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jc w:val="right"/>
        <w:ind w:right="20"/>
        <w:spacing w:after="0"/>
        <w:rPr>
          <w:sz w:val="20"/>
          <w:szCs w:val="20"/>
          <w:color w:val="auto"/>
        </w:rPr>
      </w:pPr>
      <w:r>
        <w:rPr>
          <w:rFonts w:ascii="Arial" w:cs="Arial" w:eastAsia="Arial" w:hAnsi="Arial"/>
          <w:sz w:val="12"/>
          <w:szCs w:val="12"/>
          <w:b w:val="1"/>
          <w:bCs w:val="1"/>
          <w:color w:val="auto"/>
        </w:rPr>
        <w:t>Exhibit 31.1</w:t>
      </w:r>
    </w:p>
    <w:p>
      <w:pPr>
        <w:spacing w:after="0" w:line="154" w:lineRule="exact"/>
        <w:rPr>
          <w:sz w:val="20"/>
          <w:szCs w:val="20"/>
          <w:color w:val="auto"/>
        </w:rPr>
      </w:pPr>
    </w:p>
    <w:p>
      <w:pPr>
        <w:jc w:val="center"/>
        <w:ind w:right="20"/>
        <w:spacing w:after="0"/>
        <w:rPr>
          <w:sz w:val="20"/>
          <w:szCs w:val="20"/>
          <w:color w:val="auto"/>
        </w:rPr>
      </w:pPr>
      <w:r>
        <w:rPr>
          <w:rFonts w:ascii="Arial" w:cs="Arial" w:eastAsia="Arial" w:hAnsi="Arial"/>
          <w:sz w:val="12"/>
          <w:szCs w:val="12"/>
          <w:u w:val="single" w:color="auto"/>
          <w:color w:val="auto"/>
        </w:rPr>
        <w:t>CERTIFICATION</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I, Anthony S. Marucci, certify that:</w:t>
      </w:r>
    </w:p>
    <w:p>
      <w:pPr>
        <w:spacing w:after="0" w:line="150" w:lineRule="exact"/>
        <w:rPr>
          <w:sz w:val="20"/>
          <w:szCs w:val="20"/>
          <w:color w:val="auto"/>
        </w:rPr>
      </w:pPr>
    </w:p>
    <w:p>
      <w:pPr>
        <w:ind w:left="460" w:hanging="252"/>
        <w:spacing w:after="0"/>
        <w:tabs>
          <w:tab w:leader="none" w:pos="460" w:val="left"/>
        </w:tabs>
        <w:numPr>
          <w:ilvl w:val="0"/>
          <w:numId w:val="7"/>
        </w:numPr>
        <w:rPr>
          <w:rFonts w:ascii="Arial" w:cs="Arial" w:eastAsia="Arial" w:hAnsi="Arial"/>
          <w:sz w:val="12"/>
          <w:szCs w:val="12"/>
          <w:color w:val="auto"/>
        </w:rPr>
      </w:pPr>
      <w:r>
        <w:rPr>
          <w:rFonts w:ascii="Arial" w:cs="Arial" w:eastAsia="Arial" w:hAnsi="Arial"/>
          <w:sz w:val="12"/>
          <w:szCs w:val="12"/>
          <w:color w:val="auto"/>
        </w:rPr>
        <w:t>I have reviewed this report on Form 10-Q of Celldex Therapeutics, Inc.;</w:t>
      </w:r>
    </w:p>
    <w:p>
      <w:pPr>
        <w:spacing w:after="0" w:line="150" w:lineRule="exact"/>
        <w:rPr>
          <w:rFonts w:ascii="Arial" w:cs="Arial" w:eastAsia="Arial" w:hAnsi="Arial"/>
          <w:sz w:val="12"/>
          <w:szCs w:val="12"/>
          <w:color w:val="auto"/>
        </w:rPr>
      </w:pPr>
    </w:p>
    <w:p>
      <w:pPr>
        <w:ind w:left="460" w:right="120" w:hanging="252"/>
        <w:spacing w:after="0" w:line="276" w:lineRule="auto"/>
        <w:tabs>
          <w:tab w:leader="none" w:pos="462" w:val="left"/>
        </w:tabs>
        <w:numPr>
          <w:ilvl w:val="0"/>
          <w:numId w:val="7"/>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4" w:lineRule="exact"/>
        <w:rPr>
          <w:rFonts w:ascii="Arial" w:cs="Arial" w:eastAsia="Arial" w:hAnsi="Arial"/>
          <w:sz w:val="12"/>
          <w:szCs w:val="12"/>
          <w:color w:val="auto"/>
        </w:rPr>
      </w:pPr>
    </w:p>
    <w:p>
      <w:pPr>
        <w:ind w:left="460" w:right="20" w:hanging="252"/>
        <w:spacing w:after="0" w:line="276" w:lineRule="auto"/>
        <w:tabs>
          <w:tab w:leader="none" w:pos="462" w:val="left"/>
        </w:tabs>
        <w:numPr>
          <w:ilvl w:val="0"/>
          <w:numId w:val="7"/>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4" w:lineRule="exact"/>
        <w:rPr>
          <w:rFonts w:ascii="Arial" w:cs="Arial" w:eastAsia="Arial" w:hAnsi="Arial"/>
          <w:sz w:val="12"/>
          <w:szCs w:val="12"/>
          <w:color w:val="auto"/>
        </w:rPr>
      </w:pPr>
    </w:p>
    <w:p>
      <w:pPr>
        <w:ind w:left="460" w:right="260" w:hanging="252"/>
        <w:spacing w:after="0" w:line="276" w:lineRule="auto"/>
        <w:tabs>
          <w:tab w:leader="none" w:pos="462" w:val="left"/>
        </w:tabs>
        <w:numPr>
          <w:ilvl w:val="0"/>
          <w:numId w:val="7"/>
        </w:numPr>
        <w:rPr>
          <w:rFonts w:ascii="Arial" w:cs="Arial" w:eastAsia="Arial" w:hAnsi="Arial"/>
          <w:sz w:val="12"/>
          <w:szCs w:val="12"/>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4" w:lineRule="exact"/>
        <w:rPr>
          <w:rFonts w:ascii="Arial" w:cs="Arial" w:eastAsia="Arial" w:hAnsi="Arial"/>
          <w:sz w:val="12"/>
          <w:szCs w:val="12"/>
          <w:color w:val="auto"/>
        </w:rPr>
      </w:pPr>
    </w:p>
    <w:p>
      <w:pPr>
        <w:ind w:left="900" w:right="380" w:hanging="432"/>
        <w:spacing w:after="0" w:line="276" w:lineRule="auto"/>
        <w:tabs>
          <w:tab w:leader="none" w:pos="898" w:val="left"/>
        </w:tabs>
        <w:numPr>
          <w:ilvl w:val="1"/>
          <w:numId w:val="7"/>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4" w:lineRule="exact"/>
        <w:rPr>
          <w:rFonts w:ascii="Arial" w:cs="Arial" w:eastAsia="Arial" w:hAnsi="Arial"/>
          <w:sz w:val="12"/>
          <w:szCs w:val="12"/>
          <w:color w:val="auto"/>
        </w:rPr>
      </w:pPr>
    </w:p>
    <w:p>
      <w:pPr>
        <w:ind w:left="900" w:right="140" w:hanging="432"/>
        <w:spacing w:after="0" w:line="276" w:lineRule="auto"/>
        <w:tabs>
          <w:tab w:leader="none" w:pos="905" w:val="left"/>
        </w:tabs>
        <w:numPr>
          <w:ilvl w:val="1"/>
          <w:numId w:val="7"/>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4" w:lineRule="exact"/>
        <w:rPr>
          <w:rFonts w:ascii="Arial" w:cs="Arial" w:eastAsia="Arial" w:hAnsi="Arial"/>
          <w:sz w:val="12"/>
          <w:szCs w:val="12"/>
          <w:color w:val="auto"/>
        </w:rPr>
      </w:pPr>
    </w:p>
    <w:p>
      <w:pPr>
        <w:ind w:left="900" w:right="160" w:hanging="432"/>
        <w:spacing w:after="0" w:line="276" w:lineRule="auto"/>
        <w:tabs>
          <w:tab w:leader="none" w:pos="907" w:val="left"/>
        </w:tabs>
        <w:numPr>
          <w:ilvl w:val="1"/>
          <w:numId w:val="7"/>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4" w:lineRule="exact"/>
        <w:rPr>
          <w:rFonts w:ascii="Arial" w:cs="Arial" w:eastAsia="Arial" w:hAnsi="Arial"/>
          <w:sz w:val="12"/>
          <w:szCs w:val="12"/>
          <w:color w:val="auto"/>
        </w:rPr>
      </w:pPr>
    </w:p>
    <w:p>
      <w:pPr>
        <w:ind w:left="900" w:right="200" w:hanging="432"/>
        <w:spacing w:after="0" w:line="276" w:lineRule="auto"/>
        <w:tabs>
          <w:tab w:leader="none" w:pos="905" w:val="left"/>
        </w:tabs>
        <w:numPr>
          <w:ilvl w:val="1"/>
          <w:numId w:val="7"/>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4" w:lineRule="exact"/>
        <w:rPr>
          <w:rFonts w:ascii="Arial" w:cs="Arial" w:eastAsia="Arial" w:hAnsi="Arial"/>
          <w:sz w:val="12"/>
          <w:szCs w:val="12"/>
          <w:color w:val="auto"/>
        </w:rPr>
      </w:pPr>
    </w:p>
    <w:p>
      <w:pPr>
        <w:ind w:left="460" w:right="60" w:hanging="252"/>
        <w:spacing w:after="0" w:line="276" w:lineRule="auto"/>
        <w:tabs>
          <w:tab w:leader="none" w:pos="462" w:val="left"/>
        </w:tabs>
        <w:numPr>
          <w:ilvl w:val="0"/>
          <w:numId w:val="7"/>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4" w:lineRule="exact"/>
        <w:rPr>
          <w:rFonts w:ascii="Arial" w:cs="Arial" w:eastAsia="Arial" w:hAnsi="Arial"/>
          <w:sz w:val="12"/>
          <w:szCs w:val="12"/>
          <w:color w:val="auto"/>
        </w:rPr>
      </w:pPr>
    </w:p>
    <w:p>
      <w:pPr>
        <w:ind w:left="900" w:right="520" w:hanging="432"/>
        <w:spacing w:after="0" w:line="276" w:lineRule="auto"/>
        <w:tabs>
          <w:tab w:leader="none" w:pos="898" w:val="left"/>
        </w:tabs>
        <w:numPr>
          <w:ilvl w:val="1"/>
          <w:numId w:val="7"/>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4" w:lineRule="exact"/>
        <w:rPr>
          <w:rFonts w:ascii="Arial" w:cs="Arial" w:eastAsia="Arial" w:hAnsi="Arial"/>
          <w:sz w:val="12"/>
          <w:szCs w:val="12"/>
          <w:color w:val="auto"/>
        </w:rPr>
      </w:pPr>
    </w:p>
    <w:p>
      <w:pPr>
        <w:ind w:left="900" w:hanging="432"/>
        <w:spacing w:after="0"/>
        <w:tabs>
          <w:tab w:leader="none" w:pos="900" w:val="left"/>
        </w:tabs>
        <w:numPr>
          <w:ilvl w:val="1"/>
          <w:numId w:val="7"/>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380" w:type="dxa"/>
            <w:vAlign w:val="bottom"/>
          </w:tcPr>
          <w:p>
            <w:pPr>
              <w:spacing w:after="0"/>
              <w:rPr>
                <w:sz w:val="20"/>
                <w:szCs w:val="20"/>
                <w:color w:val="auto"/>
              </w:rPr>
            </w:pPr>
            <w:r>
              <w:rPr>
                <w:rFonts w:ascii="Arial" w:cs="Arial" w:eastAsia="Arial" w:hAnsi="Arial"/>
                <w:sz w:val="12"/>
                <w:szCs w:val="12"/>
                <w:color w:val="auto"/>
              </w:rPr>
              <w:t>Date: August 8, 2017</w:t>
            </w:r>
          </w:p>
        </w:tc>
        <w:tc>
          <w:tcPr>
            <w:tcW w:w="3100" w:type="dxa"/>
            <w:vAlign w:val="bottom"/>
          </w:tcPr>
          <w:p>
            <w:pPr>
              <w:ind w:left="2360"/>
              <w:spacing w:after="0"/>
              <w:rPr>
                <w:sz w:val="20"/>
                <w:szCs w:val="20"/>
                <w:color w:val="auto"/>
              </w:rPr>
            </w:pPr>
            <w:r>
              <w:rPr>
                <w:rFonts w:ascii="Arial" w:cs="Arial" w:eastAsia="Arial" w:hAnsi="Arial"/>
                <w:sz w:val="12"/>
                <w:szCs w:val="12"/>
                <w:color w:val="auto"/>
              </w:rPr>
              <w:t>By</w:t>
            </w:r>
          </w:p>
        </w:tc>
        <w:tc>
          <w:tcPr>
            <w:tcW w:w="50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ANTHONY S. MARUCCI</w:t>
            </w:r>
          </w:p>
        </w:tc>
        <w:tc>
          <w:tcPr>
            <w:tcW w:w="20" w:type="dxa"/>
            <w:vAlign w:val="bottom"/>
          </w:tcPr>
          <w:p>
            <w:pPr>
              <w:spacing w:after="0"/>
              <w:rPr>
                <w:sz w:val="13"/>
                <w:szCs w:val="13"/>
                <w:color w:val="auto"/>
              </w:rPr>
            </w:pPr>
          </w:p>
        </w:tc>
      </w:tr>
      <w:tr>
        <w:trPr>
          <w:trHeight w:val="124"/>
        </w:trPr>
        <w:tc>
          <w:tcPr>
            <w:tcW w:w="3380" w:type="dxa"/>
            <w:vAlign w:val="bottom"/>
          </w:tcPr>
          <w:p>
            <w:pPr>
              <w:spacing w:after="0"/>
              <w:rPr>
                <w:sz w:val="10"/>
                <w:szCs w:val="10"/>
                <w:color w:val="auto"/>
              </w:rPr>
            </w:pPr>
          </w:p>
        </w:tc>
        <w:tc>
          <w:tcPr>
            <w:tcW w:w="3100" w:type="dxa"/>
            <w:vAlign w:val="bottom"/>
          </w:tcPr>
          <w:p>
            <w:pPr>
              <w:ind w:left="2360"/>
              <w:spacing w:after="0" w:line="125" w:lineRule="exact"/>
              <w:rPr>
                <w:sz w:val="20"/>
                <w:szCs w:val="20"/>
                <w:color w:val="auto"/>
              </w:rPr>
            </w:pPr>
            <w:r>
              <w:rPr>
                <w:rFonts w:ascii="Arial" w:cs="Arial" w:eastAsia="Arial" w:hAnsi="Arial"/>
                <w:sz w:val="12"/>
                <w:szCs w:val="12"/>
                <w:color w:val="auto"/>
              </w:rPr>
              <w:t>Name:</w:t>
            </w:r>
          </w:p>
        </w:tc>
        <w:tc>
          <w:tcPr>
            <w:tcW w:w="5000" w:type="dxa"/>
            <w:vAlign w:val="bottom"/>
          </w:tcPr>
          <w:p>
            <w:pPr>
              <w:spacing w:after="0" w:line="125" w:lineRule="exact"/>
              <w:rPr>
                <w:sz w:val="20"/>
                <w:szCs w:val="20"/>
                <w:color w:val="auto"/>
              </w:rPr>
            </w:pPr>
            <w:r>
              <w:rPr>
                <w:rFonts w:ascii="Arial" w:cs="Arial" w:eastAsia="Arial" w:hAnsi="Arial"/>
                <w:sz w:val="12"/>
                <w:szCs w:val="12"/>
                <w:color w:val="auto"/>
              </w:rPr>
              <w:t>Anthony S. Marucci</w:t>
            </w:r>
          </w:p>
        </w:tc>
        <w:tc>
          <w:tcPr>
            <w:tcW w:w="20" w:type="dxa"/>
            <w:vAlign w:val="bottom"/>
          </w:tcPr>
          <w:p>
            <w:pPr>
              <w:spacing w:after="0"/>
              <w:rPr>
                <w:sz w:val="10"/>
                <w:szCs w:val="10"/>
                <w:color w:val="auto"/>
              </w:rPr>
            </w:pPr>
          </w:p>
        </w:tc>
      </w:tr>
      <w:tr>
        <w:trPr>
          <w:trHeight w:val="153"/>
        </w:trPr>
        <w:tc>
          <w:tcPr>
            <w:tcW w:w="3380" w:type="dxa"/>
            <w:vAlign w:val="bottom"/>
          </w:tcPr>
          <w:p>
            <w:pPr>
              <w:spacing w:after="0"/>
              <w:rPr>
                <w:sz w:val="13"/>
                <w:szCs w:val="13"/>
                <w:color w:val="auto"/>
              </w:rPr>
            </w:pPr>
          </w:p>
        </w:tc>
        <w:tc>
          <w:tcPr>
            <w:tcW w:w="3100" w:type="dxa"/>
            <w:vAlign w:val="bottom"/>
          </w:tcPr>
          <w:p>
            <w:pPr>
              <w:ind w:left="2360"/>
              <w:spacing w:after="0"/>
              <w:rPr>
                <w:sz w:val="20"/>
                <w:szCs w:val="20"/>
                <w:color w:val="auto"/>
              </w:rPr>
            </w:pPr>
            <w:r>
              <w:rPr>
                <w:rFonts w:ascii="Arial" w:cs="Arial" w:eastAsia="Arial" w:hAnsi="Arial"/>
                <w:sz w:val="12"/>
                <w:szCs w:val="12"/>
                <w:color w:val="auto"/>
              </w:rPr>
              <w:t>Title:</w:t>
            </w:r>
          </w:p>
        </w:tc>
        <w:tc>
          <w:tcPr>
            <w:tcW w:w="5000" w:type="dxa"/>
            <w:vAlign w:val="bottom"/>
          </w:tcPr>
          <w:p>
            <w:pPr>
              <w:spacing w:after="0"/>
              <w:rPr>
                <w:sz w:val="20"/>
                <w:szCs w:val="20"/>
                <w:color w:val="auto"/>
              </w:rPr>
            </w:pPr>
            <w:r>
              <w:rPr>
                <w:rFonts w:ascii="Arial" w:cs="Arial" w:eastAsia="Arial" w:hAnsi="Arial"/>
                <w:sz w:val="12"/>
                <w:szCs w:val="12"/>
                <w:color w:val="auto"/>
              </w:rPr>
              <w:t>President and Chief Executive Officer</w:t>
            </w:r>
          </w:p>
        </w:tc>
        <w:tc>
          <w:tcPr>
            <w:tcW w:w="20" w:type="dxa"/>
            <w:vAlign w:val="bottom"/>
          </w:tcPr>
          <w:p>
            <w:pPr>
              <w:spacing w:after="0"/>
              <w:rPr>
                <w:sz w:val="13"/>
                <w:szCs w:val="13"/>
                <w:color w:val="auto"/>
              </w:rPr>
            </w:pPr>
          </w:p>
        </w:tc>
      </w:tr>
      <w:tr>
        <w:trPr>
          <w:trHeight w:val="229"/>
        </w:trPr>
        <w:tc>
          <w:tcPr>
            <w:tcW w:w="3380" w:type="dxa"/>
            <w:vAlign w:val="bottom"/>
            <w:tcBorders>
              <w:bottom w:val="single" w:sz="8" w:color="808080"/>
            </w:tcBorders>
          </w:tcPr>
          <w:p>
            <w:pPr>
              <w:spacing w:after="0"/>
              <w:rPr>
                <w:sz w:val="19"/>
                <w:szCs w:val="19"/>
                <w:color w:val="auto"/>
              </w:rPr>
            </w:pPr>
          </w:p>
        </w:tc>
        <w:tc>
          <w:tcPr>
            <w:tcW w:w="3100" w:type="dxa"/>
            <w:vAlign w:val="bottom"/>
            <w:tcBorders>
              <w:bottom w:val="single" w:sz="8" w:color="808080"/>
            </w:tcBorders>
          </w:tcPr>
          <w:p>
            <w:pPr>
              <w:spacing w:after="0"/>
              <w:rPr>
                <w:sz w:val="19"/>
                <w:szCs w:val="19"/>
                <w:color w:val="auto"/>
              </w:rPr>
            </w:pPr>
          </w:p>
        </w:tc>
        <w:tc>
          <w:tcPr>
            <w:tcW w:w="50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7289165</wp:posOffset>
            </wp:positionH>
            <wp:positionV relativeFrom="paragraph">
              <wp:posOffset>-17145</wp:posOffset>
            </wp:positionV>
            <wp:extent cx="12700" cy="114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1143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-17145</wp:posOffset>
            </wp:positionV>
            <wp:extent cx="12700" cy="114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11430"/>
                    </a:xfrm>
                    <a:prstGeom prst="rect">
                      <a:avLst/>
                    </a:prstGeom>
                    <a:noFill/>
                  </pic:spPr>
                </pic:pic>
              </a:graphicData>
            </a:graphic>
          </wp:anchor>
        </w:drawing>
      </w:r>
    </w:p>
    <w:p>
      <w:pPr>
        <w:sectPr>
          <w:pgSz w:w="11900" w:h="16838" w:orient="portrait"/>
          <w:cols w:equalWidth="0" w:num="1">
            <w:col w:w="11500"/>
          </w:cols>
          <w:pgMar w:left="220" w:top="127" w:right="179" w:bottom="1440" w:gutter="0" w:footer="0" w:header="0"/>
        </w:sectPr>
      </w:pPr>
    </w:p>
    <w:bookmarkStart w:id="16" w:name="page17"/>
    <w:bookmarkEnd w:id="16"/>
    <w:p>
      <w:pPr>
        <w:jc w:val="right"/>
        <w:ind w:right="20"/>
        <w:spacing w:after="0"/>
        <w:rPr>
          <w:sz w:val="20"/>
          <w:szCs w:val="20"/>
          <w:color w:val="auto"/>
        </w:rPr>
      </w:pPr>
      <w:r>
        <w:rPr>
          <w:rFonts w:ascii="Arial" w:cs="Arial" w:eastAsia="Arial" w:hAnsi="Arial"/>
          <w:sz w:val="12"/>
          <w:szCs w:val="12"/>
          <w:b w:val="1"/>
          <w:bCs w:val="1"/>
          <w:color w:val="auto"/>
        </w:rPr>
        <w:t>Exhibit 31.2</w:t>
      </w:r>
    </w:p>
    <w:p>
      <w:pPr>
        <w:spacing w:after="0" w:line="154" w:lineRule="exact"/>
        <w:rPr>
          <w:sz w:val="20"/>
          <w:szCs w:val="20"/>
          <w:color w:val="auto"/>
        </w:rPr>
      </w:pPr>
    </w:p>
    <w:p>
      <w:pPr>
        <w:jc w:val="center"/>
        <w:ind w:right="20"/>
        <w:spacing w:after="0"/>
        <w:rPr>
          <w:sz w:val="20"/>
          <w:szCs w:val="20"/>
          <w:color w:val="auto"/>
        </w:rPr>
      </w:pPr>
      <w:r>
        <w:rPr>
          <w:rFonts w:ascii="Arial" w:cs="Arial" w:eastAsia="Arial" w:hAnsi="Arial"/>
          <w:sz w:val="12"/>
          <w:szCs w:val="12"/>
          <w:u w:val="single" w:color="auto"/>
          <w:color w:val="auto"/>
        </w:rPr>
        <w:t>CERTIFICATION</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I, Sam Martin, certify that:</w:t>
      </w:r>
    </w:p>
    <w:p>
      <w:pPr>
        <w:spacing w:after="0" w:line="150" w:lineRule="exact"/>
        <w:rPr>
          <w:sz w:val="20"/>
          <w:szCs w:val="20"/>
          <w:color w:val="auto"/>
        </w:rPr>
      </w:pPr>
    </w:p>
    <w:p>
      <w:pPr>
        <w:ind w:left="460" w:hanging="252"/>
        <w:spacing w:after="0"/>
        <w:tabs>
          <w:tab w:leader="none" w:pos="460" w:val="left"/>
        </w:tabs>
        <w:numPr>
          <w:ilvl w:val="0"/>
          <w:numId w:val="8"/>
        </w:numPr>
        <w:rPr>
          <w:rFonts w:ascii="Arial" w:cs="Arial" w:eastAsia="Arial" w:hAnsi="Arial"/>
          <w:sz w:val="12"/>
          <w:szCs w:val="12"/>
          <w:color w:val="auto"/>
        </w:rPr>
      </w:pPr>
      <w:r>
        <w:rPr>
          <w:rFonts w:ascii="Arial" w:cs="Arial" w:eastAsia="Arial" w:hAnsi="Arial"/>
          <w:sz w:val="12"/>
          <w:szCs w:val="12"/>
          <w:color w:val="auto"/>
        </w:rPr>
        <w:t>I have reviewed this report on Form 10-Q of Celldex Therapeutics, Inc.;</w:t>
      </w:r>
    </w:p>
    <w:p>
      <w:pPr>
        <w:spacing w:after="0" w:line="150" w:lineRule="exact"/>
        <w:rPr>
          <w:rFonts w:ascii="Arial" w:cs="Arial" w:eastAsia="Arial" w:hAnsi="Arial"/>
          <w:sz w:val="12"/>
          <w:szCs w:val="12"/>
          <w:color w:val="auto"/>
        </w:rPr>
      </w:pPr>
    </w:p>
    <w:p>
      <w:pPr>
        <w:ind w:left="460" w:right="120" w:hanging="252"/>
        <w:spacing w:after="0" w:line="276" w:lineRule="auto"/>
        <w:tabs>
          <w:tab w:leader="none" w:pos="462" w:val="left"/>
        </w:tabs>
        <w:numPr>
          <w:ilvl w:val="0"/>
          <w:numId w:val="8"/>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4" w:lineRule="exact"/>
        <w:rPr>
          <w:rFonts w:ascii="Arial" w:cs="Arial" w:eastAsia="Arial" w:hAnsi="Arial"/>
          <w:sz w:val="12"/>
          <w:szCs w:val="12"/>
          <w:color w:val="auto"/>
        </w:rPr>
      </w:pPr>
    </w:p>
    <w:p>
      <w:pPr>
        <w:ind w:left="460" w:right="20" w:hanging="252"/>
        <w:spacing w:after="0" w:line="276" w:lineRule="auto"/>
        <w:tabs>
          <w:tab w:leader="none" w:pos="462" w:val="left"/>
        </w:tabs>
        <w:numPr>
          <w:ilvl w:val="0"/>
          <w:numId w:val="8"/>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4" w:lineRule="exact"/>
        <w:rPr>
          <w:rFonts w:ascii="Arial" w:cs="Arial" w:eastAsia="Arial" w:hAnsi="Arial"/>
          <w:sz w:val="12"/>
          <w:szCs w:val="12"/>
          <w:color w:val="auto"/>
        </w:rPr>
      </w:pPr>
    </w:p>
    <w:p>
      <w:pPr>
        <w:ind w:left="460" w:right="260" w:hanging="252"/>
        <w:spacing w:after="0" w:line="276" w:lineRule="auto"/>
        <w:tabs>
          <w:tab w:leader="none" w:pos="462" w:val="left"/>
        </w:tabs>
        <w:numPr>
          <w:ilvl w:val="0"/>
          <w:numId w:val="8"/>
        </w:numPr>
        <w:rPr>
          <w:rFonts w:ascii="Arial" w:cs="Arial" w:eastAsia="Arial" w:hAnsi="Arial"/>
          <w:sz w:val="12"/>
          <w:szCs w:val="12"/>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4" w:lineRule="exact"/>
        <w:rPr>
          <w:rFonts w:ascii="Arial" w:cs="Arial" w:eastAsia="Arial" w:hAnsi="Arial"/>
          <w:sz w:val="12"/>
          <w:szCs w:val="12"/>
          <w:color w:val="auto"/>
        </w:rPr>
      </w:pPr>
    </w:p>
    <w:p>
      <w:pPr>
        <w:ind w:left="900" w:right="380" w:hanging="432"/>
        <w:spacing w:after="0" w:line="276" w:lineRule="auto"/>
        <w:tabs>
          <w:tab w:leader="none" w:pos="898" w:val="left"/>
        </w:tabs>
        <w:numPr>
          <w:ilvl w:val="1"/>
          <w:numId w:val="8"/>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4" w:lineRule="exact"/>
        <w:rPr>
          <w:rFonts w:ascii="Arial" w:cs="Arial" w:eastAsia="Arial" w:hAnsi="Arial"/>
          <w:sz w:val="12"/>
          <w:szCs w:val="12"/>
          <w:color w:val="auto"/>
        </w:rPr>
      </w:pPr>
    </w:p>
    <w:p>
      <w:pPr>
        <w:ind w:left="900" w:right="140" w:hanging="432"/>
        <w:spacing w:after="0" w:line="276" w:lineRule="auto"/>
        <w:tabs>
          <w:tab w:leader="none" w:pos="905" w:val="left"/>
        </w:tabs>
        <w:numPr>
          <w:ilvl w:val="1"/>
          <w:numId w:val="8"/>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4" w:lineRule="exact"/>
        <w:rPr>
          <w:rFonts w:ascii="Arial" w:cs="Arial" w:eastAsia="Arial" w:hAnsi="Arial"/>
          <w:sz w:val="12"/>
          <w:szCs w:val="12"/>
          <w:color w:val="auto"/>
        </w:rPr>
      </w:pPr>
    </w:p>
    <w:p>
      <w:pPr>
        <w:ind w:left="900" w:right="160" w:hanging="432"/>
        <w:spacing w:after="0" w:line="276" w:lineRule="auto"/>
        <w:tabs>
          <w:tab w:leader="none" w:pos="907" w:val="left"/>
        </w:tabs>
        <w:numPr>
          <w:ilvl w:val="1"/>
          <w:numId w:val="8"/>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4" w:lineRule="exact"/>
        <w:rPr>
          <w:rFonts w:ascii="Arial" w:cs="Arial" w:eastAsia="Arial" w:hAnsi="Arial"/>
          <w:sz w:val="12"/>
          <w:szCs w:val="12"/>
          <w:color w:val="auto"/>
        </w:rPr>
      </w:pPr>
    </w:p>
    <w:p>
      <w:pPr>
        <w:ind w:left="900" w:right="200" w:hanging="432"/>
        <w:spacing w:after="0" w:line="276" w:lineRule="auto"/>
        <w:tabs>
          <w:tab w:leader="none" w:pos="905" w:val="left"/>
        </w:tabs>
        <w:numPr>
          <w:ilvl w:val="1"/>
          <w:numId w:val="8"/>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4" w:lineRule="exact"/>
        <w:rPr>
          <w:rFonts w:ascii="Arial" w:cs="Arial" w:eastAsia="Arial" w:hAnsi="Arial"/>
          <w:sz w:val="12"/>
          <w:szCs w:val="12"/>
          <w:color w:val="auto"/>
        </w:rPr>
      </w:pPr>
    </w:p>
    <w:p>
      <w:pPr>
        <w:ind w:left="460" w:right="60" w:hanging="252"/>
        <w:spacing w:after="0" w:line="276" w:lineRule="auto"/>
        <w:tabs>
          <w:tab w:leader="none" w:pos="462" w:val="left"/>
        </w:tabs>
        <w:numPr>
          <w:ilvl w:val="0"/>
          <w:numId w:val="8"/>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4" w:lineRule="exact"/>
        <w:rPr>
          <w:rFonts w:ascii="Arial" w:cs="Arial" w:eastAsia="Arial" w:hAnsi="Arial"/>
          <w:sz w:val="12"/>
          <w:szCs w:val="12"/>
          <w:color w:val="auto"/>
        </w:rPr>
      </w:pPr>
    </w:p>
    <w:p>
      <w:pPr>
        <w:ind w:left="900" w:right="520" w:hanging="432"/>
        <w:spacing w:after="0" w:line="276" w:lineRule="auto"/>
        <w:tabs>
          <w:tab w:leader="none" w:pos="898" w:val="left"/>
        </w:tabs>
        <w:numPr>
          <w:ilvl w:val="1"/>
          <w:numId w:val="8"/>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4" w:lineRule="exact"/>
        <w:rPr>
          <w:rFonts w:ascii="Arial" w:cs="Arial" w:eastAsia="Arial" w:hAnsi="Arial"/>
          <w:sz w:val="12"/>
          <w:szCs w:val="12"/>
          <w:color w:val="auto"/>
        </w:rPr>
      </w:pPr>
    </w:p>
    <w:p>
      <w:pPr>
        <w:ind w:left="900" w:hanging="432"/>
        <w:spacing w:after="0"/>
        <w:tabs>
          <w:tab w:leader="none" w:pos="900" w:val="left"/>
        </w:tabs>
        <w:numPr>
          <w:ilvl w:val="1"/>
          <w:numId w:val="8"/>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380" w:type="dxa"/>
            <w:vAlign w:val="bottom"/>
          </w:tcPr>
          <w:p>
            <w:pPr>
              <w:spacing w:after="0"/>
              <w:rPr>
                <w:sz w:val="20"/>
                <w:szCs w:val="20"/>
                <w:color w:val="auto"/>
              </w:rPr>
            </w:pPr>
            <w:r>
              <w:rPr>
                <w:rFonts w:ascii="Arial" w:cs="Arial" w:eastAsia="Arial" w:hAnsi="Arial"/>
                <w:sz w:val="12"/>
                <w:szCs w:val="12"/>
                <w:color w:val="auto"/>
              </w:rPr>
              <w:t>Date: August 8, 2017</w:t>
            </w:r>
          </w:p>
        </w:tc>
        <w:tc>
          <w:tcPr>
            <w:tcW w:w="3100" w:type="dxa"/>
            <w:vAlign w:val="bottom"/>
          </w:tcPr>
          <w:p>
            <w:pPr>
              <w:ind w:left="2360"/>
              <w:spacing w:after="0"/>
              <w:rPr>
                <w:sz w:val="20"/>
                <w:szCs w:val="20"/>
                <w:color w:val="auto"/>
              </w:rPr>
            </w:pPr>
            <w:r>
              <w:rPr>
                <w:rFonts w:ascii="Arial" w:cs="Arial" w:eastAsia="Arial" w:hAnsi="Arial"/>
                <w:sz w:val="12"/>
                <w:szCs w:val="12"/>
                <w:color w:val="auto"/>
              </w:rPr>
              <w:t>By:</w:t>
            </w:r>
          </w:p>
        </w:tc>
        <w:tc>
          <w:tcPr>
            <w:tcW w:w="50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SAM MARTIN</w:t>
            </w:r>
          </w:p>
        </w:tc>
        <w:tc>
          <w:tcPr>
            <w:tcW w:w="20" w:type="dxa"/>
            <w:vAlign w:val="bottom"/>
          </w:tcPr>
          <w:p>
            <w:pPr>
              <w:spacing w:after="0"/>
              <w:rPr>
                <w:sz w:val="13"/>
                <w:szCs w:val="13"/>
                <w:color w:val="auto"/>
              </w:rPr>
            </w:pPr>
          </w:p>
        </w:tc>
      </w:tr>
      <w:tr>
        <w:trPr>
          <w:trHeight w:val="124"/>
        </w:trPr>
        <w:tc>
          <w:tcPr>
            <w:tcW w:w="3380" w:type="dxa"/>
            <w:vAlign w:val="bottom"/>
          </w:tcPr>
          <w:p>
            <w:pPr>
              <w:spacing w:after="0"/>
              <w:rPr>
                <w:sz w:val="10"/>
                <w:szCs w:val="10"/>
                <w:color w:val="auto"/>
              </w:rPr>
            </w:pPr>
          </w:p>
        </w:tc>
        <w:tc>
          <w:tcPr>
            <w:tcW w:w="3100" w:type="dxa"/>
            <w:vAlign w:val="bottom"/>
          </w:tcPr>
          <w:p>
            <w:pPr>
              <w:ind w:left="2360"/>
              <w:spacing w:after="0" w:line="125" w:lineRule="exact"/>
              <w:rPr>
                <w:sz w:val="20"/>
                <w:szCs w:val="20"/>
                <w:color w:val="auto"/>
              </w:rPr>
            </w:pPr>
            <w:r>
              <w:rPr>
                <w:rFonts w:ascii="Arial" w:cs="Arial" w:eastAsia="Arial" w:hAnsi="Arial"/>
                <w:sz w:val="12"/>
                <w:szCs w:val="12"/>
                <w:color w:val="auto"/>
              </w:rPr>
              <w:t>Name:</w:t>
            </w:r>
          </w:p>
        </w:tc>
        <w:tc>
          <w:tcPr>
            <w:tcW w:w="5000" w:type="dxa"/>
            <w:vAlign w:val="bottom"/>
          </w:tcPr>
          <w:p>
            <w:pPr>
              <w:spacing w:after="0" w:line="125" w:lineRule="exact"/>
              <w:rPr>
                <w:sz w:val="20"/>
                <w:szCs w:val="20"/>
                <w:color w:val="auto"/>
              </w:rPr>
            </w:pPr>
            <w:r>
              <w:rPr>
                <w:rFonts w:ascii="Arial" w:cs="Arial" w:eastAsia="Arial" w:hAnsi="Arial"/>
                <w:sz w:val="12"/>
                <w:szCs w:val="12"/>
                <w:color w:val="auto"/>
              </w:rPr>
              <w:t>Sam Martin</w:t>
            </w:r>
          </w:p>
        </w:tc>
        <w:tc>
          <w:tcPr>
            <w:tcW w:w="20" w:type="dxa"/>
            <w:vAlign w:val="bottom"/>
          </w:tcPr>
          <w:p>
            <w:pPr>
              <w:spacing w:after="0"/>
              <w:rPr>
                <w:sz w:val="10"/>
                <w:szCs w:val="10"/>
                <w:color w:val="auto"/>
              </w:rPr>
            </w:pPr>
          </w:p>
        </w:tc>
      </w:tr>
      <w:tr>
        <w:trPr>
          <w:trHeight w:val="153"/>
        </w:trPr>
        <w:tc>
          <w:tcPr>
            <w:tcW w:w="3380" w:type="dxa"/>
            <w:vAlign w:val="bottom"/>
          </w:tcPr>
          <w:p>
            <w:pPr>
              <w:spacing w:after="0"/>
              <w:rPr>
                <w:sz w:val="13"/>
                <w:szCs w:val="13"/>
                <w:color w:val="auto"/>
              </w:rPr>
            </w:pPr>
          </w:p>
        </w:tc>
        <w:tc>
          <w:tcPr>
            <w:tcW w:w="3100" w:type="dxa"/>
            <w:vAlign w:val="bottom"/>
          </w:tcPr>
          <w:p>
            <w:pPr>
              <w:ind w:left="2360"/>
              <w:spacing w:after="0"/>
              <w:rPr>
                <w:sz w:val="20"/>
                <w:szCs w:val="20"/>
                <w:color w:val="auto"/>
              </w:rPr>
            </w:pPr>
            <w:r>
              <w:rPr>
                <w:rFonts w:ascii="Arial" w:cs="Arial" w:eastAsia="Arial" w:hAnsi="Arial"/>
                <w:sz w:val="12"/>
                <w:szCs w:val="12"/>
                <w:color w:val="auto"/>
              </w:rPr>
              <w:t>Title:</w:t>
            </w:r>
          </w:p>
        </w:tc>
        <w:tc>
          <w:tcPr>
            <w:tcW w:w="5000" w:type="dxa"/>
            <w:vAlign w:val="bottom"/>
          </w:tcPr>
          <w:p>
            <w:pPr>
              <w:spacing w:after="0"/>
              <w:rPr>
                <w:sz w:val="20"/>
                <w:szCs w:val="20"/>
                <w:color w:val="auto"/>
              </w:rPr>
            </w:pPr>
            <w:r>
              <w:rPr>
                <w:rFonts w:ascii="Arial" w:cs="Arial" w:eastAsia="Arial" w:hAnsi="Arial"/>
                <w:sz w:val="12"/>
                <w:szCs w:val="12"/>
                <w:color w:val="auto"/>
              </w:rPr>
              <w:t>Senior Vice President and Chief Financial Officer</w:t>
            </w:r>
          </w:p>
        </w:tc>
        <w:tc>
          <w:tcPr>
            <w:tcW w:w="20" w:type="dxa"/>
            <w:vAlign w:val="bottom"/>
          </w:tcPr>
          <w:p>
            <w:pPr>
              <w:spacing w:after="0"/>
              <w:rPr>
                <w:sz w:val="13"/>
                <w:szCs w:val="13"/>
                <w:color w:val="auto"/>
              </w:rPr>
            </w:pPr>
          </w:p>
        </w:tc>
      </w:tr>
      <w:tr>
        <w:trPr>
          <w:trHeight w:val="229"/>
        </w:trPr>
        <w:tc>
          <w:tcPr>
            <w:tcW w:w="3380" w:type="dxa"/>
            <w:vAlign w:val="bottom"/>
            <w:tcBorders>
              <w:bottom w:val="single" w:sz="8" w:color="808080"/>
            </w:tcBorders>
          </w:tcPr>
          <w:p>
            <w:pPr>
              <w:spacing w:after="0"/>
              <w:rPr>
                <w:sz w:val="19"/>
                <w:szCs w:val="19"/>
                <w:color w:val="auto"/>
              </w:rPr>
            </w:pPr>
          </w:p>
        </w:tc>
        <w:tc>
          <w:tcPr>
            <w:tcW w:w="3100" w:type="dxa"/>
            <w:vAlign w:val="bottom"/>
            <w:tcBorders>
              <w:bottom w:val="single" w:sz="8" w:color="808080"/>
            </w:tcBorders>
          </w:tcPr>
          <w:p>
            <w:pPr>
              <w:spacing w:after="0"/>
              <w:rPr>
                <w:sz w:val="19"/>
                <w:szCs w:val="19"/>
                <w:color w:val="auto"/>
              </w:rPr>
            </w:pPr>
          </w:p>
        </w:tc>
        <w:tc>
          <w:tcPr>
            <w:tcW w:w="50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7289165</wp:posOffset>
            </wp:positionH>
            <wp:positionV relativeFrom="paragraph">
              <wp:posOffset>-17145</wp:posOffset>
            </wp:positionV>
            <wp:extent cx="12700" cy="114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1143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-17145</wp:posOffset>
            </wp:positionV>
            <wp:extent cx="12700" cy="114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11430"/>
                    </a:xfrm>
                    <a:prstGeom prst="rect">
                      <a:avLst/>
                    </a:prstGeom>
                    <a:noFill/>
                  </pic:spPr>
                </pic:pic>
              </a:graphicData>
            </a:graphic>
          </wp:anchor>
        </w:drawing>
      </w:r>
    </w:p>
    <w:p>
      <w:pPr>
        <w:sectPr>
          <w:pgSz w:w="11900" w:h="16838" w:orient="portrait"/>
          <w:cols w:equalWidth="0" w:num="1">
            <w:col w:w="11500"/>
          </w:cols>
          <w:pgMar w:left="220" w:top="127" w:right="179" w:bottom="1440" w:gutter="0" w:footer="0" w:header="0"/>
        </w:sectPr>
      </w:pPr>
    </w:p>
    <w:bookmarkStart w:id="17" w:name="page18"/>
    <w:bookmarkEnd w:id="17"/>
    <w:p>
      <w:pPr>
        <w:jc w:val="right"/>
        <w:spacing w:after="0"/>
        <w:rPr>
          <w:sz w:val="20"/>
          <w:szCs w:val="20"/>
          <w:color w:val="auto"/>
        </w:rPr>
      </w:pPr>
      <w:r>
        <w:rPr>
          <w:rFonts w:ascii="Arial" w:cs="Arial" w:eastAsia="Arial" w:hAnsi="Arial"/>
          <w:sz w:val="12"/>
          <w:szCs w:val="12"/>
          <w:b w:val="1"/>
          <w:bCs w:val="1"/>
          <w:color w:val="auto"/>
        </w:rPr>
        <w:t>Exhibit 32.1</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u w:val="single" w:color="auto"/>
          <w:color w:val="auto"/>
        </w:rPr>
        <w:t>SECTION 1350 CERTIFICATIONS</w:t>
      </w:r>
    </w:p>
    <w:p>
      <w:pPr>
        <w:spacing w:after="0" w:line="150" w:lineRule="exact"/>
        <w:rPr>
          <w:sz w:val="20"/>
          <w:szCs w:val="20"/>
          <w:color w:val="auto"/>
        </w:rPr>
      </w:pPr>
    </w:p>
    <w:p>
      <w:pPr>
        <w:ind w:right="20"/>
        <w:spacing w:after="0" w:line="298" w:lineRule="auto"/>
        <w:rPr>
          <w:sz w:val="20"/>
          <w:szCs w:val="20"/>
          <w:color w:val="auto"/>
        </w:rPr>
      </w:pPr>
      <w:r>
        <w:rPr>
          <w:rFonts w:ascii="Arial" w:cs="Arial" w:eastAsia="Arial" w:hAnsi="Arial"/>
          <w:sz w:val="11"/>
          <w:szCs w:val="11"/>
          <w:color w:val="auto"/>
        </w:rPr>
        <w:t>Pursuant to 18 U.S.C. §1350 as adopted pursuant to §906 of the Sarbanes-Oxley Act of 2002, the undersigned officers of Celldex Therapeutics, Inc. (the “Company”) hereby certify that to their knowledge and in their respective capacities that the Company’s quarterly report on Form 10-Q to which this certification is attached (the “Report”), fully complies with the requirements of Section 13(a) or 15(d), as applicable, of the Securities Exchange Act of 1934, as amended (the “Exchange Act”), and that the information contained in the Report fairly presents, in all material respects, the financial condition and results of operations of the Company.</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380" w:type="dxa"/>
            <w:vAlign w:val="bottom"/>
          </w:tcPr>
          <w:p>
            <w:pPr>
              <w:spacing w:after="0"/>
              <w:rPr>
                <w:sz w:val="20"/>
                <w:szCs w:val="20"/>
                <w:color w:val="auto"/>
              </w:rPr>
            </w:pPr>
            <w:r>
              <w:rPr>
                <w:rFonts w:ascii="Arial" w:cs="Arial" w:eastAsia="Arial" w:hAnsi="Arial"/>
                <w:sz w:val="12"/>
                <w:szCs w:val="12"/>
                <w:color w:val="auto"/>
              </w:rPr>
              <w:t>Date: August 8, 2017</w:t>
            </w:r>
          </w:p>
        </w:tc>
        <w:tc>
          <w:tcPr>
            <w:tcW w:w="3100" w:type="dxa"/>
            <w:vAlign w:val="bottom"/>
          </w:tcPr>
          <w:p>
            <w:pPr>
              <w:ind w:left="2360"/>
              <w:spacing w:after="0"/>
              <w:rPr>
                <w:sz w:val="20"/>
                <w:szCs w:val="20"/>
                <w:color w:val="auto"/>
              </w:rPr>
            </w:pPr>
            <w:r>
              <w:rPr>
                <w:rFonts w:ascii="Arial" w:cs="Arial" w:eastAsia="Arial" w:hAnsi="Arial"/>
                <w:sz w:val="12"/>
                <w:szCs w:val="12"/>
                <w:color w:val="auto"/>
              </w:rPr>
              <w:t>By:</w:t>
            </w:r>
          </w:p>
        </w:tc>
        <w:tc>
          <w:tcPr>
            <w:tcW w:w="50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ANTHONY S. MARUCCI</w:t>
            </w:r>
          </w:p>
        </w:tc>
      </w:tr>
      <w:tr>
        <w:trPr>
          <w:trHeight w:val="124"/>
        </w:trPr>
        <w:tc>
          <w:tcPr>
            <w:tcW w:w="3380" w:type="dxa"/>
            <w:vAlign w:val="bottom"/>
          </w:tcPr>
          <w:p>
            <w:pPr>
              <w:spacing w:after="0"/>
              <w:rPr>
                <w:sz w:val="10"/>
                <w:szCs w:val="10"/>
                <w:color w:val="auto"/>
              </w:rPr>
            </w:pPr>
          </w:p>
        </w:tc>
        <w:tc>
          <w:tcPr>
            <w:tcW w:w="3100" w:type="dxa"/>
            <w:vAlign w:val="bottom"/>
          </w:tcPr>
          <w:p>
            <w:pPr>
              <w:ind w:left="2360"/>
              <w:spacing w:after="0" w:line="125" w:lineRule="exact"/>
              <w:rPr>
                <w:sz w:val="20"/>
                <w:szCs w:val="20"/>
                <w:color w:val="auto"/>
              </w:rPr>
            </w:pPr>
            <w:r>
              <w:rPr>
                <w:rFonts w:ascii="Arial" w:cs="Arial" w:eastAsia="Arial" w:hAnsi="Arial"/>
                <w:sz w:val="12"/>
                <w:szCs w:val="12"/>
                <w:color w:val="auto"/>
              </w:rPr>
              <w:t>Name:</w:t>
            </w:r>
          </w:p>
        </w:tc>
        <w:tc>
          <w:tcPr>
            <w:tcW w:w="5000" w:type="dxa"/>
            <w:vAlign w:val="bottom"/>
          </w:tcPr>
          <w:p>
            <w:pPr>
              <w:spacing w:after="0" w:line="125" w:lineRule="exact"/>
              <w:rPr>
                <w:sz w:val="20"/>
                <w:szCs w:val="20"/>
                <w:color w:val="auto"/>
              </w:rPr>
            </w:pPr>
            <w:r>
              <w:rPr>
                <w:rFonts w:ascii="Arial" w:cs="Arial" w:eastAsia="Arial" w:hAnsi="Arial"/>
                <w:sz w:val="12"/>
                <w:szCs w:val="12"/>
                <w:color w:val="auto"/>
              </w:rPr>
              <w:t>Anthony S. Marucci</w:t>
            </w:r>
          </w:p>
        </w:tc>
      </w:tr>
      <w:tr>
        <w:trPr>
          <w:trHeight w:val="153"/>
        </w:trPr>
        <w:tc>
          <w:tcPr>
            <w:tcW w:w="3380" w:type="dxa"/>
            <w:vAlign w:val="bottom"/>
          </w:tcPr>
          <w:p>
            <w:pPr>
              <w:spacing w:after="0"/>
              <w:rPr>
                <w:sz w:val="13"/>
                <w:szCs w:val="13"/>
                <w:color w:val="auto"/>
              </w:rPr>
            </w:pPr>
          </w:p>
        </w:tc>
        <w:tc>
          <w:tcPr>
            <w:tcW w:w="3100" w:type="dxa"/>
            <w:vAlign w:val="bottom"/>
          </w:tcPr>
          <w:p>
            <w:pPr>
              <w:ind w:left="2360"/>
              <w:spacing w:after="0"/>
              <w:rPr>
                <w:sz w:val="20"/>
                <w:szCs w:val="20"/>
                <w:color w:val="auto"/>
              </w:rPr>
            </w:pPr>
            <w:r>
              <w:rPr>
                <w:rFonts w:ascii="Arial" w:cs="Arial" w:eastAsia="Arial" w:hAnsi="Arial"/>
                <w:sz w:val="12"/>
                <w:szCs w:val="12"/>
                <w:color w:val="auto"/>
              </w:rPr>
              <w:t>Title:</w:t>
            </w:r>
          </w:p>
        </w:tc>
        <w:tc>
          <w:tcPr>
            <w:tcW w:w="5000" w:type="dxa"/>
            <w:vAlign w:val="bottom"/>
          </w:tcPr>
          <w:p>
            <w:pPr>
              <w:spacing w:after="0"/>
              <w:rPr>
                <w:sz w:val="20"/>
                <w:szCs w:val="20"/>
                <w:color w:val="auto"/>
              </w:rPr>
            </w:pPr>
            <w:r>
              <w:rPr>
                <w:rFonts w:ascii="Arial" w:cs="Arial" w:eastAsia="Arial" w:hAnsi="Arial"/>
                <w:sz w:val="12"/>
                <w:szCs w:val="12"/>
                <w:color w:val="auto"/>
              </w:rPr>
              <w:t>President and Chief Executive Officer</w:t>
            </w:r>
          </w:p>
        </w:tc>
      </w:tr>
      <w:tr>
        <w:trPr>
          <w:trHeight w:val="288"/>
        </w:trPr>
        <w:tc>
          <w:tcPr>
            <w:tcW w:w="3380" w:type="dxa"/>
            <w:vAlign w:val="bottom"/>
          </w:tcPr>
          <w:p>
            <w:pPr>
              <w:spacing w:after="0"/>
              <w:rPr>
                <w:sz w:val="20"/>
                <w:szCs w:val="20"/>
                <w:color w:val="auto"/>
              </w:rPr>
            </w:pPr>
            <w:r>
              <w:rPr>
                <w:rFonts w:ascii="Arial" w:cs="Arial" w:eastAsia="Arial" w:hAnsi="Arial"/>
                <w:sz w:val="12"/>
                <w:szCs w:val="12"/>
                <w:color w:val="auto"/>
              </w:rPr>
              <w:t>Date: August 8, 2017</w:t>
            </w:r>
          </w:p>
        </w:tc>
        <w:tc>
          <w:tcPr>
            <w:tcW w:w="3100" w:type="dxa"/>
            <w:vAlign w:val="bottom"/>
          </w:tcPr>
          <w:p>
            <w:pPr>
              <w:ind w:left="2360"/>
              <w:spacing w:after="0"/>
              <w:rPr>
                <w:sz w:val="20"/>
                <w:szCs w:val="20"/>
                <w:color w:val="auto"/>
              </w:rPr>
            </w:pPr>
            <w:r>
              <w:rPr>
                <w:rFonts w:ascii="Arial" w:cs="Arial" w:eastAsia="Arial" w:hAnsi="Arial"/>
                <w:sz w:val="12"/>
                <w:szCs w:val="12"/>
                <w:color w:val="auto"/>
              </w:rPr>
              <w:t>By:</w:t>
            </w:r>
          </w:p>
        </w:tc>
        <w:tc>
          <w:tcPr>
            <w:tcW w:w="50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SAM MARTIN</w:t>
            </w:r>
          </w:p>
        </w:tc>
      </w:tr>
      <w:tr>
        <w:trPr>
          <w:trHeight w:val="124"/>
        </w:trPr>
        <w:tc>
          <w:tcPr>
            <w:tcW w:w="3380" w:type="dxa"/>
            <w:vAlign w:val="bottom"/>
          </w:tcPr>
          <w:p>
            <w:pPr>
              <w:spacing w:after="0"/>
              <w:rPr>
                <w:sz w:val="10"/>
                <w:szCs w:val="10"/>
                <w:color w:val="auto"/>
              </w:rPr>
            </w:pPr>
          </w:p>
        </w:tc>
        <w:tc>
          <w:tcPr>
            <w:tcW w:w="3100" w:type="dxa"/>
            <w:vAlign w:val="bottom"/>
          </w:tcPr>
          <w:p>
            <w:pPr>
              <w:ind w:left="2360"/>
              <w:spacing w:after="0" w:line="125" w:lineRule="exact"/>
              <w:rPr>
                <w:sz w:val="20"/>
                <w:szCs w:val="20"/>
                <w:color w:val="auto"/>
              </w:rPr>
            </w:pPr>
            <w:r>
              <w:rPr>
                <w:rFonts w:ascii="Arial" w:cs="Arial" w:eastAsia="Arial" w:hAnsi="Arial"/>
                <w:sz w:val="12"/>
                <w:szCs w:val="12"/>
                <w:color w:val="auto"/>
              </w:rPr>
              <w:t>Name:</w:t>
            </w:r>
          </w:p>
        </w:tc>
        <w:tc>
          <w:tcPr>
            <w:tcW w:w="5000" w:type="dxa"/>
            <w:vAlign w:val="bottom"/>
          </w:tcPr>
          <w:p>
            <w:pPr>
              <w:spacing w:after="0" w:line="125" w:lineRule="exact"/>
              <w:rPr>
                <w:sz w:val="20"/>
                <w:szCs w:val="20"/>
                <w:color w:val="auto"/>
              </w:rPr>
            </w:pPr>
            <w:r>
              <w:rPr>
                <w:rFonts w:ascii="Arial" w:cs="Arial" w:eastAsia="Arial" w:hAnsi="Arial"/>
                <w:sz w:val="12"/>
                <w:szCs w:val="12"/>
                <w:color w:val="auto"/>
              </w:rPr>
              <w:t>Sam Martin</w:t>
            </w:r>
          </w:p>
        </w:tc>
      </w:tr>
      <w:tr>
        <w:trPr>
          <w:trHeight w:val="153"/>
        </w:trPr>
        <w:tc>
          <w:tcPr>
            <w:tcW w:w="3380" w:type="dxa"/>
            <w:vAlign w:val="bottom"/>
          </w:tcPr>
          <w:p>
            <w:pPr>
              <w:spacing w:after="0"/>
              <w:rPr>
                <w:sz w:val="13"/>
                <w:szCs w:val="13"/>
                <w:color w:val="auto"/>
              </w:rPr>
            </w:pPr>
          </w:p>
        </w:tc>
        <w:tc>
          <w:tcPr>
            <w:tcW w:w="3100" w:type="dxa"/>
            <w:vAlign w:val="bottom"/>
          </w:tcPr>
          <w:p>
            <w:pPr>
              <w:ind w:left="2360"/>
              <w:spacing w:after="0"/>
              <w:rPr>
                <w:sz w:val="20"/>
                <w:szCs w:val="20"/>
                <w:color w:val="auto"/>
              </w:rPr>
            </w:pPr>
            <w:r>
              <w:rPr>
                <w:rFonts w:ascii="Arial" w:cs="Arial" w:eastAsia="Arial" w:hAnsi="Arial"/>
                <w:sz w:val="12"/>
                <w:szCs w:val="12"/>
                <w:color w:val="auto"/>
              </w:rPr>
              <w:t>Title:</w:t>
            </w:r>
          </w:p>
        </w:tc>
        <w:tc>
          <w:tcPr>
            <w:tcW w:w="5000" w:type="dxa"/>
            <w:vAlign w:val="bottom"/>
          </w:tcPr>
          <w:p>
            <w:pPr>
              <w:spacing w:after="0"/>
              <w:rPr>
                <w:sz w:val="20"/>
                <w:szCs w:val="20"/>
                <w:color w:val="auto"/>
              </w:rPr>
            </w:pPr>
            <w:r>
              <w:rPr>
                <w:rFonts w:ascii="Arial" w:cs="Arial" w:eastAsia="Arial" w:hAnsi="Arial"/>
                <w:sz w:val="12"/>
                <w:szCs w:val="12"/>
                <w:color w:val="auto"/>
              </w:rPr>
              <w:t>Senior Vice President and Chief Financial Officer</w:t>
            </w:r>
          </w:p>
        </w:tc>
      </w:tr>
    </w:tbl>
    <w:p>
      <w:pPr>
        <w:spacing w:after="0" w:line="135" w:lineRule="exact"/>
        <w:rPr>
          <w:sz w:val="20"/>
          <w:szCs w:val="20"/>
          <w:color w:val="auto"/>
        </w:rPr>
      </w:pPr>
    </w:p>
    <w:p>
      <w:pPr>
        <w:jc w:val="both"/>
        <w:ind w:right="40"/>
        <w:spacing w:after="0" w:line="263" w:lineRule="auto"/>
        <w:rPr>
          <w:sz w:val="20"/>
          <w:szCs w:val="20"/>
          <w:color w:val="auto"/>
        </w:rPr>
      </w:pPr>
      <w:r>
        <w:rPr>
          <w:rFonts w:ascii="Arial" w:cs="Arial" w:eastAsia="Arial" w:hAnsi="Arial"/>
          <w:sz w:val="12"/>
          <w:szCs w:val="12"/>
          <w:color w:val="auto"/>
        </w:rPr>
        <w:t>This certification shall not be deemed “filed” for any purpose, nor shall it be deemed to be incorporated by reference into any filing under the Securities Act of 1933 or the Exchange Act. 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Celldex Therapeutics, Inc. and will be retained by Celldex Therapeutics,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125730</wp:posOffset>
            </wp:positionV>
            <wp:extent cx="7310755" cy="241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310755" cy="24130"/>
                    </a:xfrm>
                    <a:prstGeom prst="rect">
                      <a:avLst/>
                    </a:prstGeom>
                    <a:noFill/>
                  </pic:spPr>
                </pic:pic>
              </a:graphicData>
            </a:graphic>
          </wp:anchor>
        </w:drawing>
      </w:r>
    </w:p>
    <w:sectPr>
      <w:pgSz w:w="11900" w:h="16838" w:orient="portrait"/>
      <w:cols w:equalWidth="0" w:num="1">
        <w:col w:w="11480"/>
      </w:cols>
      <w:pgMar w:left="220" w:top="127"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decimal"/>
      <w:start w:val="1"/>
    </w:lvl>
    <w:lvl w:ilvl="1">
      <w:lvlJc w:val="left"/>
      <w:lvlText w:val="(%2)"/>
      <w:numFmt w:val="lowerLetter"/>
      <w:start w:val="1"/>
    </w:lvl>
  </w:abstractNum>
  <w:abstractNum w:abstractNumId="7">
    <w:nsid w:val="7545E146"/>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2019-12-29T05:07:25Z</dcterms:created>
  <dcterms:modified xsi:type="dcterms:W3CDTF">2019-12-29T05:07:25Z</dcterms:modified>
</cp:coreProperties>
</file>