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50331x10q.htm"/>
        <w:bookmarkStart w:id="1" w:name="kscldx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left"/>
        <w:rPr/>
      </w:pPr>
      <w:r>
        <w:rPr/>
        <w:t>​</w:t>
      </w:r>
    </w:p>
    <w:p>
      <w:pPr>
        <w:pStyle w:val="TextBody"/>
        <w:pBdr>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1a643583_9381_4476_9a56_a6e90c8e4996"/>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quarterly period ended March 31, 2025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edJZ0T3Ik2SG0oQauD1nQ_1_2"/>
      <w:bookmarkStart w:id="4" w:name="Tc_amTIMc5d9Uy7p06D6oSp2A_1_0"/>
      <w:bookmarkStart w:id="5" w:name="Tc_jIFk78NKokyRWFuCWY6YYw_0_2"/>
      <w:bookmarkStart w:id="6" w:name="_d0dca1c5_cfbd_41ee_8326_31c42ddd1388"/>
      <w:bookmarkStart w:id="7" w:name="Tc_aedJZ0T3Ik2SG0oQauD1nQ_1_2"/>
      <w:bookmarkStart w:id="8" w:name="Tc_amTIMc5d9Uy7p06D6oSp2A_1_0"/>
      <w:bookmarkStart w:id="9" w:name="Tc_jIFk78NKokyRWFuCWY6YYw_0_2"/>
      <w:bookmarkStart w:id="10" w:name="_d0dca1c5_cfbd_41ee_8326_31c42ddd1388"/>
      <w:bookmarkEnd w:id="7"/>
      <w:bookmarkEnd w:id="8"/>
      <w:bookmarkEnd w:id="9"/>
      <w:bookmarkEnd w:id="10"/>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1" w:name="Tc_cdRgMCu4gUCDB_sMQj_JkA_1_4"/>
      <w:bookmarkStart w:id="12" w:name="Tc_1Nu08hm7x0KDg7zqQ9uv2w_0_4"/>
      <w:bookmarkStart w:id="13" w:name="Tc_hKmASRchOEeHAyJjdsaX2A_0_2"/>
      <w:bookmarkStart w:id="14" w:name="Tc_c_OsmgLH5EOFQebMqpzveA_0_0"/>
      <w:bookmarkStart w:id="15" w:name="_82a80587_f51d_4628_93ff_43a2d7fa089f"/>
      <w:bookmarkStart w:id="16" w:name="Tc_cdRgMCu4gUCDB_sMQj_JkA_1_4"/>
      <w:bookmarkStart w:id="17" w:name="Tc_1Nu08hm7x0KDg7zqQ9uv2w_0_4"/>
      <w:bookmarkStart w:id="18" w:name="Tc_hKmASRchOEeHAyJjdsaX2A_0_2"/>
      <w:bookmarkStart w:id="19" w:name="Tc_c_OsmgLH5EOFQebMqpzveA_0_0"/>
      <w:bookmarkStart w:id="20" w:name="_82a80587_f51d_4628_93ff_43a2d7fa089f"/>
      <w:bookmarkEnd w:id="16"/>
      <w:bookmarkEnd w:id="17"/>
      <w:bookmarkEnd w:id="18"/>
      <w:bookmarkEnd w:id="19"/>
      <w:bookmarkEnd w:id="20"/>
    </w:p>
    <w:tbl>
      <w:tblPr>
        <w:tblW w:w="8425" w:type="dxa"/>
        <w:jc w:val="left"/>
        <w:tblInd w:w="0" w:type="dxa"/>
        <w:tblLayout w:type="fixed"/>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0"/>
              </w:rPr>
              <w:t>Nasdaq</w:t>
            </w:r>
            <w:r>
              <w:rPr>
                <w:rFonts w:ascii="Helvetica;sans-serif" w:hAns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53" w:type="dxa"/>
        <w:jc w:val="left"/>
        <w:tblInd w:w="0" w:type="dxa"/>
        <w:tblLayout w:type="fixed"/>
        <w:tblCellMar>
          <w:top w:w="0" w:type="dxa"/>
          <w:left w:w="0" w:type="dxa"/>
          <w:bottom w:w="0" w:type="dxa"/>
          <w:right w:w="0" w:type="dxa"/>
        </w:tblCellMar>
      </w:tblPr>
      <w:tblGrid>
        <w:gridCol w:w="2146"/>
        <w:gridCol w:w="32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April 30, 2025, 66,394,241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5fa421fe_909a_47dd_9453_ca1e2a2a4868"/>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2025</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March 31, 2025 and December 31, 2024</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2025 and 2024</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36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6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368" w:type="dxa"/>
            <w:tcBorders/>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shd w:fill="CCEEFF" w:val="clear"/>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36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pBdr/>
              <w:bidi w:val="0"/>
              <w:spacing w:before="0" w:after="0"/>
              <w:ind w:left="0" w:right="0" w:hanging="144"/>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b07baaa6_a8fa_4dbb_94a1_802cdfe74acb"/>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U957YiaVQUOSxKIc-XHMLA_33_5"/>
      <w:bookmarkStart w:id="28" w:name="Tc_fuRoNkbYokqP8A1-lQPBYg_33_2"/>
      <w:bookmarkStart w:id="29" w:name="Tc_jOKvrPBrMk62c6i76NdjwA_33_0"/>
      <w:bookmarkStart w:id="30" w:name="Tc_Fg27x3IHEEeTDLE1-gD-Lw_32_0"/>
      <w:bookmarkStart w:id="31" w:name="Tc_7NfrFD42nE2YMKRbdkD4Ng_31_0"/>
      <w:bookmarkStart w:id="32" w:name="Tc_tpLo4bYOyE2MIGlFEXuMcQ_30_0"/>
      <w:bookmarkStart w:id="33" w:name="Tc_IXYWj3gvIEGvi9Gim6DppQ_29_0"/>
      <w:bookmarkStart w:id="34" w:name="Tc_cXQozusc5E65OL2IOB8cXw_28_0"/>
      <w:bookmarkStart w:id="35" w:name="Tc_xTxi9NRWHkqLHHhQFGQ_vA_27_0"/>
      <w:bookmarkStart w:id="36" w:name="Tc_acxnkZdUZUmMXVIgJK204w_26_0"/>
      <w:bookmarkStart w:id="37" w:name="Tc_t7QoD5DJzk-R4amdIw8ADQ_25_0"/>
      <w:bookmarkStart w:id="38" w:name="Tc_u3PkITYQHEedwx2gUS2CcQ_24_0"/>
      <w:bookmarkStart w:id="39" w:name="Tc_6p2fsWhq30eF4OHczzVh2w_23_0"/>
      <w:bookmarkStart w:id="40" w:name="Tc_6vQ3YGbtkECudq6OJzctpg_22_0"/>
      <w:bookmarkStart w:id="41" w:name="Tc_E8BTJNupYUq9_XLiZtKLag_21_0"/>
      <w:bookmarkStart w:id="42" w:name="Tc_1MiHUYgzrUudxRjaGzcwBA_20_0"/>
      <w:bookmarkStart w:id="43" w:name="Tc_yx32J6wH0UWkExixXfqzzw_19_0"/>
      <w:bookmarkStart w:id="44" w:name="Tc_YNhZygIu9kyw5qvSWSShyA_18_0"/>
      <w:bookmarkStart w:id="45" w:name="Tc_gYu_n27uJEGY_MOQVGGiqQ_17_5"/>
      <w:bookmarkStart w:id="46" w:name="Tc_3Bk1FxusQE6TXyrZniK0Pg_17_2"/>
      <w:bookmarkStart w:id="47" w:name="Tc_rrIkUwhCt0WrV9O5MSRDIA_17_0"/>
      <w:bookmarkStart w:id="48" w:name="Tc_OUJX8f00UUauQm2k5CIM0A_16_0"/>
      <w:bookmarkStart w:id="49" w:name="Tc_4eWl6RK6MUeC7OXKjpl4uw_15_0"/>
      <w:bookmarkStart w:id="50" w:name="Tc_p4sIary5xUOBq3km9B5UzQ_14_5"/>
      <w:bookmarkStart w:id="51" w:name="Tc_KUBTCSHyFE61mvXW7_nF8w_14_2"/>
      <w:bookmarkStart w:id="52" w:name="Tc_JmkMgPmNtkOt3oplWs7WcQ_14_0"/>
      <w:bookmarkStart w:id="53" w:name="Tc_6OllDSq4F0qNWOCf8tDkig_13_0"/>
      <w:bookmarkStart w:id="54" w:name="Tc_BdO0aCyrn0eVfYWXnjEIDg_12_0"/>
      <w:bookmarkStart w:id="55" w:name="Tc_B5kRSJgrVkGssrMeshGTgQ_11_0"/>
      <w:bookmarkStart w:id="56" w:name="Tc_R155K80rFE-eDRWeX0pv-A_10_0"/>
      <w:bookmarkStart w:id="57" w:name="Tc_VOLU7bRDsUmaqhC4p5zfrw_9_0"/>
      <w:bookmarkStart w:id="58" w:name="Tc_OS61DlTP-EWNPK89kIbBYw_8_0"/>
      <w:bookmarkStart w:id="59" w:name="Tc_sqk1WcesPES_SDyQz9mweQ_7_0"/>
      <w:bookmarkStart w:id="60" w:name="Tc_UQmrXjORSkSZeaYFUoUs8Q_6_0"/>
      <w:bookmarkStart w:id="61" w:name="Tc_YAfW4euB-kapyUNFgwea6Q_5_5"/>
      <w:bookmarkStart w:id="62" w:name="Tc_Ey4P8XZarkiYVYmPbur8Wg_5_2"/>
      <w:bookmarkStart w:id="63" w:name="Tc_yHwDUVLmEkmFtQhzG7_xcA_5_0"/>
      <w:bookmarkStart w:id="64" w:name="Tc_8JhS2L8zskiU6aI7xA4iCw_4_0"/>
      <w:bookmarkStart w:id="65" w:name="Tc_4AT61VK9gEKg6U_6VueOHQ_3_0"/>
      <w:bookmarkStart w:id="66" w:name="Tc_jxuhxgBK9U-f2UiOc0Hobg_2_5"/>
      <w:bookmarkStart w:id="67" w:name="Tc_SIY49m1meUKZ0IG1cYDo9w_2_2"/>
      <w:bookmarkStart w:id="68" w:name="Tc_GqLKj-MPSUiPmGEmI7LMKg_1_5"/>
      <w:bookmarkStart w:id="69" w:name="Tc_yqHcXW9SDUuK1gO1wvoszA_1_2"/>
      <w:bookmarkStart w:id="70" w:name="_1a341834_fd8a_4ea7_8c9b_3c4775173112"/>
      <w:bookmarkStart w:id="71" w:name="Tc_U957YiaVQUOSxKIc-XHMLA_33_5"/>
      <w:bookmarkStart w:id="72" w:name="Tc_fuRoNkbYokqP8A1-lQPBYg_33_2"/>
      <w:bookmarkStart w:id="73" w:name="Tc_jOKvrPBrMk62c6i76NdjwA_33_0"/>
      <w:bookmarkStart w:id="74" w:name="Tc_Fg27x3IHEEeTDLE1-gD-Lw_32_0"/>
      <w:bookmarkStart w:id="75" w:name="Tc_7NfrFD42nE2YMKRbdkD4Ng_31_0"/>
      <w:bookmarkStart w:id="76" w:name="Tc_tpLo4bYOyE2MIGlFEXuMcQ_30_0"/>
      <w:bookmarkStart w:id="77" w:name="Tc_IXYWj3gvIEGvi9Gim6DppQ_29_0"/>
      <w:bookmarkStart w:id="78" w:name="Tc_cXQozusc5E65OL2IOB8cXw_28_0"/>
      <w:bookmarkStart w:id="79" w:name="Tc_xTxi9NRWHkqLHHhQFGQ_vA_27_0"/>
      <w:bookmarkStart w:id="80" w:name="Tc_acxnkZdUZUmMXVIgJK204w_26_0"/>
      <w:bookmarkStart w:id="81" w:name="Tc_t7QoD5DJzk-R4amdIw8ADQ_25_0"/>
      <w:bookmarkStart w:id="82" w:name="Tc_u3PkITYQHEedwx2gUS2CcQ_24_0"/>
      <w:bookmarkStart w:id="83" w:name="Tc_6p2fsWhq30eF4OHczzVh2w_23_0"/>
      <w:bookmarkStart w:id="84" w:name="Tc_6vQ3YGbtkECudq6OJzctpg_22_0"/>
      <w:bookmarkStart w:id="85" w:name="Tc_E8BTJNupYUq9_XLiZtKLag_21_0"/>
      <w:bookmarkStart w:id="86" w:name="Tc_1MiHUYgzrUudxRjaGzcwBA_20_0"/>
      <w:bookmarkStart w:id="87" w:name="Tc_yx32J6wH0UWkExixXfqzzw_19_0"/>
      <w:bookmarkStart w:id="88" w:name="Tc_YNhZygIu9kyw5qvSWSShyA_18_0"/>
      <w:bookmarkStart w:id="89" w:name="Tc_gYu_n27uJEGY_MOQVGGiqQ_17_5"/>
      <w:bookmarkStart w:id="90" w:name="Tc_3Bk1FxusQE6TXyrZniK0Pg_17_2"/>
      <w:bookmarkStart w:id="91" w:name="Tc_rrIkUwhCt0WrV9O5MSRDIA_17_0"/>
      <w:bookmarkStart w:id="92" w:name="Tc_OUJX8f00UUauQm2k5CIM0A_16_0"/>
      <w:bookmarkStart w:id="93" w:name="Tc_4eWl6RK6MUeC7OXKjpl4uw_15_0"/>
      <w:bookmarkStart w:id="94" w:name="Tc_p4sIary5xUOBq3km9B5UzQ_14_5"/>
      <w:bookmarkStart w:id="95" w:name="Tc_KUBTCSHyFE61mvXW7_nF8w_14_2"/>
      <w:bookmarkStart w:id="96" w:name="Tc_JmkMgPmNtkOt3oplWs7WcQ_14_0"/>
      <w:bookmarkStart w:id="97" w:name="Tc_6OllDSq4F0qNWOCf8tDkig_13_0"/>
      <w:bookmarkStart w:id="98" w:name="Tc_BdO0aCyrn0eVfYWXnjEIDg_12_0"/>
      <w:bookmarkStart w:id="99" w:name="Tc_B5kRSJgrVkGssrMeshGTgQ_11_0"/>
      <w:bookmarkStart w:id="100" w:name="Tc_R155K80rFE-eDRWeX0pv-A_10_0"/>
      <w:bookmarkStart w:id="101" w:name="Tc_VOLU7bRDsUmaqhC4p5zfrw_9_0"/>
      <w:bookmarkStart w:id="102" w:name="Tc_OS61DlTP-EWNPK89kIbBYw_8_0"/>
      <w:bookmarkStart w:id="103" w:name="Tc_sqk1WcesPES_SDyQz9mweQ_7_0"/>
      <w:bookmarkStart w:id="104" w:name="Tc_UQmrXjORSkSZeaYFUoUs8Q_6_0"/>
      <w:bookmarkStart w:id="105" w:name="Tc_YAfW4euB-kapyUNFgwea6Q_5_5"/>
      <w:bookmarkStart w:id="106" w:name="Tc_Ey4P8XZarkiYVYmPbur8Wg_5_2"/>
      <w:bookmarkStart w:id="107" w:name="Tc_yHwDUVLmEkmFtQhzG7_xcA_5_0"/>
      <w:bookmarkStart w:id="108" w:name="Tc_8JhS2L8zskiU6aI7xA4iCw_4_0"/>
      <w:bookmarkStart w:id="109" w:name="Tc_4AT61VK9gEKg6U_6VueOHQ_3_0"/>
      <w:bookmarkStart w:id="110" w:name="Tc_jxuhxgBK9U-f2UiOc0Hobg_2_5"/>
      <w:bookmarkStart w:id="111" w:name="Tc_SIY49m1meUKZ0IG1cYDo9w_2_2"/>
      <w:bookmarkStart w:id="112" w:name="Tc_GqLKj-MPSUiPmGEmI7LMKg_1_5"/>
      <w:bookmarkStart w:id="113" w:name="Tc_yqHcXW9SDUuK1gO1wvoszA_1_2"/>
      <w:bookmarkStart w:id="114" w:name="_1a341834_fd8a_4ea7_8c9b_3c477517311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W w:w="10205" w:type="dxa"/>
        <w:jc w:val="left"/>
        <w:tblInd w:w="0" w:type="dxa"/>
        <w:tblLayout w:type="fixed"/>
        <w:tblCellMar>
          <w:top w:w="0" w:type="dxa"/>
          <w:left w:w="0" w:type="dxa"/>
          <w:bottom w:w="0" w:type="dxa"/>
          <w:right w:w="0" w:type="dxa"/>
        </w:tblCellMar>
      </w:tblPr>
      <w:tblGrid>
        <w:gridCol w:w="7052"/>
        <w:gridCol w:w="326"/>
        <w:gridCol w:w="211"/>
        <w:gridCol w:w="1016"/>
        <w:gridCol w:w="326"/>
        <w:gridCol w:w="211"/>
        <w:gridCol w:w="1063"/>
      </w:tblGrid>
      <w:tr>
        <w:trPr/>
        <w:tc>
          <w:tcPr>
            <w:tcW w:w="7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020" cy="175260"/>
                      <wp:effectExtent l="0" t="0" r="0" b="0"/>
                      <wp:wrapNone/>
                      <wp:docPr id="1" name="Frame1"/>
                      <a:graphic xmlns:a="http://schemas.openxmlformats.org/drawingml/2006/main">
                        <a:graphicData uri="http://schemas.microsoft.com/office/word/2010/wordprocessingShape">
                          <wps:wsp>
                            <wps:cNvSpPr txBox="1"/>
                            <wps:spPr>
                              <a:xfrm>
                                <a:off x="0" y="0"/>
                                <a:ext cx="447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5005" cy="175260"/>
                      <wp:effectExtent l="0" t="0" r="0" b="0"/>
                      <wp:wrapNone/>
                      <wp:docPr id="7" name="Frame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2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21,178</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693,757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747,159</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3,898</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9,747</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792,340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33,842</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39,501</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March 31, 2025 and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297,000,000 shares authorized; 66,384,191 and 66,374,549 shares issued and outstanding at March 31,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739,471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792,340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5" w:name="_2fa6a2a5_1ab1_4c36_9997_1fd9d46173b6"/>
      <w:bookmarkEnd w:id="11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16" w:name="CONDENSEDCONSOLIDATEDSTATEMENTSOFOPERATI"/>
      <w:bookmarkEnd w:id="116"/>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7" w:name="Tc_UJ8exexlJ0-5lenDHwJ7uA_25_5"/>
      <w:bookmarkStart w:id="118" w:name="Tc_U8fWfNdTikWzsL9dcw6BCQ_25_2"/>
      <w:bookmarkStart w:id="119" w:name="Tc_VOWGXb2J50eXv684lkQuCA_25_0"/>
      <w:bookmarkStart w:id="120" w:name="Tc_1kpCuFGHw0yyQS9oA-6uCQ_24_0"/>
      <w:bookmarkStart w:id="121" w:name="Tc_4Kw4cXCJj0uuZT5o06fzkg_23_0"/>
      <w:bookmarkStart w:id="122" w:name="Tc_K6p95MIjzEyHubAMxalXlw_22_5"/>
      <w:bookmarkStart w:id="123" w:name="Tc_Yqz6uE7ZGkO_pywC0_AZag_22_2"/>
      <w:bookmarkStart w:id="124" w:name="Tc_SHiYMQntlk-jkgHhY-Gkvg_22_0"/>
      <w:bookmarkStart w:id="125" w:name="Tc_p-PwCML2q0yp3p4hQeqDjw_21_0"/>
      <w:bookmarkStart w:id="126" w:name="Tc_MIN7ACHnRkik-vVd3eAbLQ_19_0"/>
      <w:bookmarkStart w:id="127" w:name="Tc_ORADpqQEs0uBN6rJBH7Sjw_17_5"/>
      <w:bookmarkStart w:id="128" w:name="Tc_-yKYJNnnekmibuIqRcocyQ_17_2"/>
      <w:bookmarkStart w:id="129" w:name="Tc_LK7J55sYyk2aUBREAn_2PQ_17_0"/>
      <w:bookmarkStart w:id="130" w:name="Tc_48gWLjJaZki8pY1cDRMvhA_15_5"/>
      <w:bookmarkStart w:id="131" w:name="Tc_yjVswqdDfU-9GQ8XJRF1EQ_15_2"/>
      <w:bookmarkStart w:id="132" w:name="Tc_fcFrL0N9pEWggoLo6gVMOw_15_0"/>
      <w:bookmarkStart w:id="133" w:name="Tc_h5nl3qLD4kaAXWAxjrbYTQ_14_0"/>
      <w:bookmarkStart w:id="134" w:name="Tc_vCwlkm_44EurfK8PA6bLLQ_13_0"/>
      <w:bookmarkStart w:id="135" w:name="Tc_mkfDrZKjvUKXTYMZ21R9Hw_11_0"/>
      <w:bookmarkStart w:id="136" w:name="Tc_lVUmJ9bb5kG4AKjrkeDkSQ_10_0"/>
      <w:bookmarkStart w:id="137" w:name="Tc_6lqtve39IUOAiRdW6YBZ9g_9_0"/>
      <w:bookmarkStart w:id="138" w:name="Tc_Wr5vgJSG8keg4Ed9Umkwpw_8_0"/>
      <w:bookmarkStart w:id="139" w:name="Tc_daTd277yAkqgXD0gLMq6ig_6_0"/>
      <w:bookmarkStart w:id="140" w:name="Tc_RfQ60f5XGkiFg5qH5JBKlA_5_0"/>
      <w:bookmarkStart w:id="141" w:name="Tc_4KWCO7twVU-0IUDtcEOjcQ_4_5"/>
      <w:bookmarkStart w:id="142" w:name="Tc_U3Wmcb5woUaYFzjt-Sf_GQ_4_2"/>
      <w:bookmarkStart w:id="143" w:name="Tc_LROrKoVmE0eRI4ERhPR1bg_4_0"/>
      <w:bookmarkStart w:id="144" w:name="Tc_smp7hKicxkKrCfsqEvttZw_3_0"/>
      <w:bookmarkStart w:id="145" w:name="Tc_XFMhoWjT3kyUFGWMiuRXsA_2_5"/>
      <w:bookmarkStart w:id="146" w:name="Tc_9475y8BYBkSVhDbbGrjkjg_2_2"/>
      <w:bookmarkStart w:id="147" w:name="Tc_EXIk0I46QEmExYseOq7I0Q_1_5"/>
      <w:bookmarkStart w:id="148" w:name="Tc_g9K45ppOUU2cc3CMRA6DdQ_1_2"/>
      <w:bookmarkStart w:id="149" w:name="_be025735_3b83_40c4_9871_d6089a032502"/>
      <w:bookmarkStart w:id="150" w:name="_d47e9ac3_9f28_48aa_849a_efdebf818e65"/>
      <w:bookmarkStart w:id="151" w:name="Tc_UJ8exexlJ0-5lenDHwJ7uA_25_5"/>
      <w:bookmarkStart w:id="152" w:name="Tc_U8fWfNdTikWzsL9dcw6BCQ_25_2"/>
      <w:bookmarkStart w:id="153" w:name="Tc_VOWGXb2J50eXv684lkQuCA_25_0"/>
      <w:bookmarkStart w:id="154" w:name="Tc_1kpCuFGHw0yyQS9oA-6uCQ_24_0"/>
      <w:bookmarkStart w:id="155" w:name="Tc_4Kw4cXCJj0uuZT5o06fzkg_23_0"/>
      <w:bookmarkStart w:id="156" w:name="Tc_K6p95MIjzEyHubAMxalXlw_22_5"/>
      <w:bookmarkStart w:id="157" w:name="Tc_Yqz6uE7ZGkO_pywC0_AZag_22_2"/>
      <w:bookmarkStart w:id="158" w:name="Tc_SHiYMQntlk-jkgHhY-Gkvg_22_0"/>
      <w:bookmarkStart w:id="159" w:name="Tc_p-PwCML2q0yp3p4hQeqDjw_21_0"/>
      <w:bookmarkStart w:id="160" w:name="Tc_MIN7ACHnRkik-vVd3eAbLQ_19_0"/>
      <w:bookmarkStart w:id="161" w:name="Tc_ORADpqQEs0uBN6rJBH7Sjw_17_5"/>
      <w:bookmarkStart w:id="162" w:name="Tc_-yKYJNnnekmibuIqRcocyQ_17_2"/>
      <w:bookmarkStart w:id="163" w:name="Tc_LK7J55sYyk2aUBREAn_2PQ_17_0"/>
      <w:bookmarkStart w:id="164" w:name="Tc_48gWLjJaZki8pY1cDRMvhA_15_5"/>
      <w:bookmarkStart w:id="165" w:name="Tc_yjVswqdDfU-9GQ8XJRF1EQ_15_2"/>
      <w:bookmarkStart w:id="166" w:name="Tc_fcFrL0N9pEWggoLo6gVMOw_15_0"/>
      <w:bookmarkStart w:id="167" w:name="Tc_h5nl3qLD4kaAXWAxjrbYTQ_14_0"/>
      <w:bookmarkStart w:id="168" w:name="Tc_vCwlkm_44EurfK8PA6bLLQ_13_0"/>
      <w:bookmarkStart w:id="169" w:name="Tc_mkfDrZKjvUKXTYMZ21R9Hw_11_0"/>
      <w:bookmarkStart w:id="170" w:name="Tc_lVUmJ9bb5kG4AKjrkeDkSQ_10_0"/>
      <w:bookmarkStart w:id="171" w:name="Tc_6lqtve39IUOAiRdW6YBZ9g_9_0"/>
      <w:bookmarkStart w:id="172" w:name="Tc_Wr5vgJSG8keg4Ed9Umkwpw_8_0"/>
      <w:bookmarkStart w:id="173" w:name="Tc_daTd277yAkqgXD0gLMq6ig_6_0"/>
      <w:bookmarkStart w:id="174" w:name="Tc_RfQ60f5XGkiFg5qH5JBKlA_5_0"/>
      <w:bookmarkStart w:id="175" w:name="Tc_4KWCO7twVU-0IUDtcEOjcQ_4_5"/>
      <w:bookmarkStart w:id="176" w:name="Tc_U3Wmcb5woUaYFzjt-Sf_GQ_4_2"/>
      <w:bookmarkStart w:id="177" w:name="Tc_LROrKoVmE0eRI4ERhPR1bg_4_0"/>
      <w:bookmarkStart w:id="178" w:name="Tc_smp7hKicxkKrCfsqEvttZw_3_0"/>
      <w:bookmarkStart w:id="179" w:name="Tc_XFMhoWjT3kyUFGWMiuRXsA_2_5"/>
      <w:bookmarkStart w:id="180" w:name="Tc_9475y8BYBkSVhDbbGrjkjg_2_2"/>
      <w:bookmarkStart w:id="181" w:name="Tc_EXIk0I46QEmExYseOq7I0Q_1_5"/>
      <w:bookmarkStart w:id="182" w:name="Tc_g9K45ppOUU2cc3CMRA6DdQ_1_2"/>
      <w:bookmarkStart w:id="183" w:name="_be025735_3b83_40c4_9871_d6089a032502"/>
      <w:bookmarkStart w:id="184" w:name="_d47e9ac3_9f28_48aa_849a_efdebf818e65"/>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W w:w="9098" w:type="dxa"/>
        <w:jc w:val="left"/>
        <w:tblInd w:w="0" w:type="dxa"/>
        <w:tblLayout w:type="fixed"/>
        <w:tblCellMar>
          <w:top w:w="0" w:type="dxa"/>
          <w:left w:w="0" w:type="dxa"/>
          <w:bottom w:w="0" w:type="dxa"/>
          <w:right w:w="0" w:type="dxa"/>
        </w:tblCellMar>
      </w:tblPr>
      <w:tblGrid>
        <w:gridCol w:w="5101"/>
        <w:gridCol w:w="326"/>
        <w:gridCol w:w="345"/>
        <w:gridCol w:w="1305"/>
        <w:gridCol w:w="326"/>
        <w:gridCol w:w="340"/>
        <w:gridCol w:w="1355"/>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239135" cy="175260"/>
                      <wp:effectExtent l="0" t="0" r="0" b="0"/>
                      <wp:wrapNone/>
                      <wp:docPr id="8" name="Frame8"/>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075" cy="175260"/>
                      <wp:effectExtent l="0" t="0" r="0" b="0"/>
                      <wp:wrapNone/>
                      <wp:docPr id="10" name="Frame1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28675" cy="175260"/>
                      <wp:effectExtent l="0" t="0" r="0" b="0"/>
                      <wp:wrapNone/>
                      <wp:docPr id="11" name="Frame11"/>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5900" cy="175260"/>
                      <wp:effectExtent l="0" t="0" r="0" b="0"/>
                      <wp:wrapNone/>
                      <wp:docPr id="13" name="Frame1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60425" cy="175260"/>
                      <wp:effectExtent l="0" t="0" r="0" b="0"/>
                      <wp:wrapNone/>
                      <wp:docPr id="14" name="Frame1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51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 </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31,661</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10,820</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9,103</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63,434</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40,764</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 </w:t>
            </w:r>
          </w:p>
        </w:tc>
        <w:tc>
          <w:tcPr>
            <w:tcW w:w="13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(62,739)</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 </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(40,608)</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8,943</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66,383</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58,871</w:t>
            </w:r>
          </w:p>
        </w:tc>
      </w:tr>
      <w:tr>
        <w:trPr/>
        <w:tc>
          <w:tcPr>
            <w:tcW w:w="5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30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30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355"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marketable securities</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(53,542)</w:t>
            </w:r>
          </w:p>
        </w:tc>
        <w:tc>
          <w:tcPr>
            <w:tcW w:w="326" w:type="dxa"/>
            <w:tcBorders/>
            <w:shd w:fill="CCEEFF" w:val="clear"/>
            <w:vAlign w:val="center"/>
          </w:tcPr>
          <w:p>
            <w:pPr>
              <w:pStyle w:val="TableContents"/>
              <w:bidi w:val="0"/>
              <w:spacing w:before="0" w:after="0"/>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(33,872)</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5" w:name="_18399c27_a067_4666_975c_fb2ad8a16fac"/>
      <w:bookmarkEnd w:id="185"/>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86" w:name="CONDENSEDCONSOLIDATEDSTATEMENTSOFCASHFLO"/>
      <w:bookmarkEnd w:id="186"/>
      <w:r>
        <w:rPr>
          <w:rFonts w:ascii="Times New Roman;Times;serif" w:hAnsi="Times New Roman;Times;serif"/>
          <w:b/>
          <w:sz w:val="20"/>
        </w:rPr>
        <w:t>CONDENSED CONSOLIDATED STATEMENTS OF CASH FLOW</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87" w:name="Tc_fA4MBWbDrU6SABJJKbmAsg_32_5"/>
      <w:bookmarkStart w:id="188" w:name="Tc_VbiBhexYHUuHRNWUISVOmw_32_2"/>
      <w:bookmarkStart w:id="189" w:name="Tc_LiRUk3DJ4UiyiIQmkk5pMQ_32_0"/>
      <w:bookmarkStart w:id="190" w:name="Tc_lkxfWScgqEyi7Cf5gluDZw_31_0"/>
      <w:bookmarkStart w:id="191" w:name="Tc_ocNuXMwAr0Sg3sYnLMMcRQ_29_5"/>
      <w:bookmarkStart w:id="192" w:name="Tc_TV_WFG6spUqbpk2nvYOpfw_29_2"/>
      <w:bookmarkStart w:id="193" w:name="Tc_gAjLF-g-eEO6HUwlJYWytA_29_0"/>
      <w:bookmarkStart w:id="194" w:name="Tc_Q4MCVHFikEOs89CL1GEzXw_28_0"/>
      <w:bookmarkStart w:id="195" w:name="Tc_TrU9diYue02vzcZK9BSvdg_27_0"/>
      <w:bookmarkStart w:id="196" w:name="Tc_luvXkHzQsEG6R4glxecgww_25_0"/>
      <w:bookmarkStart w:id="197" w:name="Tc_vgq1vDIwF02Z4-91MWujbw_24_0"/>
      <w:bookmarkStart w:id="198" w:name="Tc_ssH-BhKBqUuj5KxLEoDR6A_23_3"/>
      <w:bookmarkStart w:id="199" w:name="Tc_sEYE330O60akQjgIC38ExQ_23_0"/>
      <w:bookmarkStart w:id="200" w:name="Tc_lP0NOGuhzkm256dbzzxgig_22_0"/>
      <w:bookmarkStart w:id="201" w:name="Tc_Vm_-sHRAE0uXf9C6Z5UQng_21_0"/>
      <w:bookmarkStart w:id="202" w:name="Tc_D0_RmZSYq0WxBhzMmBoVFQ_20_0"/>
      <w:bookmarkStart w:id="203" w:name="Tc_vkUcsh890EC9XYdTUlShhQ_19_0"/>
      <w:bookmarkStart w:id="204" w:name="Tc_UIQF-8qfiEevEX_HzoawAw_18_0"/>
      <w:bookmarkStart w:id="205" w:name="Tc_XUHLbtI25EK-VbEGsgEVTw_17_0"/>
      <w:bookmarkStart w:id="206" w:name="Tc_dUk_KnwmJ0iZuOgj7RfcKg_16_0"/>
      <w:bookmarkStart w:id="207" w:name="Tc_Ts_JM8dAsU6qZynrHTJqcg_15_0"/>
      <w:bookmarkStart w:id="208" w:name="Tc_QGH_wcd0DUuL3y1OBAc53w_14_0"/>
      <w:bookmarkStart w:id="209" w:name="Tc_8DjhknlrrUO9ZryXbItm7g_13_6"/>
      <w:bookmarkStart w:id="210" w:name="Tc_Nqo77ZHEV02umSapUXwq8Q_13_0"/>
      <w:bookmarkStart w:id="211" w:name="Tc_tgMHfUjVC0qieUdJvxnzEg_12_0"/>
      <w:bookmarkStart w:id="212" w:name="Tc_osIp6M7QnkCRM7zVHnm3uA_11_0"/>
      <w:bookmarkStart w:id="213" w:name="Tc_H7IjRNBnjkuHTIZNB-Wv5A_10_0"/>
      <w:bookmarkStart w:id="214" w:name="Tc_yqcfP-nTpU2z8mnrxARogg_9_0"/>
      <w:bookmarkStart w:id="215" w:name="Tc_QGTZyLj_1029a_YczkkTpA_8_0"/>
      <w:bookmarkStart w:id="216" w:name="Tc_CoUOjKoVR0yp5WkQSU1BEw_7_0"/>
      <w:bookmarkStart w:id="217" w:name="Tc_61meCim8Y0ScPA2vp6wogQ_6_0"/>
      <w:bookmarkStart w:id="218" w:name="Tc_H7L2SSRS0E6XEP6jME1FEQ_5_0"/>
      <w:bookmarkStart w:id="219" w:name="Tc_-WwefLr99kyUWyu4QMw6xg_4_5"/>
      <w:bookmarkStart w:id="220" w:name="Tc_paRl7aQS0UqZ9rn9ubnGHQ_4_2"/>
      <w:bookmarkStart w:id="221" w:name="Tc_brUee_WuiEe12EQ2FQXQww_4_0"/>
      <w:bookmarkStart w:id="222" w:name="Tc_dxoLf_68pUe3VUEB-wRtmQ_3_0"/>
      <w:bookmarkStart w:id="223" w:name="Tc_8gvLmwpHnkKQC1O7E1FaAw_2_5"/>
      <w:bookmarkStart w:id="224" w:name="Tc_RP4oBy5cpkG4R84kJfjZyw_2_2"/>
      <w:bookmarkStart w:id="225" w:name="Tc_p2OiiizMm0aQfLQRbW1BSw_1_5"/>
      <w:bookmarkStart w:id="226" w:name="Tc_dkcdyoXEzkWfPVW5RWBUMA_1_2"/>
      <w:bookmarkStart w:id="227" w:name="_9e3ec5e0_fdee_406d_b344_18d05335fb2c"/>
      <w:bookmarkStart w:id="228" w:name="Tc_fA4MBWbDrU6SABJJKbmAsg_32_5"/>
      <w:bookmarkStart w:id="229" w:name="Tc_VbiBhexYHUuHRNWUISVOmw_32_2"/>
      <w:bookmarkStart w:id="230" w:name="Tc_LiRUk3DJ4UiyiIQmkk5pMQ_32_0"/>
      <w:bookmarkStart w:id="231" w:name="Tc_lkxfWScgqEyi7Cf5gluDZw_31_0"/>
      <w:bookmarkStart w:id="232" w:name="Tc_ocNuXMwAr0Sg3sYnLMMcRQ_29_5"/>
      <w:bookmarkStart w:id="233" w:name="Tc_TV_WFG6spUqbpk2nvYOpfw_29_2"/>
      <w:bookmarkStart w:id="234" w:name="Tc_gAjLF-g-eEO6HUwlJYWytA_29_0"/>
      <w:bookmarkStart w:id="235" w:name="Tc_Q4MCVHFikEOs89CL1GEzXw_28_0"/>
      <w:bookmarkStart w:id="236" w:name="Tc_TrU9diYue02vzcZK9BSvdg_27_0"/>
      <w:bookmarkStart w:id="237" w:name="Tc_luvXkHzQsEG6R4glxecgww_25_0"/>
      <w:bookmarkStart w:id="238" w:name="Tc_vgq1vDIwF02Z4-91MWujbw_24_0"/>
      <w:bookmarkStart w:id="239" w:name="Tc_ssH-BhKBqUuj5KxLEoDR6A_23_3"/>
      <w:bookmarkStart w:id="240" w:name="Tc_sEYE330O60akQjgIC38ExQ_23_0"/>
      <w:bookmarkStart w:id="241" w:name="Tc_lP0NOGuhzkm256dbzzxgig_22_0"/>
      <w:bookmarkStart w:id="242" w:name="Tc_Vm_-sHRAE0uXf9C6Z5UQng_21_0"/>
      <w:bookmarkStart w:id="243" w:name="Tc_D0_RmZSYq0WxBhzMmBoVFQ_20_0"/>
      <w:bookmarkStart w:id="244" w:name="Tc_vkUcsh890EC9XYdTUlShhQ_19_0"/>
      <w:bookmarkStart w:id="245" w:name="Tc_UIQF-8qfiEevEX_HzoawAw_18_0"/>
      <w:bookmarkStart w:id="246" w:name="Tc_XUHLbtI25EK-VbEGsgEVTw_17_0"/>
      <w:bookmarkStart w:id="247" w:name="Tc_dUk_KnwmJ0iZuOgj7RfcKg_16_0"/>
      <w:bookmarkStart w:id="248" w:name="Tc_Ts_JM8dAsU6qZynrHTJqcg_15_0"/>
      <w:bookmarkStart w:id="249" w:name="Tc_QGH_wcd0DUuL3y1OBAc53w_14_0"/>
      <w:bookmarkStart w:id="250" w:name="Tc_8DjhknlrrUO9ZryXbItm7g_13_6"/>
      <w:bookmarkStart w:id="251" w:name="Tc_Nqo77ZHEV02umSapUXwq8Q_13_0"/>
      <w:bookmarkStart w:id="252" w:name="Tc_tgMHfUjVC0qieUdJvxnzEg_12_0"/>
      <w:bookmarkStart w:id="253" w:name="Tc_osIp6M7QnkCRM7zVHnm3uA_11_0"/>
      <w:bookmarkStart w:id="254" w:name="Tc_H7IjRNBnjkuHTIZNB-Wv5A_10_0"/>
      <w:bookmarkStart w:id="255" w:name="Tc_yqcfP-nTpU2z8mnrxARogg_9_0"/>
      <w:bookmarkStart w:id="256" w:name="Tc_QGTZyLj_1029a_YczkkTpA_8_0"/>
      <w:bookmarkStart w:id="257" w:name="Tc_CoUOjKoVR0yp5WkQSU1BEw_7_0"/>
      <w:bookmarkStart w:id="258" w:name="Tc_61meCim8Y0ScPA2vp6wogQ_6_0"/>
      <w:bookmarkStart w:id="259" w:name="Tc_H7L2SSRS0E6XEP6jME1FEQ_5_0"/>
      <w:bookmarkStart w:id="260" w:name="Tc_-WwefLr99kyUWyu4QMw6xg_4_5"/>
      <w:bookmarkStart w:id="261" w:name="Tc_paRl7aQS0UqZ9rn9ubnGHQ_4_2"/>
      <w:bookmarkStart w:id="262" w:name="Tc_brUee_WuiEe12EQ2FQXQww_4_0"/>
      <w:bookmarkStart w:id="263" w:name="Tc_dxoLf_68pUe3VUEB-wRtmQ_3_0"/>
      <w:bookmarkStart w:id="264" w:name="Tc_8gvLmwpHnkKQC1O7E1FaAw_2_5"/>
      <w:bookmarkStart w:id="265" w:name="Tc_RP4oBy5cpkG4R84kJfjZyw_2_2"/>
      <w:bookmarkStart w:id="266" w:name="Tc_p2OiiizMm0aQfLQRbW1BSw_1_5"/>
      <w:bookmarkStart w:id="267" w:name="Tc_dkcdyoXEzkWfPVW5RWBUMA_1_2"/>
      <w:bookmarkStart w:id="268" w:name="_9e3ec5e0_fdee_406d_b344_18d05335fb2c"/>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10028" w:type="dxa"/>
        <w:jc w:val="left"/>
        <w:tblInd w:w="0" w:type="dxa"/>
        <w:tblLayout w:type="fixed"/>
        <w:tblCellMar>
          <w:top w:w="0" w:type="dxa"/>
          <w:left w:w="0" w:type="dxa"/>
          <w:bottom w:w="0" w:type="dxa"/>
          <w:right w:w="0" w:type="dxa"/>
        </w:tblCellMar>
      </w:tblPr>
      <w:tblGrid>
        <w:gridCol w:w="6031"/>
        <w:gridCol w:w="326"/>
        <w:gridCol w:w="313"/>
        <w:gridCol w:w="1337"/>
        <w:gridCol w:w="326"/>
        <w:gridCol w:w="309"/>
        <w:gridCol w:w="138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829685" cy="175260"/>
                      <wp:effectExtent l="0" t="0" r="0" b="0"/>
                      <wp:wrapNone/>
                      <wp:docPr id="15" name="Frame15"/>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98755" cy="175260"/>
                      <wp:effectExtent l="0" t="0" r="0" b="0"/>
                      <wp:wrapNone/>
                      <wp:docPr id="17" name="Frame17"/>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848995" cy="175260"/>
                      <wp:effectExtent l="0" t="0" r="0" b="0"/>
                      <wp:wrapNone/>
                      <wp:docPr id="18" name="Frame18"/>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96215" cy="175260"/>
                      <wp:effectExtent l="0" t="0" r="0" b="0"/>
                      <wp:wrapNone/>
                      <wp:docPr id="20" name="Frame20"/>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880110" cy="175260"/>
                      <wp:effectExtent l="0" t="0" r="0" b="0"/>
                      <wp:wrapNone/>
                      <wp:docPr id="21" name="Frame21"/>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disposal of assets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(8,718)</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(54,372)</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 </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195,037</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 </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77,311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(151,822)</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(392,178)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42,950</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(315,211)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issuances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436,112</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 </w:t>
            </w:r>
          </w:p>
        </w:tc>
        <w:tc>
          <w:tcPr>
            <w:tcW w:w="13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(11,220)</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28,356</w:t>
            </w:r>
          </w:p>
        </w:tc>
        <w:tc>
          <w:tcPr>
            <w:tcW w:w="32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17,136</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115,077</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pPr>
            <w:r>
              <w:rPr/>
              <w:t>​</w:t>
            </w:r>
          </w:p>
        </w:tc>
        <w:tc>
          <w:tcPr>
            <w:tcW w:w="13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left"/>
              <w:rPr/>
            </w:pPr>
            <w:r>
              <w:rPr/>
              <w:t>​</w:t>
            </w:r>
          </w:p>
        </w:tc>
        <w:tc>
          <w:tcPr>
            <w:tcW w:w="13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9" w:name="_94d239e6_9e2e_4942_858c_5b894b89c467"/>
      <w:bookmarkEnd w:id="269"/>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70" w:name="NotestoUnaudited"/>
      <w:bookmarkStart w:id="271" w:name="NotestoUnauditedCondensedConsolidatedFin"/>
      <w:bookmarkEnd w:id="270"/>
      <w:bookmarkEnd w:id="271"/>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March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2024, which are included in the Company’s Annual Report on Form 10-K filed with the Securities and Exchange Commission (the “SEC”) on February 27, 2025.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March 31, 2025, the Company had cash, cash equivalents and marketable securities of $673.3 million. The Company has had recurring losses and incurred a loss of $53.8 million for the three months ended March 31, 2025. Net cash used in operations for the three months ended March 31, 2025 was $54.4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financings,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15),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months ended March 31, 2025 are consistent with those discussed in Note 2 to the financial statements in the Company’s Annual Report on Form 10-K for the year ended December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annual income tax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w:t>
      </w:r>
      <w:r>
        <w:rPr>
          <w:rFonts w:ascii="Times New Roman;Times;serif" w:hAnsi="Times New Roman;Times;serif"/>
          <w:sz w:val="20"/>
        </w:rPr>
        <w:t>, which requires enhanced disclosures about specific types of expenses included in the expense captions 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272" w:name="Tc_hUyCtuWqvE2GeQD1D8fMeQ_7_5"/>
      <w:bookmarkStart w:id="273" w:name="Tc_QjkVVziVc0uZ9BeG3QBUbA_7_2"/>
      <w:bookmarkStart w:id="274" w:name="Tc_SDsj-cv4702JUkiDJoE4Vw_7_0"/>
      <w:bookmarkStart w:id="275" w:name="Tc_vy4DSNLVJ0Cm5ebJzGQ9Kw_6_0"/>
      <w:bookmarkStart w:id="276" w:name="Tc_47wvV4XuT0277SOl3m49sQ_5_0"/>
      <w:bookmarkStart w:id="277" w:name="Tc_aLiIfwOZ50aGlo0XwrKHcw_4_5"/>
      <w:bookmarkStart w:id="278" w:name="Tc_5DM2CIWHI0Kt27UAE03wZQ_4_2"/>
      <w:bookmarkStart w:id="279" w:name="Tc_tksMxcqjs0aG0Q1gZ59fKA_4_0"/>
      <w:bookmarkStart w:id="280" w:name="Tc_tlbvtJJCZE6_YWPvKrBCbQ_3_2"/>
      <w:bookmarkStart w:id="281" w:name="Tc_MJRCqsXXuUykLUXfIG0sJg_2_5"/>
      <w:bookmarkStart w:id="282" w:name="Tc_7pxW5LQt5k6VbT4PMsEITA_2_2"/>
      <w:bookmarkStart w:id="283" w:name="Tc_NmwI0xgBbEuNPa3L65_Uvw_1_5"/>
      <w:bookmarkStart w:id="284" w:name="Tc_5fiRuJCcME-PnxgT0fTSrA_1_2"/>
      <w:bookmarkStart w:id="285" w:name="_51b0ab69_8f74_4795_a28e_f4d80b1cab8f"/>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rPr>
          <w:rFonts w:ascii="Times New Roman;Times;serif" w:hAnsi="Times New Roman;Times;serif"/>
          <w:b/>
          <w:sz w:val="20"/>
        </w:rPr>
        <w:t>(3) 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managed as a single operating and reportable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 assets are located in the United States. The CODM does not receive asset information other than what is presented on the consolidated balance sheets.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is a summary of the Company’s research and development expenses disaggregated by program. The amounts disclosed reflect direct research and development costs and an allocation of indirect research and development costs to each program.</w:t>
      </w:r>
    </w:p>
    <w:p>
      <w:pPr>
        <w:pStyle w:val="TextBody"/>
        <w:bidi w:val="0"/>
        <w:spacing w:before="0" w:after="0"/>
        <w:ind w:left="0" w:right="0" w:hanging="0"/>
        <w:jc w:val="left"/>
        <w:rPr/>
      </w:pPr>
      <w:r>
        <w:rPr/>
        <w:t>​</w:t>
      </w:r>
    </w:p>
    <w:tbl>
      <w:tblPr>
        <w:tblW w:w="6758" w:type="dxa"/>
        <w:jc w:val="left"/>
        <w:tblInd w:w="0" w:type="dxa"/>
        <w:tblLayout w:type="fixed"/>
        <w:tblCellMar>
          <w:top w:w="0" w:type="dxa"/>
          <w:left w:w="0" w:type="dxa"/>
          <w:bottom w:w="0" w:type="dxa"/>
          <w:right w:w="0" w:type="dxa"/>
        </w:tblCellMar>
      </w:tblPr>
      <w:tblGrid>
        <w:gridCol w:w="2851"/>
        <w:gridCol w:w="326"/>
        <w:gridCol w:w="382"/>
        <w:gridCol w:w="1223"/>
        <w:gridCol w:w="326"/>
        <w:gridCol w:w="351"/>
        <w:gridCol w:w="1299"/>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810385" cy="175260"/>
                      <wp:effectExtent l="0" t="0" r="0" b="0"/>
                      <wp:wrapNone/>
                      <wp:docPr id="22" name="Frame22"/>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42570" cy="175260"/>
                      <wp:effectExtent l="0" t="0" r="0" b="0"/>
                      <wp:wrapNone/>
                      <wp:docPr id="24" name="Frame24"/>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76605" cy="175260"/>
                      <wp:effectExtent l="0" t="0" r="0" b="0"/>
                      <wp:wrapNone/>
                      <wp:docPr id="25" name="Frame25"/>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2885" cy="175260"/>
                      <wp:effectExtent l="0" t="0" r="0" b="0"/>
                      <wp:wrapNone/>
                      <wp:docPr id="27" name="Frame27"/>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824865" cy="175260"/>
                      <wp:effectExtent l="0" t="0" r="0" b="0"/>
                      <wp:wrapNone/>
                      <wp:docPr id="28" name="Frame28"/>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center"/>
              <w:rPr/>
            </w:pPr>
            <w:r>
              <w:rPr/>
              <w:t>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675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8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39,703</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CDX-622</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5,451</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 </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 (a)</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c>
          <w:tcPr>
            <w:tcW w:w="326"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31,661</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program expenses primarily include research and development expenses related to early-stage programs, revenue-generating programs and discontinued programs.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286" w:name="Tc_MGrqL2K_lEy1sACizJUBkg_9_5"/>
      <w:bookmarkStart w:id="287" w:name="Tc_xmo573qXeUuERzdmlxjkZQ_9_2"/>
      <w:bookmarkStart w:id="288" w:name="Tc_KEyQ5NyHtUKXDPflOBP96A_9_0"/>
      <w:bookmarkStart w:id="289" w:name="Tc_2psYTpI2Q0y161qakUMY8Q_8_0"/>
      <w:bookmarkStart w:id="290" w:name="Tc_B2_JirFvKU6oFB1nfMfhsg_7_0"/>
      <w:bookmarkStart w:id="291" w:name="Tc_dQkByy6_4kmZhKntt8VTCA_6_0"/>
      <w:bookmarkStart w:id="292" w:name="Tc_nNnrIgoJC0a5SJei2tnJzA_5_0"/>
      <w:bookmarkStart w:id="293" w:name="Tc_IFbSYkaBgEWRRVcxlbnuag_4_5"/>
      <w:bookmarkStart w:id="294" w:name="Tc_Ir-du6yLP0WvrOHXWL_jIg_4_2"/>
      <w:bookmarkStart w:id="295" w:name="Tc_EIHRDt0yfkq2GWGd-6cr2A_4_0"/>
      <w:bookmarkStart w:id="296" w:name="Tc_xJf1rGaqFUCYQF9hmcnCvQ_3_3"/>
      <w:bookmarkStart w:id="297" w:name="Tc_bp2yvrhQO0G7v37AfeHXvA_2_5"/>
      <w:bookmarkStart w:id="298" w:name="Tc_QJWqf8KcXk-IXHd6NJN00A_2_2"/>
      <w:bookmarkStart w:id="299" w:name="Tc_IaHM7lx5HU21HRWFODuSXQ_1_5"/>
      <w:bookmarkStart w:id="300" w:name="Tc_MHugMYBDEkClV0vh5TPAyA_1_2"/>
      <w:bookmarkStart w:id="301" w:name="_73c30481_f84f_4fc9_9a39_92f36e11885d"/>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Pr>
          <w:rFonts w:ascii="Times New Roman;Times;serif" w:hAnsi="Times New Roman;Times;serif"/>
          <w:sz w:val="20"/>
        </w:rPr>
        <w:t>The following table is a summary of the Company’s research and development expenses disaggregated by nature.</w:t>
      </w:r>
    </w:p>
    <w:p>
      <w:pPr>
        <w:pStyle w:val="TextBody"/>
        <w:bidi w:val="0"/>
        <w:spacing w:before="0" w:after="0"/>
        <w:ind w:left="0" w:right="0" w:hanging="0"/>
        <w:jc w:val="left"/>
        <w:rPr/>
      </w:pPr>
      <w:r>
        <w:rPr/>
        <w:t>​</w:t>
      </w:r>
    </w:p>
    <w:tbl>
      <w:tblPr>
        <w:tblW w:w="6040" w:type="dxa"/>
        <w:jc w:val="left"/>
        <w:tblInd w:w="0" w:type="dxa"/>
        <w:tblLayout w:type="fixed"/>
        <w:tblCellMar>
          <w:top w:w="0" w:type="dxa"/>
          <w:left w:w="0" w:type="dxa"/>
          <w:bottom w:w="0" w:type="dxa"/>
          <w:right w:w="0" w:type="dxa"/>
        </w:tblCellMar>
      </w:tblPr>
      <w:tblGrid>
        <w:gridCol w:w="2131"/>
        <w:gridCol w:w="326"/>
        <w:gridCol w:w="382"/>
        <w:gridCol w:w="1224"/>
        <w:gridCol w:w="326"/>
        <w:gridCol w:w="351"/>
        <w:gridCol w:w="1300"/>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53185" cy="175260"/>
                      <wp:effectExtent l="0" t="0" r="0" b="0"/>
                      <wp:wrapNone/>
                      <wp:docPr id="29" name="Frame29"/>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42570" cy="175260"/>
                      <wp:effectExtent l="0" t="0" r="0" b="0"/>
                      <wp:wrapNone/>
                      <wp:docPr id="31" name="Frame31"/>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77240" cy="175260"/>
                      <wp:effectExtent l="0" t="0" r="0" b="0"/>
                      <wp:wrapNone/>
                      <wp:docPr id="32" name="Frame32"/>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2885" cy="175260"/>
                      <wp:effectExtent l="0" t="0" r="0" b="0"/>
                      <wp:wrapNone/>
                      <wp:docPr id="34" name="Frame34"/>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825500" cy="175260"/>
                      <wp:effectExtent l="0" t="0" r="0" b="0"/>
                      <wp:wrapNone/>
                      <wp:docPr id="35" name="Frame35"/>
                      <a:graphic xmlns:a="http://schemas.openxmlformats.org/drawingml/2006/main">
                        <a:graphicData uri="http://schemas.microsoft.com/office/word/2010/wordprocessingShape">
                          <wps:wsp>
                            <wps:cNvSpPr txBox="1"/>
                            <wps:spPr>
                              <a:xfrm>
                                <a:off x="0" y="0"/>
                                <a:ext cx="825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6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center"/>
              <w:rPr/>
            </w:pPr>
            <w:r>
              <w:rPr/>
              <w:t>    </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604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center"/>
              <w:rPr/>
            </w:pPr>
            <w:r>
              <w:rPr/>
              <w:t>​</w:t>
            </w:r>
          </w:p>
        </w:tc>
        <w:tc>
          <w:tcPr>
            <w:tcW w:w="320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13,600</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11,440</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 </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 </w:t>
            </w:r>
          </w:p>
        </w:tc>
        <w:tc>
          <w:tcPr>
            <w:tcW w:w="13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(b)</w:t>
            </w:r>
          </w:p>
        </w:tc>
        <w:tc>
          <w:tcPr>
            <w:tcW w:w="32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32,166</w:t>
            </w:r>
          </w:p>
        </w:tc>
        <w:tc>
          <w:tcPr>
            <w:tcW w:w="326"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 </w:t>
            </w:r>
          </w:p>
        </w:tc>
        <w:tc>
          <w:tcPr>
            <w:tcW w:w="13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(c)</w:t>
            </w:r>
          </w:p>
        </w:tc>
        <w:tc>
          <w:tcPr>
            <w:tcW w:w="326"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3,274</w:t>
            </w:r>
          </w:p>
        </w:tc>
        <w:tc>
          <w:tcPr>
            <w:tcW w:w="326"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2,102</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38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c>
          <w:tcPr>
            <w:tcW w:w="326" w:type="dxa"/>
            <w:tcBorders/>
            <w:vAlign w:val="center"/>
          </w:tcPr>
          <w:p>
            <w:pPr>
              <w:pStyle w:val="TableContents"/>
              <w:bidi w:val="0"/>
              <w:spacing w:before="0" w:after="0"/>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31,661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77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w:t>
            </w:r>
          </w:p>
        </w:tc>
      </w:tr>
    </w:tbl>
    <w:tbl>
      <w:tblPr>
        <w:tblW w:w="9951" w:type="dxa"/>
        <w:jc w:val="left"/>
        <w:tblInd w:w="0" w:type="dxa"/>
        <w:tblLayout w:type="fixed"/>
        <w:tblCellMar>
          <w:top w:w="0" w:type="dxa"/>
          <w:left w:w="0" w:type="dxa"/>
          <w:bottom w:w="0" w:type="dxa"/>
          <w:right w:w="0" w:type="dxa"/>
        </w:tblCellMar>
      </w:tblPr>
      <w:tblGrid>
        <w:gridCol w:w="124"/>
        <w:gridCol w:w="31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5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Other expenses primarily include research and development consulting, insurance, licensing and software expenses.</w:t>
            </w:r>
          </w:p>
        </w:tc>
      </w:tr>
    </w:tbl>
    <w:p>
      <w:pPr>
        <w:pStyle w:val="TextBody"/>
        <w:bidi w:val="0"/>
        <w:spacing w:before="0" w:after="240"/>
        <w:ind w:left="0" w:right="0" w:hanging="0"/>
        <w:jc w:val="left"/>
        <w:rPr>
          <w:rFonts w:ascii="Times New Roman;Times;serif" w:hAnsi="Times New Roman;Times;serif"/>
          <w:b/>
          <w:sz w:val="20"/>
        </w:rPr>
      </w:pPr>
      <w:bookmarkStart w:id="302" w:name="_3cb50695_f757_4fd5_8bea_f7ba8fafd3b1_3"/>
      <w:bookmarkStart w:id="303" w:name="_3cb50695_f757_4fd5_8bea_f7ba8fafd3b1_2"/>
      <w:bookmarkStart w:id="304" w:name="_3cb50695_f757_4fd5_8bea_f7ba8fafd3b1"/>
      <w:bookmarkStart w:id="305" w:name="_02b5b1eb_a1f4_4ab3_9f53_1b4b99ecfc2a_3"/>
      <w:bookmarkStart w:id="306" w:name="_02b5b1eb_a1f4_4ab3_9f53_1b4b99ecfc2a_2"/>
      <w:bookmarkStart w:id="307" w:name="_02b5b1eb_a1f4_4ab3_9f53_1b4b99ecfc2a"/>
      <w:bookmarkStart w:id="308" w:name="_033e85a4_a4da_4d8d_975e_a13194f703e7_3"/>
      <w:bookmarkStart w:id="309" w:name="_033e85a4_a4da_4d8d_975e_a13194f703e7_2"/>
      <w:bookmarkStart w:id="310" w:name="_033e85a4_a4da_4d8d_975e_a13194f703e7"/>
      <w:bookmarkStart w:id="311" w:name="_8b9cea89_fa61_4c05_9f0c_96d8511abc2e_3"/>
      <w:bookmarkStart w:id="312" w:name="_8b9cea89_fa61_4c05_9f0c_96d8511abc2e_2"/>
      <w:bookmarkStart w:id="313" w:name="_8b9cea89_fa61_4c05_9f0c_96d8511abc2e"/>
      <w:bookmarkStart w:id="314" w:name="Tc_99afR58PIEKwJGBSg758Zw_7_12"/>
      <w:bookmarkStart w:id="315" w:name="Tc_BObI1WoIKUu-mwzRXhzlig_7_8"/>
      <w:bookmarkStart w:id="316" w:name="Tc_2oVWJQfb8UqeQOZ27kasTw_7_6"/>
      <w:bookmarkStart w:id="317" w:name="Tc_O-3Q8-fdUkq-hamZY43XJw_7_2"/>
      <w:bookmarkStart w:id="318" w:name="Tc_D9tp7-53p0GZ0Iwbp0TC1w_6_12"/>
      <w:bookmarkStart w:id="319" w:name="Tc_UZwW1owhmUirgXQRtuFfag_6_6"/>
      <w:bookmarkStart w:id="320" w:name="Tc_a_JEm8NOJkyuglkuhClX9g_6_0"/>
      <w:bookmarkStart w:id="321" w:name="Tc_i2Nvx8joAUKWBCSryH-5FQ_5_12"/>
      <w:bookmarkStart w:id="322" w:name="Tc_br8ET-Hzvkyx83egkZqbmg_5_8"/>
      <w:bookmarkStart w:id="323" w:name="Tc_x-wrCJht00aBR0dubCPt7g_5_6"/>
      <w:bookmarkStart w:id="324" w:name="Tc_oeJqC70ZNkeS5nTedXwGcg_5_2"/>
      <w:bookmarkStart w:id="325" w:name="Tc_36NpopKgZUGXnQ1iZ8Bh0g_5_0"/>
      <w:bookmarkStart w:id="326" w:name="Tc_mYwvVc3xB02g1qlDcMfFhg_4_0"/>
      <w:bookmarkStart w:id="327" w:name="Tc_P5t37UWgkkGpmBK_b2S0Ww_3_2"/>
      <w:bookmarkStart w:id="328" w:name="Tc_UmPg4XjmpUiX9FvdYzVgvA_2_11"/>
      <w:bookmarkStart w:id="329" w:name="Tc_skxHd1VNWUStHWfQRkuzhA_2_8"/>
      <w:bookmarkStart w:id="330" w:name="Tc_SrGEY3HUqE2bGkWBJget8Q_2_5"/>
      <w:bookmarkStart w:id="331" w:name="Tc_ElrkxRAPUU6c_tR9bukAbA_2_2"/>
      <w:bookmarkStart w:id="332" w:name="Tc_JJDLipoqx0WXTXiCEbiU6g_1_2"/>
      <w:bookmarkStart w:id="333" w:name="_0e5afe75_0642_4fdb_a720_2952027a1163"/>
      <w:bookmarkStart w:id="334" w:name="Tc_0wvpYeeGv0WWCMnGoujLfA_7_12"/>
      <w:bookmarkStart w:id="335" w:name="Tc_U0t0WKff30qKX4Qo-IqoAQ_7_8"/>
      <w:bookmarkStart w:id="336" w:name="Tc_iQKilV8aZEOSBPogPqZMGQ_7_6"/>
      <w:bookmarkStart w:id="337" w:name="Tc_CJFaV3A6Z0OchoyThHWJBA_7_2"/>
      <w:bookmarkStart w:id="338" w:name="Tc_55D_-Nfj50Wbb_o_jy5z5w_6_12"/>
      <w:bookmarkStart w:id="339" w:name="Tc_0y9VqH6nNEStKofNjTK8RA_6_6"/>
      <w:bookmarkStart w:id="340" w:name="Tc_OrJ8ZWizGkGpWOqu6DrAYg_6_0"/>
      <w:bookmarkStart w:id="341" w:name="Tc_uRwTGyMIKECyQ8uj7pao6w_5_12"/>
      <w:bookmarkStart w:id="342" w:name="Tc_qoJKb-Uj60qlyTZQ9I6Tfw_5_8"/>
      <w:bookmarkStart w:id="343" w:name="Tc_kvau4lFkV0-z0_BPWWi3TQ_5_6"/>
      <w:bookmarkStart w:id="344" w:name="Tc_oDL6xkIQsE27a6PXmSZkOQ_5_2"/>
      <w:bookmarkStart w:id="345" w:name="Tc_ODT7UB02WEyQIdE1hKx0SA_5_0"/>
      <w:bookmarkStart w:id="346" w:name="Tc_iw470gJTu0uYMq58piaR0w_4_0"/>
      <w:bookmarkStart w:id="347" w:name="Tc_K30sqDXJWk2RWWVA_RvPvA_3_2"/>
      <w:bookmarkStart w:id="348" w:name="Tc_vNTlDjw3yUK4CUopWAfh2w_2_11"/>
      <w:bookmarkStart w:id="349" w:name="Tc_YD39TELk6kSXWZOxUKKf0w_2_8"/>
      <w:bookmarkStart w:id="350" w:name="Tc_Oq_oPdQsjEGemuxJe7b7Zw_2_5"/>
      <w:bookmarkStart w:id="351" w:name="Tc_d9LsTqAjgEGJV2yuGA6Y1w_2_2"/>
      <w:bookmarkStart w:id="352" w:name="Tc_eCJw9Ht3hUa5QG9PrGqv-w_1_2"/>
      <w:bookmarkStart w:id="353" w:name="_92faa322_03c3_45a8_81bb_24d6129864cc"/>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r>
        <w:rPr>
          <w:rFonts w:ascii="Times New Roman;Times;serif" w:hAnsi="Times New Roman;Times;serif"/>
          <w:b/>
          <w:sz w:val="20"/>
        </w:rPr>
        <w:t>(4)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smallCaps/>
        </w:rPr>
      </w:pPr>
      <w:r>
        <w:rPr>
          <w:smallCaps/>
        </w:rPr>
        <w:t>​</w:t>
      </w:r>
    </w:p>
    <w:tbl>
      <w:tblPr>
        <w:tblW w:w="8450" w:type="dxa"/>
        <w:jc w:val="left"/>
        <w:tblInd w:w="0" w:type="dxa"/>
        <w:tblLayout w:type="fixed"/>
        <w:tblCellMar>
          <w:top w:w="0" w:type="dxa"/>
          <w:left w:w="0" w:type="dxa"/>
          <w:bottom w:w="0" w:type="dxa"/>
          <w:right w:w="0" w:type="dxa"/>
        </w:tblCellMar>
      </w:tblPr>
      <w:tblGrid>
        <w:gridCol w:w="3586"/>
        <w:gridCol w:w="326"/>
        <w:gridCol w:w="268"/>
        <w:gridCol w:w="993"/>
        <w:gridCol w:w="326"/>
        <w:gridCol w:w="151"/>
        <w:gridCol w:w="480"/>
        <w:gridCol w:w="326"/>
        <w:gridCol w:w="211"/>
        <w:gridCol w:w="781"/>
        <w:gridCol w:w="326"/>
        <w:gridCol w:w="131"/>
        <w:gridCol w:w="545"/>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277110" cy="175260"/>
                      <wp:effectExtent l="0" t="0" r="0" b="0"/>
                      <wp:wrapNone/>
                      <wp:docPr id="36" name="Frame36"/>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70180" cy="175260"/>
                      <wp:effectExtent l="0" t="0" r="0" b="0"/>
                      <wp:wrapNone/>
                      <wp:docPr id="38" name="Frame3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30555" cy="175260"/>
                      <wp:effectExtent l="0" t="0" r="0" b="0"/>
                      <wp:wrapNone/>
                      <wp:docPr id="39" name="Frame39"/>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5885" cy="175260"/>
                      <wp:effectExtent l="0" t="0" r="0" b="0"/>
                      <wp:wrapNone/>
                      <wp:docPr id="41" name="Frame41"/>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04800" cy="175260"/>
                      <wp:effectExtent l="0" t="0" r="0" b="0"/>
                      <wp:wrapNone/>
                      <wp:docPr id="42" name="Frame42"/>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3185" cy="175260"/>
                      <wp:effectExtent l="0" t="0" r="0" b="0"/>
                      <wp:wrapNone/>
                      <wp:docPr id="47" name="Frame47"/>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46075" cy="175260"/>
                      <wp:effectExtent l="0" t="0" r="0" b="0"/>
                      <wp:wrapNone/>
                      <wp:docPr id="48" name="Frame48"/>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45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3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9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656,155</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656,155</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665,094</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665,094</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48535" cy="175260"/>
                      <wp:effectExtent l="0" t="0" r="0" b="0"/>
                      <wp:wrapNone/>
                      <wp:docPr id="49" name="Frame49"/>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2565" cy="175260"/>
                      <wp:effectExtent l="0" t="0" r="0" b="0"/>
                      <wp:wrapNone/>
                      <wp:docPr id="51" name="Frame5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50570" cy="175260"/>
                      <wp:effectExtent l="0" t="0" r="0" b="0"/>
                      <wp:wrapNone/>
                      <wp:docPr id="52" name="Frame52"/>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95885" cy="175260"/>
                      <wp:effectExtent l="0" t="0" r="0" b="0"/>
                      <wp:wrapNone/>
                      <wp:docPr id="54" name="Frame54"/>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04800" cy="175260"/>
                      <wp:effectExtent l="0" t="0" r="0" b="0"/>
                      <wp:wrapNone/>
                      <wp:docPr id="55" name="Frame55"/>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83185" cy="175260"/>
                      <wp:effectExtent l="0" t="0" r="0" b="0"/>
                      <wp:wrapNone/>
                      <wp:docPr id="60" name="Frame60"/>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46075" cy="175260"/>
                      <wp:effectExtent l="0" t="0" r="0" b="0"/>
                      <wp:wrapNone/>
                      <wp:docPr id="61" name="Frame61"/>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9,927</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696,925</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706,852</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March 31, 2025 and December 31, 2024.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was no gain or loss on fair value remeasurement of contingent consideration recorded during the three months ended March 31, 2025 or March 31, 2024.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transfers in or out of Level 3 assets or liabilities during the three months ended March 31, 2025 or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54" w:name="Tc_Y51BtB20vkqffphTcfwSow_30_11"/>
      <w:bookmarkStart w:id="355" w:name="Tc_ijBOztxtVECnj9pUE2kmkw_30_8"/>
      <w:bookmarkStart w:id="356" w:name="Tc_dlOMOMzcdUqS7R4oXn1HWQ_30_5"/>
      <w:bookmarkStart w:id="357" w:name="Tc_OBBGE9jT5EK7qw4TPwO-pQ_30_2"/>
      <w:bookmarkStart w:id="358" w:name="Tc_z94y7FsVHkCnOcdKVf1ekg_30_0"/>
      <w:bookmarkStart w:id="359" w:name="Tc_Ie49W6lZ2EGO_pAYNwiFVw_29_11"/>
      <w:bookmarkStart w:id="360" w:name="Tc_8hM_iyFenkqBlptFUAuhaw_29_8"/>
      <w:bookmarkStart w:id="361" w:name="Tc_X3MX5Mr8Kk2WA0Om09y7hA_29_5"/>
      <w:bookmarkStart w:id="362" w:name="Tc_GtRvHMAI406ctHkYdLOKmQ_29_2"/>
      <w:bookmarkStart w:id="363" w:name="Tc_R7rc2oZsiUudTzbWudTUhw_29_0"/>
      <w:bookmarkStart w:id="364" w:name="Tc__WvbLES5vkOdw0NNgKZuyw_28_0"/>
      <w:bookmarkStart w:id="365" w:name="Tc_qXAUiBDaS0mRUbtH6W4F6g_27_11"/>
      <w:bookmarkStart w:id="366" w:name="Tc_FbAwHlw-5EC3I7t60fDZPA_27_8"/>
      <w:bookmarkStart w:id="367" w:name="Tc_ZNZBrZjbFk6EbB9ow0USCg_27_5"/>
      <w:bookmarkStart w:id="368" w:name="Tc_aSs3MzZOJk2nLqxSYDRhzw_27_2"/>
      <w:bookmarkStart w:id="369" w:name="Tc_Ch1UJBKHlki5kwlGfZ73eQ_27_0"/>
      <w:bookmarkStart w:id="370" w:name="Tc_2xg2KfPChE24OEinSGvSFQ_26_0"/>
      <w:bookmarkStart w:id="371" w:name="Tc__YL4D3BqiU23w5ObHp4G9g_25_11"/>
      <w:bookmarkStart w:id="372" w:name="Tc_oXNnO5ecrkiFKlgh4k2RPw_25_8"/>
      <w:bookmarkStart w:id="373" w:name="Tc_Iy54QR4rSkKuIWt6oF4gEA_25_5"/>
      <w:bookmarkStart w:id="374" w:name="Tc_bkiSQbuB6UaIGx81dX19Wg_25_2"/>
      <w:bookmarkStart w:id="375" w:name="Tc_Wo6N_d3IE0G_PAV4uO1uOA_25_0"/>
      <w:bookmarkStart w:id="376" w:name="Tc__30iq3xxjUy3cVllHhrFng_24_0"/>
      <w:bookmarkStart w:id="377" w:name="Tc_8p4YQ8jLMUWqysXmDIu0Kg_23_11"/>
      <w:bookmarkStart w:id="378" w:name="Tc_ABqd5c4dQUS5Ov-qANoazQ_23_9"/>
      <w:bookmarkStart w:id="379" w:name="Tc_bRVU_GTG10GV6BTRoazCGw_23_8"/>
      <w:bookmarkStart w:id="380" w:name="Tc_Cu4AoBrqNkGQq1LmH2vPFg_23_5"/>
      <w:bookmarkStart w:id="381" w:name="Tc_CPKvT7Z7E0WSk6PikdpUJg_23_2"/>
      <w:bookmarkStart w:id="382" w:name="Tc_wIQBeYjgsk2VhSdm0wvYyw_23_0"/>
      <w:bookmarkStart w:id="383" w:name="Tc_Lio_8ZG8rUC-ClJSLlrpdA_22_0"/>
      <w:bookmarkStart w:id="384" w:name="Tc_zS4ORUa8uEm8hbOhs-AGsg_21_0"/>
      <w:bookmarkStart w:id="385" w:name="Tc_TUnkc9dGgk2SKKerp9gNhA_20_0"/>
      <w:bookmarkStart w:id="386" w:name="Tc_YD2DU5S5AkCvPpSKXHNsSA_19_2"/>
      <w:bookmarkStart w:id="387" w:name="Tc_bsb4hBTXGkmQbBD6gZfhnA_18_11"/>
      <w:bookmarkStart w:id="388" w:name="Tc_5bKt-AE6SEaALftJT7z6FQ_18_8"/>
      <w:bookmarkStart w:id="389" w:name="Tc_XXLjDGUhYk6TsJGxTSiBkA_18_5"/>
      <w:bookmarkStart w:id="390" w:name="Tc_bE8yt7BcC06zpYOjQQrm6Q_18_2"/>
      <w:bookmarkStart w:id="391" w:name="Tc_Brk_Joizo0eLvQdmoMAb6Q_17_11"/>
      <w:bookmarkStart w:id="392" w:name="Tc_zXYlTjS7-UqA9IQzF7brnw_17_8"/>
      <w:bookmarkStart w:id="393" w:name="Tc_IXTajmgwCkC5oBNfbWxDPw_17_5"/>
      <w:bookmarkStart w:id="394" w:name="Tc_J7yLXmCBHUeolIumNP6wWg_17_2"/>
      <w:bookmarkStart w:id="395" w:name="Tc_B2Eic1bsIEa_P1MfOibMKg_14_11"/>
      <w:bookmarkStart w:id="396" w:name="Tc_iTDMhffR9kiIUgXY_34dDA_14_8"/>
      <w:bookmarkStart w:id="397" w:name="Tc_orwdmJPjV0-QUTrmgsJxHg_14_5"/>
      <w:bookmarkStart w:id="398" w:name="Tc_s2dPfCZ5XUSyVoUYbR175A_14_2"/>
      <w:bookmarkStart w:id="399" w:name="Tc_LvW3NnnBkkqXFeRrlxQkTA_14_0"/>
      <w:bookmarkStart w:id="400" w:name="Tc_WyTkZ_LgX0mv4bMTAyCBMg_13_11"/>
      <w:bookmarkStart w:id="401" w:name="Tc_2xq8HbwKekiV5z1vkzKGzg_13_8"/>
      <w:bookmarkStart w:id="402" w:name="Tc_G5Ig1Q0Hfk-QBYYtvhkDTQ_13_5"/>
      <w:bookmarkStart w:id="403" w:name="Tc_4jPmubm1kEmU55c8ZARF-g_13_2"/>
      <w:bookmarkStart w:id="404" w:name="Tc_Sy2spc6WiEK9t0Elbet0Wg_13_0"/>
      <w:bookmarkStart w:id="405" w:name="Tc_qIsrmSzkJ0Ga06N2IwN_YA_12_0"/>
      <w:bookmarkStart w:id="406" w:name="Tc_RkA79seCiECq7kurxuWRQw_11_11"/>
      <w:bookmarkStart w:id="407" w:name="Tc_cyWiwmWq0US4QNkVZlyF0A_11_8"/>
      <w:bookmarkStart w:id="408" w:name="Tc_fdaoGP-uUE6uKF9ORPrZvg_11_5"/>
      <w:bookmarkStart w:id="409" w:name="Tc_NzwH64X_Tkq4PzWSErmDEA_11_2"/>
      <w:bookmarkStart w:id="410" w:name="Tc_weHt9BfNckeX0DDvnNUtxA_11_0"/>
      <w:bookmarkStart w:id="411" w:name="Tc_iwOEPISqNU2FFc4vf5Xrfg_10_0"/>
      <w:bookmarkStart w:id="412" w:name="Tc_vkvXsB3nZUGOWK-Ea-4Tfw_9_11"/>
      <w:bookmarkStart w:id="413" w:name="Tc_zWr0NSY3zEyeZGybJGfh3w_9_8"/>
      <w:bookmarkStart w:id="414" w:name="Tc_tWkB-B3yLUylqXGT1s713A_9_5"/>
      <w:bookmarkStart w:id="415" w:name="Tc_Gho91LFD4UKfZz7xcjDpPw_9_2"/>
      <w:bookmarkStart w:id="416" w:name="Tc_WocouO_HjU2o356ILvCvfQ_9_0"/>
      <w:bookmarkStart w:id="417" w:name="Tc_p67gge5K80u1H_zJoBG_rg_8_0"/>
      <w:bookmarkStart w:id="418" w:name="Tc_Nj1HAuLRrU6Y-e62muv4ig_7_11"/>
      <w:bookmarkStart w:id="419" w:name="Tc_dT84qFby90WOOkVpol1KDQ_7_9"/>
      <w:bookmarkStart w:id="420" w:name="Tc_3NsGtJmm7U2A7zyl0XkVVg_7_8"/>
      <w:bookmarkStart w:id="421" w:name="Tc_B_EtvO1ZDkS3SjicemTPKw_7_5"/>
      <w:bookmarkStart w:id="422" w:name="Tc_Bv4_wMafKku88guE25bktg_7_2"/>
      <w:bookmarkStart w:id="423" w:name="Tc_y0l6zeSRjkGZFxq3JjPgAg_7_0"/>
      <w:bookmarkStart w:id="424" w:name="Tc_DgSfA7hIBke6OzW5uF-hAQ_6_0"/>
      <w:bookmarkStart w:id="425" w:name="Tc_wg_Jy4yu0EqDshhnn7Zhbg_5_0"/>
      <w:bookmarkStart w:id="426" w:name="Tc_I_QpPblSP0-bN6cn_Cs6hw_4_0"/>
      <w:bookmarkStart w:id="427" w:name="Tc_Fk9W5MnamkysxjDb_ypo2A_3_2"/>
      <w:bookmarkStart w:id="428" w:name="Tc_GACfF-ozFk64dslTkq-PoQ_2_11"/>
      <w:bookmarkStart w:id="429" w:name="Tc_XadM-xbbAkOBQ5-H1fJZrA_2_8"/>
      <w:bookmarkStart w:id="430" w:name="Tc_USaQp8A8UECU52wvxUwTiA_2_5"/>
      <w:bookmarkStart w:id="431" w:name="Tc_y0H32rpi6E2yfpmh85dXRw_2_2"/>
      <w:bookmarkStart w:id="432" w:name="Tc_GIuXt61dkkSLAoIu7SPREA_1_11"/>
      <w:bookmarkStart w:id="433" w:name="Tc__3cI5ixljkiArYvXjcuQbA_1_8"/>
      <w:bookmarkStart w:id="434" w:name="Tc_5lDQjdMlBkeXn_DHAP3cpQ_1_5"/>
      <w:bookmarkStart w:id="435" w:name="Tc_0uA_6KpatkWZKXKFPmZHWQ_1_2"/>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Fonts w:ascii="Times New Roman;Times;serif" w:hAnsi="Times New Roman;Times;serif"/>
          <w:b/>
          <w:sz w:val="20"/>
        </w:rPr>
        <w:t>(5)  Marketable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211"/>
        <w:gridCol w:w="781"/>
        <w:gridCol w:w="326"/>
        <w:gridCol w:w="362"/>
        <w:gridCol w:w="983"/>
        <w:gridCol w:w="326"/>
        <w:gridCol w:w="409"/>
        <w:gridCol w:w="936"/>
        <w:gridCol w:w="326"/>
        <w:gridCol w:w="211"/>
        <w:gridCol w:w="888"/>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616200" cy="175260"/>
                      <wp:effectExtent l="0" t="0" r="0" b="0"/>
                      <wp:wrapNone/>
                      <wp:docPr id="62" name="Frame62"/>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29870" cy="175260"/>
                      <wp:effectExtent l="0" t="0" r="0" b="0"/>
                      <wp:wrapNone/>
                      <wp:docPr id="67" name="Frame6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24205" cy="175260"/>
                      <wp:effectExtent l="0" t="0" r="0" b="0"/>
                      <wp:wrapNone/>
                      <wp:docPr id="68" name="Frame68"/>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59715" cy="175260"/>
                      <wp:effectExtent l="0" t="0" r="0" b="0"/>
                      <wp:wrapNone/>
                      <wp:docPr id="70" name="Frame70"/>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4360" cy="175260"/>
                      <wp:effectExtent l="0" t="0" r="0" b="0"/>
                      <wp:wrapNone/>
                      <wp:docPr id="71" name="Frame71"/>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63880" cy="175260"/>
                      <wp:effectExtent l="0" t="0" r="0" b="0"/>
                      <wp:wrapNone/>
                      <wp:docPr id="74" name="Frame74"/>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178,109</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178,491</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86,479</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86,835</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264,588</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265,326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298,594</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298,799</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92,001</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92,030</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390,595</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390,829</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655,183</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656,155</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9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185,855</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102,331</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102,503</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287,719</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288,358</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9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336,350</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336,646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72,139</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71,921</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408,489</w:t>
            </w:r>
          </w:p>
        </w:tc>
        <w:tc>
          <w:tcPr>
            <w:tcW w:w="32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40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408,567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696,208</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shd w:fill="CCEEFF" w:val="clear"/>
            <w:vAlign w:val="center"/>
          </w:tcPr>
          <w:p>
            <w:pPr>
              <w:pStyle w:val="TableContents"/>
              <w:bidi w:val="0"/>
              <w:spacing w:before="0" w:after="0"/>
              <w:ind w:left="0" w:right="0" w:hanging="0"/>
              <w:jc w:val="left"/>
              <w:rPr/>
            </w:pPr>
            <w:r>
              <w:rPr/>
              <w:t>​</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696,925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Unrealized losses are generally attributable to changes in interest rates. The aggregate fair value of marketable securities held by the Company in an unrealized loss position as of March 31, 2025 and December 31, 2024 was $125.2 million and $142.5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March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Marketable securities include $6.0 million and $6.1 million in accrued interest at March 31, 2025 and December 31, 2024,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March 31, 2025 and December 31, 2024,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3 development. As of March 31, 2025, the IPR&amp;D asset related to the anti-KIT program had not reached technological feasibility nor did the asset have alternative future uses.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Other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$10.3 million and $9.6 million at March 31, 2025 and December 31, 2024, respectively.</w:t>
      </w:r>
    </w:p>
    <w:p>
      <w:pPr>
        <w:pStyle w:val="TextBody"/>
        <w:bidi w:val="0"/>
        <w:spacing w:before="0" w:after="240"/>
        <w:ind w:left="0" w:right="0" w:hanging="0"/>
        <w:jc w:val="left"/>
        <w:rPr>
          <w:rFonts w:ascii="Times New Roman;Times;serif" w:hAnsi="Times New Roman;Times;serif"/>
          <w:b/>
          <w:sz w:val="20"/>
        </w:rPr>
      </w:pPr>
      <w:bookmarkStart w:id="436" w:name="Tc_vyAkeJ_aFkyn1wSJEE_XBg_9_5"/>
      <w:bookmarkStart w:id="437" w:name="Tc_AMosdHhSNk2pGT1EnfYIXw_9_2"/>
      <w:bookmarkStart w:id="438" w:name="Tc_BUj6o-IhjU6-CYKtrp9Akw_9_0"/>
      <w:bookmarkStart w:id="439" w:name="Tc_jN94yAvXs0aKh3YeiVWzsg_8_0"/>
      <w:bookmarkStart w:id="440" w:name="Tc_-9_WtOs-b0SM2c-lPSlUWQ_7_0"/>
      <w:bookmarkStart w:id="441" w:name="Tc_cj84fYYrAEiCtR6OSAWkEg_6_0"/>
      <w:bookmarkStart w:id="442" w:name="Tc_Pp5Ulv0SEUKKZ3zf-UatjA_5_0"/>
      <w:bookmarkStart w:id="443" w:name="Tc_4yJdgaDkvkGoMzt7ylZkwQ_4_5"/>
      <w:bookmarkStart w:id="444" w:name="Tc_QwE2Ie7AREGHYqNTJO9w0A_4_2"/>
      <w:bookmarkStart w:id="445" w:name="Tc_zVY_Q6_7SUqdhQ9vfrchOg_4_0"/>
      <w:bookmarkStart w:id="446" w:name="Tc_7nQKblxYi0acQuWk6JQ9QQ_3_2"/>
      <w:bookmarkStart w:id="447" w:name="Tc_Cv4seal20EunzGe4ezq80A_2_5"/>
      <w:bookmarkStart w:id="448" w:name="Tc_CmiiuT0MnkWdkAVMV7eVGg_2_2"/>
      <w:bookmarkStart w:id="449" w:name="Tc_U2JaSxU6rUaehaSBIMb5Qw_1_5"/>
      <w:bookmarkStart w:id="450" w:name="Tc_IQ1yjnkRhUWM0do0iYcI6A_1_2"/>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Fonts w:ascii="Times New Roman;Times;serif" w:hAnsi="Times New Roman;Times;serif"/>
          <w:b/>
          <w:sz w:val="20"/>
        </w:rPr>
        <w:t>(8)  Other Long-Term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180" w:type="dxa"/>
        <w:jc w:val="left"/>
        <w:tblInd w:w="0" w:type="dxa"/>
        <w:tblLayout w:type="fixed"/>
        <w:tblCellMar>
          <w:top w:w="0" w:type="dxa"/>
          <w:left w:w="0" w:type="dxa"/>
          <w:bottom w:w="0" w:type="dxa"/>
          <w:right w:w="0" w:type="dxa"/>
        </w:tblCellMar>
      </w:tblPr>
      <w:tblGrid>
        <w:gridCol w:w="4486"/>
        <w:gridCol w:w="326"/>
        <w:gridCol w:w="211"/>
        <w:gridCol w:w="691"/>
        <w:gridCol w:w="326"/>
        <w:gridCol w:w="271"/>
        <w:gridCol w:w="869"/>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848610" cy="175260"/>
                      <wp:effectExtent l="0" t="0" r="0" b="0"/>
                      <wp:wrapNone/>
                      <wp:docPr id="75" name="Frame75"/>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8785" cy="175260"/>
                      <wp:effectExtent l="0" t="0" r="0" b="0"/>
                      <wp:wrapNone/>
                      <wp:docPr id="78" name="Frame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72085" cy="175260"/>
                      <wp:effectExtent l="0" t="0" r="0" b="0"/>
                      <wp:wrapNone/>
                      <wp:docPr id="80" name="Frame8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51815" cy="175260"/>
                      <wp:effectExtent l="0" t="0" r="0" b="0"/>
                      <wp:wrapNone/>
                      <wp:docPr id="81" name="Frame8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18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3,473</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and $0.9 million in other income related to the sale of these tax benefits for the three months ended March 31, 2025 and the three months ended March 31, 2024, respectively.</w:t>
      </w:r>
    </w:p>
    <w:p>
      <w:pPr>
        <w:pStyle w:val="TextBody"/>
        <w:bidi w:val="0"/>
        <w:spacing w:before="0" w:after="240"/>
        <w:ind w:left="0" w:right="0" w:hanging="0"/>
        <w:jc w:val="left"/>
        <w:rPr>
          <w:rFonts w:ascii="Times New Roman;Times;serif" w:hAnsi="Times New Roman;Times;serif"/>
          <w:b/>
          <w:sz w:val="20"/>
        </w:rPr>
      </w:pPr>
      <w:bookmarkStart w:id="451" w:name="Tc_dB3zjzfWsEWu7ShxXSw3Bg_11_16"/>
      <w:bookmarkStart w:id="452" w:name="Tc_Iui8odyBlUioZjHYfcMTbA_11_13"/>
      <w:bookmarkStart w:id="453" w:name="Tc_rIvBw32RY0eocOEsg8v4RQ_11_10"/>
      <w:bookmarkStart w:id="454" w:name="Tc_Od8uYcZgOkuWjrQeF_az2w_11_7"/>
      <w:bookmarkStart w:id="455" w:name="Tc_Etk0L0Kh30K4AxunXZS0kA_11_4"/>
      <w:bookmarkStart w:id="456" w:name="Tc_GMvtgMB3A0W5viJyaT2NiA_11_0"/>
      <w:bookmarkStart w:id="457" w:name="Tc_SpPchKNefUKjYFqYCVNGbg_10_11"/>
      <w:bookmarkStart w:id="458" w:name="Tc_6BKszkn4eU2H5YMfBvZ_yg_10_8"/>
      <w:bookmarkStart w:id="459" w:name="Tc_ZqvN2ly6r0SU_qV5TWKv7w_10_5"/>
      <w:bookmarkStart w:id="460" w:name="Tc_7lspMcdgKUiMvygxNKuEgw_10_2"/>
      <w:bookmarkStart w:id="461" w:name="Tc_B67Ge9hmpUeqOs8O9AbmPQ_10_0"/>
      <w:bookmarkStart w:id="462" w:name="Tc_2ENKwaUAokmW-bxJEK68qQ_9_14"/>
      <w:bookmarkStart w:id="463" w:name="Tc_Girvn9Wnk02gCZQJuhkXGQ_9_8"/>
      <w:bookmarkStart w:id="464" w:name="Tc_CqKzUKLslke7S0u3chnVqQ_9_5"/>
      <w:bookmarkStart w:id="465" w:name="Tc_hT2aJ1DeYU2BwJFiF2Gyqw_9_2"/>
      <w:bookmarkStart w:id="466" w:name="Tc_6IlWtLW__keQuZfbSeqhwA_9_0"/>
      <w:bookmarkStart w:id="467" w:name="Tc_VAXMZqM23E2C_tbrhYLavg_8_14"/>
      <w:bookmarkStart w:id="468" w:name="Tc_qYczdxCjqEGev7oLa6LzOQ_8_11"/>
      <w:bookmarkStart w:id="469" w:name="Tc_Y9uWjcvK80OfEJ3Bv_HKpg_8_5"/>
      <w:bookmarkStart w:id="470" w:name="Tc_GQhxEJ1-NEaoJe8H6FMq2w_8_2"/>
      <w:bookmarkStart w:id="471" w:name="Tc_FBiUw5x0DkSmVnDsG7xH1A_8_0"/>
      <w:bookmarkStart w:id="472" w:name="Tc_L43BGPUGnkCkthjVnRDIPw_7_14"/>
      <w:bookmarkStart w:id="473" w:name="Tc_w-_ryqI7ZE-kOy_51b7xAA_7_11"/>
      <w:bookmarkStart w:id="474" w:name="Tc_sVBilVXQ1U6RLqxTic09WA_7_5"/>
      <w:bookmarkStart w:id="475" w:name="Tc_yJ_Bp-GLzkC8tmE6n524mg_7_0"/>
      <w:bookmarkStart w:id="476" w:name="Tc_qzSkQXepRE--guq4TOtfyg_6_16"/>
      <w:bookmarkStart w:id="477" w:name="Tc_6F7QxxAIP0O16cJe9s8m8A_6_13"/>
      <w:bookmarkStart w:id="478" w:name="Tc_ldBDxo4JB0e6Fax40AV4uQ_6_10"/>
      <w:bookmarkStart w:id="479" w:name="Tc_KBzwBJx7KE2VDsn7KUGYWw_6_7"/>
      <w:bookmarkStart w:id="480" w:name="Tc_EgYdLxSo40mImkajOrgb8Q_6_4"/>
      <w:bookmarkStart w:id="481" w:name="Tc_o-AxFwzMTkSvqTiIN0jlRQ_6_0"/>
      <w:bookmarkStart w:id="482" w:name="Tc_mSLIIyPMAEy2ydYzvTWYxg_5_2"/>
      <w:bookmarkStart w:id="483" w:name="Tc_XqDvB4zU4E2KttSvrtxy1A_4_16"/>
      <w:bookmarkStart w:id="484" w:name="Tc_b8sBeYon0EW2D2PBirTMwQ_4_13"/>
      <w:bookmarkStart w:id="485" w:name="Tc_1BpaGwW3V0qy2cGYVPuDwg_4_10"/>
      <w:bookmarkStart w:id="486" w:name="Tc_ZMUoALJ4pEiTinUPYJa4TQ_4_7"/>
      <w:bookmarkStart w:id="487" w:name="Tc_GTZNy40tqUigsKz3N5dI_g_4_4"/>
      <w:bookmarkStart w:id="488" w:name="Tc_MBL4_uQOCUCPMqIRsyXZpg_4_2"/>
      <w:bookmarkStart w:id="489" w:name="Tc_3NDITVdS80q89lPqxyYfuA_3_16"/>
      <w:bookmarkStart w:id="490" w:name="Tc_Bl9cb3xFlEeIG2m0rlTwzw_3_13"/>
      <w:bookmarkStart w:id="491" w:name="Tc_0Pkkt0hph0qM-9ozut3QSg_3_10"/>
      <w:bookmarkStart w:id="492" w:name="Tc_UVKECHv8KUCEbFL5LnHTHw_3_7"/>
      <w:bookmarkStart w:id="493" w:name="Tc_qK6D_gZVUEyoQ19eoYNoMg_3_4"/>
      <w:bookmarkStart w:id="494" w:name="Tc_O0avlbB9okmCSs8rgM6tFg_3_2"/>
      <w:bookmarkStart w:id="495" w:name="Tc_uW0TFxYYKU2ms5OdlfeWxg_2_16"/>
      <w:bookmarkStart w:id="496" w:name="Tc_qCBbgcozP0WP9IRC4JLg0A_2_10"/>
      <w:bookmarkStart w:id="497" w:name="Tc_j8krCXQHF0eTtj8jSyX1Ew_2_7"/>
      <w:bookmarkStart w:id="498" w:name="Tc_Gs4KGDwM7EqSFXFD9jLczg_2_4"/>
      <w:bookmarkStart w:id="499" w:name="Tc_AhwuiJEVLUO0KYRzkToKNQ_2_2"/>
      <w:bookmarkStart w:id="500" w:name="Tc_paEeKxr89Eu5DiVohmckCg_1_10"/>
      <w:bookmarkStart w:id="501" w:name="_7de56773_b0be_4ffa_955c_22483496e9d1"/>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ascii="Times New Roman;Times;serif" w:hAnsi="Times New Roman;Times;serif"/>
          <w:b/>
          <w:sz w:val="20"/>
        </w:rPr>
        <w:t>(9)  Stockholders’ Equity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Company filed an automatic shelf registration statement with the SEC to register for sale any combination of the types of securities described in the shelf registration statement, including shares of its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February 26, 2024, the Company entered into a controlled equity offering sales agreement (“ATM Agreement”) with Cantor Fitzgerald &amp; Co. (“Cantor”) to allow the Company to issue and sell shares of its common stock from time to time through Cantor, acting as agent. Also on February 26, 2024, the Company terminated its pre-existing controlled equity offering sale agreement dated May 19, 2016 with Cantor. At March 31, 2025, the Company had registered $300.0 million of its common stock to be sold pursuant to the Company’s ATM Agreement, all of which remained unsold as of that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2024, the Company issued 9,798,000 shares of its common stock in an underwritten public offering resulting in net proceeds to the Company of $432.3 million, after deducting underwriting fees and offering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Stockholders’ Equity during the three months ended March 31, 2025 and 2024 are summarized below:</w:t>
      </w:r>
    </w:p>
    <w:p>
      <w:pPr>
        <w:pStyle w:val="TextBody"/>
        <w:bidi w:val="0"/>
        <w:spacing w:before="0" w:after="0"/>
        <w:ind w:left="0" w:right="0" w:hanging="0"/>
        <w:jc w:val="left"/>
        <w:rPr/>
      </w:pPr>
      <w:r>
        <w:rPr/>
        <w:t>​</w:t>
      </w:r>
    </w:p>
    <w:tbl>
      <w:tblPr>
        <w:tblW w:w="10216" w:type="dxa"/>
        <w:jc w:val="left"/>
        <w:tblInd w:w="0" w:type="dxa"/>
        <w:tblLayout w:type="fixed"/>
        <w:tblCellMar>
          <w:top w:w="0" w:type="dxa"/>
          <w:left w:w="0" w:type="dxa"/>
          <w:bottom w:w="0" w:type="dxa"/>
          <w:right w:w="0" w:type="dxa"/>
        </w:tblCellMar>
      </w:tblPr>
      <w:tblGrid>
        <w:gridCol w:w="1741"/>
        <w:gridCol w:w="326"/>
        <w:gridCol w:w="1036"/>
        <w:gridCol w:w="326"/>
        <w:gridCol w:w="312"/>
        <w:gridCol w:w="514"/>
        <w:gridCol w:w="326"/>
        <w:gridCol w:w="211"/>
        <w:gridCol w:w="931"/>
        <w:gridCol w:w="326"/>
        <w:gridCol w:w="327"/>
        <w:gridCol w:w="889"/>
        <w:gridCol w:w="326"/>
        <w:gridCol w:w="211"/>
        <w:gridCol w:w="991"/>
        <w:gridCol w:w="32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05535" cy="175260"/>
                      <wp:effectExtent l="0" t="0" r="0" b="0"/>
                      <wp:wrapNone/>
                      <wp:docPr id="82" name="Frame8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7860" cy="175260"/>
                      <wp:effectExtent l="0" t="0" r="0" b="0"/>
                      <wp:wrapNone/>
                      <wp:docPr id="84" name="Frame8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8120" cy="175260"/>
                      <wp:effectExtent l="0" t="0" r="0" b="0"/>
                      <wp:wrapNone/>
                      <wp:docPr id="86" name="Frame86"/>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26390" cy="175260"/>
                      <wp:effectExtent l="0" t="0" r="0" b="0"/>
                      <wp:wrapNone/>
                      <wp:docPr id="87" name="Frame8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91185" cy="175260"/>
                      <wp:effectExtent l="0" t="0" r="0" b="0"/>
                      <wp:wrapNone/>
                      <wp:docPr id="90" name="Frame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645" cy="175260"/>
                      <wp:effectExtent l="0" t="0" r="0" b="0"/>
                      <wp:wrapNone/>
                      <wp:docPr id="92" name="Frame92"/>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4515" cy="175260"/>
                      <wp:effectExtent l="0" t="0" r="0" b="0"/>
                      <wp:wrapNone/>
                      <wp:docPr id="93" name="Frame9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29285" cy="175260"/>
                      <wp:effectExtent l="0" t="0" r="0" b="0"/>
                      <wp:wrapNone/>
                      <wp:docPr id="96" name="Frame9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62610" cy="175260"/>
                      <wp:effectExtent l="0" t="0" r="0" b="0"/>
                      <wp:wrapNone/>
                      <wp:docPr id="99"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1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66,374,549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2,298,849</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747,005</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9,642</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2025</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66,384,191</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2,308,367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(1,609,020)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702,981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502" w:name="Tc_7jLOy0Ie702iROZ4tWkYDQ_12_16"/>
      <w:bookmarkStart w:id="503" w:name="Tc_Pvj1wEF1sEet9a3MEmKqNw_12_13"/>
      <w:bookmarkStart w:id="504" w:name="Tc_DFMfr2qlKku0HsgjHYxopQ_12_10"/>
      <w:bookmarkStart w:id="505" w:name="Tc_E4Wa87xLVUS8XwVlG86uAA_12_7"/>
      <w:bookmarkStart w:id="506" w:name="Tc_mZIhUxNwHkGNRnGIc2QoMQ_12_4"/>
      <w:bookmarkStart w:id="507" w:name="Tc_ya2ZEj5pR02uuz8OAA56Rg_12_0"/>
      <w:bookmarkStart w:id="508" w:name="Tc_Iyl70LjjH0mwTBd9t-92BQ_11_11"/>
      <w:bookmarkStart w:id="509" w:name="Tc_DWB_GMSiDEGftFXj2SxXcg_11_8"/>
      <w:bookmarkStart w:id="510" w:name="Tc_Qo8fvNr510-0B6eT57J3rA_11_5"/>
      <w:bookmarkStart w:id="511" w:name="Tc_s3b51OOOwEC7XL-97daqzA_11_2"/>
      <w:bookmarkStart w:id="512" w:name="Tc_vPjiSh4xg0y9I0nR8Vbruw_11_0"/>
      <w:bookmarkStart w:id="513" w:name="Tc_unybAlD0ckaiHX11rxB_yg_10_14"/>
      <w:bookmarkStart w:id="514" w:name="Tc_ZqUQ38m7K0aIhz7X2jhe_A_10_8"/>
      <w:bookmarkStart w:id="515" w:name="Tc_XkLrogFweUuZ1UTuQnL5_Q_10_5"/>
      <w:bookmarkStart w:id="516" w:name="Tc_cfdpOmiFP0aAQczcmrhMGw_10_2"/>
      <w:bookmarkStart w:id="517" w:name="Tc_5UtlxYrTsEGIhk_CTbz4Yg_10_0"/>
      <w:bookmarkStart w:id="518" w:name="Tc_Kmz2v-vMCU2hQPnHlzY5yA_9_14"/>
      <w:bookmarkStart w:id="519" w:name="Tc_t-l5F7dTSUWQrWNqduWS5Q_9_11"/>
      <w:bookmarkStart w:id="520" w:name="Tc_0iXjoitBwEiK6OGXpgv4dw_9_5"/>
      <w:bookmarkStart w:id="521" w:name="Tc_5q-GJZMnDEGmEBqJ7fTc1A_9_2"/>
      <w:bookmarkStart w:id="522" w:name="Tc_nSC3L8mmbUeJVxzN1mNncA_9_0"/>
      <w:bookmarkStart w:id="523" w:name="Tc_ja9SVq801Uy4W-FWPJ04rw_8_14"/>
      <w:bookmarkStart w:id="524" w:name="Tc_Sj2SRvt6cky4e3jwlAeTAw_8_11"/>
      <w:bookmarkStart w:id="525" w:name="Tc_HOmlz61sv02ttdWGz3vlvQ_8_0"/>
      <w:bookmarkStart w:id="526" w:name="Tc_VcMQiX8Y60yNotti7Dm3Qg_7_14"/>
      <w:bookmarkStart w:id="527" w:name="Tc_r7AgsjjjlEm_BiTFemtp2g_7_11"/>
      <w:bookmarkStart w:id="528" w:name="Tc_VcJefcWLEk2Yqg_5pMg7xw_7_5"/>
      <w:bookmarkStart w:id="529" w:name="Tc_YrR-5bnCDkS6_pumuB6qxw_7_0"/>
      <w:bookmarkStart w:id="530" w:name="Tc_ZDVnoZgo9kahVAELYZ6-hw_6_16"/>
      <w:bookmarkStart w:id="531" w:name="Tc_3yzNr1UL3EuytTqPMGIdCg_6_13"/>
      <w:bookmarkStart w:id="532" w:name="Tc_TJrct4QEGEKqfq6TUiczUw_6_10"/>
      <w:bookmarkStart w:id="533" w:name="Tc_HoS6QJn7Dk-ZTaG9La9KYg_6_7"/>
      <w:bookmarkStart w:id="534" w:name="Tc_BveK65kQAkqH2l5UL1EVyQ_6_4"/>
      <w:bookmarkStart w:id="535" w:name="Tc_DMpHQJRAz0eZLNuxMhASjQ_6_0"/>
      <w:bookmarkStart w:id="536" w:name="Tc_UhAha9bAv0aYe_pCnaP3TA_5_2"/>
      <w:bookmarkStart w:id="537" w:name="Tc_LTJ2i-gGMEeQG0p7DKKQWg_4_16"/>
      <w:bookmarkStart w:id="538" w:name="Tc_jd1KafpXfEmdYtsCY2uhKA_4_13"/>
      <w:bookmarkStart w:id="539" w:name="Tc_zvBp-bRumUKGrnch7uVUxg_4_10"/>
      <w:bookmarkStart w:id="540" w:name="Tc_qN5-APk9s0qvxhEemcPkQQ_4_7"/>
      <w:bookmarkStart w:id="541" w:name="Tc_RwLP1i997U-5cej9aR7lMw_4_4"/>
      <w:bookmarkStart w:id="542" w:name="Tc_nyaUP_tTJ0mJ0TEu6mTmfg_4_2"/>
      <w:bookmarkStart w:id="543" w:name="Tc_V7TaZvADA0e5BmK5Cs20pw_3_16"/>
      <w:bookmarkStart w:id="544" w:name="Tc_7Ek2pNiu50anaTMNW2yPaQ_3_13"/>
      <w:bookmarkStart w:id="545" w:name="Tc_57MfmKs_u0uGXbniR-cLfQ_3_10"/>
      <w:bookmarkStart w:id="546" w:name="Tc_H63y5MNL3kuJQ6q-Q8ETlQ_3_7"/>
      <w:bookmarkStart w:id="547" w:name="Tc_UsGO3E-DR0aZ0nLEEio5-g_3_4"/>
      <w:bookmarkStart w:id="548" w:name="Tc_eZMO6Jdz0E68HE7fG_VbzQ_3_2"/>
      <w:bookmarkStart w:id="549" w:name="Tc_Sfsd00TK7kuyyfw4Dh9FYQ_2_16"/>
      <w:bookmarkStart w:id="550" w:name="Tc_qQCr7xUV6kiwhHBlsXsvVA_2_10"/>
      <w:bookmarkStart w:id="551" w:name="Tc_74dJjXk-m0-jnUPp1qwX0Q_2_7"/>
      <w:bookmarkStart w:id="552" w:name="Tc_EGuPhac-G0qf0jkrlLShqg_2_4"/>
      <w:bookmarkStart w:id="553" w:name="Tc_e-x1Ty37l0i8RgoIR0jEoQ_2_2"/>
      <w:bookmarkStart w:id="554" w:name="Tc_Egc48dRPuEiM-nMx0yqX8g_1_10"/>
      <w:bookmarkStart w:id="555" w:name="_72c75577_e744_4a8c_9098_303a744f0c65"/>
      <w:bookmarkStart w:id="556" w:name="Tc_7jLOy0Ie702iROZ4tWkYDQ_12_16"/>
      <w:bookmarkStart w:id="557" w:name="Tc_Pvj1wEF1sEet9a3MEmKqNw_12_13"/>
      <w:bookmarkStart w:id="558" w:name="Tc_DFMfr2qlKku0HsgjHYxopQ_12_10"/>
      <w:bookmarkStart w:id="559" w:name="Tc_E4Wa87xLVUS8XwVlG86uAA_12_7"/>
      <w:bookmarkStart w:id="560" w:name="Tc_mZIhUxNwHkGNRnGIc2QoMQ_12_4"/>
      <w:bookmarkStart w:id="561" w:name="Tc_ya2ZEj5pR02uuz8OAA56Rg_12_0"/>
      <w:bookmarkStart w:id="562" w:name="Tc_Iyl70LjjH0mwTBd9t-92BQ_11_11"/>
      <w:bookmarkStart w:id="563" w:name="Tc_DWB_GMSiDEGftFXj2SxXcg_11_8"/>
      <w:bookmarkStart w:id="564" w:name="Tc_Qo8fvNr510-0B6eT57J3rA_11_5"/>
      <w:bookmarkStart w:id="565" w:name="Tc_s3b51OOOwEC7XL-97daqzA_11_2"/>
      <w:bookmarkStart w:id="566" w:name="Tc_vPjiSh4xg0y9I0nR8Vbruw_11_0"/>
      <w:bookmarkStart w:id="567" w:name="Tc_unybAlD0ckaiHX11rxB_yg_10_14"/>
      <w:bookmarkStart w:id="568" w:name="Tc_ZqUQ38m7K0aIhz7X2jhe_A_10_8"/>
      <w:bookmarkStart w:id="569" w:name="Tc_XkLrogFweUuZ1UTuQnL5_Q_10_5"/>
      <w:bookmarkStart w:id="570" w:name="Tc_cfdpOmiFP0aAQczcmrhMGw_10_2"/>
      <w:bookmarkStart w:id="571" w:name="Tc_5UtlxYrTsEGIhk_CTbz4Yg_10_0"/>
      <w:bookmarkStart w:id="572" w:name="Tc_Kmz2v-vMCU2hQPnHlzY5yA_9_14"/>
      <w:bookmarkStart w:id="573" w:name="Tc_t-l5F7dTSUWQrWNqduWS5Q_9_11"/>
      <w:bookmarkStart w:id="574" w:name="Tc_0iXjoitBwEiK6OGXpgv4dw_9_5"/>
      <w:bookmarkStart w:id="575" w:name="Tc_5q-GJZMnDEGmEBqJ7fTc1A_9_2"/>
      <w:bookmarkStart w:id="576" w:name="Tc_nSC3L8mmbUeJVxzN1mNncA_9_0"/>
      <w:bookmarkStart w:id="577" w:name="Tc_ja9SVq801Uy4W-FWPJ04rw_8_14"/>
      <w:bookmarkStart w:id="578" w:name="Tc_Sj2SRvt6cky4e3jwlAeTAw_8_11"/>
      <w:bookmarkStart w:id="579" w:name="Tc_HOmlz61sv02ttdWGz3vlvQ_8_0"/>
      <w:bookmarkStart w:id="580" w:name="Tc_VcMQiX8Y60yNotti7Dm3Qg_7_14"/>
      <w:bookmarkStart w:id="581" w:name="Tc_r7AgsjjjlEm_BiTFemtp2g_7_11"/>
      <w:bookmarkStart w:id="582" w:name="Tc_VcJefcWLEk2Yqg_5pMg7xw_7_5"/>
      <w:bookmarkStart w:id="583" w:name="Tc_YrR-5bnCDkS6_pumuB6qxw_7_0"/>
      <w:bookmarkStart w:id="584" w:name="Tc_ZDVnoZgo9kahVAELYZ6-hw_6_16"/>
      <w:bookmarkStart w:id="585" w:name="Tc_3yzNr1UL3EuytTqPMGIdCg_6_13"/>
      <w:bookmarkStart w:id="586" w:name="Tc_TJrct4QEGEKqfq6TUiczUw_6_10"/>
      <w:bookmarkStart w:id="587" w:name="Tc_HoS6QJn7Dk-ZTaG9La9KYg_6_7"/>
      <w:bookmarkStart w:id="588" w:name="Tc_BveK65kQAkqH2l5UL1EVyQ_6_4"/>
      <w:bookmarkStart w:id="589" w:name="Tc_DMpHQJRAz0eZLNuxMhASjQ_6_0"/>
      <w:bookmarkStart w:id="590" w:name="Tc_UhAha9bAv0aYe_pCnaP3TA_5_2"/>
      <w:bookmarkStart w:id="591" w:name="Tc_LTJ2i-gGMEeQG0p7DKKQWg_4_16"/>
      <w:bookmarkStart w:id="592" w:name="Tc_jd1KafpXfEmdYtsCY2uhKA_4_13"/>
      <w:bookmarkStart w:id="593" w:name="Tc_zvBp-bRumUKGrnch7uVUxg_4_10"/>
      <w:bookmarkStart w:id="594" w:name="Tc_qN5-APk9s0qvxhEemcPkQQ_4_7"/>
      <w:bookmarkStart w:id="595" w:name="Tc_RwLP1i997U-5cej9aR7lMw_4_4"/>
      <w:bookmarkStart w:id="596" w:name="Tc_nyaUP_tTJ0mJ0TEu6mTmfg_4_2"/>
      <w:bookmarkStart w:id="597" w:name="Tc_V7TaZvADA0e5BmK5Cs20pw_3_16"/>
      <w:bookmarkStart w:id="598" w:name="Tc_7Ek2pNiu50anaTMNW2yPaQ_3_13"/>
      <w:bookmarkStart w:id="599" w:name="Tc_57MfmKs_u0uGXbniR-cLfQ_3_10"/>
      <w:bookmarkStart w:id="600" w:name="Tc_H63y5MNL3kuJQ6q-Q8ETlQ_3_7"/>
      <w:bookmarkStart w:id="601" w:name="Tc_UsGO3E-DR0aZ0nLEEio5-g_3_4"/>
      <w:bookmarkStart w:id="602" w:name="Tc_eZMO6Jdz0E68HE7fG_VbzQ_3_2"/>
      <w:bookmarkStart w:id="603" w:name="Tc_Sfsd00TK7kuyyfw4Dh9FYQ_2_16"/>
      <w:bookmarkStart w:id="604" w:name="Tc_qQCr7xUV6kiwhHBlsXsvVA_2_10"/>
      <w:bookmarkStart w:id="605" w:name="Tc_74dJjXk-m0-jnUPp1qwX0Q_2_7"/>
      <w:bookmarkStart w:id="606" w:name="Tc_EGuPhac-G0qf0jkrlLShqg_2_4"/>
      <w:bookmarkStart w:id="607" w:name="Tc_e-x1Ty37l0i8RgoIR0jEoQ_2_2"/>
      <w:bookmarkStart w:id="608" w:name="Tc_Egc48dRPuEiM-nMx0yqX8g_1_10"/>
      <w:bookmarkStart w:id="609" w:name="_72c75577_e744_4a8c_9098_303a744f0c6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tbl>
      <w:tblPr>
        <w:tblW w:w="10205" w:type="dxa"/>
        <w:jc w:val="left"/>
        <w:tblInd w:w="0" w:type="dxa"/>
        <w:tblLayout w:type="fixed"/>
        <w:tblCellMar>
          <w:top w:w="0" w:type="dxa"/>
          <w:left w:w="0" w:type="dxa"/>
          <w:bottom w:w="0" w:type="dxa"/>
          <w:right w:w="0" w:type="dxa"/>
        </w:tblCellMar>
      </w:tblPr>
      <w:tblGrid>
        <w:gridCol w:w="1602"/>
        <w:gridCol w:w="326"/>
        <w:gridCol w:w="1036"/>
        <w:gridCol w:w="326"/>
        <w:gridCol w:w="335"/>
        <w:gridCol w:w="551"/>
        <w:gridCol w:w="326"/>
        <w:gridCol w:w="211"/>
        <w:gridCol w:w="931"/>
        <w:gridCol w:w="326"/>
        <w:gridCol w:w="319"/>
        <w:gridCol w:w="957"/>
        <w:gridCol w:w="326"/>
        <w:gridCol w:w="211"/>
        <w:gridCol w:w="995"/>
        <w:gridCol w:w="326"/>
        <w:gridCol w:w="211"/>
        <w:gridCol w:w="890"/>
      </w:tblGrid>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101" name="Frame10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2725" cy="175260"/>
                      <wp:effectExtent l="0" t="0" r="0" b="0"/>
                      <wp:wrapNone/>
                      <wp:docPr id="103" name="Frame10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49885" cy="175260"/>
                      <wp:effectExtent l="0" t="0" r="0" b="0"/>
                      <wp:wrapNone/>
                      <wp:docPr id="104" name="Frame104"/>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7" name="Frame1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2565" cy="175260"/>
                      <wp:effectExtent l="0" t="0" r="0" b="0"/>
                      <wp:wrapNone/>
                      <wp:docPr id="109" name="Frame10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07695" cy="175260"/>
                      <wp:effectExtent l="0" t="0" r="0" b="0"/>
                      <wp:wrapNone/>
                      <wp:docPr id="110" name="Frame110"/>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31825" cy="175260"/>
                      <wp:effectExtent l="0" t="0" r="0" b="0"/>
                      <wp:wrapNone/>
                      <wp:docPr id="113" name="Frame113"/>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65150" cy="175260"/>
                      <wp:effectExtent l="0" t="0" r="0" b="0"/>
                      <wp:wrapNone/>
                      <wp:docPr id="116" name="Frame116"/>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90" w:type="dxa"/>
            <w:tcBorders/>
            <w:vAlign w:val="center"/>
          </w:tcPr>
          <w:p>
            <w:pPr>
              <w:pStyle w:val="TableContents"/>
              <w:bidi w:val="0"/>
              <w:spacing w:before="0" w:after="0"/>
              <w:ind w:left="0" w:right="0" w:hanging="0"/>
              <w:jc w:val="left"/>
              <w:rPr/>
            </w:pPr>
            <w:r>
              <w:rPr/>
              <w:t>​</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7"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55,883,377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1,823,168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429,171</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229,171</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underwritten offering, net</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9,798,000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432,288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432,298</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7,202</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65,910,548</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2,266,472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838,613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0" w:name="Tc_ffOaBff1ckGpWLb5WPAeCA_6_5"/>
      <w:bookmarkStart w:id="611" w:name="Tc_ltRGeW0c80Sb8Jr5i1Nr1Q_6_2"/>
      <w:bookmarkStart w:id="612" w:name="Tc_qJLh_7O57UO4SSSFn6KV5w_6_0"/>
      <w:bookmarkStart w:id="613" w:name="Tc_E-uNEs3pvUusZ1i7WVzSnw_5_0"/>
      <w:bookmarkStart w:id="614" w:name="Tc_FUjwNxVfoUOG1bW2tYWTgw_4_5"/>
      <w:bookmarkStart w:id="615" w:name="Tc_iJP4Yk1N8k6xi4qzvk4K5w_4_2"/>
      <w:bookmarkStart w:id="616" w:name="Tc_YdiAa3OPqUmqGXE3s79AmA_4_0"/>
      <w:bookmarkStart w:id="617" w:name="Tc_XtR-DB3c_0WMT1lvtHMB-A_3_2"/>
      <w:bookmarkStart w:id="618" w:name="Tc_DfBYTA1QoEaRQ8tcWO6Zmg_2_5"/>
      <w:bookmarkStart w:id="619" w:name="Tc_L7LfxVEgIU6l_yUpqGa-Wg_2_2"/>
      <w:bookmarkStart w:id="620" w:name="Tc_cSjUN1MUhEmVnTLiGB2guA_1_2"/>
      <w:bookmarkStart w:id="621" w:name="_208d867e_68e7_470e_b6b2_7f922333a701"/>
      <w:bookmarkStart w:id="622" w:name="Tc_u0HlYxmIhEqaziPvB_QJYA_13_0"/>
      <w:bookmarkStart w:id="623" w:name="Tc_9x99d6l3RkG-gJUxGaUy2g_12_4"/>
      <w:bookmarkStart w:id="624" w:name="Tc_GAyJcFGD50arnkEO8yMSXQ_12_0"/>
      <w:bookmarkStart w:id="625" w:name="Tc__KcC9j7sPUmhQ0-lsMWSIQ_11_4"/>
      <w:bookmarkStart w:id="626" w:name="Tc_y_XOYSrF0EStmFHAC2-8sA_11_0"/>
      <w:bookmarkStart w:id="627" w:name="Tc_D-Gd3HXm302njrfYddImgQ_10_4"/>
      <w:bookmarkStart w:id="628" w:name="Tc_lXzLAzPp_E-blOQLPJaOzw_10_0"/>
      <w:bookmarkStart w:id="629" w:name="Tc_II6lbKn2C0Wm7IqMGzh37Q_9_4"/>
      <w:bookmarkStart w:id="630" w:name="Tc_x5C8uU-vbUu2kTh-Xb5PPg_9_0"/>
      <w:bookmarkStart w:id="631" w:name="Tc_wkM3icCvhEyY5VQPBHFDbA_8_4"/>
      <w:bookmarkStart w:id="632" w:name="Tc_PlpzSgr2JkWs20ofKNWh9g_8_0"/>
      <w:bookmarkStart w:id="633" w:name="Tc_AafVZKVDmUuwtPKLlm-nWw_7_4"/>
      <w:bookmarkStart w:id="634" w:name="Tc_p4g6jo_XaU6peHA8FuttGw_7_0"/>
      <w:bookmarkStart w:id="635" w:name="Tc_Uo0hJph1nkCLGI2Yd1kNUQ_6_4"/>
      <w:bookmarkStart w:id="636" w:name="Tc_9pFLD9uRFUmIFl5CjBdQLQ_6_0"/>
      <w:bookmarkStart w:id="637" w:name="Tc_48Y9-z6fIk6f2quap7PRiw_5_7"/>
      <w:bookmarkStart w:id="638" w:name="Tc_h7Djc4gWe0uS6sbMQrLuAQ_5_4"/>
      <w:bookmarkStart w:id="639" w:name="Tc_dAmvmy93zE6WXAXBIw5Deg_5_2"/>
      <w:bookmarkStart w:id="640" w:name="Tc_BdkX1aoDYUyh-7PzPkgbMw_4_7"/>
      <w:bookmarkStart w:id="641" w:name="Tc_MdJu_A8hu0yxDLlSKBrpmg_4_4"/>
      <w:bookmarkStart w:id="642" w:name="Tc_4GEevOXlU0e2bWygq5i7JA_3_7"/>
      <w:bookmarkStart w:id="643" w:name="Tc_Ezuuf5rfVkCBVnzkCiwM9A_3_4"/>
      <w:bookmarkStart w:id="644" w:name="Tc_7NmZqv0J6Eq4ujUKl4wxhw_2_7"/>
      <w:bookmarkStart w:id="645" w:name="Tc_PmumxagizkGXeBUwWsyLeg_2_4"/>
      <w:bookmarkStart w:id="646" w:name="Tc_227gcSTVsEy9rYtmxaix8Q_1_7"/>
      <w:bookmarkStart w:id="647" w:name="Tc_g4qXgM06WkiL8m9sk9ZdSQ_1_4"/>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ascii="Times New Roman;Times;serif" w:hAnsi="Times New Roman;Times;serif"/>
          <w:b/>
          <w:sz w:val="20"/>
        </w:rPr>
        <w:t>(10)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three months ended March 31, 2025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84"/>
        <w:gridCol w:w="326"/>
        <w:gridCol w:w="931"/>
        <w:gridCol w:w="326"/>
        <w:gridCol w:w="222"/>
        <w:gridCol w:w="604"/>
        <w:gridCol w:w="326"/>
        <w:gridCol w:w="1286"/>
      </w:tblGrid>
      <w:tr>
        <w:trPr/>
        <w:tc>
          <w:tcPr>
            <w:tcW w:w="6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926840" cy="175260"/>
                      <wp:effectExtent l="0" t="0" r="0" b="0"/>
                      <wp:wrapNone/>
                      <wp:docPr id="117" name="Frame117"/>
                      <a:graphic xmlns:a="http://schemas.openxmlformats.org/drawingml/2006/main">
                        <a:graphicData uri="http://schemas.microsoft.com/office/word/2010/wordprocessingShape">
                          <wps:wsp>
                            <wps:cNvSpPr txBox="1"/>
                            <wps:spPr>
                              <a:xfrm>
                                <a:off x="0" y="0"/>
                                <a:ext cx="3926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91185" cy="175260"/>
                      <wp:effectExtent l="0" t="0" r="0" b="0"/>
                      <wp:wrapNone/>
                      <wp:docPr id="119" name="Frame1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0970" cy="175260"/>
                      <wp:effectExtent l="0" t="0" r="0" b="0"/>
                      <wp:wrapNone/>
                      <wp:docPr id="121" name="Frame12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83540" cy="175260"/>
                      <wp:effectExtent l="0" t="0" r="0" b="0"/>
                      <wp:wrapNone/>
                      <wp:docPr id="122" name="Frame122"/>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816610" cy="175260"/>
                      <wp:effectExtent l="0" t="0" r="0" b="0"/>
                      <wp:wrapNone/>
                      <wp:docPr id="124" name="Frame124"/>
                      <a:graphic xmlns:a="http://schemas.openxmlformats.org/drawingml/2006/main">
                        <a:graphicData uri="http://schemas.microsoft.com/office/word/2010/wordprocessingShape">
                          <wps:wsp>
                            <wps:cNvSpPr txBox="1"/>
                            <wps:spPr>
                              <a:xfrm>
                                <a:off x="0" y="0"/>
                                <a:ext cx="81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61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61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61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61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61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7,540,109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1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40,400</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r>
        <w:trPr/>
        <w:tc>
          <w:tcPr>
            <w:tcW w:w="61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pPr>
            <w:r>
              <w:rPr/>
              <w:t>​</w:t>
            </w:r>
          </w:p>
        </w:tc>
      </w:tr>
      <w:tr>
        <w:trPr/>
        <w:tc>
          <w:tcPr>
            <w:tcW w:w="61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Canceled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(81,381)</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39.24</w:t>
            </w:r>
          </w:p>
        </w:tc>
        <w:tc>
          <w:tcPr>
            <w:tcW w:w="326" w:type="dxa"/>
            <w:tcBorders/>
            <w:vAlign w:val="center"/>
          </w:tcPr>
          <w:p>
            <w:pPr>
              <w:pStyle w:val="TableContents"/>
              <w:bidi w:val="0"/>
              <w:spacing w:before="0" w:after="0"/>
              <w:ind w:left="0" w:right="0" w:hanging="0"/>
              <w:jc w:val="left"/>
              <w:rPr/>
            </w:pPr>
            <w:r>
              <w:rPr/>
              <w:t>​</w:t>
            </w:r>
          </w:p>
        </w:tc>
        <w:tc>
          <w:tcPr>
            <w:tcW w:w="12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7,498,748</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1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March 31, 2025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7,400,964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618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4,233,279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c>
          <w:tcPr>
            <w:tcW w:w="326" w:type="dxa"/>
            <w:tcBorders/>
            <w:shd w:fill="CCEEFF" w:val="clear"/>
            <w:vAlign w:val="center"/>
          </w:tcPr>
          <w:p>
            <w:pPr>
              <w:pStyle w:val="TableContents"/>
              <w:bidi w:val="0"/>
              <w:spacing w:before="0" w:after="0"/>
              <w:ind w:left="0" w:right="0" w:hanging="0"/>
              <w:jc w:val="left"/>
              <w:rPr/>
            </w:pPr>
            <w:r>
              <w:rPr/>
              <w:t>​</w:t>
            </w:r>
          </w:p>
        </w:tc>
        <w:tc>
          <w:tcPr>
            <w:tcW w:w="12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618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Celldex Therapeutics, Inc. 2021 Omnibus Equity Incentive Plan (as amended, effective as of June 13, 2024) at March 31, 2025</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2,413,314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8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months ended March 31, 2025 was $15.66.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March 31, 2025 was $11.7 million. The aggregate intrinsic value of stock options exercisable at March 31, 2025 was $11.7 million. As of March 31, 2025, total compensation cost related to non-vested employee, consultant and non-employee director stock options not yet recognized was approximately $67.1 million, net of estimated forfeitures, which is expected to be recognized as expense over a weighted average period of 2.4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months ended March 31, 2025 and 2024 was recorded as follows:</w:t>
      </w:r>
    </w:p>
    <w:p>
      <w:pPr>
        <w:pStyle w:val="TextBody"/>
        <w:bidi w:val="0"/>
        <w:spacing w:before="0" w:after="0"/>
        <w:ind w:left="0" w:right="0" w:hanging="0"/>
        <w:jc w:val="left"/>
        <w:rPr/>
      </w:pPr>
      <w:r>
        <w:rPr/>
        <w:t>​</w:t>
      </w:r>
    </w:p>
    <w:tbl>
      <w:tblPr>
        <w:tblW w:w="6311" w:type="dxa"/>
        <w:jc w:val="left"/>
        <w:tblInd w:w="0" w:type="dxa"/>
        <w:tblLayout w:type="fixed"/>
        <w:tblCellMar>
          <w:top w:w="0" w:type="dxa"/>
          <w:left w:w="0" w:type="dxa"/>
          <w:bottom w:w="0" w:type="dxa"/>
          <w:right w:w="0" w:type="dxa"/>
        </w:tblCellMar>
      </w:tblPr>
      <w:tblGrid>
        <w:gridCol w:w="3496"/>
        <w:gridCol w:w="326"/>
        <w:gridCol w:w="263"/>
        <w:gridCol w:w="712"/>
        <w:gridCol w:w="407"/>
        <w:gridCol w:w="263"/>
        <w:gridCol w:w="844"/>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219960" cy="175260"/>
                      <wp:effectExtent l="0" t="0" r="0" b="0"/>
                      <wp:wrapNone/>
                      <wp:docPr id="125" name="Frame125"/>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67005" cy="175260"/>
                      <wp:effectExtent l="0" t="0" r="0" b="0"/>
                      <wp:wrapNone/>
                      <wp:docPr id="127" name="Frame12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52120" cy="175260"/>
                      <wp:effectExtent l="0" t="0" r="0" b="0"/>
                      <wp:wrapNone/>
                      <wp:docPr id="128" name="Frame128"/>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58445" cy="175260"/>
                      <wp:effectExtent l="0" t="0" r="0" b="0"/>
                      <wp:wrapNone/>
                      <wp:docPr id="129" name="Frame12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67005" cy="175260"/>
                      <wp:effectExtent l="0" t="0" r="0" b="0"/>
                      <wp:wrapNone/>
                      <wp:docPr id="130" name="Frame13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35940" cy="175260"/>
                      <wp:effectExtent l="0" t="0" r="0" b="0"/>
                      <wp:wrapNone/>
                      <wp:docPr id="131" name="Frame13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7" w:type="dxa"/>
            <w:tcBorders/>
            <w:vAlign w:val="center"/>
          </w:tcPr>
          <w:p>
            <w:pPr>
              <w:pStyle w:val="TableContents"/>
              <w:bidi w:val="0"/>
              <w:spacing w:before="0" w:after="0"/>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1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w:t>
            </w:r>
          </w:p>
        </w:tc>
        <w:tc>
          <w:tcPr>
            <w:tcW w:w="407"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w:t>
            </w:r>
          </w:p>
        </w:tc>
        <w:tc>
          <w:tcPr>
            <w:tcW w:w="407"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407"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7,202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bookmarkStart w:id="648" w:name="Tc_Wx1TeHZy_EaE84AZOHcVXw_6_0"/>
      <w:bookmarkStart w:id="649" w:name="Tc_8kJrJ9LQRUWm-TZRrB-TZg_5_4"/>
      <w:bookmarkStart w:id="650" w:name="Tc_UzUvbdREfk-tGd6wSycsiQ_5_2"/>
      <w:bookmarkStart w:id="651" w:name="Tc_PNdqQwcDxUyRCVPGaIWmGQ_5_0"/>
      <w:bookmarkStart w:id="652" w:name="Tc_GHwPx2f6Q0WUa2Ni8OaaUA_4_4"/>
      <w:bookmarkStart w:id="653" w:name="Tc_EfdQ4wq0HkO3tFXVRlXICQ_4_2"/>
      <w:bookmarkStart w:id="654" w:name="Tc_7B1ZVcvBvUW4G2TL-AYnbw_4_0"/>
      <w:bookmarkStart w:id="655" w:name="Tc_ze0j3hFJ-E6Ci-SH17dLBw_3_2"/>
      <w:bookmarkStart w:id="656" w:name="Tc_uATLAyeJX0SEWV6sZJnpLw_3_0"/>
      <w:bookmarkStart w:id="657" w:name="Tc_p-F7T4S4HEyJAhpse9kgLg_2_4"/>
      <w:bookmarkStart w:id="658" w:name="Tc_Q1Al8OhfJkmVhtulCaCkHw_2_2"/>
      <w:bookmarkStart w:id="659" w:name="Tc_ZA7LhgnnPkifTfxzcnox8g_1_2"/>
      <w:bookmarkEnd w:id="648"/>
      <w:bookmarkEnd w:id="649"/>
      <w:bookmarkEnd w:id="650"/>
      <w:bookmarkEnd w:id="651"/>
      <w:bookmarkEnd w:id="652"/>
      <w:bookmarkEnd w:id="653"/>
      <w:bookmarkEnd w:id="654"/>
      <w:bookmarkEnd w:id="655"/>
      <w:bookmarkEnd w:id="656"/>
      <w:bookmarkEnd w:id="657"/>
      <w:bookmarkEnd w:id="658"/>
      <w:bookmarkEnd w:id="659"/>
      <w:r>
        <w:rPr>
          <w:rFonts w:ascii="Times New Roman;Times;serif" w:hAnsi="Times New Roman;Times;serif"/>
          <w:sz w:val="20"/>
        </w:rPr>
        <w:t>The fair values of employee, consultant and non-employee director stock options granted during the three months ended March 31, 2025 and 2024 were valued using the Black-Scholes option pricing model with the following assumptions:</w:t>
      </w:r>
    </w:p>
    <w:p>
      <w:pPr>
        <w:pStyle w:val="TextBody"/>
        <w:bidi w:val="0"/>
        <w:spacing w:before="0" w:after="0"/>
        <w:ind w:left="0" w:right="0" w:hanging="0"/>
        <w:jc w:val="left"/>
        <w:rPr/>
      </w:pPr>
      <w:r>
        <w:rPr/>
        <w:t>​</w:t>
      </w:r>
    </w:p>
    <w:tbl>
      <w:tblPr>
        <w:tblW w:w="5442" w:type="dxa"/>
        <w:jc w:val="left"/>
        <w:tblInd w:w="0" w:type="dxa"/>
        <w:tblLayout w:type="fixed"/>
        <w:tblCellMar>
          <w:top w:w="0" w:type="dxa"/>
          <w:left w:w="0" w:type="dxa"/>
          <w:bottom w:w="0" w:type="dxa"/>
          <w:right w:w="0" w:type="dxa"/>
        </w:tblCellMar>
      </w:tblPr>
      <w:tblGrid>
        <w:gridCol w:w="2626"/>
        <w:gridCol w:w="326"/>
        <w:gridCol w:w="1067"/>
        <w:gridCol w:w="356"/>
        <w:gridCol w:w="1067"/>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67510" cy="175260"/>
                      <wp:effectExtent l="0" t="0" r="0" b="0"/>
                      <wp:wrapNone/>
                      <wp:docPr id="132" name="Frame132"/>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77545" cy="175260"/>
                      <wp:effectExtent l="0" t="0" r="0" b="0"/>
                      <wp:wrapNone/>
                      <wp:docPr id="134" name="Frame134"/>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26060" cy="175260"/>
                      <wp:effectExtent l="0" t="0" r="0" b="0"/>
                      <wp:wrapNone/>
                      <wp:docPr id="135" name="Frame13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77545" cy="175260"/>
                      <wp:effectExtent l="0" t="0" r="0" b="0"/>
                      <wp:wrapNone/>
                      <wp:docPr id="136" name="Frame136"/>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6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6" w:type="dxa"/>
            <w:tcBorders/>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 – 81%</w:t>
            </w:r>
          </w:p>
        </w:tc>
        <w:tc>
          <w:tcPr>
            <w:tcW w:w="356"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option term</w:t>
            </w:r>
          </w:p>
        </w:tc>
        <w:tc>
          <w:tcPr>
            <w:tcW w:w="326"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5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 – 4.7%</w:t>
            </w:r>
          </w:p>
        </w:tc>
        <w:tc>
          <w:tcPr>
            <w:tcW w:w="356"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4.0 - 4.3%</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10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5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60" w:name="Tc_N_eFvqs8nkGO98v5bL4muQ_8_8"/>
      <w:bookmarkStart w:id="661" w:name="Tc_M5u6VKTxCkmI1biCpCFVdA_8_5"/>
      <w:bookmarkStart w:id="662" w:name="Tc_HhDw92eK4E2kLCxUScIx1w_8_2"/>
      <w:bookmarkStart w:id="663" w:name="Tc_M8_Pd6_md06GQqQvPzbM6w_8_0"/>
      <w:bookmarkStart w:id="664" w:name="Tc_sf1ZnjaU1Um7DhKCMNRYTA_7_0"/>
      <w:bookmarkStart w:id="665" w:name="Tc_7GJ5yiDe_UyhnvXEJN2-cg_6_8"/>
      <w:bookmarkStart w:id="666" w:name="Tc_B4WKzkEj4kCKwKzdlJ6wbQ_6_5"/>
      <w:bookmarkStart w:id="667" w:name="Tc_2P9t0KWf70-8tfcSXXAHoA_6_2"/>
      <w:bookmarkStart w:id="668" w:name="Tc_I-JEs-G9rUug9XqKFzlK_w_6_0"/>
      <w:bookmarkStart w:id="669" w:name="Tc__cgtUiZ9nkaqaSln2Ab5Ow_5_2"/>
      <w:bookmarkStart w:id="670" w:name="Tc_Ti4QqjgiaUCtw-GY2eRIfA_4_8"/>
      <w:bookmarkStart w:id="671" w:name="Tc_wRao5XryNU6cHrvALdHm9w_4_5"/>
      <w:bookmarkStart w:id="672" w:name="Tc_9gcLbAwwWkiiiAXEDi9G7Q_4_2"/>
      <w:bookmarkStart w:id="673" w:name="Tc_jwU2VkxX2kOiesbskpn7qQ_3_5"/>
      <w:bookmarkStart w:id="674" w:name="Tc_bj0cRm1o_EGSdeD2-Y6Rxg_3_2"/>
      <w:bookmarkStart w:id="675" w:name="Tc_mZ6_FlEuTkOUo_Z30UePBA_2_2"/>
      <w:bookmarkStart w:id="676" w:name="Tc_X7yAW1eQ8022QcB562D2hw_1_2"/>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Times;serif" w:hAnsi="Times New Roman;Times;serif"/>
          <w:b/>
          <w:sz w:val="20"/>
        </w:rPr>
        <w:t>(11)  Accumulated Other Comprehensive Income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three months ended March 31, 2025 are summarized below:</w:t>
      </w:r>
    </w:p>
    <w:p>
      <w:pPr>
        <w:pStyle w:val="TextBody"/>
        <w:bidi w:val="0"/>
        <w:spacing w:before="0" w:after="0"/>
        <w:ind w:left="0" w:right="0" w:hanging="0"/>
        <w:jc w:val="left"/>
        <w:rPr/>
      </w:pPr>
      <w:r>
        <w:rPr/>
        <w:t>​</w:t>
      </w:r>
    </w:p>
    <w:tbl>
      <w:tblPr>
        <w:tblW w:w="6862" w:type="dxa"/>
        <w:jc w:val="left"/>
        <w:tblInd w:w="0" w:type="dxa"/>
        <w:tblLayout w:type="fixed"/>
        <w:tblCellMar>
          <w:top w:w="0" w:type="dxa"/>
          <w:left w:w="0" w:type="dxa"/>
          <w:bottom w:w="0" w:type="dxa"/>
          <w:right w:w="0" w:type="dxa"/>
        </w:tblCellMar>
      </w:tblPr>
      <w:tblGrid>
        <w:gridCol w:w="2596"/>
        <w:gridCol w:w="326"/>
        <w:gridCol w:w="389"/>
        <w:gridCol w:w="781"/>
        <w:gridCol w:w="326"/>
        <w:gridCol w:w="332"/>
        <w:gridCol w:w="899"/>
        <w:gridCol w:w="326"/>
        <w:gridCol w:w="211"/>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48460" cy="175260"/>
                      <wp:effectExtent l="0" t="0" r="0" b="0"/>
                      <wp:wrapNone/>
                      <wp:docPr id="137" name="Frame13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7015" cy="175260"/>
                      <wp:effectExtent l="0" t="0" r="0" b="0"/>
                      <wp:wrapNone/>
                      <wp:docPr id="139" name="Frame13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5935" cy="175260"/>
                      <wp:effectExtent l="0" t="0" r="0" b="0"/>
                      <wp:wrapNone/>
                      <wp:docPr id="140"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0820" cy="175260"/>
                      <wp:effectExtent l="0" t="0" r="0" b="0"/>
                      <wp:wrapNone/>
                      <wp:docPr id="142" name="Frame14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70865" cy="175260"/>
                      <wp:effectExtent l="0" t="0" r="0" b="0"/>
                      <wp:wrapNone/>
                      <wp:docPr id="143" name="Frame14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862"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0"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three months ended March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$0.6 million and $0.2 million in revenue under the agreements with Rockefeller during the three months ended March 31, 2025, and 2024,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March 31, 2025 and December 31, 2024, the Company’s right to consideration under all contracts was considered unconditional, and as such, there were no recorded contract assets. At March 31, 2025, the Company had $0.7 million of contract liabilities recorded, which is expected to be recognized during the next 12 months as manufacturing and research and development services are performed. At December 31, 2024, the Company had no material contract liabilities recorded.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2025 and December 31,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March 31, 2025 and December 31, 2024 relates to the temporary differences associated with the IPR&amp;D intangible assets acquired in previous business combinations and is not deductible for tax purposes.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7" w:name="Tc_kb-kkTqo-0q1dZboSp3pYQ_4_4"/>
      <w:bookmarkStart w:id="678" w:name="Tc_s4NbtXUwfUq_xoX-o9Z6rw_4_2"/>
      <w:bookmarkStart w:id="679" w:name="Tc_Qo9EJOr45UytkWN0yKdnnA_4_0"/>
      <w:bookmarkStart w:id="680" w:name="Tc_oiTwH4O52UKfOb0b2DDmlw_3_0"/>
      <w:bookmarkStart w:id="681" w:name="Tc_htMaNzj8e0ye8ZspjAWXXg_2_4"/>
      <w:bookmarkStart w:id="682" w:name="Tc_hSW8UcY-q06zk5NzUR5CQw_2_2"/>
      <w:bookmarkStart w:id="683" w:name="Tc_vcADEWVJvku-74AawShWuQ_1_2"/>
      <w:bookmarkEnd w:id="677"/>
      <w:bookmarkEnd w:id="678"/>
      <w:bookmarkEnd w:id="679"/>
      <w:bookmarkEnd w:id="680"/>
      <w:bookmarkEnd w:id="681"/>
      <w:bookmarkEnd w:id="682"/>
      <w:bookmarkEnd w:id="683"/>
      <w:r>
        <w:rPr>
          <w:rFonts w:ascii="Times New Roman;Times;serif" w:hAnsi="Times New Roman;Times;serif"/>
          <w:b/>
          <w:sz w:val="20"/>
        </w:rPr>
        <w:t>(14)  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272" w:type="dxa"/>
        <w:jc w:val="left"/>
        <w:tblInd w:w="0" w:type="dxa"/>
        <w:tblLayout w:type="fixed"/>
        <w:tblCellMar>
          <w:top w:w="0" w:type="dxa"/>
          <w:left w:w="0" w:type="dxa"/>
          <w:bottom w:w="0" w:type="dxa"/>
          <w:right w:w="0" w:type="dxa"/>
        </w:tblCellMar>
      </w:tblPr>
      <w:tblGrid>
        <w:gridCol w:w="1456"/>
        <w:gridCol w:w="326"/>
        <w:gridCol w:w="1011"/>
        <w:gridCol w:w="354"/>
        <w:gridCol w:w="1125"/>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24560" cy="175260"/>
                      <wp:effectExtent l="0" t="0" r="0" b="0"/>
                      <wp:wrapNone/>
                      <wp:docPr id="147" name="Frame147"/>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1985" cy="175260"/>
                      <wp:effectExtent l="0" t="0" r="0" b="0"/>
                      <wp:wrapNone/>
                      <wp:docPr id="149" name="Frame149"/>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24790" cy="175260"/>
                      <wp:effectExtent l="0" t="0" r="0" b="0"/>
                      <wp:wrapNone/>
                      <wp:docPr id="150" name="Frame150"/>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14375" cy="175260"/>
                      <wp:effectExtent l="0" t="0" r="0" b="0"/>
                      <wp:wrapNone/>
                      <wp:docPr id="151" name="Frame151"/>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9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4"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bidi w:val="0"/>
              <w:spacing w:before="0" w:after="0"/>
              <w:ind w:left="0" w:right="0" w:hanging="0"/>
              <w:jc w:val="left"/>
              <w:rPr/>
            </w:pPr>
            <w:r>
              <w:rPr/>
              <w:t> </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7,498,748</w:t>
            </w:r>
          </w:p>
        </w:tc>
        <w:tc>
          <w:tcPr>
            <w:tcW w:w="354"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6,158,737</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0"/>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7,498,748</w:t>
            </w:r>
          </w:p>
        </w:tc>
        <w:tc>
          <w:tcPr>
            <w:tcW w:w="354" w:type="dxa"/>
            <w:tcBorders/>
            <w:shd w:fill="CCEEFF" w:val="clear"/>
            <w:vAlign w:val="center"/>
          </w:tcPr>
          <w:p>
            <w:pPr>
              <w:pStyle w:val="TableContents"/>
              <w:bidi w:val="0"/>
              <w:spacing w:before="0" w:after="0"/>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6,158,737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Kolltan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15, 2022, the Company entered into a definitive settlement agreement between the Company and SRS (the “Settlement Agreement”) and the Company and SRS jointly filed a Stipulation of Dismissal with prejudice relating to the Litigation on July 19,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Settlement Agreement, all milestone payments provided for by the Merger Agreement were replaced in their entirety with the following payments, each of which is payable only once:</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$12.5</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Settlement Agreement) of a Phase 2 Clinical Trial (as defined in the Merger Agreement) of barzolvolimab.</w:t>
            </w:r>
          </w:p>
        </w:tc>
      </w:tr>
    </w:tbl>
    <w:tbl>
      <w:tblPr>
        <w:tblW w:w="10205" w:type="dxa"/>
        <w:jc w:val="left"/>
        <w:tblInd w:w="0" w:type="dxa"/>
        <w:tblLayout w:type="fixed"/>
        <w:tblCellMar>
          <w:top w:w="28" w:type="dxa"/>
          <w:left w:w="28" w:type="dxa"/>
          <w:bottom w:w="28" w:type="dxa"/>
          <w:right w:w="28" w:type="dxa"/>
        </w:tblCellMar>
      </w:tblPr>
      <w:tblGrid>
        <w:gridCol w:w="124"/>
        <w:gridCol w:w="370"/>
        <w:gridCol w:w="9711"/>
      </w:tblGrid>
      <w:tr>
        <w:trPr/>
        <w:tc>
          <w:tcPr>
            <w:tcW w:w="124" w:type="dxa"/>
            <w:tcBorders/>
            <w:vAlign w:val="center"/>
          </w:tcPr>
          <w:p>
            <w:pPr>
              <w:pStyle w:val="TableContents"/>
              <w:bidi w:val="0"/>
              <w:spacing w:before="0" w:after="283"/>
              <w:jc w:val="left"/>
              <w:rPr>
                <w:sz w:val="4"/>
                <w:szCs w:val="4"/>
              </w:rPr>
            </w:pPr>
            <w:r>
              <w:rPr>
                <w:sz w:val="4"/>
                <w:szCs w:val="4"/>
              </w:rPr>
            </w:r>
          </w:p>
        </w:tc>
        <w:tc>
          <w:tcPr>
            <w:tcW w:w="3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in the Settlement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in July 2022. The Company paid the second milestone for “successful completion” of a Phase 2 Clinical Trial of barzolvolimab in cash in November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4" w:name="Item2ManagementsDiscussionandAnalysisofF"/>
      <w:bookmarkStart w:id="685" w:name="_1d64f865_c46d_4648_b18e_c271c29469c4"/>
      <w:bookmarkEnd w:id="684"/>
      <w:bookmarkEnd w:id="685"/>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development stages;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the regulatory approval milestone under the merger agreement by which we acquired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2024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Urticarias: We initiated Phase 3 studies in chronic spontaneous urticaria (CSU) in July 2024.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treatment—demonstrating sustained and deepening disease efficacy and a well tolerated long term safety profile.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April 2024, we initiated a Phase 2 study in PN and enrollment is ongoing; positive data from a Phase 1b study in PN was reported in November 2023;</w:t>
            </w:r>
          </w:p>
        </w:tc>
      </w:tr>
    </w:tbl>
    <w:tbl>
      <w:tblPr>
        <w:tblW w:w="9216" w:type="dxa"/>
        <w:jc w:val="left"/>
        <w:tblInd w:w="0" w:type="dxa"/>
        <w:tblLayout w:type="fixed"/>
        <w:tblCellMar>
          <w:top w:w="28" w:type="dxa"/>
          <w:left w:w="28" w:type="dxa"/>
          <w:bottom w:w="28" w:type="dxa"/>
          <w:right w:w="28" w:type="dxa"/>
        </w:tblCellMar>
      </w:tblPr>
      <w:tblGrid>
        <w:gridCol w:w="124"/>
        <w:gridCol w:w="16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Eosinophilic Esophagitis (EoE): A Phase 2 study in EoE was initiated in June 2023 and is fully accrued;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081" w:type="dxa"/>
        <w:jc w:val="left"/>
        <w:tblInd w:w="0" w:type="dxa"/>
        <w:tblLayout w:type="fixed"/>
        <w:tblCellMar>
          <w:top w:w="28" w:type="dxa"/>
          <w:left w:w="28" w:type="dxa"/>
          <w:bottom w:w="28" w:type="dxa"/>
          <w:right w:w="28" w:type="dxa"/>
        </w:tblCellMar>
      </w:tblPr>
      <w:tblGrid>
        <w:gridCol w:w="124"/>
        <w:gridCol w:w="16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Atopic Dermatitis (AD): A Phase 2 study in AD was initiated in December 2024 and enrollment is ongoing.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is ongoing.</w:t>
            </w:r>
          </w:p>
        </w:tc>
      </w:tr>
    </w:tbl>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More detail on these programs is provided in the Clinical Development Programs section.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tbl>
      <w:tblPr>
        <w:tblW w:w="2533" w:type="dxa"/>
        <w:jc w:val="left"/>
        <w:tblInd w:w="0" w:type="dxa"/>
        <w:tblLayout w:type="fixed"/>
        <w:tblCellMar>
          <w:top w:w="0" w:type="dxa"/>
          <w:left w:w="0" w:type="dxa"/>
          <w:bottom w:w="0" w:type="dxa"/>
          <w:right w:w="0" w:type="dxa"/>
        </w:tblCellMar>
      </w:tblPr>
      <w:tblGrid>
        <w:gridCol w:w="1141"/>
        <w:gridCol w:w="326"/>
        <w:gridCol w:w="106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24535" cy="175260"/>
                      <wp:effectExtent l="0" t="0" r="0" b="0"/>
                      <wp:wrapNone/>
                      <wp:docPr id="152" name="Frame1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76910" cy="175260"/>
                      <wp:effectExtent l="0" t="0" r="0" b="0"/>
                      <wp:wrapNone/>
                      <wp:docPr id="154" name="Frame15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2024, we incurred an aggregate of $459.7 million in research and development expenses. The following table indicates the amount incurred for each of our significant research programs and for other identified research and development activities during the three months ended March 31, 2025 and 2024. The amounts disclosed in the following table reflect direct research and development costs and an allocation of indirect research and development costs to each program.</w:t>
      </w:r>
    </w:p>
    <w:tbl>
      <w:tblPr>
        <w:tblW w:w="6070" w:type="dxa"/>
        <w:jc w:val="left"/>
        <w:tblInd w:w="0" w:type="dxa"/>
        <w:tblLayout w:type="fixed"/>
        <w:tblCellMar>
          <w:top w:w="0" w:type="dxa"/>
          <w:left w:w="0" w:type="dxa"/>
          <w:bottom w:w="0" w:type="dxa"/>
          <w:right w:w="0" w:type="dxa"/>
        </w:tblCellMar>
      </w:tblPr>
      <w:tblGrid>
        <w:gridCol w:w="2851"/>
        <w:gridCol w:w="326"/>
        <w:gridCol w:w="299"/>
        <w:gridCol w:w="962"/>
        <w:gridCol w:w="326"/>
        <w:gridCol w:w="277"/>
        <w:gridCol w:w="1029"/>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10385" cy="175260"/>
                      <wp:effectExtent l="0" t="0" r="0" b="0"/>
                      <wp:wrapNone/>
                      <wp:docPr id="155" name="Frame155"/>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9865" cy="175260"/>
                      <wp:effectExtent l="0" t="0" r="0" b="0"/>
                      <wp:wrapNone/>
                      <wp:docPr id="157" name="Frame15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10870" cy="175260"/>
                      <wp:effectExtent l="0" t="0" r="0" b="0"/>
                      <wp:wrapNone/>
                      <wp:docPr id="158" name="Frame158"/>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75895" cy="175260"/>
                      <wp:effectExtent l="0" t="0" r="0" b="0"/>
                      <wp:wrapNone/>
                      <wp:docPr id="160" name="Frame16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53415" cy="175260"/>
                      <wp:effectExtent l="0" t="0" r="0" b="0"/>
                      <wp:wrapNone/>
                      <wp:docPr id="161" name="Frame161"/>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607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622</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5,451</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31,661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initially studied in chronic spontaneous urticaria (CSU) and chronic inducible urticaria (CIndU), diseases where mast cell degranulation plays a central role in the onset and progression of the disease. In July 2024, we initiated two Phase 3 studies in CSU. Phase 1 studies in CSU and CIndU were successfully completed and Phase 2 studies are ongoing.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We plan to present follow up data from this study through week 76 in 2025. In April 2024, we announced enrollment was complete in the ongoing Phase 2 CIndU study. In July 2024, we announced that our Phase 2 study in chronic inducible urticaria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We plan to present data from this study through week 44 in 2025. Patients with resumption of symptoms were eligible to enroll into an open label extension.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Based on the positive results reported in urticaria, we expanded development of barzolvolimab into additional indications where mast cells are believed to play an important role. We are conducting ongoing Phase 2 studies in eosinophilic esophagitis (EoE), prurigo nodularis (PN) and atopic dermatitis (AD). We continue to assess potential opportunities for barzolvolimab in other diseases where mast cells play an important role, such as dermatologic, respiratory, allergic, gastrointestinal and ophthalmic conditions.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Chronic Spontaneous Urticaria (CSU) Summary of Phase 1 and Phase 2 Data Presented to Date; 76 week Phase 2 follow up data to be presented in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684" w:type="dxa"/>
        <w:jc w:val="left"/>
        <w:tblInd w:w="0" w:type="dxa"/>
        <w:tblLayout w:type="fixed"/>
        <w:tblCellMar>
          <w:top w:w="0" w:type="dxa"/>
          <w:left w:w="0" w:type="dxa"/>
          <w:bottom w:w="0" w:type="dxa"/>
          <w:right w:w="0" w:type="dxa"/>
        </w:tblCellMar>
      </w:tblPr>
      <w:tblGrid>
        <w:gridCol w:w="3991"/>
        <w:gridCol w:w="1216"/>
        <w:gridCol w:w="1216"/>
        <w:gridCol w:w="126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534285" cy="175260"/>
                      <wp:effectExtent l="0" t="0" r="0" b="0"/>
                      <wp:wrapNone/>
                      <wp:docPr id="162" name="Frame162"/>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72160" cy="29210"/>
                      <wp:effectExtent l="0" t="0" r="0" b="0"/>
                      <wp:wrapNone/>
                      <wp:docPr id="163" name="Frame163"/>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72160" cy="29210"/>
                      <wp:effectExtent l="0" t="0" r="0" b="0"/>
                      <wp:wrapNone/>
                      <wp:docPr id="164" name="Frame164"/>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00735" cy="29210"/>
                      <wp:effectExtent l="0" t="0" r="0" b="0"/>
                      <wp:wrapNone/>
                      <wp:docPr id="165" name="Frame165"/>
                      <a:graphic xmlns:a="http://schemas.openxmlformats.org/drawingml/2006/main">
                        <a:graphicData uri="http://schemas.microsoft.com/office/word/2010/wordprocessingShape">
                          <wps:wsp>
                            <wps:cNvSpPr txBox="1"/>
                            <wps:spPr>
                              <a:xfrm>
                                <a:off x="0" y="0"/>
                                <a:ext cx="800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84"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2" w:before="0" w:after="0"/>
              <w:ind w:left="0" w:right="0" w:hanging="0"/>
              <w:jc w:val="center"/>
              <w:rPr>
                <w:rFonts w:ascii="Times New Roman;Times;serif" w:hAnsi="Times New Roman;Times;serif"/>
                <w:b/>
                <w:sz w:val="20"/>
              </w:rPr>
            </w:pPr>
            <w:r>
              <w:rPr>
                <w:rFonts w:ascii="Times New Roman;Times;serif" w:hAnsi="Times New Roman;Times;serif"/>
                <w:b/>
                <w:sz w:val="20"/>
              </w:rPr>
              <w:t>Phase 1 CSU: Summary of Clinical Activity Assessments at Week 12 &amp; 24</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pPr>
            <w:r>
              <w:rPr/>
              <w:t>​</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4.5 mg/kg Q8</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3.0 mg/kg Q8</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1.5 mg/kg Q4</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82% (n=9)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(n=9)</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 (n=8)</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Mean Reduction Baseline UAS7;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77% (n=7)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70% (n=6)</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80% (n=7)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UAS7=0 (Complete Control);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UAS7≤6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399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12</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89%</w:t>
            </w:r>
          </w:p>
        </w:tc>
        <w:tc>
          <w:tcPr>
            <w:tcW w:w="12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63%</w:t>
            </w:r>
          </w:p>
        </w:tc>
        <w:tc>
          <w:tcPr>
            <w:tcW w:w="126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399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left"/>
              <w:rPr>
                <w:rFonts w:ascii="Times New Roman;Times;serif" w:hAnsi="Times New Roman;Times;serif"/>
                <w:sz w:val="20"/>
              </w:rPr>
            </w:pPr>
            <w:r>
              <w:rPr>
                <w:rFonts w:ascii="Times New Roman;Times;serif" w:hAnsi="Times New Roman;Times;serif"/>
                <w:sz w:val="20"/>
              </w:rPr>
              <w:t>UCT ≥ 12 (Well-controlled); % at Week 24</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16"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126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lineRule="auto" w:line="300"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 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Tryptase suppression, indicative of mast cell depletion, paralleled symptom improvement, demonstrating the impact of mast cell depletion on CSU disease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2022, we initiated dosing in a Phase 2 study in patients with CSU who remained symptomatic despite antihistamine therapy; in July 2023, we announced that enrollment was complete.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After 16 weeks, patients then enter a 36-week active treatment period, in which patients receiving placebo or the 75 mg dose are randomized to receive barzolvolimab 150 mg every 4 weeks or 300 mg every 8 weeks; patients already randomized to the 150 mg and 300 mg treatment arms remain on the same regimen as during the placebo-controlled treatment period. After 52 weeks, patients then enter a follow-up period for an additional 24 weeks. The primary endpoint of the study is mean change in baseline to week 12 in UAS7 (weekly urticaria activity score). Secondary endpoints include safety and other assessments of clinical activity including ISS7 (weekly itch severity score), HSS7 (weekly hive severity score) and AAS7 (weekly angioedema activity score).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tbl>
      <w:tblPr>
        <w:tblW w:w="10205" w:type="dxa"/>
        <w:jc w:val="left"/>
        <w:tblInd w:w="0" w:type="dxa"/>
        <w:tblLayout w:type="fixed"/>
        <w:tblCellMar>
          <w:top w:w="28" w:type="dxa"/>
          <w:left w:w="28" w:type="dxa"/>
          <w:bottom w:w="28" w:type="dxa"/>
          <w:right w:w="28" w:type="dxa"/>
        </w:tblCellMar>
      </w:tblPr>
      <w:tblGrid>
        <w:gridCol w:w="5008"/>
        <w:gridCol w:w="1494"/>
        <w:gridCol w:w="1452"/>
        <w:gridCol w:w="1452"/>
        <w:gridCol w:w="799"/>
      </w:tblGrid>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Phase 2 CSU: Summary of Clinical Activity Assessments at Week 12</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 mg Q8W</w:t>
              <w:br/>
              <w:t>(n=51)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 mg Q4W</w:t>
              <w:br/>
              <w:t>(n=52)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75 mg Q4W</w:t>
              <w:br/>
              <w:t>(n=53)</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Placebo</w:t>
              <w:br/>
              <w:t>(n=51)</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UAS7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UAS7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31.33</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30.30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30.09</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-23.87</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-23.02</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-17.06</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-10.47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-13.41</w:t>
              <w:br/>
              <w:t>(CI: -17.47, -9.34)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-12.55</w:t>
              <w:br/>
              <w:t>(CI:-16.56, -8.55)</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-6.60</w:t>
              <w:br/>
              <w:t>(CI:-10.71, -2.49)</w:t>
              <w:br/>
              <w:t>p=0.0017</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HSS7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HSS7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14.92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15.05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14.86</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14.47</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-11.19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-4.95</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-7.24</w:t>
              <w:br/>
              <w:t>(CI:-9.36, -5.12)</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-6.24</w:t>
              <w:br/>
              <w:t>(CI:-8.33, -4.16),</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-3.31</w:t>
              <w:br/>
              <w:t>(CI:-5.40, -1.22),</w:t>
              <w:br/>
              <w:t>p=0.0020</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ISS7 Changes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Baseline ISS7 (mean)</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16.42</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15.70</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15.44</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15.61</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change at Week 12</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-11.79</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-11.68</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-8.62</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-5.47</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LS Mean difference from placebo (Confidence Interval, p value)</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-6.32</w:t>
              <w:br/>
              <w:t>(CI: -8.50, -4.13),</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-6.21</w:t>
              <w:br/>
              <w:t>(CI: -8.38, -4.04),</w:t>
              <w:br/>
            </w:r>
            <w:r>
              <w:rPr>
                <w:rFonts w:ascii="Times New Roman;Times;serif" w:hAnsi="Times New Roman;Times;serif"/>
                <w:b/>
                <w:sz w:val="20"/>
              </w:rPr>
              <w:t>p&lt;0.0001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-3.16</w:t>
              <w:br/>
              <w:t>(CI: -5.41, -0.91),</w:t>
              <w:br/>
              <w:t>p=0.0061</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pPr>
            <w:r>
              <w:rPr/>
              <w:t>​</w:t>
            </w:r>
          </w:p>
        </w:tc>
      </w:tr>
      <w:tr>
        <w:trPr/>
        <w:tc>
          <w:tcPr>
            <w:tcW w:w="10205"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Responder Analyses/Clinical Responses</w:t>
            </w:r>
          </w:p>
        </w:tc>
      </w:tr>
      <w:tr>
        <w:trPr/>
        <w:tc>
          <w:tcPr>
            <w:tcW w:w="5008"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UAS7=0 (Complete Control)</w:t>
            </w:r>
          </w:p>
        </w:tc>
        <w:tc>
          <w:tcPr>
            <w:tcW w:w="1494"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51.1%</w:t>
            </w:r>
          </w:p>
        </w:tc>
        <w:tc>
          <w:tcPr>
            <w:tcW w:w="1452"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22.9%</w:t>
            </w:r>
          </w:p>
        </w:tc>
        <w:tc>
          <w:tcPr>
            <w:tcW w:w="79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6.4%</w:t>
            </w:r>
          </w:p>
        </w:tc>
      </w:tr>
      <w:tr>
        <w:trPr/>
        <w:tc>
          <w:tcPr>
            <w:tcW w:w="500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UAS7≤6 (Well-controlled)</w:t>
            </w:r>
          </w:p>
        </w:tc>
        <w:tc>
          <w:tcPr>
            <w:tcW w:w="149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62.5%</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59.6%</w:t>
            </w:r>
          </w:p>
        </w:tc>
        <w:tc>
          <w:tcPr>
            <w:tcW w:w="145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41.7%</w:t>
            </w:r>
          </w:p>
        </w:tc>
        <w:tc>
          <w:tcPr>
            <w:tcW w:w="79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12.8%</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UAS7, HSS7 and ISS7 data were analyzed using ANCOVA model and multiple imputation.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2024,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on study continued to receive barzolvolimab for up to 52 weeks. Long term treatment data were presented in September at the European Academy of Dermatology &amp; Venereology (EADV) Congress 2024 and quality of life data were presented in March at the American Academy of Allergy, Asthma &amp; Immunology (AAAAI) Annual Meeting 2025. The data demonstrated a sustained and deepening disease efficacy, a well tolerated safety profile, greatly improved urticaria control and reduced disease impact on quality of life over a 52 week treatment period. Key highlighted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UAS7 (weekly urticaria activity score), previously shown to be statistically significantly vs placebo at Week 12, were noted as early as week 1 and were sustained or deepened at Week 52.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16, patients receiving low dose barzolvolimab (75 mg) or placebo were transitioned to barzolvolimab 150 mg or 300 mg; after crossover, these patients experienced similar clinically meaningful disease response as the rest of the study population.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of patients treated with barzolvolimab 150 mg Q4W and 52% of patients treated with 300 mg Q8W had a complete response (no itch/hives; UAS7=0) at Week 52. These responses were observed early and sustained through 52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of patients treated with barzolvolimab 150 mg Q4W and 68% of patients treated with 300 mg Q8W had well controlled (UAS7&lt;6) disease at Week 52.</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robust responses were observed regardless of prior omalizumab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Enrollment is ongoing.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 Summary of Phase 1 and Phase 2 Data Presented to Date; 44 week Phase 2 follow up data to be presented in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Rapid (as early as 1 week) and durable responses were observed in patients as assessed by provocation testing.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Data from this study were reported in Allergy (Nov 2022) and across multiple medical meetings, including the GA²LEN Global Urticaria Forum (GUF) in December and the European Academy of Allergy and Clinical Immunology (EAACI) Annual Congress in June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Secondary endpoints include safety and other assessments of clinical activity including CTT (Critical Temperature Threshold), CFT (Critical Friction Threshold) and WI-NRS (Worst itch numeric rating scale).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reflect poorly controlled disease.</w:t>
      </w:r>
    </w:p>
    <w:tbl>
      <w:tblPr>
        <w:tblW w:w="10205" w:type="dxa"/>
        <w:jc w:val="left"/>
        <w:tblInd w:w="0" w:type="dxa"/>
        <w:tblLayout w:type="fixed"/>
        <w:tblCellMar>
          <w:top w:w="28" w:type="dxa"/>
          <w:left w:w="28" w:type="dxa"/>
          <w:bottom w:w="28" w:type="dxa"/>
          <w:right w:w="28" w:type="dxa"/>
        </w:tblCellMar>
      </w:tblPr>
      <w:tblGrid>
        <w:gridCol w:w="4549"/>
        <w:gridCol w:w="890"/>
        <w:gridCol w:w="890"/>
        <w:gridCol w:w="795"/>
        <w:gridCol w:w="326"/>
        <w:gridCol w:w="905"/>
        <w:gridCol w:w="905"/>
        <w:gridCol w:w="945"/>
      </w:tblGrid>
      <w:tr>
        <w:trPr/>
        <w:tc>
          <w:tcPr>
            <w:tcW w:w="10205" w:type="dxa"/>
            <w:gridSpan w:val="8"/>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Summary of Clinical Assessments at Week 12</w:t>
            </w:r>
          </w:p>
        </w:tc>
      </w:tr>
      <w:tr>
        <w:trPr/>
        <w:tc>
          <w:tcPr>
            <w:tcW w:w="454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2575"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Cold Urticaria</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    </w:t>
            </w:r>
          </w:p>
        </w:tc>
        <w:tc>
          <w:tcPr>
            <w:tcW w:w="2755"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Symptomatic Dermographism</w:t>
            </w:r>
          </w:p>
        </w:tc>
      </w:tr>
      <w:tr>
        <w:trPr/>
        <w:tc>
          <w:tcPr>
            <w:tcW w:w="454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All measurements at </w:t>
              <w:br/>
              <w:t>Week 12</w:t>
            </w:r>
          </w:p>
        </w:tc>
        <w:tc>
          <w:tcPr>
            <w:tcW w:w="89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(n=32)</w:t>
            </w:r>
          </w:p>
        </w:tc>
        <w:tc>
          <w:tcPr>
            <w:tcW w:w="89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(n=32)</w:t>
            </w:r>
          </w:p>
        </w:tc>
        <w:tc>
          <w:tcPr>
            <w:tcW w:w="79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(n=32)</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0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mg</w:t>
              <w:br/>
              <w:t>q4w</w:t>
              <w:br/>
              <w:t>(n=33)</w:t>
            </w:r>
          </w:p>
        </w:tc>
        <w:tc>
          <w:tcPr>
            <w:tcW w:w="90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 mg</w:t>
              <w:br/>
              <w:t>q8w</w:t>
              <w:br/>
              <w:t>(n=33)</w:t>
            </w:r>
          </w:p>
        </w:tc>
        <w:tc>
          <w:tcPr>
            <w:tcW w:w="94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Placebo</w:t>
              <w:br/>
              <w:t>(n=31)</w:t>
            </w:r>
          </w:p>
        </w:tc>
      </w:tr>
      <w:tr>
        <w:trPr/>
        <w:tc>
          <w:tcPr>
            <w:tcW w:w="4549"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Helvetica;sans-serif" w:hAnsi="Helvetica;sans-serif"/>
                <w:sz w:val="22"/>
              </w:rPr>
            </w:pPr>
            <w:r>
              <w:rPr>
                <w:rFonts w:ascii="Times New Roman;Times;serif" w:hAnsi="Times New Roman;Times;serif"/>
                <w:b/>
                <w:sz w:val="22"/>
              </w:rPr>
              <w:t>Primary endpoint:</w:t>
            </w:r>
            <w:r>
              <w:rPr>
                <w:rFonts w:ascii="Times New Roman;Times;serif" w:hAnsi="Times New Roman;Times;serif"/>
                <w:sz w:val="22"/>
              </w:rPr>
              <w:br/>
              <w:t>% of patients with negative provocation test (complete response)</w:t>
            </w:r>
          </w:p>
        </w:tc>
        <w:tc>
          <w:tcPr>
            <w:tcW w:w="8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46.9%</w:t>
              <w:br/>
            </w:r>
            <w:r>
              <w:rPr>
                <w:rFonts w:ascii="Times New Roman;Times;serif" w:hAnsi="Times New Roman;Times;serif"/>
                <w:b/>
                <w:sz w:val="22"/>
              </w:rPr>
              <w:t>p=0.0023</w:t>
            </w:r>
          </w:p>
        </w:tc>
        <w:tc>
          <w:tcPr>
            <w:tcW w:w="8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53.1%</w:t>
              <w:br/>
            </w:r>
            <w:r>
              <w:rPr>
                <w:rFonts w:ascii="Times New Roman;Times;serif" w:hAnsi="Times New Roman;Times;serif"/>
                <w:b/>
                <w:sz w:val="22"/>
              </w:rPr>
              <w:t>p=0.0011</w:t>
            </w:r>
          </w:p>
        </w:tc>
        <w:tc>
          <w:tcPr>
            <w:tcW w:w="7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12.5%</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57.6%</w:t>
              <w:br/>
            </w:r>
            <w:r>
              <w:rPr>
                <w:rFonts w:ascii="Times New Roman;Times;serif" w:hAnsi="Times New Roman;Times;serif"/>
                <w:b/>
                <w:sz w:val="22"/>
              </w:rPr>
              <w:t>p&lt;0.0001</w:t>
            </w:r>
          </w:p>
        </w:tc>
        <w:tc>
          <w:tcPr>
            <w:tcW w:w="9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42.4%</w:t>
              <w:br/>
            </w:r>
            <w:r>
              <w:rPr>
                <w:rFonts w:ascii="Times New Roman;Times;serif" w:hAnsi="Times New Roman;Times;serif"/>
                <w:b/>
                <w:sz w:val="22"/>
              </w:rPr>
              <w:t>p=0.0003</w:t>
            </w:r>
          </w:p>
        </w:tc>
        <w:tc>
          <w:tcPr>
            <w:tcW w:w="9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w:t>
            </w:r>
          </w:p>
        </w:tc>
      </w:tr>
      <w:tr>
        <w:trPr/>
        <w:tc>
          <w:tcPr>
            <w:tcW w:w="454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of patients with complete or partial response per provocation test</w:t>
            </w:r>
          </w:p>
        </w:tc>
        <w:tc>
          <w:tcPr>
            <w:tcW w:w="89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62.5%</w:t>
              <w:br/>
            </w:r>
            <w:r>
              <w:rPr>
                <w:rFonts w:ascii="Times New Roman;Times;serif" w:hAnsi="Times New Roman;Times;serif"/>
                <w:b/>
                <w:sz w:val="22"/>
              </w:rPr>
              <w:t>p=0.0118</w:t>
            </w:r>
          </w:p>
        </w:tc>
        <w:tc>
          <w:tcPr>
            <w:tcW w:w="89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75%</w:t>
              <w:br/>
            </w:r>
            <w:r>
              <w:rPr>
                <w:rFonts w:ascii="Times New Roman;Times;serif" w:hAnsi="Times New Roman;Times;serif"/>
                <w:b/>
                <w:sz w:val="22"/>
              </w:rPr>
              <w:t>p=0.0006</w:t>
            </w:r>
          </w:p>
        </w:tc>
        <w:tc>
          <w:tcPr>
            <w:tcW w:w="79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w:t>
            </w:r>
          </w:p>
        </w:tc>
        <w:tc>
          <w:tcPr>
            <w:tcW w:w="326" w:type="dxa"/>
            <w:tcBorders>
              <w:left w:val="single" w:sz="2" w:space="0" w:color="000000"/>
              <w:right w:val="single" w:sz="2" w:space="0" w:color="000000"/>
            </w:tcBorders>
            <w:shd w:fill="CCEEFF" w:val="clear"/>
            <w:tcMar>
              <w:top w:w="0" w:type="dxa"/>
              <w:bottom w:w="0" w:type="dxa"/>
            </w:tcMar>
            <w:vAlign w:val="center"/>
          </w:tcPr>
          <w:p>
            <w:pPr>
              <w:pStyle w:val="TableContents"/>
              <w:bidi w:val="0"/>
              <w:spacing w:before="0" w:after="283"/>
              <w:ind w:left="0" w:right="0" w:hanging="0"/>
              <w:jc w:val="left"/>
              <w:rPr>
                <w:sz w:val="4"/>
                <w:szCs w:val="4"/>
              </w:rPr>
            </w:pPr>
            <w:r>
              <w:rPr>
                <w:sz w:val="4"/>
                <w:szCs w:val="4"/>
              </w:rPr>
            </w:r>
          </w:p>
        </w:tc>
        <w:tc>
          <w:tcPr>
            <w:tcW w:w="90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66.6%</w:t>
              <w:br/>
            </w:r>
            <w:r>
              <w:rPr>
                <w:rFonts w:ascii="Times New Roman;Times;serif" w:hAnsi="Times New Roman;Times;serif"/>
                <w:b/>
                <w:sz w:val="22"/>
              </w:rPr>
              <w:t>p&lt;0.0001</w:t>
            </w:r>
          </w:p>
        </w:tc>
        <w:tc>
          <w:tcPr>
            <w:tcW w:w="90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57.5%</w:t>
              <w:br/>
            </w:r>
            <w:r>
              <w:rPr>
                <w:rFonts w:ascii="Times New Roman;Times;serif" w:hAnsi="Times New Roman;Times;serif"/>
                <w:b/>
                <w:sz w:val="22"/>
              </w:rPr>
              <w:t>p=0.0002</w:t>
            </w:r>
          </w:p>
        </w:tc>
        <w:tc>
          <w:tcPr>
            <w:tcW w:w="94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12.9%</w:t>
            </w:r>
          </w:p>
        </w:tc>
      </w:tr>
      <w:tr>
        <w:trPr/>
        <w:tc>
          <w:tcPr>
            <w:tcW w:w="4549"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Improvement in Critical Temperature (CTT) and Critical Friction (CFT) Thresholds</w:t>
            </w:r>
          </w:p>
        </w:tc>
        <w:tc>
          <w:tcPr>
            <w:tcW w:w="8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-8.82°C</w:t>
              <w:br/>
            </w:r>
            <w:r>
              <w:rPr>
                <w:rFonts w:ascii="Times New Roman;Times;serif" w:hAnsi="Times New Roman;Times;serif"/>
                <w:b/>
                <w:sz w:val="22"/>
              </w:rPr>
              <w:t>p&lt;0.0001</w:t>
            </w:r>
          </w:p>
        </w:tc>
        <w:tc>
          <w:tcPr>
            <w:tcW w:w="8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-9.61°C</w:t>
              <w:br/>
            </w:r>
            <w:r>
              <w:rPr>
                <w:rFonts w:ascii="Times New Roman;Times;serif" w:hAnsi="Times New Roman;Times;serif"/>
                <w:b/>
                <w:sz w:val="22"/>
              </w:rPr>
              <w:t>p&lt;0.0001</w:t>
            </w:r>
          </w:p>
        </w:tc>
        <w:tc>
          <w:tcPr>
            <w:tcW w:w="7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-0.30°C</w:t>
            </w:r>
          </w:p>
        </w:tc>
        <w:tc>
          <w:tcPr>
            <w:tcW w:w="326"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left"/>
              <w:rPr/>
            </w:pPr>
            <w:r>
              <w:rPr/>
              <w:t>​</w:t>
            </w:r>
          </w:p>
        </w:tc>
        <w:tc>
          <w:tcPr>
            <w:tcW w:w="9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-2.46 pins</w:t>
              <w:br/>
            </w:r>
            <w:r>
              <w:rPr>
                <w:rFonts w:ascii="Times New Roman;Times;serif" w:hAnsi="Times New Roman;Times;serif"/>
                <w:b/>
                <w:sz w:val="22"/>
              </w:rPr>
              <w:t>p&lt;0.0001</w:t>
            </w:r>
          </w:p>
        </w:tc>
        <w:tc>
          <w:tcPr>
            <w:tcW w:w="9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-2.27 pins</w:t>
              <w:br/>
            </w:r>
            <w:r>
              <w:rPr>
                <w:rFonts w:ascii="Times New Roman;Times;serif" w:hAnsi="Times New Roman;Times;serif"/>
                <w:b/>
                <w:sz w:val="22"/>
              </w:rPr>
              <w:t>p=0.0002</w:t>
            </w:r>
          </w:p>
        </w:tc>
        <w:tc>
          <w:tcPr>
            <w:tcW w:w="9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-0.82 pins</w:t>
            </w:r>
          </w:p>
        </w:tc>
      </w:tr>
      <w:tr>
        <w:trPr/>
        <w:tc>
          <w:tcPr>
            <w:tcW w:w="4549"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 of patients with Urticaria Control Test &gt;12</w:t>
            </w:r>
          </w:p>
        </w:tc>
        <w:tc>
          <w:tcPr>
            <w:tcW w:w="89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58.6%</w:t>
              <w:br/>
            </w:r>
            <w:r>
              <w:rPr>
                <w:rFonts w:ascii="Times New Roman;Times;serif" w:hAnsi="Times New Roman;Times;serif"/>
                <w:b/>
                <w:sz w:val="22"/>
              </w:rPr>
              <w:t>p=0.0048</w:t>
            </w:r>
          </w:p>
        </w:tc>
        <w:tc>
          <w:tcPr>
            <w:tcW w:w="890"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68.8%</w:t>
              <w:br/>
            </w:r>
            <w:r>
              <w:rPr>
                <w:rFonts w:ascii="Times New Roman;Times;serif" w:hAnsi="Times New Roman;Times;serif"/>
                <w:b/>
                <w:sz w:val="22"/>
              </w:rPr>
              <w:t>p&lt;0.0001</w:t>
            </w:r>
          </w:p>
        </w:tc>
        <w:tc>
          <w:tcPr>
            <w:tcW w:w="79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31.0%</w:t>
            </w:r>
          </w:p>
        </w:tc>
        <w:tc>
          <w:tcPr>
            <w:tcW w:w="326"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pPr>
            <w:r>
              <w:rPr/>
              <w:t>​</w:t>
            </w:r>
          </w:p>
        </w:tc>
        <w:tc>
          <w:tcPr>
            <w:tcW w:w="90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54.8%</w:t>
              <w:br/>
            </w:r>
            <w:r>
              <w:rPr>
                <w:rFonts w:ascii="Times New Roman;Times;serif" w:hAnsi="Times New Roman;Times;serif"/>
                <w:b/>
                <w:sz w:val="22"/>
              </w:rPr>
              <w:t>p=0.0015</w:t>
            </w:r>
          </w:p>
        </w:tc>
        <w:tc>
          <w:tcPr>
            <w:tcW w:w="90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Helvetica;sans-serif" w:hAnsi="Helvetica;sans-serif"/>
                <w:sz w:val="22"/>
              </w:rPr>
            </w:pPr>
            <w:r>
              <w:rPr>
                <w:rFonts w:ascii="Times New Roman;Times;serif" w:hAnsi="Times New Roman;Times;serif"/>
                <w:sz w:val="22"/>
              </w:rPr>
              <w:t>65.5%</w:t>
              <w:br/>
            </w:r>
            <w:r>
              <w:rPr>
                <w:rFonts w:ascii="Times New Roman;Times;serif" w:hAnsi="Times New Roman;Times;serif"/>
                <w:b/>
                <w:sz w:val="22"/>
              </w:rPr>
              <w:t>p&lt;0.0001</w:t>
            </w:r>
          </w:p>
        </w:tc>
        <w:tc>
          <w:tcPr>
            <w:tcW w:w="945"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32.0%</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2025, quality of life data were presented at the American Academy of Allergy, Asthma &amp; Immunology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these results strongly support the further development of barzolvolimab in CIndU and plan to advance CIndU into Phase 3 registrational development.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 single IV dose of 3.0 mg/kg barzolvolimab resulted in rapid and durable reductions in itch and healing of skin lesions in patients with moderate to severe PN and that barzolvolimab was generally well tolerated.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the percentage of patients with ≥4-point decrease in WI-NRS was 57% and 43% for the single dose 3.0 or 1.5 mg/kg barzolvolimab arms, respectively, and 25% for the placebo arm; this level of response generally persisted out to week 16. In the 3.0 mg/kg arm, a ≥4-point decrease in WI-NRS reduction was seen as early as the first week and reached a high of 71% of patients at week six which was distinct from both the 1.5 mg/kg barzolvolimab and placebo arms.</w:t>
            </w:r>
          </w:p>
        </w:tc>
      </w:tr>
    </w:tbl>
    <w:tbl>
      <w:tblPr>
        <w:tblW w:w="6774" w:type="dxa"/>
        <w:jc w:val="left"/>
        <w:tblInd w:w="0" w:type="dxa"/>
        <w:tblLayout w:type="fixed"/>
        <w:tblCellMar>
          <w:top w:w="28" w:type="dxa"/>
          <w:left w:w="28" w:type="dxa"/>
          <w:bottom w:w="28" w:type="dxa"/>
          <w:right w:w="28" w:type="dxa"/>
        </w:tblCellMar>
      </w:tblPr>
      <w:tblGrid>
        <w:gridCol w:w="961"/>
        <w:gridCol w:w="721"/>
        <w:gridCol w:w="721"/>
        <w:gridCol w:w="721"/>
        <w:gridCol w:w="721"/>
        <w:gridCol w:w="721"/>
        <w:gridCol w:w="721"/>
        <w:gridCol w:w="721"/>
        <w:gridCol w:w="766"/>
      </w:tblGrid>
      <w:tr>
        <w:trPr/>
        <w:tc>
          <w:tcPr>
            <w:tcW w:w="6774" w:type="dxa"/>
            <w:gridSpan w:val="9"/>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≥4-point decrease in WI-NRS</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3</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5</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6</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71</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57</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tc>
      </w:tr>
    </w:tbl>
    <w:tbl>
      <w:tblPr>
        <w:tblW w:w="3980" w:type="dxa"/>
        <w:jc w:val="left"/>
        <w:tblInd w:w="0" w:type="dxa"/>
        <w:tblLayout w:type="fixed"/>
        <w:tblCellMar>
          <w:top w:w="28" w:type="dxa"/>
          <w:left w:w="28" w:type="dxa"/>
          <w:bottom w:w="28" w:type="dxa"/>
          <w:right w:w="28" w:type="dxa"/>
        </w:tblCellMar>
      </w:tblPr>
      <w:tblGrid>
        <w:gridCol w:w="961"/>
        <w:gridCol w:w="811"/>
        <w:gridCol w:w="721"/>
        <w:gridCol w:w="721"/>
        <w:gridCol w:w="766"/>
      </w:tblGrid>
      <w:tr>
        <w:trPr/>
        <w:tc>
          <w:tcPr>
            <w:tcW w:w="3980" w:type="dxa"/>
            <w:gridSpan w:val="5"/>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 of Subjects with IGA 0/1</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Dose</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Baseline</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2</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Week 8</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1.5 mg/kg</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961"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b/>
                <w:sz w:val="20"/>
              </w:rPr>
            </w:pPr>
            <w:r>
              <w:rPr>
                <w:rFonts w:ascii="Times New Roman;Times;serif" w:hAnsi="Times New Roman;Times;serif"/>
                <w:b/>
                <w:sz w:val="20"/>
              </w:rPr>
              <w:t>3.0 mg/kg</w:t>
            </w:r>
          </w:p>
        </w:tc>
        <w:tc>
          <w:tcPr>
            <w:tcW w:w="8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0</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14</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29</w:t>
            </w:r>
          </w:p>
        </w:tc>
      </w:tr>
      <w:tr>
        <w:trPr/>
        <w:tc>
          <w:tcPr>
            <w:tcW w:w="96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Placebo</w:t>
            </w:r>
          </w:p>
        </w:tc>
        <w:tc>
          <w:tcPr>
            <w:tcW w:w="8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2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76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lineRule="auto" w:line="304" w:before="0" w:after="0"/>
              <w:ind w:left="0" w:right="60" w:hanging="0"/>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noBreakHyphen/>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 Enrollment is ongoing.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The study is fully accrued and we plan to present data from the study in the second half of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Atopic Dermatitis (AD)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randomized, double-blind, placebo-controlled,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two dose levels compared to placebo using the Peak Pruritus Numerical Rating Scale (PP-NRS) at Week 16, a well‐defined, reliable, sensitive and valid scale for evaluating worst itch intensity in adults with moderate‐to‐severe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will include up to 50 clinical trial centers in the United States. Enrollment is ongoing.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2023, we completed the transfer of our current barzolvolimab manufacturing process to a CDMO and successfully scaled up the drug substance manufacturing process to produce larger cGMP batches in support of late-stage trials and to prepare for potential commercialization. Drug product manufacturing into 1 mL pre-filled syringes has been completed and are actively being used in the ongoing Phase 3 CSU trials.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CDX-622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In preclinical studies, CDX-622 inhibits TSLP and SCF with similar potency to both its respective parental mAbs and comparator mAbs </w:t>
      </w:r>
      <w:r>
        <w:rPr>
          <w:rFonts w:ascii="Times New Roman;Times;serif" w:hAnsi="Times New Roman;Times;serif"/>
          <w:i/>
          <w:sz w:val="20"/>
        </w:rPr>
        <w:t>in vitro</w:t>
      </w:r>
      <w:r>
        <w:rPr>
          <w:rFonts w:ascii="Times New Roman;Times;serif" w:hAnsi="Times New Roman;Times;serif"/>
          <w:sz w:val="20"/>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we initiated a Phase 1 study of CDX-622 in healthy volunteers. The Phase 1a clinical trial is a two-part, randomized, double-blind, placebo-controlled, dose escalation study designed to assess the safety, pharmacokinetics, and pharmacodynamics of single ascending doses (Part 1) and multiple ascending doses (Part 2) of CDX-622 in up to 56 healthy participants. A single dose of CDX-622 or placebo will be administered intravenously once during Part 1. In Part 2, CDX-622 or placebo will be administered every 2 weeks (Q2W) for up to 6 weeks following the first dose, for a total of 3 doses. Participants will be followed for 12 weeks in both Parts 1 and 2 following the last dose of study drug. The pharmacodynamic biomarkers from blood and skin will be highly informative on the ability of CDX-622 to engage and neutralize SCF and TSLP. A subcutaneous formulation is currently being manufactured and will be added to this study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2024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2025 Compared with Three Months Ended March 31, 2024</w:t>
      </w:r>
    </w:p>
    <w:tbl>
      <w:tblPr>
        <w:tblW w:w="9353" w:type="dxa"/>
        <w:jc w:val="left"/>
        <w:tblInd w:w="0" w:type="dxa"/>
        <w:tblLayout w:type="fixed"/>
        <w:tblCellMar>
          <w:top w:w="0" w:type="dxa"/>
          <w:left w:w="0" w:type="dxa"/>
          <w:bottom w:w="0" w:type="dxa"/>
          <w:right w:w="0" w:type="dxa"/>
        </w:tblCellMar>
      </w:tblPr>
      <w:tblGrid>
        <w:gridCol w:w="3961"/>
        <w:gridCol w:w="326"/>
        <w:gridCol w:w="211"/>
        <w:gridCol w:w="796"/>
        <w:gridCol w:w="326"/>
        <w:gridCol w:w="211"/>
        <w:gridCol w:w="796"/>
        <w:gridCol w:w="326"/>
        <w:gridCol w:w="211"/>
        <w:gridCol w:w="676"/>
        <w:gridCol w:w="326"/>
        <w:gridCol w:w="871"/>
        <w:gridCol w:w="31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515235" cy="175260"/>
                      <wp:effectExtent l="0" t="0" r="0" b="0"/>
                      <wp:wrapNone/>
                      <wp:docPr id="166" name="Frame166"/>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5460" cy="175260"/>
                      <wp:effectExtent l="0" t="0" r="0" b="0"/>
                      <wp:wrapNone/>
                      <wp:docPr id="169" name="Frame16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05460" cy="175260"/>
                      <wp:effectExtent l="0" t="0" r="0" b="0"/>
                      <wp:wrapNone/>
                      <wp:docPr id="172" name="Frame1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53085" cy="175260"/>
                      <wp:effectExtent l="0" t="0" r="0" b="0"/>
                      <wp:wrapNone/>
                      <wp:docPr id="177" name="Frame17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935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5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22,670</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22,131</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20,988</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$21.0 million increase in net loss for the three months ended March 31, 2025, as compared to the three months ended March 31, 2024, was primarily due to an increase in research and development and general and administrative expenses, partially offset by an increase in investment and other income, net.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three months ended March 31, 2025 was relatively consistent with the three months ended March 31, 2024. The $0.5 million increase in contracts and grants revenue for the three months ended March 31, 2025, as compared to the three months ended March 31, 2024, was primarily due to an increase in revenue from our contract manufacturing and research and development agreements with Rockefeller University. We expect revenue to decrease over the next twelve months primarily due to a decrease in services expected to be performed under our contract manufacturing and research and development agreements with Rockefeller University.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tbl>
      <w:tblPr>
        <w:tblW w:w="6563"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326"/>
        <w:gridCol w:w="421"/>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181735" cy="175260"/>
                      <wp:effectExtent l="0" t="0" r="0" b="0"/>
                      <wp:wrapNone/>
                      <wp:docPr id="179" name="Frame179"/>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29260" cy="175260"/>
                      <wp:effectExtent l="0" t="0" r="0" b="0"/>
                      <wp:wrapNone/>
                      <wp:docPr id="185"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29260" cy="175260"/>
                      <wp:effectExtent l="0" t="0" r="0" b="0"/>
                      <wp:wrapNone/>
                      <wp:docPr id="188" name="Frame1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67335" cy="175260"/>
                      <wp:effectExtent l="0" t="0" r="0" b="0"/>
                      <wp:wrapNone/>
                      <wp:docPr id="190" name="Frame1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0660" cy="175260"/>
                      <wp:effectExtent l="0" t="0" r="0" b="0"/>
                      <wp:wrapNone/>
                      <wp:docPr id="191" name="Frame1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6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center"/>
              <w:rPr/>
            </w:pPr>
            <w:r>
              <w:rPr/>
              <w:t>​</w:t>
            </w:r>
          </w:p>
        </w:tc>
        <w:tc>
          <w:tcPr>
            <w:tcW w:w="16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5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3849"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16,641</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$2.2 million increase in personnel expenses for the three months ended March 31, 2025, as compared to the three months ended March 31, 2024,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$0.9 million increase in laboratory supply expenses for the three months ended March 31, 2025, as compared to the three months ended March 31, 2024, was primarily due to higher laboratory materials and supplies purchases. We expect laboratory supplies expenses to remain relatively consistent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three months ended March 31, 2025 were relatively consistent with the three months ended March 31, 2024. We expect facility expenses to remain relatively consistent over the next twelve months, although there may be fluctuations on a quarterly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$16.6 million increase in product development expenses for the three months ended March 31, 2025, as compared to the three months ended March 31, 2024, was primarily due to an increase in barzolvolimab clinical trial and contract manufacturing expenses. We expect product development expenses to increase over the next twelve months as a result of the expanded development of barzolvolimab,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$1.7 million increase in general and administrative expenses for the three months ended March 31, 2025, as compared to the three months ended March 31, 2024, was primarily due to higher stock-based compensation expense. We expect general and administrative expenses to increase over the next twelve months as a result of the expanded development of barzolvolimab and an increase in commercial planning efforts, although there may be fluctuations on a quarterly basis.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$1.1 million increase in investment and other income, net for the three months ended March 31, 2025, as compared to the three months ended March 31, 2024, was primarily due to higher levels of cash as a result of our March 2024 underwritten public offering. We expect investment and other income to decrease over the next twelve months due to lower levels of cash and investment balances, although there may be fluctuations on a quarterly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March 31, 2025, our principal sources of liquidity consisted of cash, cash equivalents and marketable securities of $673.3 million. We have had recurring losses and incurred a loss of $53.8 million for the three months ended March 31, 2025. Net cash used in operations for the three months ended March 31, 2025 was $54.4 million. We believe that the cash, cash equivalents and marketable securities at March 31, 2025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financings,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$54.4 million for the three months ended March 31, 2025 as compared to $40.6 million for the three months ended March 31, 2024. The increase in net cash used in operating activities was primarily due to increases in research and development and general and administrative expenses, partially offset by an increase in investment income as a result of higher levels of cash. We expect that cash used in operating activities will increase over the next twelve months as a result of the expanded development of barzolvolimab.</w:t>
      </w:r>
    </w:p>
    <w:p>
      <w:pPr>
        <w:pStyle w:val="TextBody"/>
        <w:bidi w:val="0"/>
        <w:spacing w:before="0" w:after="18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was $43.0 million for the three months ended March 31, 2025 compared to net cash used in investing activities of $315.2 million for the three months ended March 31, 2024. The increase in net cash provided by investing activities was primarily due to net sales and maturities of marketable securities of $43.2 million for the three months ended March 31, 2025 as compared to net purchases of marketable securities of $314.9 million for the three months ended March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$0.2 million for the three months ended March 31, 2025 as compared to $436.1 million for the three months ended March 31, 2024. The decrease in net cash provided by financing activities was primarily due to a decrease in net proceeds from stock issuances.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2024, we issued 9,798,000 shares of common stock in an underwritten public offering, resulting in net proceeds of $432.3 million, after deducting underwriting fees and offering expenses.</w:t>
      </w:r>
    </w:p>
    <w:p>
      <w:pPr>
        <w:pStyle w:val="TextBody"/>
        <w:bidi w:val="0"/>
        <w:spacing w:before="0" w:after="240"/>
        <w:ind w:left="0" w:right="0" w:hanging="0"/>
        <w:jc w:val="left"/>
        <w:rPr>
          <w:rFonts w:ascii="Times New Roman;Times;serif" w:hAnsi="Times New Roman;Times;serif"/>
          <w:sz w:val="20"/>
        </w:rPr>
      </w:pPr>
      <w:bookmarkStart w:id="686" w:name="Item3QuantitativeandQualitativeDisclosur"/>
      <w:bookmarkStart w:id="687" w:name="_5956e713_22e2_42b7_a401_b63d33745cf1"/>
      <w:bookmarkEnd w:id="686"/>
      <w:bookmarkEnd w:id="687"/>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March 31, 2025 due to the short-term maturities of these instruments.</w:t>
      </w:r>
    </w:p>
    <w:p>
      <w:pPr>
        <w:pStyle w:val="TextBody"/>
        <w:pBdr/>
        <w:bidi w:val="0"/>
        <w:spacing w:before="0" w:after="240"/>
        <w:ind w:left="0" w:right="0" w:hanging="1152"/>
        <w:jc w:val="left"/>
        <w:rPr>
          <w:rFonts w:ascii="Times New Roman;Times;serif" w:hAnsi="Times New Roman;Times;serif"/>
          <w:sz w:val="20"/>
        </w:rPr>
      </w:pPr>
      <w:bookmarkStart w:id="688" w:name="Item4ControlsandProcedures_940929"/>
      <w:bookmarkStart w:id="689" w:name="_1467648c_20f5_431b_b304_609f5b09be11"/>
      <w:bookmarkEnd w:id="688"/>
      <w:bookmarkEnd w:id="689"/>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2025,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March 31,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0" w:name="PARTIIOTHERINFORMATION_770534"/>
      <w:bookmarkStart w:id="691" w:name="_70580216_116e_4de1_83c5_fbf800b2368d"/>
      <w:bookmarkEnd w:id="690"/>
      <w:bookmarkEnd w:id="691"/>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692" w:name="Item1ARiskFactors_750939"/>
      <w:bookmarkEnd w:id="692"/>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2024,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27, 2025.</w:t>
      </w:r>
    </w:p>
    <w:p>
      <w:pPr>
        <w:pStyle w:val="TextBody"/>
        <w:bidi w:val="0"/>
        <w:spacing w:before="0" w:after="240"/>
        <w:ind w:left="0" w:right="0" w:hanging="0"/>
        <w:jc w:val="left"/>
        <w:rPr>
          <w:rFonts w:ascii="Times New Roman;Times;serif" w:hAnsi="Times New Roman;Times;serif"/>
          <w:b/>
          <w:sz w:val="20"/>
        </w:rPr>
      </w:pPr>
      <w:bookmarkStart w:id="693" w:name="Item5OtherInformation_222271"/>
      <w:bookmarkStart w:id="694" w:name="_66483b47_0405_44a7_ad1d_ac69456b7756"/>
      <w:bookmarkEnd w:id="693"/>
      <w:bookmarkEnd w:id="694"/>
      <w:r>
        <w:rPr>
          <w:rFonts w:ascii="Times New Roman;Times;serif" w:hAnsi="Times New Roman;Times;serif"/>
          <w:b/>
          <w:sz w:val="20"/>
        </w:rPr>
        <w:t>Item 5.  Other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140"/>
        <w:ind w:left="0" w:right="0" w:hanging="0"/>
        <w:jc w:val="left"/>
        <w:rPr>
          <w:rFonts w:ascii="Times New Roman;Times;serif" w:hAnsi="Times New Roman;Times;serif"/>
          <w:b/>
          <w:sz w:val="20"/>
        </w:rPr>
      </w:pPr>
      <w:bookmarkStart w:id="695" w:name="Item6Exhibits_142075"/>
      <w:bookmarkStart w:id="696" w:name="_6303d9d9_af92_47c3_adc5_0af4355008f9"/>
      <w:bookmarkEnd w:id="695"/>
      <w:bookmarkEnd w:id="696"/>
      <w:r>
        <w:rPr>
          <w:rFonts w:ascii="Times New Roman;Times;serif" w:hAnsi="Times New Roman;Times;serif"/>
          <w:b/>
          <w:sz w:val="20"/>
        </w:rPr>
        <w:t>Item 6.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240"/>
        <w:ind w:left="0" w:right="0" w:hanging="0"/>
        <w:jc w:val="center"/>
        <w:rPr>
          <w:rFonts w:ascii="Times New Roman;Times;serif" w:hAnsi="Times New Roman;Times;serif"/>
          <w:b/>
          <w:sz w:val="20"/>
        </w:rPr>
      </w:pPr>
      <w:bookmarkStart w:id="697" w:name="Exhibitindex"/>
      <w:bookmarkEnd w:id="697"/>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883"/>
        <w:gridCol w:w="326"/>
        <w:gridCol w:w="8996"/>
      </w:tblGrid>
      <w:tr>
        <w:trPr/>
        <w:tc>
          <w:tcPr>
            <w:tcW w:w="883" w:type="dxa"/>
            <w:tcBorders>
              <w:bottom w:val="single" w:sz="2" w:space="0" w:color="000000"/>
            </w:tcBorders>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b/>
                <w:sz w:val="20"/>
              </w:rPr>
              <w:t>Exhibit</w:t>
            </w:r>
            <w:r>
              <w:rPr>
                <w:rFonts w:ascii="Helvetica;sans-serif" w:hAnsi="Helvetica;sans-serif"/>
                <w:sz w:val="22"/>
              </w:rPr>
              <w:t xml:space="preserve"> </w:t>
            </w:r>
            <w:r>
              <w:rPr>
                <w:rFonts w:ascii="Times New Roman;Times;serif" w:hAnsi="Times New Roman;Times;serif"/>
                <w:sz w:val="20"/>
              </w:rPr>
              <w:br/>
            </w:r>
            <w:r>
              <w:rPr>
                <w:rFonts w:ascii="Times New Roman;Times;serif" w:hAnsi="Times New Roman;Times;serif"/>
                <w:b/>
                <w:sz w:val="20"/>
              </w:rPr>
              <w:t>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89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pPr>
            <w:hyperlink w:anchor="cldx-20250331xex31d1.htm">
              <w:r>
                <w:rPr>
                  <w:rStyle w:val="InternetLink"/>
                  <w:rFonts w:ascii="Times New Roman;Times;serif" w:hAnsi="Times New Roman;Times;serif"/>
                  <w:b w:val="false"/>
                  <w:i w:val="false"/>
                  <w:caps w:val="false"/>
                  <w:smallCaps w:val="false"/>
                  <w:sz w:val="22"/>
                </w:rPr>
                <w:t>Certification of President and Chief Executive Officer</w:t>
              </w:r>
            </w:hyperlink>
            <w:hyperlink w:anchor="cldx-20250331xex31d1.htm">
              <w:r>
                <w:rPr>
                  <w:rStyle w:val="InternetLink"/>
                  <w:rFonts w:ascii="Helvetica;sans-serif" w:hAnsi="Helvetica;sans-serif"/>
                  <w:b w:val="false"/>
                  <w:i w:val="false"/>
                  <w:caps w:val="false"/>
                  <w:smallCaps w:val="false"/>
                  <w:sz w:val="22"/>
                </w:rPr>
                <w:t>.</w:t>
              </w:r>
            </w:hyperlink>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pPr>
            <w:hyperlink w:anchor="cldx-20250331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hyperlink w:anchor="cldx-20250331xex31d2.htm">
              <w:r>
                <w:rPr>
                  <w:rStyle w:val="InternetLink"/>
                  <w:rFonts w:ascii="Helvetica;sans-serif" w:hAnsi="Helvetica;sans-serif"/>
                  <w:b w:val="false"/>
                  <w:i w:val="false"/>
                  <w:caps w:val="false"/>
                  <w:smallCaps w:val="false"/>
                  <w:sz w:val="22"/>
                </w:rPr>
                <w:t>.</w:t>
              </w:r>
            </w:hyperlink>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pPr>
            <w:hyperlink w:anchor="cldx-20250331xex32d1.htm">
              <w:r>
                <w:rPr>
                  <w:rStyle w:val="InternetLink"/>
                  <w:rFonts w:ascii="Times New Roman;Times;serif" w:hAnsi="Times New Roman;Times;serif"/>
                  <w:b w:val="false"/>
                  <w:i w:val="false"/>
                  <w:caps w:val="false"/>
                  <w:smallCaps w:val="false"/>
                  <w:sz w:val="22"/>
                </w:rPr>
                <w:t>Section 1350 Certifications</w:t>
              </w:r>
            </w:hyperlink>
            <w:hyperlink w:anchor="cldx-20250331xex32d1.htm">
              <w:r>
                <w:rPr>
                  <w:rStyle w:val="InternetLink"/>
                  <w:rFonts w:ascii="Helvetica;sans-serif" w:hAnsi="Helvetica;sans-serif"/>
                  <w:b w:val="false"/>
                  <w:i w:val="false"/>
                  <w:caps w:val="false"/>
                  <w:smallCaps w:val="false"/>
                  <w:sz w:val="22"/>
                </w:rPr>
                <w:t>.</w:t>
              </w:r>
            </w:hyperlink>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Schema Document.</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Calculation Linkbase Document.</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Definition Linkbase Document.</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Label Linkbase Document.</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Helvetica;sans-serif" w:hAnsi="Helvetica;sans-serif"/>
                <w:sz w:val="22"/>
              </w:rPr>
            </w:pPr>
            <w:r>
              <w:rPr>
                <w:rFonts w:ascii="Times New Roman;Times;serif" w:hAnsi="Times New Roman;Times;serif"/>
                <w:sz w:val="20"/>
              </w:rPr>
              <w:t>Inline</w:t>
            </w:r>
            <w:r>
              <w:rPr>
                <w:rFonts w:ascii="Helvetica;sans-serif" w:hAnsi="Helvetica;sans-serif"/>
                <w:sz w:val="22"/>
              </w:rPr>
              <w:t xml:space="preserve"> </w:t>
            </w:r>
            <w:r>
              <w:rPr>
                <w:rFonts w:ascii="Times New Roman;Times;serif" w:hAnsi="Times New Roman;Times;serif"/>
                <w:sz w:val="20"/>
              </w:rPr>
              <w:t>XBRL Taxonomy Extension Presentation Linkbase Document.</w:t>
            </w:r>
          </w:p>
        </w:tc>
      </w:tr>
      <w:tr>
        <w:trPr/>
        <w:tc>
          <w:tcPr>
            <w:tcW w:w="88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9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98" w:name="SIGNATURES_933986"/>
      <w:bookmarkStart w:id="699" w:name="_d138c6fd_9833_42a4_9725_6c17089df4a8"/>
      <w:bookmarkEnd w:id="698"/>
      <w:bookmarkEnd w:id="699"/>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882" w:type="dxa"/>
        <w:jc w:val="left"/>
        <w:tblInd w:w="0" w:type="dxa"/>
        <w:tblLayout w:type="fixed"/>
        <w:tblCellMar>
          <w:top w:w="0" w:type="dxa"/>
          <w:left w:w="0" w:type="dxa"/>
          <w:bottom w:w="0" w:type="dxa"/>
          <w:right w:w="0" w:type="dxa"/>
        </w:tblCellMar>
      </w:tblPr>
      <w:tblGrid>
        <w:gridCol w:w="1741"/>
        <w:gridCol w:w="4141"/>
      </w:tblGrid>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8, 2025</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8, 2025</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240"/>
        <w:ind w:left="0" w:right="0" w:hanging="0"/>
        <w:jc w:val="right"/>
        <w:rPr>
          <w:rFonts w:ascii="Times New Roman;Times;serif" w:hAnsi="Times New Roman;Times;serif"/>
          <w:b/>
          <w:sz w:val="20"/>
        </w:rPr>
      </w:pPr>
      <w:bookmarkStart w:id="700" w:name="cldx-20250331xex31d1.htm"/>
      <w:bookmarkStart w:id="701" w:name="kscldx20250331xex31d1"/>
      <w:bookmarkEnd w:id="700"/>
      <w:bookmarkEnd w:id="701"/>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Anthony S. Marucci,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478" w:type="dxa"/>
        <w:jc w:val="center"/>
        <w:tblInd w:w="0" w:type="dxa"/>
        <w:tblLayout w:type="fixed"/>
        <w:tblCellMar>
          <w:top w:w="0" w:type="dxa"/>
          <w:left w:w="0" w:type="dxa"/>
          <w:bottom w:w="0" w:type="dxa"/>
          <w:right w:w="0" w:type="dxa"/>
        </w:tblCellMar>
      </w:tblPr>
      <w:tblGrid>
        <w:gridCol w:w="1636"/>
        <w:gridCol w:w="631"/>
        <w:gridCol w:w="3211"/>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2" w:name="cldx-20250331xex31d2.htm"/>
      <w:bookmarkStart w:id="703" w:name="kscldx20250331xex31d2"/>
      <w:bookmarkEnd w:id="702"/>
      <w:bookmarkEnd w:id="703"/>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Sam Martin,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408" w:type="dxa"/>
        <w:jc w:val="center"/>
        <w:tblInd w:w="0" w:type="dxa"/>
        <w:tblLayout w:type="fixed"/>
        <w:tblCellMar>
          <w:top w:w="0" w:type="dxa"/>
          <w:left w:w="0" w:type="dxa"/>
          <w:bottom w:w="0" w:type="dxa"/>
          <w:right w:w="0" w:type="dxa"/>
        </w:tblCellMar>
      </w:tblPr>
      <w:tblGrid>
        <w:gridCol w:w="1636"/>
        <w:gridCol w:w="631"/>
        <w:gridCol w:w="4141"/>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63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4" w:name="cldx-20250331xex32d1.htm"/>
      <w:bookmarkStart w:id="705" w:name="kscldx20250331xex32d1"/>
      <w:bookmarkEnd w:id="704"/>
      <w:bookmarkEnd w:id="705"/>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523" w:type="dxa"/>
        <w:jc w:val="center"/>
        <w:tblInd w:w="0" w:type="dxa"/>
        <w:tblLayout w:type="fixed"/>
        <w:tblCellMar>
          <w:top w:w="0" w:type="dxa"/>
          <w:left w:w="0" w:type="dxa"/>
          <w:bottom w:w="0" w:type="dxa"/>
          <w:right w:w="0" w:type="dxa"/>
        </w:tblCellMar>
      </w:tblPr>
      <w:tblGrid>
        <w:gridCol w:w="1636"/>
        <w:gridCol w:w="676"/>
        <w:gridCol w:w="3211"/>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63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63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453" w:type="dxa"/>
        <w:jc w:val="center"/>
        <w:tblInd w:w="0" w:type="dxa"/>
        <w:tblLayout w:type="fixed"/>
        <w:tblCellMar>
          <w:top w:w="0" w:type="dxa"/>
          <w:left w:w="0" w:type="dxa"/>
          <w:bottom w:w="0" w:type="dxa"/>
          <w:right w:w="0" w:type="dxa"/>
        </w:tblCellMar>
      </w:tblPr>
      <w:tblGrid>
        <w:gridCol w:w="1636"/>
        <w:gridCol w:w="676"/>
        <w:gridCol w:w="4141"/>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63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63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18608</Words>
  <Characters>103468</Characters>
  <CharactersWithSpaces>122402</CharactersWithSpaces>
  <Paragraphs>3302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