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ldx-20260630x10q.htm"/>
        <w:bookmarkStart w:id="1" w:name="kscldx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0"/>
        <w:ind w:left="0" w:right="0" w:hanging="0"/>
        <w:jc w:val="left"/>
        <w:rPr/>
      </w:pPr>
      <w:r>
        <w:rPr/>
        <w:t>​</w:t>
      </w:r>
    </w:p>
    <w:p>
      <w:pPr>
        <w:pStyle w:val="TextBody"/>
        <w:pBdr>
          <w:bottom w:val="single" w:sz="8"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6ce10fd5_9523_4784_9d87_2cb5b602469a"/>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QUARTERLY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quarterly period ended June 30, 2026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TRANSITION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000-15006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CELLDEX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bwJo4Utp1UGIZ0jrtDaJ9A_1_2"/>
      <w:bookmarkStart w:id="4" w:name="Tc_akJ-INzXQU2U5hLbpWqIwA_1_0"/>
      <w:bookmarkStart w:id="5" w:name="Tc_L4nyqqNAS0e8TEs7c9BPAw_0_2"/>
      <w:bookmarkStart w:id="6" w:name="_d0dca1c5_cfbd_41ee_8326_31c42ddd1388"/>
      <w:bookmarkStart w:id="7" w:name="Tc_bwJo4Utp1UGIZ0jrtDaJ9A_1_2"/>
      <w:bookmarkStart w:id="8" w:name="Tc_akJ-INzXQU2U5hLbpWqIwA_1_0"/>
      <w:bookmarkStart w:id="9" w:name="Tc_L4nyqqNAS0e8TEs7c9BPAw_0_2"/>
      <w:bookmarkStart w:id="10" w:name="_d0dca1c5_cfbd_41ee_8326_31c42ddd1388"/>
      <w:bookmarkEnd w:id="7"/>
      <w:bookmarkEnd w:id="8"/>
      <w:bookmarkEnd w:id="9"/>
      <w:bookmarkEnd w:id="10"/>
    </w:p>
    <w:tbl>
      <w:tblPr>
        <w:tblW w:w="8343" w:type="dxa"/>
        <w:jc w:val="left"/>
        <w:tblInd w:w="0" w:type="dxa"/>
        <w:tblLayout w:type="fixed"/>
        <w:tblCellMar>
          <w:top w:w="0" w:type="dxa"/>
          <w:left w:w="0" w:type="dxa"/>
          <w:bottom w:w="0" w:type="dxa"/>
          <w:right w:w="0" w:type="dxa"/>
        </w:tblCellMar>
      </w:tblPr>
      <w:tblGrid>
        <w:gridCol w:w="4966"/>
        <w:gridCol w:w="346"/>
        <w:gridCol w:w="3031"/>
      </w:tblGrid>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13-3191702</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Perryville III Building, 53 Frontage Road, Suite 220, Hampton, New Jersey</w:t>
      </w:r>
      <w:r>
        <w:rPr>
          <w:rFonts w:ascii="Times New Roman;Times;serif" w:hAnsi="Times New Roman;Times;serif"/>
          <w:sz w:val="20"/>
        </w:rPr>
        <w:t xml:space="preserve"> </w:t>
      </w:r>
      <w:r>
        <w:rPr>
          <w:rFonts w:ascii="Times New Roman;Times;serif" w:hAnsi="Times New Roman;Times;serif"/>
          <w:b/>
          <w:sz w:val="20"/>
        </w:rPr>
        <w:t>08827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(908) 200-7500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 w:name="Tc_6lRQ4B16sk6NAPft_qRaLw_1_4"/>
      <w:bookmarkStart w:id="12" w:name="Tc_QP8EdeHPykStIhGOPERA1Q_0_4"/>
      <w:bookmarkStart w:id="13" w:name="Tc_NtCJmnS8-UyiwdUOOL3QOw_0_2"/>
      <w:bookmarkStart w:id="14" w:name="Tc_7nYq2QD5skCFH80XJoBy2A_0_0"/>
      <w:bookmarkStart w:id="15" w:name="_82a80587_f51d_4628_93ff_43a2d7fa089f"/>
      <w:bookmarkStart w:id="16" w:name="Tc_6lRQ4B16sk6NAPft_qRaLw_1_4"/>
      <w:bookmarkStart w:id="17" w:name="Tc_QP8EdeHPykStIhGOPERA1Q_0_4"/>
      <w:bookmarkStart w:id="18" w:name="Tc_NtCJmnS8-UyiwdUOOL3QOw_0_2"/>
      <w:bookmarkStart w:id="19" w:name="Tc_7nYq2QD5skCFH80XJoBy2A_0_0"/>
      <w:bookmarkStart w:id="20" w:name="_82a80587_f51d_4628_93ff_43a2d7fa089f"/>
      <w:bookmarkEnd w:id="16"/>
      <w:bookmarkEnd w:id="17"/>
      <w:bookmarkEnd w:id="18"/>
      <w:bookmarkEnd w:id="19"/>
      <w:bookmarkEnd w:id="20"/>
    </w:p>
    <w:tbl>
      <w:tblPr>
        <w:tblW w:w="8465" w:type="dxa"/>
        <w:jc w:val="left"/>
        <w:tblInd w:w="0" w:type="dxa"/>
        <w:tblLayout w:type="fixed"/>
        <w:tblCellMar>
          <w:top w:w="0" w:type="dxa"/>
          <w:left w:w="0" w:type="dxa"/>
          <w:bottom w:w="28" w:type="dxa"/>
          <w:right w:w="0" w:type="dxa"/>
        </w:tblCellMar>
      </w:tblPr>
      <w:tblGrid>
        <w:gridCol w:w="2731"/>
        <w:gridCol w:w="346"/>
        <w:gridCol w:w="1561"/>
        <w:gridCol w:w="346"/>
        <w:gridCol w:w="3481"/>
      </w:tblGrid>
      <w:tr>
        <w:trPr/>
        <w:tc>
          <w:tcPr>
            <w:tcW w:w="27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15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3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73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CLDX</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Nasdaq</w:t>
            </w:r>
            <w:r>
              <w:rPr>
                <w:rFonts w:ascii="Helvetica;sans-serif" w:hAnsi="Helvetica;sans-serif"/>
                <w:sz w:val="22"/>
              </w:rPr>
              <w:t xml:space="preserve"> </w:t>
            </w:r>
            <w:r>
              <w:rPr>
                <w:rFonts w:ascii="Times New Roman;Times;serif" w:hAnsi="Times New Roman;Times;serif"/>
                <w:sz w:val="20"/>
              </w:rPr>
              <w:t>Capital Market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w:t>
      </w:r>
    </w:p>
    <w:tbl>
      <w:tblPr>
        <w:tblW w:w="5073" w:type="dxa"/>
        <w:jc w:val="left"/>
        <w:tblInd w:w="0" w:type="dxa"/>
        <w:tblLayout w:type="fixed"/>
        <w:tblCellMar>
          <w:top w:w="0" w:type="dxa"/>
          <w:left w:w="0" w:type="dxa"/>
          <w:bottom w:w="0" w:type="dxa"/>
          <w:right w:w="0" w:type="dxa"/>
        </w:tblCellMar>
      </w:tblPr>
      <w:tblGrid>
        <w:gridCol w:w="2146"/>
        <w:gridCol w:w="346"/>
        <w:gridCol w:w="2581"/>
      </w:tblGrid>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346" w:type="dxa"/>
            <w:tcBorders/>
            <w:vAlign w:val="center"/>
          </w:tcPr>
          <w:p>
            <w:pPr>
              <w:pStyle w:val="TableContents"/>
              <w:bidi w:val="0"/>
              <w:spacing w:before="0" w:after="0"/>
              <w:ind w:left="0" w:right="0" w:hanging="0"/>
              <w:jc w:val="left"/>
              <w:rPr/>
            </w:pPr>
            <w:r>
              <w:rPr/>
              <w:t>  ​ ​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34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July 29, 2026, 78,529,532 shares of common stock, $.001 par value per share, were outstanding.</w:t>
      </w:r>
    </w:p>
    <w:p>
      <w:pPr>
        <w:pStyle w:val="TextBody"/>
        <w:bidi w:val="0"/>
        <w:spacing w:before="0" w:after="0"/>
        <w:ind w:left="0" w:right="0" w:firstLine="36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1" w:name="_3a11f384_ecc6_4eb0_9ed0_09e966c54e9c"/>
      <w:bookmarkEnd w:id="21"/>
      <w:r>
        <w:rPr>
          <w:rFonts w:ascii="Times New Roman;Times;serif" w:hAnsi="Times New Roman;Times;serif"/>
          <w:b/>
          <w:sz w:val="20"/>
        </w:rPr>
        <w:t>CELLDEX THERAPEUTICS,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bidi w:val="0"/>
        <w:spacing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48"/>
        <w:gridCol w:w="346"/>
        <w:gridCol w:w="511"/>
      </w:tblGrid>
      <w:tr>
        <w:trPr/>
        <w:tc>
          <w:tcPr>
            <w:tcW w:w="9348" w:type="dxa"/>
            <w:tcBorders/>
            <w:vAlign w:val="center"/>
          </w:tcPr>
          <w:p>
            <w:pPr>
              <w:pStyle w:val="TableContents"/>
              <w:pBdr/>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 ​ ​</w:t>
            </w:r>
          </w:p>
        </w:tc>
        <w:tc>
          <w:tcPr>
            <w:tcW w:w="5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48" w:type="dxa"/>
            <w:tcBorders/>
            <w:shd w:fill="CCEEFF" w:val="clear"/>
            <w:vAlign w:val="center"/>
          </w:tcPr>
          <w:p>
            <w:pPr>
              <w:pStyle w:val="TableContents"/>
              <w:pBdr/>
              <w:bidi w:val="0"/>
              <w:spacing w:before="0" w:after="0"/>
              <w:ind w:left="0" w:right="0" w:hanging="0"/>
              <w:jc w:val="left"/>
              <w:rPr/>
            </w:pPr>
            <w:hyperlink w:anchor="PARTIFINANCIALINFORMATION_722713">
              <w:r>
                <w:rPr>
                  <w:rStyle w:val="InternetLink"/>
                  <w:rFonts w:ascii="Times New Roman;Times;serif" w:hAnsi="Times New Roman;Times;serif"/>
                  <w:b/>
                  <w:i w:val="false"/>
                  <w:caps w:val="false"/>
                  <w:smallCaps w:val="false"/>
                  <w:sz w:val="20"/>
                </w:rPr>
                <w:t>Part I — Financial Information</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8"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48" w:type="dxa"/>
            <w:tcBorders/>
            <w:vAlign w:val="center"/>
          </w:tcPr>
          <w:p>
            <w:pPr>
              <w:pStyle w:val="TableContents"/>
              <w:pBdr/>
              <w:bidi w:val="0"/>
              <w:spacing w:before="0" w:after="0"/>
              <w:ind w:left="0" w:right="0" w:hanging="0"/>
              <w:jc w:val="left"/>
              <w:rPr/>
            </w:pPr>
            <w:hyperlink w:anchor="Item1unaudited">
              <w:r>
                <w:rPr>
                  <w:rStyle w:val="InternetLink"/>
                  <w:rFonts w:ascii="Times New Roman;Times;serif" w:hAnsi="Times New Roman;Times;serif"/>
                  <w:b w:val="false"/>
                  <w:i w:val="false"/>
                  <w:caps w:val="false"/>
                  <w:smallCaps w:val="false"/>
                  <w:sz w:val="20"/>
                </w:rPr>
                <w:t>Item 1. Unaudited Financial Statements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48" w:type="dxa"/>
            <w:tcBorders/>
            <w:shd w:fill="CCEEFF" w:val="clear"/>
            <w:vAlign w:val="center"/>
          </w:tcPr>
          <w:p>
            <w:pPr>
              <w:pStyle w:val="TableContents"/>
              <w:pBdr/>
              <w:bidi w:val="0"/>
              <w:spacing w:before="0" w:after="0"/>
              <w:ind w:left="0" w:right="0" w:hanging="0"/>
              <w:jc w:val="left"/>
              <w:rPr/>
            </w:pPr>
            <w:hyperlink w:anchor="CONDENSEDCONSOLIDATEDBALANCESHEETS_81311">
              <w:r>
                <w:rPr>
                  <w:rStyle w:val="InternetLink"/>
                  <w:rFonts w:ascii="Times New Roman;Times;serif" w:hAnsi="Times New Roman;Times;serif"/>
                  <w:b w:val="false"/>
                  <w:i w:val="false"/>
                  <w:caps w:val="false"/>
                  <w:smallCaps w:val="false"/>
                  <w:sz w:val="20"/>
                </w:rPr>
                <w:t>Condensed Consolidated Balance Sheets at June 30, 2026 and December 31, 2025</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48" w:type="dxa"/>
            <w:tcBorders/>
            <w:vAlign w:val="center"/>
          </w:tcPr>
          <w:p>
            <w:pPr>
              <w:pStyle w:val="TableContents"/>
              <w:pBdr/>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Three and Six Months Ended June 30, 2026 and 2025</w:t>
              </w:r>
            </w:hyperlink>
          </w:p>
        </w:tc>
        <w:tc>
          <w:tcPr>
            <w:tcW w:w="34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48"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34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48" w:type="dxa"/>
            <w:tcBorders/>
            <w:vAlign w:val="center"/>
          </w:tcPr>
          <w:p>
            <w:pPr>
              <w:pStyle w:val="TableContents"/>
              <w:pBdr/>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48"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348"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348" w:type="dxa"/>
            <w:tcBorders/>
            <w:shd w:fill="CCEEFF" w:val="clear"/>
            <w:vAlign w:val="center"/>
          </w:tcPr>
          <w:p>
            <w:pPr>
              <w:pStyle w:val="TableContents"/>
              <w:pBdr/>
              <w:bidi w:val="0"/>
              <w:spacing w:before="0" w:after="0"/>
              <w:ind w:left="0" w:right="0" w:hanging="0"/>
              <w:jc w:val="left"/>
              <w:rPr/>
            </w:pPr>
            <w:hyperlink w:anchor="Item4ControlsandProcedures_940929">
              <w:r>
                <w:rPr>
                  <w:rStyle w:val="InternetLink"/>
                  <w:rFonts w:ascii="Times New Roman;Times;serif" w:hAnsi="Times New Roman;Times;serif"/>
                  <w:b w:val="false"/>
                  <w:i w:val="false"/>
                  <w:caps w:val="false"/>
                  <w:smallCaps w:val="false"/>
                  <w:sz w:val="20"/>
                </w:rPr>
                <w:t>Item 4. Controls and Procedures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348" w:type="dxa"/>
            <w:tcBorders/>
            <w:vAlign w:val="center"/>
          </w:tcPr>
          <w:p>
            <w:pPr>
              <w:pStyle w:val="TableContents"/>
              <w:pBdr/>
              <w:bidi w:val="0"/>
              <w:spacing w:before="0" w:after="0"/>
              <w:ind w:left="0" w:right="0" w:hanging="0"/>
              <w:jc w:val="left"/>
              <w:rPr/>
            </w:pPr>
            <w:hyperlink w:anchor="PARTIIOTHERINFORMATION_770534">
              <w:r>
                <w:rPr>
                  <w:rStyle w:val="InternetLink"/>
                  <w:rFonts w:ascii="Times New Roman;Times;serif" w:hAnsi="Times New Roman;Times;serif"/>
                  <w:b/>
                  <w:i w:val="false"/>
                  <w:caps w:val="false"/>
                  <w:smallCaps w:val="false"/>
                  <w:sz w:val="20"/>
                </w:rPr>
                <w:t>Part II — Other Information</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48" w:type="dxa"/>
            <w:tcBorders/>
            <w:shd w:fill="CCEEFF" w:val="clear"/>
            <w:vAlign w:val="center"/>
          </w:tcPr>
          <w:p>
            <w:pPr>
              <w:pStyle w:val="TableContents"/>
              <w:pBdr/>
              <w:bidi w:val="0"/>
              <w:spacing w:before="0" w:after="0"/>
              <w:ind w:left="0" w:right="0" w:hanging="0"/>
              <w:jc w:val="left"/>
              <w:rPr/>
            </w:pPr>
            <w:hyperlink w:anchor="Item1ARiskFactors_750939">
              <w:r>
                <w:rPr>
                  <w:rStyle w:val="InternetLink"/>
                  <w:rFonts w:ascii="Times New Roman;Times;serif" w:hAnsi="Times New Roman;Times;serif"/>
                  <w:b w:val="false"/>
                  <w:i w:val="false"/>
                  <w:caps w:val="false"/>
                  <w:smallCaps w:val="false"/>
                  <w:sz w:val="20"/>
                </w:rPr>
                <w:t>Item 1A. Risk Factors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48" w:type="dxa"/>
            <w:tcBorders/>
            <w:vAlign w:val="center"/>
          </w:tcPr>
          <w:p>
            <w:pPr>
              <w:pStyle w:val="TableContents"/>
              <w:pBdr/>
              <w:bidi w:val="0"/>
              <w:spacing w:before="0" w:after="0"/>
              <w:ind w:left="0" w:right="0" w:hanging="0"/>
              <w:jc w:val="left"/>
              <w:rPr/>
            </w:pPr>
            <w:hyperlink w:anchor="Item5OtherInformation_222271">
              <w:r>
                <w:rPr>
                  <w:rStyle w:val="InternetLink"/>
                  <w:rFonts w:ascii="Times New Roman;Times;serif" w:hAnsi="Times New Roman;Times;serif"/>
                  <w:b w:val="false"/>
                  <w:i w:val="false"/>
                  <w:caps w:val="false"/>
                  <w:smallCaps w:val="false"/>
                  <w:sz w:val="20"/>
                </w:rPr>
                <w:t>Item 5. Other Information</w:t>
              </w:r>
            </w:hyperlink>
          </w:p>
        </w:tc>
        <w:tc>
          <w:tcPr>
            <w:tcW w:w="34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48" w:type="dxa"/>
            <w:tcBorders/>
            <w:shd w:fill="CCEEFF" w:val="clear"/>
            <w:vAlign w:val="center"/>
          </w:tcPr>
          <w:p>
            <w:pPr>
              <w:pStyle w:val="TableContents"/>
              <w:pBdr/>
              <w:bidi w:val="0"/>
              <w:spacing w:before="0" w:after="0"/>
              <w:ind w:left="0" w:right="0" w:hanging="0"/>
              <w:jc w:val="left"/>
              <w:rPr/>
            </w:pPr>
            <w:hyperlink w:anchor="Item6Exhibits_142075">
              <w:r>
                <w:rPr>
                  <w:rStyle w:val="InternetLink"/>
                  <w:rFonts w:ascii="Times New Roman;Times;serif" w:hAnsi="Times New Roman;Times;serif"/>
                  <w:b w:val="false"/>
                  <w:i w:val="false"/>
                  <w:caps w:val="false"/>
                  <w:smallCaps w:val="false"/>
                  <w:sz w:val="20"/>
                </w:rPr>
                <w:t>Item 6. Exhibits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48" w:type="dxa"/>
            <w:tcBorders/>
            <w:vAlign w:val="center"/>
          </w:tcPr>
          <w:p>
            <w:pPr>
              <w:pStyle w:val="TableContents"/>
              <w:pBdr/>
              <w:bidi w:val="0"/>
              <w:spacing w:before="0" w:after="0"/>
              <w:ind w:left="0" w:right="0" w:hanging="0"/>
              <w:jc w:val="left"/>
              <w:rPr/>
            </w:pPr>
            <w:hyperlink w:anchor="Exhibitindex">
              <w:r>
                <w:rPr>
                  <w:rStyle w:val="InternetLink"/>
                  <w:rFonts w:ascii="Times New Roman;Times;serif" w:hAnsi="Times New Roman;Times;serif"/>
                  <w:b/>
                  <w:i w:val="false"/>
                  <w:caps w:val="false"/>
                  <w:smallCaps w:val="false"/>
                  <w:sz w:val="20"/>
                </w:rPr>
                <w:t>Exhibit Index</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48" w:type="dxa"/>
            <w:tcBorders/>
            <w:shd w:fill="CCEEFF" w:val="clear"/>
            <w:vAlign w:val="center"/>
          </w:tcPr>
          <w:p>
            <w:pPr>
              <w:pStyle w:val="TableContents"/>
              <w:pBdr/>
              <w:bidi w:val="0"/>
              <w:spacing w:before="0" w:after="0"/>
              <w:ind w:left="0" w:right="0" w:hanging="0"/>
              <w:jc w:val="left"/>
              <w:rPr/>
            </w:pPr>
            <w:hyperlink w:anchor="SIGNATURES_933986">
              <w:r>
                <w:rPr>
                  <w:rStyle w:val="InternetLink"/>
                  <w:rFonts w:ascii="Times New Roman;Times;serif" w:hAnsi="Times New Roman;Times;serif"/>
                  <w:b/>
                  <w:i w:val="false"/>
                  <w:caps w:val="false"/>
                  <w:smallCaps w:val="false"/>
                  <w:sz w:val="20"/>
                </w:rPr>
                <w:t>Signatures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pBdr/>
              <w:bidi w:val="0"/>
              <w:spacing w:before="0" w:after="0"/>
              <w:ind w:left="0" w:right="0" w:hanging="144"/>
              <w:jc w:val="right"/>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3" w:name="PARTIFINANCIALINFORMATION_722713"/>
      <w:bookmarkStart w:id="24" w:name="_194d0d6c_159c_485f_ac0c_24d87972631f"/>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25" w:name="Item1unaudited"/>
      <w:bookmarkEnd w:id="25"/>
      <w:r>
        <w:rPr>
          <w:rFonts w:ascii="Times New Roman;Times;serif" w:hAnsi="Times New Roman;Times;serif"/>
          <w:b/>
          <w:sz w:val="20"/>
        </w:rPr>
        <w:t>Item 1. Unaudited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6" w:name="CONDENSEDCONSOLIDATEDBALANCESHEETS_81311"/>
      <w:bookmarkEnd w:id="2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ADg1E0nFiEiI7aGp3-f2eg_33_5"/>
      <w:bookmarkStart w:id="28" w:name="Tc_Ta-JlRfUg02Mp2BOLPncyA_33_2"/>
      <w:bookmarkStart w:id="29" w:name="Tc_h3A_jOI9g0aNEmeOP6iATA_33_0"/>
      <w:bookmarkStart w:id="30" w:name="Tc_aUocm3DB_keQwmhvPzQ4kA_32_0"/>
      <w:bookmarkStart w:id="31" w:name="Tc_huPELRTxX0Kk1b0gIamwvA_31_0"/>
      <w:bookmarkStart w:id="32" w:name="Tc_5C5bfS7aGUCjWEWZB3sChw_30_0"/>
      <w:bookmarkStart w:id="33" w:name="Tc_MVMdwR5XkEO4J_wAHPVAQw_29_0"/>
      <w:bookmarkStart w:id="34" w:name="Tc_aLna9Hub3U2wwiMuFIuLoA_28_0"/>
      <w:bookmarkStart w:id="35" w:name="Tc_pbgodYdGaUi9OHAFubmP1Q_27_0"/>
      <w:bookmarkStart w:id="36" w:name="Tc_KN2iNNsJ-UGB2vg5AX6k6g_26_0"/>
      <w:bookmarkStart w:id="37" w:name="Tc_FWBwdpp3pU-nMoIIDvNtIA_25_0"/>
      <w:bookmarkStart w:id="38" w:name="Tc_FLE6vFt8uEmh-UhOG1N9xw_24_0"/>
      <w:bookmarkStart w:id="39" w:name="Tc_kA_h82HrAkOPyF0jyJG8gg_23_0"/>
      <w:bookmarkStart w:id="40" w:name="Tc_VC3Z9zG1LEmpkoBEuIbS4w_22_0"/>
      <w:bookmarkStart w:id="41" w:name="Tc_uN13P50-vESjWXm_LgagDg_21_0"/>
      <w:bookmarkStart w:id="42" w:name="Tc_ieALNKOdPUCNk_Q8eSBtyA_20_0"/>
      <w:bookmarkStart w:id="43" w:name="Tc_n6qYFVgYdU2JG_U_Jx42Ig_19_0"/>
      <w:bookmarkStart w:id="44" w:name="Tc_POzpZkx4iEmQZfOy2NXqHQ_18_0"/>
      <w:bookmarkStart w:id="45" w:name="Tc_FN1uQHVpW0CK_navypXFUQ_17_5"/>
      <w:bookmarkStart w:id="46" w:name="Tc_GI0w7oZUIkKATfrVbJ6h_w_17_2"/>
      <w:bookmarkStart w:id="47" w:name="Tc_DdlQUYsCME-iAQA9e7nnvQ_17_0"/>
      <w:bookmarkStart w:id="48" w:name="Tc_arvGCXuJ10qKfZDxrgTc7g_16_0"/>
      <w:bookmarkStart w:id="49" w:name="Tc_ZfkYwJkco0Cjt0wCDSwMuw_15_0"/>
      <w:bookmarkStart w:id="50" w:name="Tc_TJx-Ym8oQUO0h-Jg-kSdJA_14_5"/>
      <w:bookmarkStart w:id="51" w:name="Tc_q5Q06L0_dkWfhUf6cXI4iQ_14_2"/>
      <w:bookmarkStart w:id="52" w:name="Tc_lJ4aG9ZpkU-2zrQEcRTBqw_14_0"/>
      <w:bookmarkStart w:id="53" w:name="Tc_3ChK-rK6NkmDqWbJjJHOoQ_13_0"/>
      <w:bookmarkStart w:id="54" w:name="Tc_RdQvvcE5UkSejMrXExK1bg_12_0"/>
      <w:bookmarkStart w:id="55" w:name="Tc_tos7mYDDBUS2wpIDiRWt2Q_11_0"/>
      <w:bookmarkStart w:id="56" w:name="Tc_mmZqfg0IZkCT0Mq89EzGNA_10_0"/>
      <w:bookmarkStart w:id="57" w:name="Tc_7KODRD6M_0-js_LqkHtJyQ_9_0"/>
      <w:bookmarkStart w:id="58" w:name="Tc_yexAVL-8x0m9i0vTOXXeYg_8_0"/>
      <w:bookmarkStart w:id="59" w:name="Tc_ZGEZY77G9EiGIylpbzAhQg_7_0"/>
      <w:bookmarkStart w:id="60" w:name="Tc_oMOkPKhhik6GqGbsNmoN7Q_6_0"/>
      <w:bookmarkStart w:id="61" w:name="Tc_rM5CR_UDeU6unaHQUOBQ8A_5_5"/>
      <w:bookmarkStart w:id="62" w:name="Tc_EkyQSMYSJUenpWv4vAqJuA_5_2"/>
      <w:bookmarkStart w:id="63" w:name="Tc_5T9RMEGbwkqb2E8JJIaGhw_5_0"/>
      <w:bookmarkStart w:id="64" w:name="Tc_65ky-DGXqEyWQ_wvClJlZA_4_0"/>
      <w:bookmarkStart w:id="65" w:name="Tc_wZhP-tG6SEGKnaCHv-fmkg_3_0"/>
      <w:bookmarkStart w:id="66" w:name="Tc_-BKeESRn_U6MyMYW-KERYw_2_5"/>
      <w:bookmarkStart w:id="67" w:name="Tc_2DVM9DyLHUSnqaQV4fRjBQ_2_2"/>
      <w:bookmarkStart w:id="68" w:name="Tc_e2-95L8QwUemVEmxs6Al-w_1_5"/>
      <w:bookmarkStart w:id="69" w:name="Tc_CgXI-wS8lkqPsTgZuDszTw_1_2"/>
      <w:bookmarkStart w:id="70" w:name="_1a341834_fd8a_4ea7_8c9b_3c4775173112"/>
      <w:bookmarkStart w:id="71" w:name="Tc_ADg1E0nFiEiI7aGp3-f2eg_33_5"/>
      <w:bookmarkStart w:id="72" w:name="Tc_Ta-JlRfUg02Mp2BOLPncyA_33_2"/>
      <w:bookmarkStart w:id="73" w:name="Tc_h3A_jOI9g0aNEmeOP6iATA_33_0"/>
      <w:bookmarkStart w:id="74" w:name="Tc_aUocm3DB_keQwmhvPzQ4kA_32_0"/>
      <w:bookmarkStart w:id="75" w:name="Tc_huPELRTxX0Kk1b0gIamwvA_31_0"/>
      <w:bookmarkStart w:id="76" w:name="Tc_5C5bfS7aGUCjWEWZB3sChw_30_0"/>
      <w:bookmarkStart w:id="77" w:name="Tc_MVMdwR5XkEO4J_wAHPVAQw_29_0"/>
      <w:bookmarkStart w:id="78" w:name="Tc_aLna9Hub3U2wwiMuFIuLoA_28_0"/>
      <w:bookmarkStart w:id="79" w:name="Tc_pbgodYdGaUi9OHAFubmP1Q_27_0"/>
      <w:bookmarkStart w:id="80" w:name="Tc_KN2iNNsJ-UGB2vg5AX6k6g_26_0"/>
      <w:bookmarkStart w:id="81" w:name="Tc_FWBwdpp3pU-nMoIIDvNtIA_25_0"/>
      <w:bookmarkStart w:id="82" w:name="Tc_FLE6vFt8uEmh-UhOG1N9xw_24_0"/>
      <w:bookmarkStart w:id="83" w:name="Tc_kA_h82HrAkOPyF0jyJG8gg_23_0"/>
      <w:bookmarkStart w:id="84" w:name="Tc_VC3Z9zG1LEmpkoBEuIbS4w_22_0"/>
      <w:bookmarkStart w:id="85" w:name="Tc_uN13P50-vESjWXm_LgagDg_21_0"/>
      <w:bookmarkStart w:id="86" w:name="Tc_ieALNKOdPUCNk_Q8eSBtyA_20_0"/>
      <w:bookmarkStart w:id="87" w:name="Tc_n6qYFVgYdU2JG_U_Jx42Ig_19_0"/>
      <w:bookmarkStart w:id="88" w:name="Tc_POzpZkx4iEmQZfOy2NXqHQ_18_0"/>
      <w:bookmarkStart w:id="89" w:name="Tc_FN1uQHVpW0CK_navypXFUQ_17_5"/>
      <w:bookmarkStart w:id="90" w:name="Tc_GI0w7oZUIkKATfrVbJ6h_w_17_2"/>
      <w:bookmarkStart w:id="91" w:name="Tc_DdlQUYsCME-iAQA9e7nnvQ_17_0"/>
      <w:bookmarkStart w:id="92" w:name="Tc_arvGCXuJ10qKfZDxrgTc7g_16_0"/>
      <w:bookmarkStart w:id="93" w:name="Tc_ZfkYwJkco0Cjt0wCDSwMuw_15_0"/>
      <w:bookmarkStart w:id="94" w:name="Tc_TJx-Ym8oQUO0h-Jg-kSdJA_14_5"/>
      <w:bookmarkStart w:id="95" w:name="Tc_q5Q06L0_dkWfhUf6cXI4iQ_14_2"/>
      <w:bookmarkStart w:id="96" w:name="Tc_lJ4aG9ZpkU-2zrQEcRTBqw_14_0"/>
      <w:bookmarkStart w:id="97" w:name="Tc_3ChK-rK6NkmDqWbJjJHOoQ_13_0"/>
      <w:bookmarkStart w:id="98" w:name="Tc_RdQvvcE5UkSejMrXExK1bg_12_0"/>
      <w:bookmarkStart w:id="99" w:name="Tc_tos7mYDDBUS2wpIDiRWt2Q_11_0"/>
      <w:bookmarkStart w:id="100" w:name="Tc_mmZqfg0IZkCT0Mq89EzGNA_10_0"/>
      <w:bookmarkStart w:id="101" w:name="Tc_7KODRD6M_0-js_LqkHtJyQ_9_0"/>
      <w:bookmarkStart w:id="102" w:name="Tc_yexAVL-8x0m9i0vTOXXeYg_8_0"/>
      <w:bookmarkStart w:id="103" w:name="Tc_ZGEZY77G9EiGIylpbzAhQg_7_0"/>
      <w:bookmarkStart w:id="104" w:name="Tc_oMOkPKhhik6GqGbsNmoN7Q_6_0"/>
      <w:bookmarkStart w:id="105" w:name="Tc_rM5CR_UDeU6unaHQUOBQ8A_5_5"/>
      <w:bookmarkStart w:id="106" w:name="Tc_EkyQSMYSJUenpWv4vAqJuA_5_2"/>
      <w:bookmarkStart w:id="107" w:name="Tc_5T9RMEGbwkqb2E8JJIaGhw_5_0"/>
      <w:bookmarkStart w:id="108" w:name="Tc_65ky-DGXqEyWQ_wvClJlZA_4_0"/>
      <w:bookmarkStart w:id="109" w:name="Tc_wZhP-tG6SEGKnaCHv-fmkg_3_0"/>
      <w:bookmarkStart w:id="110" w:name="Tc_-BKeESRn_U6MyMYW-KERYw_2_5"/>
      <w:bookmarkStart w:id="111" w:name="Tc_2DVM9DyLHUSnqaQV4fRjBQ_2_2"/>
      <w:bookmarkStart w:id="112" w:name="Tc_e2-95L8QwUemVEmxs6Al-w_1_5"/>
      <w:bookmarkStart w:id="113" w:name="Tc_CgXI-wS8lkqPsTgZuDszTw_1_2"/>
      <w:bookmarkStart w:id="114" w:name="_1a341834_fd8a_4ea7_8c9b_3c477517311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tbl>
      <w:tblPr>
        <w:tblW w:w="10205" w:type="dxa"/>
        <w:jc w:val="left"/>
        <w:tblInd w:w="0" w:type="dxa"/>
        <w:tblLayout w:type="fixed"/>
        <w:tblCellMar>
          <w:top w:w="0" w:type="dxa"/>
          <w:left w:w="0" w:type="dxa"/>
          <w:bottom w:w="0" w:type="dxa"/>
          <w:right w:w="0" w:type="dxa"/>
        </w:tblCellMar>
      </w:tblPr>
      <w:tblGrid>
        <w:gridCol w:w="7012"/>
        <w:gridCol w:w="346"/>
        <w:gridCol w:w="211"/>
        <w:gridCol w:w="1016"/>
        <w:gridCol w:w="346"/>
        <w:gridCol w:w="211"/>
        <w:gridCol w:w="1063"/>
      </w:tblGrid>
      <w:tr>
        <w:trPr/>
        <w:tc>
          <w:tcPr>
            <w:tcW w:w="7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52620" cy="175260"/>
                      <wp:effectExtent l="0" t="0" r="0" b="0"/>
                      <wp:wrapNone/>
                      <wp:docPr id="1" name="Frame1"/>
                      <a:graphic xmlns:a="http://schemas.openxmlformats.org/drawingml/2006/main">
                        <a:graphicData uri="http://schemas.microsoft.com/office/word/2010/wordprocessingShape">
                          <wps:wsp>
                            <wps:cNvSpPr txBox="1"/>
                            <wps:spPr>
                              <a:xfrm>
                                <a:off x="0" y="0"/>
                                <a:ext cx="445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5160" cy="175260"/>
                      <wp:effectExtent l="0" t="0" r="0" b="0"/>
                      <wp:wrapNone/>
                      <wp:docPr id="4" name="Frame4"/>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75005" cy="175260"/>
                      <wp:effectExtent l="0" t="0" r="0" b="0"/>
                      <wp:wrapNone/>
                      <wp:docPr id="7" name="Frame7"/>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28,871</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670,133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489,702</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and other receivables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and other current assets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14,076</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current assets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724,931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534,664</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net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5,334</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13,358</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assets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782,349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582,983</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47,029</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50,991</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55,818</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preferred stock, $.01 par value; 3,000,000 shares authorized; no shares issued and outstanding at June 30,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297,000,000 shares authorized; 78,500,173 and 66,549,442 shares issued and outstanding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2,679,356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2,337,453</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3,626</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(1,966,169)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(1,813,981)</w:t>
            </w:r>
          </w:p>
        </w:tc>
      </w:tr>
      <w:tr>
        <w:trPr/>
        <w:tc>
          <w:tcPr>
            <w:tcW w:w="70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714,564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527,165</w:t>
            </w:r>
          </w:p>
        </w:tc>
      </w:tr>
      <w:tr>
        <w:trPr/>
        <w:tc>
          <w:tcPr>
            <w:tcW w:w="70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582,983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5" w:name="_a5f24b29_ecf3_4e03_9a40_232dbc9d1bf3"/>
      <w:bookmarkEnd w:id="115"/>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116" w:name="CONDENSEDCONSOLIDATEDSTATEMENTSOFOPERATI"/>
      <w:bookmarkEnd w:id="116"/>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7" w:name="Tc_m7G6lZhUR0-SuQ-JwCgEJA_25_11"/>
      <w:bookmarkStart w:id="118" w:name="Tc_L0fhRj3240qJPpQiKJtIAQ_25_8"/>
      <w:bookmarkStart w:id="119" w:name="Tc_DMrEEH4gk0qa7wU_EzspHQ_25_5"/>
      <w:bookmarkStart w:id="120" w:name="Tc_4HsYQFNGbEGEbPtRf715Bw_25_2"/>
      <w:bookmarkStart w:id="121" w:name="Tc_VbZCGDT3dEORF22NEXgKMg_25_0"/>
      <w:bookmarkStart w:id="122" w:name="Tc_bec35om1lUGvd4uXMYaYQQ_24_0"/>
      <w:bookmarkStart w:id="123" w:name="Tc_CGKwnW3ewE2c8-3G4f5oHA_23_0"/>
      <w:bookmarkStart w:id="124" w:name="Tc_DvHSWcu2g023u5EEOksGTQ_22_11"/>
      <w:bookmarkStart w:id="125" w:name="Tc_W3L3euMU_kCOKsMk-smgrg_22_8"/>
      <w:bookmarkStart w:id="126" w:name="Tc_rAi0GQHlMEO1VJmDo3rLXg_22_5"/>
      <w:bookmarkStart w:id="127" w:name="Tc_smmVNj6e2kmGgGBIIGdDaQ_22_2"/>
      <w:bookmarkStart w:id="128" w:name="Tc_M6qxYFf6T0GEsQnMg9PyCg_22_0"/>
      <w:bookmarkStart w:id="129" w:name="Tc_xdZO_KAN30aWj9EM-5Bo8g_21_0"/>
      <w:bookmarkStart w:id="130" w:name="Tc__A3tgLGnP0CeMXmLEmhkxQ_19_0"/>
      <w:bookmarkStart w:id="131" w:name="Tc_0L-XTLROikm3krH_Pm2SnQ_17_11"/>
      <w:bookmarkStart w:id="132" w:name="Tc_pWVzCg_XeEWbwp28dAq7vQ_17_8"/>
      <w:bookmarkStart w:id="133" w:name="Tc_ZXqpYNvvm0SfUnSU0Atfmw_17_5"/>
      <w:bookmarkStart w:id="134" w:name="Tc_C3hVEYsEk0iDTUKmM9gYPw_17_2"/>
      <w:bookmarkStart w:id="135" w:name="Tc_WBBl9qnHc0qPERCf6VCLiQ_17_0"/>
      <w:bookmarkStart w:id="136" w:name="Tc_wnPVc2brhUeW5QWnHmmt9g_15_11"/>
      <w:bookmarkStart w:id="137" w:name="Tc_RPusHpyuw0u5mxVXCRiinw_15_8"/>
      <w:bookmarkStart w:id="138" w:name="Tc_Uv8rCd_7KEiu4lbFDYlUNA_15_5"/>
      <w:bookmarkStart w:id="139" w:name="Tc_cfs0C4s0502X-0G9OK8ARg_15_2"/>
      <w:bookmarkStart w:id="140" w:name="Tc_gC7hOMKDUEyIXkmw-hAZGA_15_0"/>
      <w:bookmarkStart w:id="141" w:name="Tc_tr3M__j5GUiDyl3SMx7IrQ_14_0"/>
      <w:bookmarkStart w:id="142" w:name="Tc_cRkRG_M_jEm-ito8dgFgCQ_13_0"/>
      <w:bookmarkStart w:id="143" w:name="Tc_pRuZslGzlUGbRip__oWWmg_11_0"/>
      <w:bookmarkStart w:id="144" w:name="Tc_KqgeUJqeo0O0EfsNQjhnDQ_10_0"/>
      <w:bookmarkStart w:id="145" w:name="Tc_tTkLx_KnHU-UdIfpAuBExg_9_0"/>
      <w:bookmarkStart w:id="146" w:name="Tc_eze33cjl_UaLVr5JJfkrCQ_8_0"/>
      <w:bookmarkStart w:id="147" w:name="Tc_U4n1VzJsCkqhmKkgdDfD0Q_6_0"/>
      <w:bookmarkStart w:id="148" w:name="Tc_FhjHDSvdPUG8PBInTN6dhw_5_0"/>
      <w:bookmarkStart w:id="149" w:name="Tc_AJTSEpSURUCIRklWVVSCew_4_11"/>
      <w:bookmarkStart w:id="150" w:name="Tc_q6QPBGdDWUq1Efe7e2x9GQ_4_8"/>
      <w:bookmarkStart w:id="151" w:name="Tc_F4dZMBE-DkGFartFdEkiyw_4_5"/>
      <w:bookmarkStart w:id="152" w:name="Tc_xXuqGZNDwkaewg_SbXmHGw_4_2"/>
      <w:bookmarkStart w:id="153" w:name="Tc_NsgGX2ib90iVVAZvk_He0w_4_0"/>
      <w:bookmarkStart w:id="154" w:name="Tc_Z9WVfCT7V0CSME8Datx6DA_3_0"/>
      <w:bookmarkStart w:id="155" w:name="Tc_fdo4kX0XOkatv-_YJuBYqg_2_11"/>
      <w:bookmarkStart w:id="156" w:name="Tc_Cu7eavrfJ0eYJhLJ2s69yg_2_8"/>
      <w:bookmarkStart w:id="157" w:name="Tc_G6s5x4Ea-0WdrRboLCnFww_2_5"/>
      <w:bookmarkStart w:id="158" w:name="Tc_glGRrTvx8kaCBjKRb_itDw_2_2"/>
      <w:bookmarkStart w:id="159" w:name="Tc_CXAt-uBqNEKUOZekeWnvyw_1_11"/>
      <w:bookmarkStart w:id="160" w:name="Tc_KODxAJYJM0yF0NAI-ckixg_1_8"/>
      <w:bookmarkStart w:id="161" w:name="Tc_YUvieXFNwEy6oUFnKpkaNQ_1_5"/>
      <w:bookmarkStart w:id="162" w:name="Tc_d6coBLFAM06U6oNebCOUEQ_1_2"/>
      <w:bookmarkStart w:id="163" w:name="_be025735_3b83_40c4_9871_d6089a032502"/>
      <w:bookmarkStart w:id="164" w:name="_d47e9ac3_9f28_48aa_849a_efdebf818e65"/>
      <w:bookmarkStart w:id="165" w:name="Tc_m7G6lZhUR0-SuQ-JwCgEJA_25_11"/>
      <w:bookmarkStart w:id="166" w:name="Tc_L0fhRj3240qJPpQiKJtIAQ_25_8"/>
      <w:bookmarkStart w:id="167" w:name="Tc_DMrEEH4gk0qa7wU_EzspHQ_25_5"/>
      <w:bookmarkStart w:id="168" w:name="Tc_4HsYQFNGbEGEbPtRf715Bw_25_2"/>
      <w:bookmarkStart w:id="169" w:name="Tc_VbZCGDT3dEORF22NEXgKMg_25_0"/>
      <w:bookmarkStart w:id="170" w:name="Tc_bec35om1lUGvd4uXMYaYQQ_24_0"/>
      <w:bookmarkStart w:id="171" w:name="Tc_CGKwnW3ewE2c8-3G4f5oHA_23_0"/>
      <w:bookmarkStart w:id="172" w:name="Tc_DvHSWcu2g023u5EEOksGTQ_22_11"/>
      <w:bookmarkStart w:id="173" w:name="Tc_W3L3euMU_kCOKsMk-smgrg_22_8"/>
      <w:bookmarkStart w:id="174" w:name="Tc_rAi0GQHlMEO1VJmDo3rLXg_22_5"/>
      <w:bookmarkStart w:id="175" w:name="Tc_smmVNj6e2kmGgGBIIGdDaQ_22_2"/>
      <w:bookmarkStart w:id="176" w:name="Tc_M6qxYFf6T0GEsQnMg9PyCg_22_0"/>
      <w:bookmarkStart w:id="177" w:name="Tc_xdZO_KAN30aWj9EM-5Bo8g_21_0"/>
      <w:bookmarkStart w:id="178" w:name="Tc__A3tgLGnP0CeMXmLEmhkxQ_19_0"/>
      <w:bookmarkStart w:id="179" w:name="Tc_0L-XTLROikm3krH_Pm2SnQ_17_11"/>
      <w:bookmarkStart w:id="180" w:name="Tc_pWVzCg_XeEWbwp28dAq7vQ_17_8"/>
      <w:bookmarkStart w:id="181" w:name="Tc_ZXqpYNvvm0SfUnSU0Atfmw_17_5"/>
      <w:bookmarkStart w:id="182" w:name="Tc_C3hVEYsEk0iDTUKmM9gYPw_17_2"/>
      <w:bookmarkStart w:id="183" w:name="Tc_WBBl9qnHc0qPERCf6VCLiQ_17_0"/>
      <w:bookmarkStart w:id="184" w:name="Tc_wnPVc2brhUeW5QWnHmmt9g_15_11"/>
      <w:bookmarkStart w:id="185" w:name="Tc_RPusHpyuw0u5mxVXCRiinw_15_8"/>
      <w:bookmarkStart w:id="186" w:name="Tc_Uv8rCd_7KEiu4lbFDYlUNA_15_5"/>
      <w:bookmarkStart w:id="187" w:name="Tc_cfs0C4s0502X-0G9OK8ARg_15_2"/>
      <w:bookmarkStart w:id="188" w:name="Tc_gC7hOMKDUEyIXkmw-hAZGA_15_0"/>
      <w:bookmarkStart w:id="189" w:name="Tc_tr3M__j5GUiDyl3SMx7IrQ_14_0"/>
      <w:bookmarkStart w:id="190" w:name="Tc_cRkRG_M_jEm-ito8dgFgCQ_13_0"/>
      <w:bookmarkStart w:id="191" w:name="Tc_pRuZslGzlUGbRip__oWWmg_11_0"/>
      <w:bookmarkStart w:id="192" w:name="Tc_KqgeUJqeo0O0EfsNQjhnDQ_10_0"/>
      <w:bookmarkStart w:id="193" w:name="Tc_tTkLx_KnHU-UdIfpAuBExg_9_0"/>
      <w:bookmarkStart w:id="194" w:name="Tc_eze33cjl_UaLVr5JJfkrCQ_8_0"/>
      <w:bookmarkStart w:id="195" w:name="Tc_U4n1VzJsCkqhmKkgdDfD0Q_6_0"/>
      <w:bookmarkStart w:id="196" w:name="Tc_FhjHDSvdPUG8PBInTN6dhw_5_0"/>
      <w:bookmarkStart w:id="197" w:name="Tc_AJTSEpSURUCIRklWVVSCew_4_11"/>
      <w:bookmarkStart w:id="198" w:name="Tc_q6QPBGdDWUq1Efe7e2x9GQ_4_8"/>
      <w:bookmarkStart w:id="199" w:name="Tc_F4dZMBE-DkGFartFdEkiyw_4_5"/>
      <w:bookmarkStart w:id="200" w:name="Tc_xXuqGZNDwkaewg_SbXmHGw_4_2"/>
      <w:bookmarkStart w:id="201" w:name="Tc_NsgGX2ib90iVVAZvk_He0w_4_0"/>
      <w:bookmarkStart w:id="202" w:name="Tc_Z9WVfCT7V0CSME8Datx6DA_3_0"/>
      <w:bookmarkStart w:id="203" w:name="Tc_fdo4kX0XOkatv-_YJuBYqg_2_11"/>
      <w:bookmarkStart w:id="204" w:name="Tc_Cu7eavrfJ0eYJhLJ2s69yg_2_8"/>
      <w:bookmarkStart w:id="205" w:name="Tc_G6s5x4Ea-0WdrRboLCnFww_2_5"/>
      <w:bookmarkStart w:id="206" w:name="Tc_glGRrTvx8kaCBjKRb_itDw_2_2"/>
      <w:bookmarkStart w:id="207" w:name="Tc_CXAt-uBqNEKUOZekeWnvyw_1_11"/>
      <w:bookmarkStart w:id="208" w:name="Tc_KODxAJYJM0yF0NAI-ckixg_1_8"/>
      <w:bookmarkStart w:id="209" w:name="Tc_YUvieXFNwEy6oUFnKpkaNQ_1_5"/>
      <w:bookmarkStart w:id="210" w:name="Tc_d6coBLFAM06U6oNebCOUEQ_1_2"/>
      <w:bookmarkStart w:id="211" w:name="_be025735_3b83_40c4_9871_d6089a032502"/>
      <w:bookmarkStart w:id="212" w:name="_d47e9ac3_9f28_48aa_849a_efdebf818e65"/>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tbl>
      <w:tblPr>
        <w:tblW w:w="10205" w:type="dxa"/>
        <w:jc w:val="left"/>
        <w:tblInd w:w="0" w:type="dxa"/>
        <w:tblLayout w:type="fixed"/>
        <w:tblCellMar>
          <w:top w:w="0" w:type="dxa"/>
          <w:left w:w="0" w:type="dxa"/>
          <w:bottom w:w="0" w:type="dxa"/>
          <w:right w:w="0" w:type="dxa"/>
        </w:tblCellMar>
      </w:tblPr>
      <w:tblGrid>
        <w:gridCol w:w="3371"/>
        <w:gridCol w:w="346"/>
        <w:gridCol w:w="345"/>
        <w:gridCol w:w="1057"/>
        <w:gridCol w:w="346"/>
        <w:gridCol w:w="345"/>
        <w:gridCol w:w="1057"/>
        <w:gridCol w:w="346"/>
        <w:gridCol w:w="276"/>
        <w:gridCol w:w="1023"/>
        <w:gridCol w:w="346"/>
        <w:gridCol w:w="273"/>
        <w:gridCol w:w="1074"/>
      </w:tblGrid>
      <w:tr>
        <w:trPr/>
        <w:tc>
          <w:tcPr>
            <w:tcW w:w="3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40585" cy="175260"/>
                      <wp:effectExtent l="0" t="0" r="0" b="0"/>
                      <wp:wrapNone/>
                      <wp:docPr id="8" name="Frame8"/>
                      <a:graphic xmlns:a="http://schemas.openxmlformats.org/drawingml/2006/main">
                        <a:graphicData uri="http://schemas.microsoft.com/office/word/2010/wordprocessingShape">
                          <wps:wsp>
                            <wps:cNvSpPr txBox="1"/>
                            <wps:spPr>
                              <a:xfrm>
                                <a:off x="0" y="0"/>
                                <a:ext cx="214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075" cy="175260"/>
                      <wp:effectExtent l="0" t="0" r="0" b="0"/>
                      <wp:wrapNone/>
                      <wp:docPr id="10" name="Frame10"/>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71195" cy="175260"/>
                      <wp:effectExtent l="0" t="0" r="0" b="0"/>
                      <wp:wrapNone/>
                      <wp:docPr id="11" name="Frame11"/>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075" cy="175260"/>
                      <wp:effectExtent l="0" t="0" r="0" b="0"/>
                      <wp:wrapNone/>
                      <wp:docPr id="13" name="Frame13"/>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71195" cy="175260"/>
                      <wp:effectExtent l="0" t="0" r="0" b="0"/>
                      <wp:wrapNone/>
                      <wp:docPr id="14" name="Frame14"/>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75260" cy="175260"/>
                      <wp:effectExtent l="0" t="0" r="0" b="0"/>
                      <wp:wrapNone/>
                      <wp:docPr id="16" name="Frame16"/>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9605" cy="175260"/>
                      <wp:effectExtent l="0" t="0" r="0" b="0"/>
                      <wp:wrapNone/>
                      <wp:docPr id="17" name="Frame17"/>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73355" cy="175260"/>
                      <wp:effectExtent l="0" t="0" r="0" b="0"/>
                      <wp:wrapNone/>
                      <wp:docPr id="19" name="Frame19"/>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81990" cy="175260"/>
                      <wp:effectExtent l="0" t="0" r="0" b="0"/>
                      <wp:wrapNone/>
                      <wp:docPr id="20" name="Frame20"/>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4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2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3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4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left"/>
              <w:rPr/>
            </w:pPr>
            <w:r>
              <w:rPr/>
              <w:t>  ​ ​ ​</w:t>
            </w:r>
          </w:p>
        </w:tc>
        <w:tc>
          <w:tcPr>
            <w:tcW w:w="12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3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33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right"/>
              <w:rPr/>
            </w:pPr>
            <w:r>
              <w:rPr/>
              <w:t>​</w:t>
            </w:r>
          </w:p>
        </w:tc>
      </w:tr>
      <w:tr>
        <w:trPr/>
        <w:tc>
          <w:tcPr>
            <w:tcW w:w="33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3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r>
      <w:tr>
        <w:trPr/>
        <w:tc>
          <w:tcPr>
            <w:tcW w:w="33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r>
      <w:tr>
        <w:trPr/>
        <w:tc>
          <w:tcPr>
            <w:tcW w:w="33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right"/>
              <w:rPr/>
            </w:pPr>
            <w:r>
              <w:rPr/>
              <w:t>​</w:t>
            </w:r>
          </w:p>
        </w:tc>
      </w:tr>
      <w:tr>
        <w:trPr/>
        <w:tc>
          <w:tcPr>
            <w:tcW w:w="337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right"/>
              <w:rPr/>
            </w:pPr>
            <w:r>
              <w:rPr/>
              <w:t>​</w:t>
            </w:r>
          </w:p>
        </w:tc>
      </w:tr>
      <w:tr>
        <w:trPr/>
        <w:tc>
          <w:tcPr>
            <w:tcW w:w="33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67,542</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54,196</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140,543</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106,810</w:t>
            </w:r>
          </w:p>
        </w:tc>
      </w:tr>
      <w:tr>
        <w:trPr/>
        <w:tc>
          <w:tcPr>
            <w:tcW w:w="33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13,103</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10,391</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24,552</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21,211</w:t>
            </w:r>
          </w:p>
        </w:tc>
      </w:tr>
      <w:tr>
        <w:trPr/>
        <w:tc>
          <w:tcPr>
            <w:tcW w:w="33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80,645</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64,587</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165,095</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128,021</w:t>
            </w:r>
          </w:p>
        </w:tc>
      </w:tr>
      <w:tr>
        <w:trPr/>
        <w:tc>
          <w:tcPr>
            <w:tcW w:w="3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right"/>
              <w:rPr/>
            </w:pPr>
            <w:r>
              <w:rPr/>
              <w:t>​</w:t>
            </w:r>
          </w:p>
        </w:tc>
      </w:tr>
      <w:tr>
        <w:trPr/>
        <w:tc>
          <w:tcPr>
            <w:tcW w:w="33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(80,623)</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(63,857)</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(165,058)</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(126,597)</w:t>
            </w:r>
          </w:p>
        </w:tc>
      </w:tr>
      <w:tr>
        <w:trPr/>
        <w:tc>
          <w:tcPr>
            <w:tcW w:w="33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7,120</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7,257</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12,870</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16,201</w:t>
            </w:r>
          </w:p>
        </w:tc>
      </w:tr>
      <w:tr>
        <w:trPr/>
        <w:tc>
          <w:tcPr>
            <w:tcW w:w="33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(73,503)</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(56,600)</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(152,188)</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(110,396)</w:t>
            </w:r>
          </w:p>
        </w:tc>
      </w:tr>
      <w:tr>
        <w:trPr/>
        <w:tc>
          <w:tcPr>
            <w:tcW w:w="3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right"/>
              <w:rPr/>
            </w:pPr>
            <w:r>
              <w:rPr/>
              <w:t>​</w:t>
            </w:r>
          </w:p>
        </w:tc>
      </w:tr>
      <w:tr>
        <w:trPr/>
        <w:tc>
          <w:tcPr>
            <w:tcW w:w="33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(0.85)</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3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right"/>
              <w:rPr/>
            </w:pPr>
            <w:r>
              <w:rPr/>
              <w:t>​</w:t>
            </w:r>
          </w:p>
        </w:tc>
      </w:tr>
      <w:tr>
        <w:trPr/>
        <w:tc>
          <w:tcPr>
            <w:tcW w:w="33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calculating basic and diluted net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77,840</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66,392</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72,234</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66,388</w:t>
            </w:r>
          </w:p>
        </w:tc>
      </w:tr>
      <w:tr>
        <w:trPr/>
        <w:tc>
          <w:tcPr>
            <w:tcW w:w="3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right"/>
              <w:rPr/>
            </w:pPr>
            <w:r>
              <w:rPr/>
              <w:t>​</w:t>
            </w:r>
          </w:p>
        </w:tc>
      </w:tr>
      <w:tr>
        <w:trPr/>
        <w:tc>
          <w:tcPr>
            <w:tcW w:w="33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right"/>
              <w:rPr/>
            </w:pPr>
            <w:r>
              <w:rPr/>
              <w:t>​</w:t>
            </w:r>
          </w:p>
        </w:tc>
      </w:tr>
      <w:tr>
        <w:trPr/>
        <w:tc>
          <w:tcPr>
            <w:tcW w:w="33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(73,503)</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(56,600)</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(152,188)</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(110,396)</w:t>
            </w:r>
          </w:p>
        </w:tc>
      </w:tr>
      <w:tr>
        <w:trPr/>
        <w:tc>
          <w:tcPr>
            <w:tcW w:w="33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right"/>
              <w:rPr/>
            </w:pPr>
            <w:r>
              <w:rPr/>
              <w:t>​</w:t>
            </w:r>
          </w:p>
        </w:tc>
      </w:tr>
      <w:tr>
        <w:trPr/>
        <w:tc>
          <w:tcPr>
            <w:tcW w:w="33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gain on marketable securities</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3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(74,727)</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(56,829)</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(154,516)</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(110,371)</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3" w:name="_ebcca378_834a_49b4_b374_68a6bbf0b82a"/>
      <w:bookmarkEnd w:id="213"/>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14" w:name="CONDENSEDCONSOLIDATEDSTATEMENTSOFCASHFLO"/>
      <w:bookmarkEnd w:id="214"/>
      <w:r>
        <w:rPr>
          <w:rFonts w:ascii="Times New Roman;Times;serif" w:hAnsi="Times New Roman;Times;serif"/>
          <w:b/>
          <w:sz w:val="20"/>
        </w:rPr>
        <w:t>CONDENSED CONSOLIDATED STATEMENTS OF CASH FLOWS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15" w:name="Tc_Qp2XgZTgMEqIATwNWUAwlA_32_5"/>
      <w:bookmarkStart w:id="216" w:name="Tc_TMINOheE7EqzBbABeifAbQ_32_2"/>
      <w:bookmarkStart w:id="217" w:name="Tc_mPp1xOLU5kGQ5lCdEjpT9A_32_0"/>
      <w:bookmarkStart w:id="218" w:name="Tc_67fQy0Wai0GGgHllrHPniw_31_0"/>
      <w:bookmarkStart w:id="219" w:name="Tc_CFj8UA81r0yFVEXeQA9_aQ_29_5"/>
      <w:bookmarkStart w:id="220" w:name="Tc_dBpIgxj9iUeycNh_3p5khQ_29_2"/>
      <w:bookmarkStart w:id="221" w:name="Tc_HOgCGrMolE21reQIiL_Igg_29_0"/>
      <w:bookmarkStart w:id="222" w:name="Tc_7g1BkQfIv0qVo0GIr1nTDQ_28_0"/>
      <w:bookmarkStart w:id="223" w:name="Tc_UYMgSuLBykOBdEb-qYeyRg_27_0"/>
      <w:bookmarkStart w:id="224" w:name="Tc_-vxzlh3JYE-zdNHe-BjoAA_25_0"/>
      <w:bookmarkStart w:id="225" w:name="Tc_MjU1XnTTxEiE0nj0qSv3Dw_24_0"/>
      <w:bookmarkStart w:id="226" w:name="Tc_HjBJqC268UWPVHTVnmVXxg_23_6"/>
      <w:bookmarkStart w:id="227" w:name="Tc_auIKlMwB2UiouuJokf5k1g_23_0"/>
      <w:bookmarkStart w:id="228" w:name="Tc_ulL-r6d6UEuWo_mPo8Dy3A_22_0"/>
      <w:bookmarkStart w:id="229" w:name="Tc_VtYVPYwUR0SVIws6Zuzs-Q_21_0"/>
      <w:bookmarkStart w:id="230" w:name="Tc_LMVunMGUe0W2KksS7wFoXA_20_0"/>
      <w:bookmarkStart w:id="231" w:name="Tc_4y5rYQ4NP02_1UkkkVI_ng_19_0"/>
      <w:bookmarkStart w:id="232" w:name="Tc_Xcy1zN95S0CGLuGvmbyMjQ_18_0"/>
      <w:bookmarkStart w:id="233" w:name="Tc_y0cIa1j-ZE-kIpu5Q3rv4g_17_0"/>
      <w:bookmarkStart w:id="234" w:name="Tc_Se1errBMG0qUr3g81rQFww_16_0"/>
      <w:bookmarkStart w:id="235" w:name="Tc_C-nXGcTcKU-NTZbtLcAQsA_15_0"/>
      <w:bookmarkStart w:id="236" w:name="Tc_eGhymV-xh0CbhkmqcAHLEA_14_0"/>
      <w:bookmarkStart w:id="237" w:name="Tc_So28z4YKeUOodsrNBXf2GA_13_0"/>
      <w:bookmarkStart w:id="238" w:name="Tc_4P-seR2xH0eNERzgCAjRRA_12_0"/>
      <w:bookmarkStart w:id="239" w:name="Tc_yFo_kJPAs0WmlGB5JBfnEw_11_0"/>
      <w:bookmarkStart w:id="240" w:name="Tc_NwHJAsijqk6888aeqHycug_10_0"/>
      <w:bookmarkStart w:id="241" w:name="Tc_RkGS9rLjJUuTgGAy-33SYA_9_0"/>
      <w:bookmarkStart w:id="242" w:name="Tc_o7pv5ZZuvE2ROsmOs_qnsg_8_0"/>
      <w:bookmarkStart w:id="243" w:name="Tc_NrW5D0s90U6a47bySsAf8w_7_0"/>
      <w:bookmarkStart w:id="244" w:name="Tc_z3mTyQ7J1kqwl54OhpU2RQ_6_0"/>
      <w:bookmarkStart w:id="245" w:name="Tc_6aUQbjYxvE--1y1zQ81vnA_5_0"/>
      <w:bookmarkStart w:id="246" w:name="Tc_JQxAIhE3gEap031sh8-DpA_4_5"/>
      <w:bookmarkStart w:id="247" w:name="Tc_3d2REmGRVUq-JOaHQMGu2A_4_2"/>
      <w:bookmarkStart w:id="248" w:name="Tc_-eCuiH5fiUWfi1YdH4RZdg_4_0"/>
      <w:bookmarkStart w:id="249" w:name="Tc_2i3tj7sM6EaN68mbn1vx6g_3_0"/>
      <w:bookmarkStart w:id="250" w:name="Tc_7ghU3M0ob0ubjgMfdKECzA_2_5"/>
      <w:bookmarkStart w:id="251" w:name="Tc_xbY2KJD8QUGadlKhd0A0mg_2_2"/>
      <w:bookmarkStart w:id="252" w:name="Tc_3CGKraVkkUWpk_4LudL0DA_1_5"/>
      <w:bookmarkStart w:id="253" w:name="Tc_1AUvaWi830GohFyz_-arDg_1_2"/>
      <w:bookmarkStart w:id="254" w:name="_9e3ec5e0_fdee_406d_b344_18d05335fb2c"/>
      <w:bookmarkStart w:id="255" w:name="Tc_Qp2XgZTgMEqIATwNWUAwlA_32_5"/>
      <w:bookmarkStart w:id="256" w:name="Tc_TMINOheE7EqzBbABeifAbQ_32_2"/>
      <w:bookmarkStart w:id="257" w:name="Tc_mPp1xOLU5kGQ5lCdEjpT9A_32_0"/>
      <w:bookmarkStart w:id="258" w:name="Tc_67fQy0Wai0GGgHllrHPniw_31_0"/>
      <w:bookmarkStart w:id="259" w:name="Tc_CFj8UA81r0yFVEXeQA9_aQ_29_5"/>
      <w:bookmarkStart w:id="260" w:name="Tc_dBpIgxj9iUeycNh_3p5khQ_29_2"/>
      <w:bookmarkStart w:id="261" w:name="Tc_HOgCGrMolE21reQIiL_Igg_29_0"/>
      <w:bookmarkStart w:id="262" w:name="Tc_7g1BkQfIv0qVo0GIr1nTDQ_28_0"/>
      <w:bookmarkStart w:id="263" w:name="Tc_UYMgSuLBykOBdEb-qYeyRg_27_0"/>
      <w:bookmarkStart w:id="264" w:name="Tc_-vxzlh3JYE-zdNHe-BjoAA_25_0"/>
      <w:bookmarkStart w:id="265" w:name="Tc_MjU1XnTTxEiE0nj0qSv3Dw_24_0"/>
      <w:bookmarkStart w:id="266" w:name="Tc_HjBJqC268UWPVHTVnmVXxg_23_6"/>
      <w:bookmarkStart w:id="267" w:name="Tc_auIKlMwB2UiouuJokf5k1g_23_0"/>
      <w:bookmarkStart w:id="268" w:name="Tc_ulL-r6d6UEuWo_mPo8Dy3A_22_0"/>
      <w:bookmarkStart w:id="269" w:name="Tc_VtYVPYwUR0SVIws6Zuzs-Q_21_0"/>
      <w:bookmarkStart w:id="270" w:name="Tc_LMVunMGUe0W2KksS7wFoXA_20_0"/>
      <w:bookmarkStart w:id="271" w:name="Tc_4y5rYQ4NP02_1UkkkVI_ng_19_0"/>
      <w:bookmarkStart w:id="272" w:name="Tc_Xcy1zN95S0CGLuGvmbyMjQ_18_0"/>
      <w:bookmarkStart w:id="273" w:name="Tc_y0cIa1j-ZE-kIpu5Q3rv4g_17_0"/>
      <w:bookmarkStart w:id="274" w:name="Tc_Se1errBMG0qUr3g81rQFww_16_0"/>
      <w:bookmarkStart w:id="275" w:name="Tc_C-nXGcTcKU-NTZbtLcAQsA_15_0"/>
      <w:bookmarkStart w:id="276" w:name="Tc_eGhymV-xh0CbhkmqcAHLEA_14_0"/>
      <w:bookmarkStart w:id="277" w:name="Tc_So28z4YKeUOodsrNBXf2GA_13_0"/>
      <w:bookmarkStart w:id="278" w:name="Tc_4P-seR2xH0eNERzgCAjRRA_12_0"/>
      <w:bookmarkStart w:id="279" w:name="Tc_yFo_kJPAs0WmlGB5JBfnEw_11_0"/>
      <w:bookmarkStart w:id="280" w:name="Tc_NwHJAsijqk6888aeqHycug_10_0"/>
      <w:bookmarkStart w:id="281" w:name="Tc_RkGS9rLjJUuTgGAy-33SYA_9_0"/>
      <w:bookmarkStart w:id="282" w:name="Tc_o7pv5ZZuvE2ROsmOs_qnsg_8_0"/>
      <w:bookmarkStart w:id="283" w:name="Tc_NrW5D0s90U6a47bySsAf8w_7_0"/>
      <w:bookmarkStart w:id="284" w:name="Tc_z3mTyQ7J1kqwl54OhpU2RQ_6_0"/>
      <w:bookmarkStart w:id="285" w:name="Tc_6aUQbjYxvE--1y1zQ81vnA_5_0"/>
      <w:bookmarkStart w:id="286" w:name="Tc_JQxAIhE3gEap031sh8-DpA_4_5"/>
      <w:bookmarkStart w:id="287" w:name="Tc_3d2REmGRVUq-JOaHQMGu2A_4_2"/>
      <w:bookmarkStart w:id="288" w:name="Tc_-eCuiH5fiUWfi1YdH4RZdg_4_0"/>
      <w:bookmarkStart w:id="289" w:name="Tc_2i3tj7sM6EaN68mbn1vx6g_3_0"/>
      <w:bookmarkStart w:id="290" w:name="Tc_7ghU3M0ob0ubjgMfdKECzA_2_5"/>
      <w:bookmarkStart w:id="291" w:name="Tc_xbY2KJD8QUGadlKhd0A0mg_2_2"/>
      <w:bookmarkStart w:id="292" w:name="Tc_3CGKraVkkUWpk_4LudL0DA_1_5"/>
      <w:bookmarkStart w:id="293" w:name="Tc_1AUvaWi830GohFyz_-arDg_1_2"/>
      <w:bookmarkStart w:id="294" w:name="_9e3ec5e0_fdee_406d_b344_18d05335fb2c"/>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tbl>
      <w:tblPr>
        <w:tblW w:w="9678" w:type="dxa"/>
        <w:jc w:val="left"/>
        <w:tblInd w:w="0" w:type="dxa"/>
        <w:tblLayout w:type="fixed"/>
        <w:tblCellMar>
          <w:top w:w="0" w:type="dxa"/>
          <w:left w:w="0" w:type="dxa"/>
          <w:bottom w:w="0" w:type="dxa"/>
          <w:right w:w="0" w:type="dxa"/>
        </w:tblCellMar>
      </w:tblPr>
      <w:tblGrid>
        <w:gridCol w:w="6031"/>
        <w:gridCol w:w="346"/>
        <w:gridCol w:w="276"/>
        <w:gridCol w:w="1179"/>
        <w:gridCol w:w="346"/>
        <w:gridCol w:w="273"/>
        <w:gridCol w:w="1227"/>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829685" cy="175260"/>
                      <wp:effectExtent l="0" t="0" r="0" b="0"/>
                      <wp:wrapNone/>
                      <wp:docPr id="21" name="Frame21"/>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75260" cy="175260"/>
                      <wp:effectExtent l="0" t="0" r="0" b="0"/>
                      <wp:wrapNone/>
                      <wp:docPr id="23" name="Frame23"/>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48665" cy="175260"/>
                      <wp:effectExtent l="0" t="0" r="0" b="0"/>
                      <wp:wrapNone/>
                      <wp:docPr id="24" name="Frame24"/>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73355" cy="175260"/>
                      <wp:effectExtent l="0" t="0" r="0" b="0"/>
                      <wp:wrapNone/>
                      <wp:docPr id="26" name="Frame26"/>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79145" cy="175260"/>
                      <wp:effectExtent l="0" t="0" r="0" b="0"/>
                      <wp:wrapNone/>
                      <wp:docPr id="27" name="Frame27"/>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(152,188)</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(110,396)</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premium of marketable securities,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sale or disposal of assets</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16,931</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18,507</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5,116</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9,850</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(6,632)</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(122,998)</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(98,377)</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marketable securities</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283,876</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367,873</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(462,461)</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(274,080)</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property and equipment</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(4,818)</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(183,403)</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92,800</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stock issuances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323,832</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stock from employee benefit plans</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324,984</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18,583</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(5,312)</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28,871</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28,356</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47,454</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23,044</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5" w:name="_eb0053ec_bda4_4a90_9b14_4eef9b549cf6"/>
      <w:bookmarkEnd w:id="295"/>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96" w:name="NotestoUnaudited"/>
      <w:bookmarkStart w:id="297" w:name="NotestoUnauditedCondensedConsolidatedFin"/>
      <w:bookmarkEnd w:id="296"/>
      <w:bookmarkEnd w:id="297"/>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interim financial statements do not include all the information and footnotes required by U.S. GAAP for annual financial statements and should be read in conjunction with the audited financial statements for the year ended December 31, 2025, which are included in the Company’s Annual Report on Form 10-K filed with the Securities and Exchange Commission (the “SEC”) on February 25, 2026.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results of operations for the interim periods are not necessarily indicative of the results of operations to be expected for any future interim period or the fiscal year ending December 31,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June 30, 2026, the Company had cash, cash equivalents and marketable securities of $717.6 million. The Company has had recurring losses and incurred a loss of $152.2 million for the six months ended June 30, 2026. Net cash used in operations for the six months ended June 30, 2026 was $123.0 million. The Company believes that the cash, cash equivalents and marketable securities at the filing date of this Quarterly Report on Form 10-Q will be sufficient to meet estimated working capital requirements and fund planned operations for at least the next twelve months from the date of issuance of these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financings,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the future milestone under the Settlement Agreement (defined below) with Shareholder Representative Services LLC (“SRS”) (refer to Note 16), in the event that the Company achieves the milestone related to that payment. The Company, at its option, may decide to pay that milestone payment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on this Quarterly Report on Form 10-Q for the three and six months ended June 30, 2026 are consistent with those discussed in Note 2 to the financial statements in the Company’s Annual Report on Form 10-K for the year ended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are adopted by the Company as of the specified effective date. Unless otherwise discussed, the Company believes that the adoption of recently issued standards that are not yet effective will not have a material impact on the Company’s consolidated financial statements or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w:t>
      </w:r>
      <w:r>
        <w:rPr>
          <w:rFonts w:ascii="Times New Roman;Times;serif" w:hAnsi="Times New Roman;Times;serif"/>
          <w:sz w:val="20"/>
        </w:rPr>
        <w:t>, which requires enhanced disclosures about specific types of expenses included in the expense captions presented on the face of the income statement. The standard is effective for annual reporting periods in fiscal years beginning after December 15, 2026, and interim reporting periods in fiscal years beginning after December 31, 2027, with early adoption permitted. The Company is currently evaluating the impact that the adoption of ASU 2024-03 may have on its expense disclosures in the notes to the consolidated financial statements.</w:t>
      </w:r>
    </w:p>
    <w:p>
      <w:pPr>
        <w:pStyle w:val="TextBody"/>
        <w:bidi w:val="0"/>
        <w:spacing w:before="0" w:after="240"/>
        <w:ind w:left="0" w:right="0" w:hanging="0"/>
        <w:jc w:val="left"/>
        <w:rPr>
          <w:rFonts w:ascii="Times New Roman;Times;serif" w:hAnsi="Times New Roman;Times;serif"/>
          <w:b/>
          <w:sz w:val="20"/>
        </w:rPr>
      </w:pPr>
      <w:bookmarkStart w:id="298" w:name="Tc_DnBJsqxQs0aOH8EYFbdEJg_7_11"/>
      <w:bookmarkStart w:id="299" w:name="Tc_BZ-MLupLB0-WXV9baVIkvw_7_8"/>
      <w:bookmarkStart w:id="300" w:name="Tc_0W0h5nUs302ur_AI2vFIjQ_7_5"/>
      <w:bookmarkStart w:id="301" w:name="Tc_Ql6EoSY3xUGUKC8DtlSGCQ_7_2"/>
      <w:bookmarkStart w:id="302" w:name="Tc_GbWwSL3ez02Iyo2DEDqlFg_7_0"/>
      <w:bookmarkStart w:id="303" w:name="Tc_C1Q5tC1dU0em37TtxT9h3A_6_0"/>
      <w:bookmarkStart w:id="304" w:name="Tc_0WNKGNVuFUudi3gyHU-eUg_5_0"/>
      <w:bookmarkStart w:id="305" w:name="Tc_ixHjtnTRp0qZdz5fhb2mAA_4_11"/>
      <w:bookmarkStart w:id="306" w:name="Tc_JGSaZ74-EUiBqm94OKLPDQ_4_8"/>
      <w:bookmarkStart w:id="307" w:name="Tc_Tno5jP7wSEaGKQOIJ4_H3g_4_5"/>
      <w:bookmarkStart w:id="308" w:name="Tc_Z6BSLRu8MU-J7Om7CrPzRg_4_2"/>
      <w:bookmarkStart w:id="309" w:name="Tc_moOREXrFLUC8QQHqqlWNqw_4_0"/>
      <w:bookmarkStart w:id="310" w:name="Tc_fMMMlhf9E0S_8E90KX9t1g_3_2"/>
      <w:bookmarkStart w:id="311" w:name="Tc_1ZmKAVqzA0q4iKiY3A8FxA_2_11"/>
      <w:bookmarkStart w:id="312" w:name="Tc_0-JDEk9cUE6j8NVaCkRFPw_2_8"/>
      <w:bookmarkStart w:id="313" w:name="Tc_2zlh8ibU4ECqh4R_DAOryQ_2_5"/>
      <w:bookmarkStart w:id="314" w:name="Tc_b24pbikYk0SgvzHpGCsB3g_2_2"/>
      <w:bookmarkStart w:id="315" w:name="Tc_efEMZkW_FEevUu7MYy5Obg_1_11"/>
      <w:bookmarkStart w:id="316" w:name="Tc_g5_DlZtdDEyyoYgivFNwSA_1_8"/>
      <w:bookmarkStart w:id="317" w:name="Tc_9JcobjONKE6N7ulUaE-ylg_1_5"/>
      <w:bookmarkStart w:id="318" w:name="Tc_KM8txETJwk2KMQ4_9XkIYQ_1_2"/>
      <w:bookmarkStart w:id="319" w:name="_51b0ab69_8f74_4795_a28e_f4d80b1cab8f"/>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ascii="Times New Roman;Times;serif" w:hAnsi="Times New Roman;Times;serif"/>
          <w:b/>
          <w:sz w:val="20"/>
        </w:rPr>
        <w:t>(3)  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is managed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and reportable segment that operates in the business of development, manufacturing and commercialization of novel therapeutics for human health care. Our chief operating decision maker (“CODM”), the Chief Executive Officer, evaluates performance based on consolidated net loss. Other than general and administrative expenses as presented on the consolidated statement of operations, research and development expense disaggregated by program and by nature are considered to be the Company’s significant segment expenses. These results are used, in part, by our CODM in evaluating the performance of the Company by comparing budget to actual results, and to allocate resources. All revenue is derived in and long-lived assets are located in the United States. The CODM does not receive asset information other than what is presented on the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is a summary of the Company’s research and development expenses disaggregated by program. The amounts disclosed reflect direct research and development costs and an allocation of indirect research and development costs to each program.</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9"/>
        <w:gridCol w:w="346"/>
        <w:gridCol w:w="392"/>
        <w:gridCol w:w="1210"/>
        <w:gridCol w:w="346"/>
        <w:gridCol w:w="392"/>
        <w:gridCol w:w="1210"/>
        <w:gridCol w:w="346"/>
        <w:gridCol w:w="309"/>
        <w:gridCol w:w="1116"/>
        <w:gridCol w:w="346"/>
        <w:gridCol w:w="287"/>
        <w:gridCol w:w="1186"/>
      </w:tblGrid>
      <w:tr>
        <w:trPr/>
        <w:tc>
          <w:tcPr>
            <w:tcW w:w="2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726565" cy="175260"/>
                      <wp:effectExtent l="0" t="0" r="0" b="0"/>
                      <wp:wrapNone/>
                      <wp:docPr id="28" name="Frame28"/>
                      <a:graphic xmlns:a="http://schemas.openxmlformats.org/drawingml/2006/main">
                        <a:graphicData uri="http://schemas.microsoft.com/office/word/2010/wordprocessingShape">
                          <wps:wsp>
                            <wps:cNvSpPr txBox="1"/>
                            <wps:spPr>
                              <a:xfrm>
                                <a:off x="0" y="0"/>
                                <a:ext cx="172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8920" cy="175260"/>
                      <wp:effectExtent l="0" t="0" r="0" b="0"/>
                      <wp:wrapNone/>
                      <wp:docPr id="30" name="Frame3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68350" cy="175260"/>
                      <wp:effectExtent l="0" t="0" r="0" b="0"/>
                      <wp:wrapNone/>
                      <wp:docPr id="31" name="Frame31"/>
                      <a:graphic xmlns:a="http://schemas.openxmlformats.org/drawingml/2006/main">
                        <a:graphicData uri="http://schemas.microsoft.com/office/word/2010/wordprocessingShape">
                          <wps:wsp>
                            <wps:cNvSpPr txBox="1"/>
                            <wps:spPr>
                              <a:xfrm>
                                <a:off x="0" y="0"/>
                                <a:ext cx="768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48920" cy="175260"/>
                      <wp:effectExtent l="0" t="0" r="0" b="0"/>
                      <wp:wrapNone/>
                      <wp:docPr id="33" name="Frame3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68350" cy="175260"/>
                      <wp:effectExtent l="0" t="0" r="0" b="0"/>
                      <wp:wrapNone/>
                      <wp:docPr id="34" name="Frame34"/>
                      <a:graphic xmlns:a="http://schemas.openxmlformats.org/drawingml/2006/main">
                        <a:graphicData uri="http://schemas.microsoft.com/office/word/2010/wordprocessingShape">
                          <wps:wsp>
                            <wps:cNvSpPr txBox="1"/>
                            <wps:spPr>
                              <a:xfrm>
                                <a:off x="0" y="0"/>
                                <a:ext cx="768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96215" cy="175260"/>
                      <wp:effectExtent l="0" t="0" r="0" b="0"/>
                      <wp:wrapNone/>
                      <wp:docPr id="36" name="Frame36"/>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08660" cy="175260"/>
                      <wp:effectExtent l="0" t="0" r="0" b="0"/>
                      <wp:wrapNone/>
                      <wp:docPr id="37" name="Frame37"/>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82245" cy="175260"/>
                      <wp:effectExtent l="0" t="0" r="0" b="0"/>
                      <wp:wrapNone/>
                      <wp:docPr id="39" name="Frame39"/>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753110" cy="175260"/>
                      <wp:effectExtent l="0" t="0" r="0" b="0"/>
                      <wp:wrapNone/>
                      <wp:docPr id="40" name="Frame4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16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center"/>
              <w:rPr/>
            </w:pPr>
            <w:r>
              <w:rPr/>
              <w:t>​</w:t>
            </w:r>
          </w:p>
        </w:tc>
        <w:tc>
          <w:tcPr>
            <w:tcW w:w="14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7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center"/>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4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7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14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54,946</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42,645</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117,110</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82,348</w:t>
            </w:r>
          </w:p>
        </w:tc>
      </w:tr>
      <w:tr>
        <w:trPr/>
        <w:tc>
          <w:tcPr>
            <w:tcW w:w="27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CDX-622</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7,795</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9,289</w:t>
            </w:r>
          </w:p>
        </w:tc>
      </w:tr>
      <w:tr>
        <w:trPr/>
        <w:tc>
          <w:tcPr>
            <w:tcW w:w="27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 (a)</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9,095</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7,713</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15,638</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15,173</w:t>
            </w:r>
          </w:p>
        </w:tc>
      </w:tr>
      <w:tr>
        <w:trPr/>
        <w:tc>
          <w:tcPr>
            <w:tcW w:w="27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46" w:type="dxa"/>
            <w:tcBorders/>
            <w:vAlign w:val="center"/>
          </w:tcPr>
          <w:p>
            <w:pPr>
              <w:pStyle w:val="TableContents"/>
              <w:bidi w:val="0"/>
              <w:spacing w:before="0" w:after="0"/>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67,542</w:t>
            </w:r>
          </w:p>
        </w:tc>
        <w:tc>
          <w:tcPr>
            <w:tcW w:w="346" w:type="dxa"/>
            <w:tcBorders/>
            <w:vAlign w:val="center"/>
          </w:tcPr>
          <w:p>
            <w:pPr>
              <w:pStyle w:val="TableContents"/>
              <w:bidi w:val="0"/>
              <w:spacing w:before="0" w:after="0"/>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54,196</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140,543</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106,810</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program expenses primarily include research and development expenses related to early-stage programs, revenue-generating programs and discontinued programs.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320" w:name="Tc_QZO4sg3G0UyufqwlGObExA_9_11"/>
      <w:bookmarkStart w:id="321" w:name="Tc_4Do7Jc_exkKtTAKO2uq2VA_9_8"/>
      <w:bookmarkStart w:id="322" w:name="Tc_INJVW9Ar0EGl5DYOfZtseA_9_5"/>
      <w:bookmarkStart w:id="323" w:name="Tc_z2ItOUF-TEav8iiHBj6XqQ_9_2"/>
      <w:bookmarkStart w:id="324" w:name="Tc_eL93t-aR50CJepjYaCTKyg_9_0"/>
      <w:bookmarkStart w:id="325" w:name="Tc_PGOr0X1OXkO_UZxxXYhr7g_8_0"/>
      <w:bookmarkStart w:id="326" w:name="Tc_IcbH7tDxS0SsudKVwQqG9Q_7_0"/>
      <w:bookmarkStart w:id="327" w:name="Tc_-n5SR-2ZSEagVd9ju961Og_6_0"/>
      <w:bookmarkStart w:id="328" w:name="Tc_--BOkKM4REWl9VQHmnZwRw_5_0"/>
      <w:bookmarkStart w:id="329" w:name="Tc_bleh46Aya0mV52tpL4WLVg_4_11"/>
      <w:bookmarkStart w:id="330" w:name="Tc_gp3slwbms0Ktq1e7u0FH_w_4_8"/>
      <w:bookmarkStart w:id="331" w:name="Tc_rl8BNEmukki3-yA7vKJOEw_4_5"/>
      <w:bookmarkStart w:id="332" w:name="Tc_o1BljnvruUONwHyHUDQ8kQ_4_2"/>
      <w:bookmarkStart w:id="333" w:name="Tc_h95V62lJ8EiAbcF2dcw7Hw_4_0"/>
      <w:bookmarkStart w:id="334" w:name="Tc_fydXtyvbREW2Aq49Eqothw_3_2"/>
      <w:bookmarkStart w:id="335" w:name="Tc_CznrbP-gZU2wUMxeTH8sHQ_2_11"/>
      <w:bookmarkStart w:id="336" w:name="Tc_n65vmU8OeEGe5ySLcoVDmg_2_8"/>
      <w:bookmarkStart w:id="337" w:name="Tc_dgrA6GmG_Ue_bM6TKWSHBw_2_5"/>
      <w:bookmarkStart w:id="338" w:name="Tc_VGIfTWatHU-H4qdwr-Rccg_2_2"/>
      <w:bookmarkStart w:id="339" w:name="Tc_XzFFGPy1Ok2P3-K3GufV2A_1_11"/>
      <w:bookmarkStart w:id="340" w:name="Tc_xm1wFkbGNk-8sVFJjBJ_Rw_1_8"/>
      <w:bookmarkStart w:id="341" w:name="Tc_qIS7ilYyJUu9HVl-pPhvEQ_1_5"/>
      <w:bookmarkStart w:id="342" w:name="Tc_Mj0N-x0WskGoJKi80lKU0g_1_2"/>
      <w:bookmarkStart w:id="343" w:name="_73c30481_f84f_4fc9_9a39_92f36e11885d"/>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rPr>
          <w:rFonts w:ascii="Times New Roman;Times;serif" w:hAnsi="Times New Roman;Times;serif"/>
          <w:sz w:val="20"/>
        </w:rPr>
        <w:t>The following table is a summary of the Company’s research and development expenses disaggregated by nature.</w:t>
      </w:r>
    </w:p>
    <w:p>
      <w:pPr>
        <w:pStyle w:val="TextBody"/>
        <w:bidi w:val="0"/>
        <w:spacing w:before="0" w:after="0"/>
        <w:ind w:left="0" w:right="0" w:hanging="0"/>
        <w:jc w:val="left"/>
        <w:rPr/>
      </w:pPr>
      <w:r>
        <w:rPr/>
        <w:t>​</w:t>
      </w:r>
    </w:p>
    <w:tbl>
      <w:tblPr>
        <w:tblW w:w="9770" w:type="dxa"/>
        <w:jc w:val="left"/>
        <w:tblInd w:w="0" w:type="dxa"/>
        <w:tblLayout w:type="fixed"/>
        <w:tblCellMar>
          <w:top w:w="0" w:type="dxa"/>
          <w:left w:w="0" w:type="dxa"/>
          <w:bottom w:w="0" w:type="dxa"/>
          <w:right w:w="0" w:type="dxa"/>
        </w:tblCellMar>
      </w:tblPr>
      <w:tblGrid>
        <w:gridCol w:w="2131"/>
        <w:gridCol w:w="346"/>
        <w:gridCol w:w="392"/>
        <w:gridCol w:w="1258"/>
        <w:gridCol w:w="346"/>
        <w:gridCol w:w="392"/>
        <w:gridCol w:w="1258"/>
        <w:gridCol w:w="346"/>
        <w:gridCol w:w="309"/>
        <w:gridCol w:w="1146"/>
        <w:gridCol w:w="346"/>
        <w:gridCol w:w="288"/>
        <w:gridCol w:w="1212"/>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53185" cy="175260"/>
                      <wp:effectExtent l="0" t="0" r="0" b="0"/>
                      <wp:wrapNone/>
                      <wp:docPr id="41" name="Frame41"/>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48920" cy="175260"/>
                      <wp:effectExtent l="0" t="0" r="0" b="0"/>
                      <wp:wrapNone/>
                      <wp:docPr id="43" name="Frame4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98830" cy="175260"/>
                      <wp:effectExtent l="0" t="0" r="0" b="0"/>
                      <wp:wrapNone/>
                      <wp:docPr id="44" name="Frame44"/>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48920" cy="175260"/>
                      <wp:effectExtent l="0" t="0" r="0" b="0"/>
                      <wp:wrapNone/>
                      <wp:docPr id="46" name="Frame4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98830" cy="175260"/>
                      <wp:effectExtent l="0" t="0" r="0" b="0"/>
                      <wp:wrapNone/>
                      <wp:docPr id="47" name="Frame47"/>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96215" cy="175260"/>
                      <wp:effectExtent l="0" t="0" r="0" b="0"/>
                      <wp:wrapNone/>
                      <wp:docPr id="49" name="Frame49"/>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27710" cy="175260"/>
                      <wp:effectExtent l="0" t="0" r="0" b="0"/>
                      <wp:wrapNone/>
                      <wp:docPr id="50" name="Frame50"/>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2880" cy="175260"/>
                      <wp:effectExtent l="0" t="0" r="0" b="0"/>
                      <wp:wrapNone/>
                      <wp:docPr id="52" name="Frame52"/>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69620" cy="175260"/>
                      <wp:effectExtent l="0" t="0" r="0" b="0"/>
                      <wp:wrapNone/>
                      <wp:docPr id="53" name="Frame53"/>
                      <a:graphic xmlns:a="http://schemas.openxmlformats.org/drawingml/2006/main">
                        <a:graphicData uri="http://schemas.microsoft.com/office/word/2010/wordprocessingShape">
                          <wps:wsp>
                            <wps:cNvSpPr txBox="1"/>
                            <wps:spPr>
                              <a:xfrm>
                                <a:off x="0" y="0"/>
                                <a:ext cx="769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center"/>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977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293"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15,885</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14,129</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31,454</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27,729</w:t>
            </w:r>
          </w:p>
        </w:tc>
      </w:tr>
      <w:tr>
        <w:trPr/>
        <w:tc>
          <w:tcPr>
            <w:tcW w:w="21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12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w:t>
            </w:r>
          </w:p>
        </w:tc>
      </w:tr>
      <w:tr>
        <w:trPr/>
        <w:tc>
          <w:tcPr>
            <w:tcW w:w="2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 </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 </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12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w:t>
            </w:r>
          </w:p>
        </w:tc>
      </w:tr>
      <w:tr>
        <w:trPr/>
        <w:tc>
          <w:tcPr>
            <w:tcW w:w="21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(b)</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41,746</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33,536</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91,903</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12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65,702</w:t>
            </w:r>
          </w:p>
        </w:tc>
      </w:tr>
      <w:tr>
        <w:trPr/>
        <w:tc>
          <w:tcPr>
            <w:tcW w:w="2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(c)</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6,140</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3,589</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11,017</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w:t>
            </w:r>
          </w:p>
        </w:tc>
      </w:tr>
      <w:tr>
        <w:trPr/>
        <w:tc>
          <w:tcPr>
            <w:tcW w:w="21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46" w:type="dxa"/>
            <w:tcBorders/>
            <w:vAlign w:val="center"/>
          </w:tcPr>
          <w:p>
            <w:pPr>
              <w:pStyle w:val="TableContents"/>
              <w:bidi w:val="0"/>
              <w:spacing w:before="0" w:after="0"/>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67,542</w:t>
            </w:r>
          </w:p>
        </w:tc>
        <w:tc>
          <w:tcPr>
            <w:tcW w:w="346" w:type="dxa"/>
            <w:tcBorders/>
            <w:vAlign w:val="center"/>
          </w:tcPr>
          <w:p>
            <w:pPr>
              <w:pStyle w:val="TableContents"/>
              <w:bidi w:val="0"/>
              <w:spacing w:before="0" w:after="0"/>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54,196</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140,543</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106,810</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expenses include clinical investigator site fees, external trial monitoring costs, data accumulation costs, contracted research and outside clinical drug product manufacturing.</w:t>
            </w:r>
          </w:p>
        </w:tc>
      </w:tr>
    </w:tbl>
    <w:tbl>
      <w:tblPr>
        <w:tblW w:w="9951" w:type="dxa"/>
        <w:jc w:val="left"/>
        <w:tblInd w:w="0" w:type="dxa"/>
        <w:tblLayout w:type="fixed"/>
        <w:tblCellMar>
          <w:top w:w="28" w:type="dxa"/>
          <w:left w:w="28" w:type="dxa"/>
          <w:bottom w:w="28" w:type="dxa"/>
          <w:right w:w="28" w:type="dxa"/>
        </w:tblCellMar>
      </w:tblPr>
      <w:tblGrid>
        <w:gridCol w:w="124"/>
        <w:gridCol w:w="31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primarily include research and development consulting, insurance, licensing and software expenses.</w:t>
            </w:r>
          </w:p>
        </w:tc>
      </w:tr>
    </w:tbl>
    <w:p>
      <w:pPr>
        <w:pStyle w:val="TextBody"/>
        <w:bidi w:val="0"/>
        <w:spacing w:before="0" w:after="240"/>
        <w:ind w:left="0" w:right="0" w:hanging="0"/>
        <w:jc w:val="left"/>
        <w:rPr>
          <w:rFonts w:ascii="Times New Roman;Times;serif" w:hAnsi="Times New Roman;Times;serif"/>
          <w:b/>
          <w:sz w:val="20"/>
        </w:rPr>
      </w:pPr>
      <w:bookmarkStart w:id="344" w:name="_8b9cea89_fa61_4c05_9f0c_96d8511abc2e_3"/>
      <w:bookmarkStart w:id="345" w:name="_8b9cea89_fa61_4c05_9f0c_96d8511abc2e_2"/>
      <w:bookmarkStart w:id="346" w:name="_8b9cea89_fa61_4c05_9f0c_96d8511abc2e"/>
      <w:bookmarkStart w:id="347" w:name="_0e378a96_5aa8_43a8_a880_91a8eb74fae4_3"/>
      <w:bookmarkStart w:id="348" w:name="_0e378a96_5aa8_43a8_a880_91a8eb74fae4_2"/>
      <w:bookmarkStart w:id="349" w:name="_0e378a96_5aa8_43a8_a880_91a8eb74fae4"/>
      <w:bookmarkStart w:id="350" w:name="Tc_Ff-RD3CO7UyWyBNCq4A2bA_7_12"/>
      <w:bookmarkStart w:id="351" w:name="Tc_1EC8u64pnkWNhuRisHNo2Q_7_8"/>
      <w:bookmarkStart w:id="352" w:name="Tc_mcuBDv_pIUqKV-8qKb1bYQ_7_6"/>
      <w:bookmarkStart w:id="353" w:name="Tc_iaudAt9_5E-BgESgE1RirQ_7_2"/>
      <w:bookmarkStart w:id="354" w:name="Tc_3XeT4ctDikO8WmZ10ELoEg_6_12"/>
      <w:bookmarkStart w:id="355" w:name="Tc_VGrtgpV2pkOLvSs7fFUkkw_6_6"/>
      <w:bookmarkStart w:id="356" w:name="Tc_inbfilRqt0-yhKLOK76tIg_6_0"/>
      <w:bookmarkStart w:id="357" w:name="Tc_n4tq0XeR3ESSXE2dMpxmqA_5_12"/>
      <w:bookmarkStart w:id="358" w:name="Tc_JYFNn215tku9x_VMbmvkMA_5_8"/>
      <w:bookmarkStart w:id="359" w:name="Tc_NP_gykfdOEO6h8aSHqPpfQ_5_6"/>
      <w:bookmarkStart w:id="360" w:name="Tc_A2WV6qikW0W2G3WNkZIWCg_5_2"/>
      <w:bookmarkStart w:id="361" w:name="Tc_t-M_K5DwGUOktwfYAl7XTA_5_0"/>
      <w:bookmarkStart w:id="362" w:name="Tc_tvK_d9Ex20ao9WGLC__apg_4_0"/>
      <w:bookmarkStart w:id="363" w:name="Tc_hyRyOJ4flUauF4IlbIXevw_3_2"/>
      <w:bookmarkStart w:id="364" w:name="Tc_mq3IEtjq7UywsQgWjZmceA_2_11"/>
      <w:bookmarkStart w:id="365" w:name="Tc_8citFLdBbUWt2CzStemc4A_2_8"/>
      <w:bookmarkStart w:id="366" w:name="Tc_OLxMMMKm8ESKNhLM4MiHGQ_2_5"/>
      <w:bookmarkStart w:id="367" w:name="Tc_WKXqRx-GwEaXGtfOKoZsng_2_2"/>
      <w:bookmarkStart w:id="368" w:name="Tc_epBjyYkvbkuTPNEQvRCumA_1_2"/>
      <w:bookmarkStart w:id="369" w:name="_0e5afe75_0642_4fdb_a720_2952027a1163"/>
      <w:bookmarkStart w:id="370" w:name="Tc_qTa_-OJuK0yYUwxFHbhZbQ_7_12"/>
      <w:bookmarkStart w:id="371" w:name="Tc_-4WpBDEVy0eLkdHvkwiHAg_7_8"/>
      <w:bookmarkStart w:id="372" w:name="Tc__TGLJqjGk0ytPgQYLZzZ4Q_7_6"/>
      <w:bookmarkStart w:id="373" w:name="Tc_0ZKxPffSzUqlCeMFQvU7OA_7_2"/>
      <w:bookmarkStart w:id="374" w:name="Tc_vnEZSwtGbEe-EVEw6Wx8dA_6_12"/>
      <w:bookmarkStart w:id="375" w:name="Tc_8NXDUgnnsUWxse9bmRFwvg_6_6"/>
      <w:bookmarkStart w:id="376" w:name="Tc_IxhnfuWI0EW2riRly5VfWQ_6_0"/>
      <w:bookmarkStart w:id="377" w:name="Tc__6-MKfNhQEed7ACOnpSwEQ_5_12"/>
      <w:bookmarkStart w:id="378" w:name="Tc_fcsqAJxDlEy4ZNF02Je77A_5_8"/>
      <w:bookmarkStart w:id="379" w:name="Tc__VP_uyNxVUuNTcLUOqyKjw_5_6"/>
      <w:bookmarkStart w:id="380" w:name="Tc_5MYkFxhGPkiYbOgnr0eIOw_5_2"/>
      <w:bookmarkStart w:id="381" w:name="Tc_N8sPg8lPkEyfB7O7WoV2xA_5_0"/>
      <w:bookmarkStart w:id="382" w:name="Tc_VRd96z7Fm0SEY8kCwrHo2Q_4_0"/>
      <w:bookmarkStart w:id="383" w:name="Tc_JdJI-1yaFk6A4o_pNb9cDA_3_2"/>
      <w:bookmarkStart w:id="384" w:name="Tc_W6XsPlNb10CP5rEO6SRLiA_2_11"/>
      <w:bookmarkStart w:id="385" w:name="Tc_78SOYNperkCTXmh_C6dQMQ_2_8"/>
      <w:bookmarkStart w:id="386" w:name="Tc_KqKZbdrHKEuwwNAUE2IMVA_2_5"/>
      <w:bookmarkStart w:id="387" w:name="Tc_C708ogRANUmJTyGmeozZFQ_2_2"/>
      <w:bookmarkStart w:id="388" w:name="Tc_zj5z8q63eE-gisqqs_EZ3A_1_2"/>
      <w:bookmarkStart w:id="389" w:name="_92faa322_03c3_45a8_81bb_24d6129864cc"/>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rFonts w:ascii="Times New Roman;Times;serif" w:hAnsi="Times New Roman;Times;serif"/>
          <w:b/>
          <w:sz w:val="20"/>
        </w:rPr>
        <w:t>(4)  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set forth the Company’s financial assets and liabilities subject to fair value measurements:</w:t>
      </w:r>
    </w:p>
    <w:p>
      <w:pPr>
        <w:pStyle w:val="TextBody"/>
        <w:bidi w:val="0"/>
        <w:spacing w:before="0" w:after="0"/>
        <w:ind w:left="0" w:right="0" w:hanging="0"/>
        <w:jc w:val="left"/>
        <w:rPr>
          <w:smallCaps/>
        </w:rPr>
      </w:pPr>
      <w:r>
        <w:rPr>
          <w:smallCaps/>
        </w:rPr>
        <w:t>​</w:t>
      </w:r>
    </w:p>
    <w:tbl>
      <w:tblPr>
        <w:tblW w:w="8350" w:type="dxa"/>
        <w:jc w:val="left"/>
        <w:tblInd w:w="0" w:type="dxa"/>
        <w:tblLayout w:type="fixed"/>
        <w:tblCellMar>
          <w:top w:w="0" w:type="dxa"/>
          <w:left w:w="0" w:type="dxa"/>
          <w:bottom w:w="0" w:type="dxa"/>
          <w:right w:w="0" w:type="dxa"/>
        </w:tblCellMar>
      </w:tblPr>
      <w:tblGrid>
        <w:gridCol w:w="3541"/>
        <w:gridCol w:w="346"/>
        <w:gridCol w:w="239"/>
        <w:gridCol w:w="887"/>
        <w:gridCol w:w="346"/>
        <w:gridCol w:w="151"/>
        <w:gridCol w:w="480"/>
        <w:gridCol w:w="346"/>
        <w:gridCol w:w="211"/>
        <w:gridCol w:w="781"/>
        <w:gridCol w:w="346"/>
        <w:gridCol w:w="131"/>
        <w:gridCol w:w="545"/>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48535" cy="175260"/>
                      <wp:effectExtent l="0" t="0" r="0" b="0"/>
                      <wp:wrapNone/>
                      <wp:docPr id="54" name="Frame54"/>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51765" cy="175260"/>
                      <wp:effectExtent l="0" t="0" r="0" b="0"/>
                      <wp:wrapNone/>
                      <wp:docPr id="56" name="Frame5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63245" cy="175260"/>
                      <wp:effectExtent l="0" t="0" r="0" b="0"/>
                      <wp:wrapNone/>
                      <wp:docPr id="57" name="Frame57"/>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95885" cy="175260"/>
                      <wp:effectExtent l="0" t="0" r="0" b="0"/>
                      <wp:wrapNone/>
                      <wp:docPr id="59" name="Frame59"/>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04800" cy="175260"/>
                      <wp:effectExtent l="0" t="0" r="0" b="0"/>
                      <wp:wrapNone/>
                      <wp:docPr id="60" name="Frame60"/>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95935" cy="175260"/>
                      <wp:effectExtent l="0" t="0" r="0" b="0"/>
                      <wp:wrapNone/>
                      <wp:docPr id="63" name="Frame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83185" cy="175260"/>
                      <wp:effectExtent l="0" t="0" r="0" b="0"/>
                      <wp:wrapNone/>
                      <wp:docPr id="65" name="Frame65"/>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46075" cy="175260"/>
                      <wp:effectExtent l="0" t="0" r="0" b="0"/>
                      <wp:wrapNone/>
                      <wp:docPr id="66" name="Frame66"/>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35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63"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and cash equivalents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33,273</w:t>
            </w:r>
          </w:p>
        </w:tc>
        <w:tc>
          <w:tcPr>
            <w:tcW w:w="34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33,273</w:t>
            </w:r>
          </w:p>
        </w:tc>
        <w:tc>
          <w:tcPr>
            <w:tcW w:w="34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670,133</w:t>
            </w:r>
          </w:p>
        </w:tc>
        <w:tc>
          <w:tcPr>
            <w:tcW w:w="34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670,133</w:t>
            </w:r>
          </w:p>
        </w:tc>
        <w:tc>
          <w:tcPr>
            <w:tcW w:w="34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703,406</w:t>
            </w:r>
          </w:p>
        </w:tc>
        <w:tc>
          <w:tcPr>
            <w:tcW w:w="34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703,406</w:t>
            </w:r>
          </w:p>
        </w:tc>
        <w:tc>
          <w:tcPr>
            <w:tcW w:w="34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8725" w:type="dxa"/>
        <w:jc w:val="left"/>
        <w:tblInd w:w="0" w:type="dxa"/>
        <w:tblLayout w:type="fixed"/>
        <w:tblCellMar>
          <w:top w:w="0" w:type="dxa"/>
          <w:left w:w="0" w:type="dxa"/>
          <w:bottom w:w="0" w:type="dxa"/>
          <w:right w:w="0" w:type="dxa"/>
        </w:tblCellMar>
      </w:tblPr>
      <w:tblGrid>
        <w:gridCol w:w="3541"/>
        <w:gridCol w:w="346"/>
        <w:gridCol w:w="319"/>
        <w:gridCol w:w="1182"/>
        <w:gridCol w:w="346"/>
        <w:gridCol w:w="151"/>
        <w:gridCol w:w="480"/>
        <w:gridCol w:w="346"/>
        <w:gridCol w:w="211"/>
        <w:gridCol w:w="781"/>
        <w:gridCol w:w="346"/>
        <w:gridCol w:w="131"/>
        <w:gridCol w:w="545"/>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248535" cy="175260"/>
                      <wp:effectExtent l="0" t="0" r="0" b="0"/>
                      <wp:wrapNone/>
                      <wp:docPr id="67" name="Frame67"/>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2565" cy="175260"/>
                      <wp:effectExtent l="0" t="0" r="0" b="0"/>
                      <wp:wrapNone/>
                      <wp:docPr id="69" name="Frame6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50570" cy="175260"/>
                      <wp:effectExtent l="0" t="0" r="0" b="0"/>
                      <wp:wrapNone/>
                      <wp:docPr id="70" name="Frame70"/>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5885" cy="175260"/>
                      <wp:effectExtent l="0" t="0" r="0" b="0"/>
                      <wp:wrapNone/>
                      <wp:docPr id="72" name="Frame72"/>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04800" cy="175260"/>
                      <wp:effectExtent l="0" t="0" r="0" b="0"/>
                      <wp:wrapNone/>
                      <wp:docPr id="73" name="Frame73"/>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6" name="Frame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83185" cy="175260"/>
                      <wp:effectExtent l="0" t="0" r="0" b="0"/>
                      <wp:wrapNone/>
                      <wp:docPr id="78" name="Frame78"/>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46075" cy="175260"/>
                      <wp:effectExtent l="0" t="0" r="0" b="0"/>
                      <wp:wrapNone/>
                      <wp:docPr id="79" name="Frame79"/>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72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3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118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center"/>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center"/>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and cash equivalents</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19,115</w:t>
            </w:r>
          </w:p>
        </w:tc>
        <w:tc>
          <w:tcPr>
            <w:tcW w:w="34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19,115</w:t>
            </w:r>
          </w:p>
        </w:tc>
        <w:tc>
          <w:tcPr>
            <w:tcW w:w="34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489,702</w:t>
            </w:r>
          </w:p>
        </w:tc>
        <w:tc>
          <w:tcPr>
            <w:tcW w:w="34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489,702</w:t>
            </w:r>
          </w:p>
        </w:tc>
        <w:tc>
          <w:tcPr>
            <w:tcW w:w="34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508,817</w:t>
            </w:r>
          </w:p>
        </w:tc>
        <w:tc>
          <w:tcPr>
            <w:tcW w:w="34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508,817</w:t>
            </w:r>
          </w:p>
        </w:tc>
        <w:tc>
          <w:tcPr>
            <w:tcW w:w="34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Contingent consideration liabilities measured at fair value using Level 3 inputs were $0.0 million as of June 30, 2026 and December 31, 2025.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was no gain or loss on fair value remeasurement of contingent consideration recorded during the three and six months ended June 30, 2026 or June 30, 2025.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have any transfers in or out of Level 3 assets or liabilities during the six months ended June 30, 2026 or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90" w:name="Tc_PNwB03umzUyR7o50nCHUBA_30_11"/>
      <w:bookmarkStart w:id="391" w:name="Tc_zZfsgkSB3EubkSQmLY0MHQ_30_8"/>
      <w:bookmarkStart w:id="392" w:name="Tc_c45Xd2RNaU2-VRkVV3Ta8Q_30_5"/>
      <w:bookmarkStart w:id="393" w:name="Tc_-7n6IP36mUyvXtykjod_0g_30_2"/>
      <w:bookmarkStart w:id="394" w:name="Tc_QX2iTPdZak2OicB-FekM0w_30_0"/>
      <w:bookmarkStart w:id="395" w:name="Tc__g3J0PVtU0i3Qa_FuuBRFw_29_11"/>
      <w:bookmarkStart w:id="396" w:name="Tc_3TXWVkEyakSpELFUij_Fwg_29_8"/>
      <w:bookmarkStart w:id="397" w:name="Tc_T54AYpsjQEye0JNL3iFUgA_29_5"/>
      <w:bookmarkStart w:id="398" w:name="Tc_My7v9AShSE6Lb3QPrcVG2A_29_2"/>
      <w:bookmarkStart w:id="399" w:name="Tc_lv7djOXVQUK6ClJ_V2GFzA_29_0"/>
      <w:bookmarkStart w:id="400" w:name="Tc_4Wz682v_kUG_3p0wm3bZDg_28_0"/>
      <w:bookmarkStart w:id="401" w:name="Tc_Ap_cvqb7b0iJGRavIAYB9w_27_11"/>
      <w:bookmarkStart w:id="402" w:name="Tc_7qBVXRSgUEO4NtNof6MOMQ_27_9"/>
      <w:bookmarkStart w:id="403" w:name="Tc_ZhzlyXInNUq8yVkGbfcABQ_27_8"/>
      <w:bookmarkStart w:id="404" w:name="Tc_dBQatMckUkSADcnjuix9YQ_27_5"/>
      <w:bookmarkStart w:id="405" w:name="Tc_qLJnHS9pP06JLj0HEKrxXQ_27_2"/>
      <w:bookmarkStart w:id="406" w:name="Tc_qLGI7MqIzkurnjOCgna8XQ_27_0"/>
      <w:bookmarkStart w:id="407" w:name="Tc_XB1fcaOLREKG7ktt8aez6g_26_0"/>
      <w:bookmarkStart w:id="408" w:name="Tc_BGIihqotG0GhoTqIM1phqA_25_11"/>
      <w:bookmarkStart w:id="409" w:name="Tc_3V5A7UAJmESjNcVJgJ77Ug_25_9"/>
      <w:bookmarkStart w:id="410" w:name="Tc_rUmoJygZr0KGHToZYZpB3g_25_8"/>
      <w:bookmarkStart w:id="411" w:name="Tc_-lBwhZmWI02PPpPvAtuMKw_25_5"/>
      <w:bookmarkStart w:id="412" w:name="Tc_vfNz86D9V02AvqrAtD1YOg_25_2"/>
      <w:bookmarkStart w:id="413" w:name="Tc_WV2SN81XbEWr-56WV4UVxQ_25_0"/>
      <w:bookmarkStart w:id="414" w:name="Tc_ttGx1eX-vkihJVOD7S4Rkg_24_9"/>
      <w:bookmarkStart w:id="415" w:name="Tc_MnoXlRYIe0G5ee-6ssL2Qg_24_0"/>
      <w:bookmarkStart w:id="416" w:name="Tc_WFxSzxmN30qbTuM6vYHDqg_23_11"/>
      <w:bookmarkStart w:id="417" w:name="Tc_aZltfdo5j0KMAitxSI8ycw_23_9"/>
      <w:bookmarkStart w:id="418" w:name="Tc_OmO8_C_E50ueSB2bqXg7dg_23_8"/>
      <w:bookmarkStart w:id="419" w:name="Tc_I52FADfAZk6T6wqNmeRLQQ_23_5"/>
      <w:bookmarkStart w:id="420" w:name="Tc_EkzQvOBH00qIfnwLx5p_VA_23_2"/>
      <w:bookmarkStart w:id="421" w:name="Tc_FSASv3KKIUSFDaZC-t2IcQ_23_0"/>
      <w:bookmarkStart w:id="422" w:name="Tc_rzZizcYQlUmdV_gfUW8lvA_22_0"/>
      <w:bookmarkStart w:id="423" w:name="Tc_FFzmjwd0q0K6VWDrcMzSHA_21_0"/>
      <w:bookmarkStart w:id="424" w:name="Tc_u9Oz3ic1b0aHioNBUQLXdg_20_0"/>
      <w:bookmarkStart w:id="425" w:name="Tc_A4Vj7SUOa0CDzcsrPIJXsA_19_2"/>
      <w:bookmarkStart w:id="426" w:name="Tc_wHMKFdcwQUyGK7hzMccK6w_18_11"/>
      <w:bookmarkStart w:id="427" w:name="Tc_5Y5QaO6tKEWJDWbAQWbBwQ_18_8"/>
      <w:bookmarkStart w:id="428" w:name="Tc_77IKt23yikChEwHg4w-DLA_18_5"/>
      <w:bookmarkStart w:id="429" w:name="Tc_e0tBFJOXREGIE5941Xa8CA_18_2"/>
      <w:bookmarkStart w:id="430" w:name="Tc_xJ0I8lxzKkKDQWrVguokTQ_17_11"/>
      <w:bookmarkStart w:id="431" w:name="Tc_ZePq8JwKJEaeG33h7RSV6w_17_8"/>
      <w:bookmarkStart w:id="432" w:name="Tc_v2lbf6TVvkeMEYAAOuk_Gw_17_5"/>
      <w:bookmarkStart w:id="433" w:name="Tc_jElN9JUfXky1TyAW60EUXA_17_2"/>
      <w:bookmarkStart w:id="434" w:name="Tc_BDXDtD-D80agM8-33gIWpQ_14_11"/>
      <w:bookmarkStart w:id="435" w:name="Tc_fx63Gld8vEaZ321Pr6Lrig_14_8"/>
      <w:bookmarkStart w:id="436" w:name="Tc_uQD1_jOczU-GWiRpTMJlTw_14_5"/>
      <w:bookmarkStart w:id="437" w:name="Tc_eLXHO-GzSEKuiOVloUhqfw_14_2"/>
      <w:bookmarkStart w:id="438" w:name="Tc_PKqQ-TlqAEuofKunip7cmQ_14_0"/>
      <w:bookmarkStart w:id="439" w:name="Tc_OlY1jl9CuEao4G2o0F1TMA_13_11"/>
      <w:bookmarkStart w:id="440" w:name="Tc_YEu0TaPUW0OKmFE-AFnlYw_13_8"/>
      <w:bookmarkStart w:id="441" w:name="Tc_IjKyGPjaN0qodIGYNdvMLg_13_5"/>
      <w:bookmarkStart w:id="442" w:name="Tc_ch3Gl4h1j0-D4fMAujDLDA_13_2"/>
      <w:bookmarkStart w:id="443" w:name="Tc_oZx2veEM50OQMjALomQCYw_13_0"/>
      <w:bookmarkStart w:id="444" w:name="Tc_QatV1ksG2kuLlWeBnToZLA_12_6"/>
      <w:bookmarkStart w:id="445" w:name="Tc_8SnJDXQG402gCt47iLlPkA_12_0"/>
      <w:bookmarkStart w:id="446" w:name="Tc_QZ2AHgnsP0-I6tM2nnOnAA_11_11"/>
      <w:bookmarkStart w:id="447" w:name="Tc_iybIpZGl5EGG15OlGq5AJw_11_8"/>
      <w:bookmarkStart w:id="448" w:name="Tc_m3rDGTgCEU-k3Daz50jFlg_11_5"/>
      <w:bookmarkStart w:id="449" w:name="Tc_rKXVgGInyU6KAig_U-22-w_11_2"/>
      <w:bookmarkStart w:id="450" w:name="Tc_3uLMmfOm302OzSsRsQBnRg_11_0"/>
      <w:bookmarkStart w:id="451" w:name="Tc_iI9Ndi3vJUmjRWsweScfzw_10_0"/>
      <w:bookmarkStart w:id="452" w:name="Tc_O7MM8XsVFUupdBVNWCM0gA_9_11"/>
      <w:bookmarkStart w:id="453" w:name="Tc_2RA6xCD9S0iB8F9VeZEPZw_9_8"/>
      <w:bookmarkStart w:id="454" w:name="Tc_MEHAaV52HkiyoUehZduczw_9_5"/>
      <w:bookmarkStart w:id="455" w:name="Tc_gzpQ2p8Sp0K3pTvMNg-zsQ_9_2"/>
      <w:bookmarkStart w:id="456" w:name="Tc_lP1KC9j4fUG-lRqAawJ5Tw_9_0"/>
      <w:bookmarkStart w:id="457" w:name="Tc_hlkQSRX78UWe1_A3H2ARAA_8_6"/>
      <w:bookmarkStart w:id="458" w:name="Tc_ONBneYEcJkWNoVm9eA2JhQ_8_0"/>
      <w:bookmarkStart w:id="459" w:name="Tc_bMR-OtFJMkSnP13oesXEig_7_11"/>
      <w:bookmarkStart w:id="460" w:name="Tc_OnlJI7qYl0qc5cerZnGV7A_7_8"/>
      <w:bookmarkStart w:id="461" w:name="Tc_XalQfAhBo06pYIYmDyf7Ag_7_5"/>
      <w:bookmarkStart w:id="462" w:name="Tc_9_F64FVB_EyBzZYJkluUTQ_7_2"/>
      <w:bookmarkStart w:id="463" w:name="Tc_o2xzoL50EEuN4qPWWZaTUg_7_0"/>
      <w:bookmarkStart w:id="464" w:name="Tc_a4nrmk2XSU6ADldi2g44qw_6_0"/>
      <w:bookmarkStart w:id="465" w:name="Tc_T6g7ndf4Kk2t_EHHa5Iw0w_5_0"/>
      <w:bookmarkStart w:id="466" w:name="Tc_xdZ9Cqd1n0KpUZe5YIbmIA_4_0"/>
      <w:bookmarkStart w:id="467" w:name="Tc_kfx452Oa9UySDX5u_7qDIg_3_2"/>
      <w:bookmarkStart w:id="468" w:name="Tc_S5O4I29eeECqmCpcgFzIrw_2_11"/>
      <w:bookmarkStart w:id="469" w:name="Tc_98dKlnSrqEOeNDtL8TGkLA_2_8"/>
      <w:bookmarkStart w:id="470" w:name="Tc_KMtGSYiQAU-0ytbMo_kT9Q_2_5"/>
      <w:bookmarkStart w:id="471" w:name="Tc_q2WsxqUH_kGIjSM6ql6RhQ_2_2"/>
      <w:bookmarkStart w:id="472" w:name="Tc_07HsstuErESWA0awzTqJ9g_1_11"/>
      <w:bookmarkStart w:id="473" w:name="Tc_3_ToDwz89USCReiBoLNxNw_1_8"/>
      <w:bookmarkStart w:id="474" w:name="Tc_8T7yXPc2k0ylwcyNOZPJBw_1_5"/>
      <w:bookmarkStart w:id="475" w:name="Tc_Ust89kD-x0q09g2vSDO7-g_1_2"/>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rFonts w:ascii="Times New Roman;Times;serif" w:hAnsi="Times New Roman;Times;serif"/>
          <w:b/>
          <w:sz w:val="20"/>
        </w:rPr>
        <w:t>(5)  Marketable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marketable debt securities, classified as available-for-sale: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62"/>
        <w:gridCol w:w="346"/>
        <w:gridCol w:w="211"/>
        <w:gridCol w:w="781"/>
        <w:gridCol w:w="346"/>
        <w:gridCol w:w="359"/>
        <w:gridCol w:w="974"/>
        <w:gridCol w:w="346"/>
        <w:gridCol w:w="312"/>
        <w:gridCol w:w="1022"/>
        <w:gridCol w:w="346"/>
        <w:gridCol w:w="211"/>
        <w:gridCol w:w="889"/>
      </w:tblGrid>
      <w:tr>
        <w:trPr/>
        <w:tc>
          <w:tcPr>
            <w:tcW w:w="4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579370" cy="175260"/>
                      <wp:effectExtent l="0" t="0" r="0" b="0"/>
                      <wp:wrapNone/>
                      <wp:docPr id="80" name="Frame80"/>
                      <a:graphic xmlns:a="http://schemas.openxmlformats.org/drawingml/2006/main">
                        <a:graphicData uri="http://schemas.microsoft.com/office/word/2010/wordprocessingShape">
                          <wps:wsp>
                            <wps:cNvSpPr txBox="1"/>
                            <wps:spPr>
                              <a:xfrm>
                                <a:off x="0" y="0"/>
                                <a:ext cx="2579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5935" cy="175260"/>
                      <wp:effectExtent l="0" t="0" r="0" b="0"/>
                      <wp:wrapNone/>
                      <wp:docPr id="83"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7965" cy="175260"/>
                      <wp:effectExtent l="0" t="0" r="0" b="0"/>
                      <wp:wrapNone/>
                      <wp:docPr id="85" name="Frame85"/>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18490" cy="175260"/>
                      <wp:effectExtent l="0" t="0" r="0" b="0"/>
                      <wp:wrapNone/>
                      <wp:docPr id="86" name="Frame86"/>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98120" cy="175260"/>
                      <wp:effectExtent l="0" t="0" r="0" b="0"/>
                      <wp:wrapNone/>
                      <wp:docPr id="88" name="Frame8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970" cy="175260"/>
                      <wp:effectExtent l="0" t="0" r="0" b="0"/>
                      <wp:wrapNone/>
                      <wp:docPr id="89" name="Frame89"/>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64515" cy="175260"/>
                      <wp:effectExtent l="0" t="0" r="0" b="0"/>
                      <wp:wrapNone/>
                      <wp:docPr id="92" name="Frame92"/>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13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46" w:type="dxa"/>
            <w:tcBorders/>
            <w:vAlign w:val="center"/>
          </w:tcPr>
          <w:p>
            <w:pPr>
              <w:pStyle w:val="TableContents"/>
              <w:bidi w:val="0"/>
              <w:spacing w:before="0" w:after="0"/>
              <w:ind w:left="0" w:right="0" w:hanging="0"/>
              <w:jc w:val="left"/>
              <w:rPr/>
            </w:pPr>
            <w:r>
              <w:rPr/>
              <w:t>​</w:t>
            </w:r>
          </w:p>
        </w:tc>
        <w:tc>
          <w:tcPr>
            <w:tcW w:w="133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46" w:type="dxa"/>
            <w:tcBorders/>
            <w:vAlign w:val="center"/>
          </w:tcPr>
          <w:p>
            <w:pPr>
              <w:pStyle w:val="TableContents"/>
              <w:bidi w:val="0"/>
              <w:spacing w:before="0" w:after="0"/>
              <w:ind w:left="0" w:right="0" w:hanging="0"/>
              <w:jc w:val="left"/>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13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  ​ ​ ​</w:t>
            </w:r>
          </w:p>
        </w:tc>
        <w:tc>
          <w:tcPr>
            <w:tcW w:w="13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9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0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r>
      <w:tr>
        <w:trPr/>
        <w:tc>
          <w:tcPr>
            <w:tcW w:w="406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r>
      <w:tr>
        <w:trPr/>
        <w:tc>
          <w:tcPr>
            <w:tcW w:w="4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r>
      <w:tr>
        <w:trPr/>
        <w:tc>
          <w:tcPr>
            <w:tcW w:w="406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165,974</w:t>
            </w:r>
          </w:p>
        </w:tc>
        <w:tc>
          <w:tcPr>
            <w:tcW w:w="34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165,763</w:t>
            </w:r>
          </w:p>
        </w:tc>
      </w:tr>
      <w:tr>
        <w:trPr/>
        <w:tc>
          <w:tcPr>
            <w:tcW w:w="4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101,406</w:t>
            </w:r>
          </w:p>
        </w:tc>
        <w:tc>
          <w:tcPr>
            <w:tcW w:w="346" w:type="dxa"/>
            <w:tcBorders/>
            <w:shd w:fill="CCEEFF" w:val="clear"/>
            <w:vAlign w:val="center"/>
          </w:tcPr>
          <w:p>
            <w:pPr>
              <w:pStyle w:val="TableContents"/>
              <w:bidi w:val="0"/>
              <w:spacing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100,902</w:t>
            </w:r>
          </w:p>
        </w:tc>
      </w:tr>
      <w:tr>
        <w:trPr/>
        <w:tc>
          <w:tcPr>
            <w:tcW w:w="406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267,380</w:t>
            </w:r>
          </w:p>
        </w:tc>
        <w:tc>
          <w:tcPr>
            <w:tcW w:w="346" w:type="dxa"/>
            <w:tcBorders/>
            <w:vAlign w:val="center"/>
          </w:tcPr>
          <w:p>
            <w:pPr>
              <w:pStyle w:val="TableContents"/>
              <w:bidi w:val="0"/>
              <w:spacing w:before="0" w:after="0"/>
              <w:ind w:left="0" w:right="0" w:hanging="0"/>
              <w:jc w:val="left"/>
              <w:rPr/>
            </w:pPr>
            <w:r>
              <w:rPr/>
              <w:t>​</w:t>
            </w:r>
          </w:p>
        </w:tc>
        <w:tc>
          <w:tcPr>
            <w:tcW w:w="3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266,665</w:t>
            </w:r>
          </w:p>
        </w:tc>
      </w:tr>
      <w:tr>
        <w:trPr/>
        <w:tc>
          <w:tcPr>
            <w:tcW w:w="4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r>
      <w:tr>
        <w:trPr/>
        <w:tc>
          <w:tcPr>
            <w:tcW w:w="406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325,803</w:t>
            </w:r>
          </w:p>
        </w:tc>
        <w:tc>
          <w:tcPr>
            <w:tcW w:w="34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325,389</w:t>
            </w:r>
          </w:p>
        </w:tc>
      </w:tr>
      <w:tr>
        <w:trPr/>
        <w:tc>
          <w:tcPr>
            <w:tcW w:w="4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78,248</w:t>
            </w:r>
          </w:p>
        </w:tc>
        <w:tc>
          <w:tcPr>
            <w:tcW w:w="346" w:type="dxa"/>
            <w:tcBorders/>
            <w:shd w:fill="CCEEFF" w:val="clear"/>
            <w:vAlign w:val="center"/>
          </w:tcPr>
          <w:p>
            <w:pPr>
              <w:pStyle w:val="TableContents"/>
              <w:bidi w:val="0"/>
              <w:spacing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78,079</w:t>
            </w:r>
          </w:p>
        </w:tc>
      </w:tr>
      <w:tr>
        <w:trPr/>
        <w:tc>
          <w:tcPr>
            <w:tcW w:w="406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404,051</w:t>
            </w:r>
          </w:p>
        </w:tc>
        <w:tc>
          <w:tcPr>
            <w:tcW w:w="346" w:type="dxa"/>
            <w:tcBorders/>
            <w:vAlign w:val="center"/>
          </w:tcPr>
          <w:p>
            <w:pPr>
              <w:pStyle w:val="TableContents"/>
              <w:bidi w:val="0"/>
              <w:spacing w:before="0" w:after="0"/>
              <w:ind w:left="0" w:right="0" w:hanging="0"/>
              <w:jc w:val="left"/>
              <w:rPr/>
            </w:pPr>
            <w:r>
              <w:rPr/>
              <w:t>​</w:t>
            </w:r>
          </w:p>
        </w:tc>
        <w:tc>
          <w:tcPr>
            <w:tcW w:w="3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403,468</w:t>
            </w:r>
          </w:p>
        </w:tc>
      </w:tr>
      <w:tr>
        <w:trPr/>
        <w:tc>
          <w:tcPr>
            <w:tcW w:w="4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671,431</w:t>
            </w:r>
          </w:p>
        </w:tc>
        <w:tc>
          <w:tcPr>
            <w:tcW w:w="346" w:type="dxa"/>
            <w:tcBorders/>
            <w:shd w:fill="CCEEFF" w:val="clear"/>
            <w:vAlign w:val="center"/>
          </w:tcPr>
          <w:p>
            <w:pPr>
              <w:pStyle w:val="TableContents"/>
              <w:bidi w:val="0"/>
              <w:spacing w:before="0" w:after="0"/>
              <w:ind w:left="0" w:right="0" w:hanging="0"/>
              <w:jc w:val="left"/>
              <w:rPr/>
            </w:pPr>
            <w:r>
              <w:rPr/>
              <w:t>​</w:t>
            </w:r>
          </w:p>
        </w:tc>
        <w:tc>
          <w:tcPr>
            <w:tcW w:w="3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670,133</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13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46" w:type="dxa"/>
            <w:tcBorders/>
            <w:vAlign w:val="center"/>
          </w:tcPr>
          <w:p>
            <w:pPr>
              <w:pStyle w:val="TableContents"/>
              <w:bidi w:val="0"/>
              <w:spacing w:before="0" w:after="0"/>
              <w:ind w:left="0" w:right="0" w:hanging="0"/>
              <w:jc w:val="left"/>
              <w:rPr/>
            </w:pPr>
            <w:r>
              <w:rPr/>
              <w:t>​</w:t>
            </w:r>
          </w:p>
        </w:tc>
        <w:tc>
          <w:tcPr>
            <w:tcW w:w="133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46" w:type="dxa"/>
            <w:tcBorders/>
            <w:vAlign w:val="center"/>
          </w:tcPr>
          <w:p>
            <w:pPr>
              <w:pStyle w:val="TableContents"/>
              <w:bidi w:val="0"/>
              <w:spacing w:before="0" w:after="0"/>
              <w:ind w:left="0" w:right="0" w:hanging="0"/>
              <w:jc w:val="left"/>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13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  ​ ​ ​</w:t>
            </w:r>
          </w:p>
        </w:tc>
        <w:tc>
          <w:tcPr>
            <w:tcW w:w="13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9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0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r>
      <w:tr>
        <w:trPr/>
        <w:tc>
          <w:tcPr>
            <w:tcW w:w="406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151,270</w:t>
            </w:r>
          </w:p>
        </w:tc>
        <w:tc>
          <w:tcPr>
            <w:tcW w:w="34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151,749</w:t>
            </w:r>
          </w:p>
        </w:tc>
      </w:tr>
      <w:tr>
        <w:trPr/>
        <w:tc>
          <w:tcPr>
            <w:tcW w:w="4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42,358</w:t>
            </w:r>
          </w:p>
        </w:tc>
        <w:tc>
          <w:tcPr>
            <w:tcW w:w="346" w:type="dxa"/>
            <w:tcBorders/>
            <w:shd w:fill="CCEEFF" w:val="clear"/>
            <w:vAlign w:val="center"/>
          </w:tcPr>
          <w:p>
            <w:pPr>
              <w:pStyle w:val="TableContents"/>
              <w:bidi w:val="0"/>
              <w:spacing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42,485</w:t>
            </w:r>
          </w:p>
        </w:tc>
      </w:tr>
      <w:tr>
        <w:trPr/>
        <w:tc>
          <w:tcPr>
            <w:tcW w:w="406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193,628</w:t>
            </w:r>
          </w:p>
        </w:tc>
        <w:tc>
          <w:tcPr>
            <w:tcW w:w="346" w:type="dxa"/>
            <w:tcBorders/>
            <w:vAlign w:val="center"/>
          </w:tcPr>
          <w:p>
            <w:pPr>
              <w:pStyle w:val="TableContents"/>
              <w:bidi w:val="0"/>
              <w:spacing w:before="0" w:after="0"/>
              <w:ind w:left="0" w:right="0" w:hanging="0"/>
              <w:jc w:val="left"/>
              <w:rPr/>
            </w:pPr>
            <w:r>
              <w:rPr/>
              <w:t>​</w:t>
            </w:r>
          </w:p>
        </w:tc>
        <w:tc>
          <w:tcPr>
            <w:tcW w:w="3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4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194,234</w:t>
            </w:r>
          </w:p>
        </w:tc>
      </w:tr>
      <w:tr>
        <w:trPr/>
        <w:tc>
          <w:tcPr>
            <w:tcW w:w="4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debt securities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r>
      <w:tr>
        <w:trPr/>
        <w:tc>
          <w:tcPr>
            <w:tcW w:w="406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257,064</w:t>
            </w:r>
          </w:p>
        </w:tc>
        <w:tc>
          <w:tcPr>
            <w:tcW w:w="34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257,437</w:t>
            </w:r>
          </w:p>
        </w:tc>
      </w:tr>
      <w:tr>
        <w:trPr/>
        <w:tc>
          <w:tcPr>
            <w:tcW w:w="4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37,980</w:t>
            </w:r>
          </w:p>
        </w:tc>
        <w:tc>
          <w:tcPr>
            <w:tcW w:w="346" w:type="dxa"/>
            <w:tcBorders/>
            <w:shd w:fill="CCEEFF" w:val="clear"/>
            <w:vAlign w:val="center"/>
          </w:tcPr>
          <w:p>
            <w:pPr>
              <w:pStyle w:val="TableContents"/>
              <w:bidi w:val="0"/>
              <w:spacing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38,031</w:t>
            </w:r>
          </w:p>
        </w:tc>
      </w:tr>
      <w:tr>
        <w:trPr/>
        <w:tc>
          <w:tcPr>
            <w:tcW w:w="406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295,044</w:t>
            </w:r>
          </w:p>
        </w:tc>
        <w:tc>
          <w:tcPr>
            <w:tcW w:w="346" w:type="dxa"/>
            <w:tcBorders/>
            <w:vAlign w:val="center"/>
          </w:tcPr>
          <w:p>
            <w:pPr>
              <w:pStyle w:val="TableContents"/>
              <w:bidi w:val="0"/>
              <w:spacing w:before="0" w:after="0"/>
              <w:ind w:left="0" w:right="0" w:hanging="0"/>
              <w:jc w:val="left"/>
              <w:rPr/>
            </w:pPr>
            <w:r>
              <w:rPr/>
              <w:t>​</w:t>
            </w:r>
          </w:p>
        </w:tc>
        <w:tc>
          <w:tcPr>
            <w:tcW w:w="3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295,468</w:t>
            </w:r>
          </w:p>
        </w:tc>
      </w:tr>
      <w:tr>
        <w:trPr/>
        <w:tc>
          <w:tcPr>
            <w:tcW w:w="40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488,672</w:t>
            </w:r>
          </w:p>
        </w:tc>
        <w:tc>
          <w:tcPr>
            <w:tcW w:w="346" w:type="dxa"/>
            <w:tcBorders/>
            <w:shd w:fill="CCEEFF" w:val="clear"/>
            <w:vAlign w:val="center"/>
          </w:tcPr>
          <w:p>
            <w:pPr>
              <w:pStyle w:val="TableContents"/>
              <w:bidi w:val="0"/>
              <w:spacing w:before="0" w:after="0"/>
              <w:ind w:left="0" w:right="0" w:hanging="0"/>
              <w:jc w:val="left"/>
              <w:rPr/>
            </w:pPr>
            <w:r>
              <w:rPr/>
              <w:t>​</w:t>
            </w:r>
          </w:p>
        </w:tc>
        <w:tc>
          <w:tcPr>
            <w:tcW w:w="3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489,702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holds investment-grade marketable securities. Unrealized losses are generally attributable to changes in interest rates. The aggregate fair value of marketable securities held by the Company in an unrealized loss position as of June 30, 2026 and December 31, 2025 was $536.9 million and $19.4 million, respectively. The Company has the intent and ability to hold its marketable securities until recovery and has determined that there has been no material change to the Company’s credit risk. As a result, the Company determined it did not hold any investments with a credit loss at June 30, 2026 and December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Marketable securities include $6.3 million and $4.4 million in accrued interest at June 30, 2026 and December 31,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2026, the Company entered into an amendment to its Hampton, New Jersey lease to expand its leased space from approximately 33,400 square feet to approximately 66,000 square feet and extend the lease term by an additional 36 months. As a result of the lease modification, the Company’s operating lease right-of-use asset and operating lease liability increased by $3.5 million during the quarter ended June 30, 2026. The lease modification also increased the Company’s undiscounted future lease payments under non-cancellable operating leases by approximately $4.4 million through 2030.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June 30, 2026 and December 31, 2025, the carrying value of the Company’s indefinite-lived intangible assets was $27.2 million. Indefinite-lived intangible assets consist of acquired in-process research and development (“IPR&amp;D”) related to the development of the anti-KIT program (including barzolvolimab), which was recorded in connection with the Kolltan acquisition. Barzolvolimab is in Phase 3 development. As of June 30, 2026, the IPR&amp;D asset related to the anti-KIT program had not reached technological feasibility nor did the asset have alternative future uses.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Other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records advance payments for services that will not be performed within one year of the balance sheet date as other assets. Such amounts will be recognized as expense in the period in which the related services are performed. Advance payments reflected within other assets in our consolidated balance sheets were $14.8 million and $12.8 million at June 30, 2026 and December 31, 2025, respectively.</w:t>
      </w:r>
    </w:p>
    <w:p>
      <w:pPr>
        <w:pStyle w:val="TextBody"/>
        <w:bidi w:val="0"/>
        <w:spacing w:before="0" w:after="240"/>
        <w:ind w:left="0" w:right="0" w:hanging="0"/>
        <w:jc w:val="left"/>
        <w:rPr>
          <w:rFonts w:ascii="Times New Roman;Times;serif" w:hAnsi="Times New Roman;Times;serif"/>
          <w:b/>
          <w:sz w:val="20"/>
        </w:rPr>
      </w:pPr>
      <w:bookmarkStart w:id="476" w:name="Tc_BK88wtjIZE2X7yPY_0SrSQ_9_5"/>
      <w:bookmarkStart w:id="477" w:name="Tc_zuflqO95kk-y_DHM9AmHEA_9_2"/>
      <w:bookmarkStart w:id="478" w:name="Tc_NxRf0eSClU27hRzksPoZUA_9_0"/>
      <w:bookmarkStart w:id="479" w:name="Tc_Wey9AGTbrEOuUkLjCYkAqw_8_0"/>
      <w:bookmarkStart w:id="480" w:name="Tc_yi_x6FIn70m5mIsCYpfZMA_7_0"/>
      <w:bookmarkStart w:id="481" w:name="Tc_W5JnolmasU2ivM7y7qdIZw_6_0"/>
      <w:bookmarkStart w:id="482" w:name="Tc_gXyT2zDr00mCAXaoyIUyxg_5_0"/>
      <w:bookmarkStart w:id="483" w:name="Tc_fEUzsLrzl0ig4mlL8QPD9A_4_5"/>
      <w:bookmarkStart w:id="484" w:name="Tc_UwGxszyPj0iEuSYluSeJKg_4_2"/>
      <w:bookmarkStart w:id="485" w:name="Tc_Rlj0WPgLu06gdq1xLT53ng_4_0"/>
      <w:bookmarkStart w:id="486" w:name="Tc_Ph34R3Qir0iS2gPbFFdzfQ_3_2"/>
      <w:bookmarkStart w:id="487" w:name="Tc_sUtzUkia1kub-_NE2GvbPQ_2_5"/>
      <w:bookmarkStart w:id="488" w:name="Tc_2nRMv3xNNkqA58X6qV6v8w_2_2"/>
      <w:bookmarkStart w:id="489" w:name="Tc_qqWbCFiB9E2DXuI-uro1oA_1_5"/>
      <w:bookmarkStart w:id="490" w:name="Tc_4gpw2aKdX0aHxc_6LCERLg_1_2"/>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ascii="Times New Roman;Times;serif" w:hAnsi="Times New Roman;Times;serif"/>
          <w:b/>
          <w:sz w:val="20"/>
        </w:rPr>
        <w:t>(9)  Other Long-Term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long-term liabilities include the following:</w:t>
      </w:r>
    </w:p>
    <w:p>
      <w:pPr>
        <w:pStyle w:val="TextBody"/>
        <w:bidi w:val="0"/>
        <w:spacing w:before="0" w:after="0"/>
        <w:ind w:left="0" w:right="0" w:hanging="0"/>
        <w:jc w:val="left"/>
        <w:rPr/>
      </w:pPr>
      <w:r>
        <w:rPr/>
        <w:t>​</w:t>
      </w:r>
    </w:p>
    <w:tbl>
      <w:tblPr>
        <w:tblW w:w="7220" w:type="dxa"/>
        <w:jc w:val="left"/>
        <w:tblInd w:w="0" w:type="dxa"/>
        <w:tblLayout w:type="fixed"/>
        <w:tblCellMar>
          <w:top w:w="0" w:type="dxa"/>
          <w:left w:w="0" w:type="dxa"/>
          <w:bottom w:w="0" w:type="dxa"/>
          <w:right w:w="0" w:type="dxa"/>
        </w:tblCellMar>
      </w:tblPr>
      <w:tblGrid>
        <w:gridCol w:w="4486"/>
        <w:gridCol w:w="346"/>
        <w:gridCol w:w="211"/>
        <w:gridCol w:w="691"/>
        <w:gridCol w:w="346"/>
        <w:gridCol w:w="254"/>
        <w:gridCol w:w="886"/>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848610" cy="175260"/>
                      <wp:effectExtent l="0" t="0" r="0" b="0"/>
                      <wp:wrapNone/>
                      <wp:docPr id="93" name="Frame93"/>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38785" cy="175260"/>
                      <wp:effectExtent l="0" t="0" r="0" b="0"/>
                      <wp:wrapNone/>
                      <wp:docPr id="96" name="Frame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61290" cy="175260"/>
                      <wp:effectExtent l="0" t="0" r="0" b="0"/>
                      <wp:wrapNone/>
                      <wp:docPr id="98" name="Frame9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62610" cy="175260"/>
                      <wp:effectExtent l="0" t="0" r="0" b="0"/>
                      <wp:wrapNone/>
                      <wp:docPr id="99" name="Frame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2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 related to IPR&amp;D (Note 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r>
      <w:tr>
        <w:trPr/>
        <w:tc>
          <w:tcPr>
            <w:tcW w:w="44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from sale of tax benefits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r>
      <w:tr>
        <w:trPr/>
        <w:tc>
          <w:tcPr>
            <w:tcW w:w="44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(Note 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44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w:t>
            </w:r>
          </w:p>
        </w:tc>
      </w:tr>
      <w:tr>
        <w:trPr/>
        <w:tc>
          <w:tcPr>
            <w:tcW w:w="44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r>
      <w:tr>
        <w:trPr/>
        <w:tc>
          <w:tcPr>
            <w:tcW w:w="44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4,043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$0.0 million and $0.9 million in other income related to the sale of these tax benefits during the three and six months ended June 30, 2026, respectively, and $0.0 million and $0.9 million during the three and six months ended June 30,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91" w:name="Tc_BWJfSICqaUOHHpyUIeOSuQ_34_16"/>
      <w:bookmarkStart w:id="492" w:name="Tc_HjBgtY94gEu_tsXp1MY0SA_34_13"/>
      <w:bookmarkStart w:id="493" w:name="Tc_t6JhBK-uFUyHbioaxhARfw_34_10"/>
      <w:bookmarkStart w:id="494" w:name="Tc_JZ2iE0_K8Eqjw3U7fxrP4Q_34_7"/>
      <w:bookmarkStart w:id="495" w:name="Tc_9T1H-WmFM0CyQgiHDtLOdA_34_4"/>
      <w:bookmarkStart w:id="496" w:name="Tc_1GJZvDjd2EuD_FSdA-y-nQ_34_0"/>
      <w:bookmarkStart w:id="497" w:name="Tc_3ys59B7KpkK7uP8undXBUg_33_11"/>
      <w:bookmarkStart w:id="498" w:name="Tc_QWaDNY5sskOlelrH2-Wa_g_33_8"/>
      <w:bookmarkStart w:id="499" w:name="Tc_qt8bszPCC06ZfDPkChedng_33_5"/>
      <w:bookmarkStart w:id="500" w:name="Tc_uMtWGZWcSkyMXnBgd8-WwQ_33_2"/>
      <w:bookmarkStart w:id="501" w:name="Tc_zPm-0GisFEicAXoVAq2rVQ_33_0"/>
      <w:bookmarkStart w:id="502" w:name="Tc_QHKgaqmVaUm-GRLNqnLgGQ_32_14"/>
      <w:bookmarkStart w:id="503" w:name="Tc_8hC9Mf9xX0OUDvGePqJF-w_32_8"/>
      <w:bookmarkStart w:id="504" w:name="Tc_02xpHNR5CUOxv0i9emAGeA_32_5"/>
      <w:bookmarkStart w:id="505" w:name="Tc_2_skLdtW5UmK_jgB-0MUdg_32_2"/>
      <w:bookmarkStart w:id="506" w:name="Tc_M17K1Ll7akGk5kBvJu-lKQ_32_0"/>
      <w:bookmarkStart w:id="507" w:name="Tc_0CO_tfL1bkKqeGH_qIW-HQ_31_14"/>
      <w:bookmarkStart w:id="508" w:name="Tc_w4TXN3o90EKKS8LNC0yufw_31_11"/>
      <w:bookmarkStart w:id="509" w:name="Tc_SNDCelL1TE2JPoZ5vmhnKw_31_5"/>
      <w:bookmarkStart w:id="510" w:name="Tc_kXF9LDybkUO-fr5BQ2EUmA_31_2"/>
      <w:bookmarkStart w:id="511" w:name="Tc_uuLCe98IREC1Y6jit8eqGA_31_0"/>
      <w:bookmarkStart w:id="512" w:name="Tc_D7spupNVPUuFNU_2NlUpiQ_30_14"/>
      <w:bookmarkStart w:id="513" w:name="Tc_U24L6kP-00uE64uKb9fJZg_30_11"/>
      <w:bookmarkStart w:id="514" w:name="Tc_R26IzUputk6wBpP6qObgJw_30_5"/>
      <w:bookmarkStart w:id="515" w:name="Tc_ZnOFVzO3M0GfFtsMroVKzA_30_0"/>
      <w:bookmarkStart w:id="516" w:name="Tc_KDL6pCfz5kWYsHAV-fcvJQ_29_16"/>
      <w:bookmarkStart w:id="517" w:name="Tc_X7ie-GBwkEW6chS_NukrnQ_29_13"/>
      <w:bookmarkStart w:id="518" w:name="Tc_UgCKYIhT70eDYP5szQRMQg_29_10"/>
      <w:bookmarkStart w:id="519" w:name="Tc_PLtQHXqcJEK5UiuKWTT1HQ_29_7"/>
      <w:bookmarkStart w:id="520" w:name="Tc_2Mz1RldUY06IS7fVW1WiLw_29_4"/>
      <w:bookmarkStart w:id="521" w:name="Tc_vbCdaF4-AUWdaMHJ6qcqeA_29_0"/>
      <w:bookmarkStart w:id="522" w:name="Tc_s37-Nw7LA0u4TEf90y0p0g_28_11"/>
      <w:bookmarkStart w:id="523" w:name="Tc_w5t_LlWS2USko1ejBKEzcw_28_8"/>
      <w:bookmarkStart w:id="524" w:name="Tc_Mt-PB0lkJE2syEndxE2CGg_28_5"/>
      <w:bookmarkStart w:id="525" w:name="Tc_WwvTGCGyEkWJxWFJ1x_jBQ_28_2"/>
      <w:bookmarkStart w:id="526" w:name="Tc_uuQNGcb5okimpHUe5JKf6A_28_0"/>
      <w:bookmarkStart w:id="527" w:name="Tc_uPHhIgTVb0anOW8BFgjRNw_27_14"/>
      <w:bookmarkStart w:id="528" w:name="Tc_W-BS-_1b90e_6XFCjEM7kA_27_8"/>
      <w:bookmarkStart w:id="529" w:name="Tc_iU8KHHCge0u0v3RJ_jWH9g_27_5"/>
      <w:bookmarkStart w:id="530" w:name="Tc_-l5QAEqUWUKYRmJ_lUCIdg_27_2"/>
      <w:bookmarkStart w:id="531" w:name="Tc_3MTDrAnf70iM63fLFr9Iug_27_0"/>
      <w:bookmarkStart w:id="532" w:name="Tc_IQaO1qaHZEeAW47AFkn8zQ_26_14"/>
      <w:bookmarkStart w:id="533" w:name="Tc_rvYVrThLeUK1Pex9WUySog_26_11"/>
      <w:bookmarkStart w:id="534" w:name="Tc_hX4LQFmkXUactHo4wbhrnA_26_5"/>
      <w:bookmarkStart w:id="535" w:name="Tc_gk38WKnTTkKAzyeHjAgbQA_26_2"/>
      <w:bookmarkStart w:id="536" w:name="Tc_q9_sFiiCVEOTtO1HbCD_nA_26_0"/>
      <w:bookmarkStart w:id="537" w:name="Tc_sGi-FZUipEKHeopDdf-fEg_25_14"/>
      <w:bookmarkStart w:id="538" w:name="Tc_iND9CvvdrUeu4tVE2uqD4w_25_11"/>
      <w:bookmarkStart w:id="539" w:name="Tc_rvvMxb3lDka3uLSWmyR32g_25_5"/>
      <w:bookmarkStart w:id="540" w:name="Tc_4dsPVHbsIEW2U67e6ZnkLQ_25_0"/>
      <w:bookmarkStart w:id="541" w:name="Tc_jzZQ-WPaAE2IQ5028TwcdA_24_16"/>
      <w:bookmarkStart w:id="542" w:name="Tc_X4LilpkWaEmwe9fASfbVkA_24_13"/>
      <w:bookmarkStart w:id="543" w:name="Tc_woHD3zl-5kq7-dFU31vkPA_24_10"/>
      <w:bookmarkStart w:id="544" w:name="Tc_v-BZ0jPDCESlnsOmmD9xCw_24_7"/>
      <w:bookmarkStart w:id="545" w:name="Tc_QRgBTKdbpEqh0OjUt2YgAA_24_4"/>
      <w:bookmarkStart w:id="546" w:name="Tc_AlP-P22R9U-38iQi3vlm6g_24_0"/>
      <w:bookmarkStart w:id="547" w:name="Tc_JqzaYbUIhUOBOB0hxzxjkA_23_2"/>
      <w:bookmarkStart w:id="548" w:name="Tc_t_lJgtPGV0iMx5a0TPogeQ_22_16"/>
      <w:bookmarkStart w:id="549" w:name="Tc_yY1vYJjdoUeZo-J7abOlqg_22_13"/>
      <w:bookmarkStart w:id="550" w:name="Tc_UffDG06E_0aQFQZuEEx4iw_22_10"/>
      <w:bookmarkStart w:id="551" w:name="Tc_u-i0bO-AmEG6vHsTjeCT1g_22_7"/>
      <w:bookmarkStart w:id="552" w:name="Tc_dSeYREwgME-nw4fW8AFNbQ_22_4"/>
      <w:bookmarkStart w:id="553" w:name="Tc_nl7jpXT95E-f_jWjOgcH2A_22_2"/>
      <w:bookmarkStart w:id="554" w:name="Tc_NU7oAGWPMU2hDp-kh_LeEQ_21_16"/>
      <w:bookmarkStart w:id="555" w:name="Tc_YXZaN9UT-0-iKoKqnYkddw_21_13"/>
      <w:bookmarkStart w:id="556" w:name="Tc_LE3ohIgbukOLVk_HgWelTA_21_10"/>
      <w:bookmarkStart w:id="557" w:name="Tc_ZBYQ6cKW3kqk6VWwX99QGw_21_7"/>
      <w:bookmarkStart w:id="558" w:name="Tc_VVtzwkdPME6FCxSIQJKQbg_21_4"/>
      <w:bookmarkStart w:id="559" w:name="Tc_Im0VTcsTeUifrF2fJ1whVQ_21_2"/>
      <w:bookmarkStart w:id="560" w:name="Tc_90iHDesOTU-dLZJAOWwrow_20_16"/>
      <w:bookmarkStart w:id="561" w:name="Tc_xFL_ZoYjCUm0PhPmm2tFww_20_10"/>
      <w:bookmarkStart w:id="562" w:name="Tc_0VuYCiJhh0y-J0VETmOC0g_20_7"/>
      <w:bookmarkStart w:id="563" w:name="Tc_qh7kCpkl9keayHoTnQ8q_Q_20_4"/>
      <w:bookmarkStart w:id="564" w:name="Tc_u6yJ4cIja0eFIxlFHqZjmQ_20_2"/>
      <w:bookmarkStart w:id="565" w:name="Tc_klNUo2P2y0WK3kaye5GVVg_19_10"/>
      <w:bookmarkStart w:id="566" w:name="Tc_ebnuiuAQ80KxHsThat7cOQ_17_16"/>
      <w:bookmarkStart w:id="567" w:name="Tc__ud11Cm1CkawYmAnNV-aeg_17_13"/>
      <w:bookmarkStart w:id="568" w:name="Tc_l0hFlajOT0SADd0RKIZSHw_17_10"/>
      <w:bookmarkStart w:id="569" w:name="Tc_WrQBbbfGYEGfrzCE9ssp0A_17_7"/>
      <w:bookmarkStart w:id="570" w:name="Tc__Ex5dyNApkyZB696B62VHg_17_4"/>
      <w:bookmarkStart w:id="571" w:name="Tc_WKrgKeoJt0uFh9VkgeTF_Q_17_0"/>
      <w:bookmarkStart w:id="572" w:name="Tc_dJMAQ4i3BE6tLj1yIKVqZw_16_11"/>
      <w:bookmarkStart w:id="573" w:name="Tc_P8SAOrJc606MniKXGPTvkg_16_8"/>
      <w:bookmarkStart w:id="574" w:name="Tc_Y5YBew3HIUWkm49XNxWXXA_16_5"/>
      <w:bookmarkStart w:id="575" w:name="Tc_ltZmlMjCqkybqe5gIHjgMQ_16_2"/>
      <w:bookmarkStart w:id="576" w:name="Tc_pWXX5k7gR0ujdldkomS83w_16_0"/>
      <w:bookmarkStart w:id="577" w:name="Tc_W-u4qfCrSUObRuLkCMnkgQ_15_14"/>
      <w:bookmarkStart w:id="578" w:name="Tc_b-9SWmQX-Eu_RQnv4RrUnw_15_8"/>
      <w:bookmarkStart w:id="579" w:name="Tc_s5xW1zOUlkKxPJcpZxuoEA_15_5"/>
      <w:bookmarkStart w:id="580" w:name="Tc_Qv9VTJoH0UCzkKtY-vC7sg_15_2"/>
      <w:bookmarkStart w:id="581" w:name="Tc_OIcEJRbzZkCZLWquqM-OdQ_15_0"/>
      <w:bookmarkStart w:id="582" w:name="Tc_KFzVct76WkOoF6eh2avrNA_14_14"/>
      <w:bookmarkStart w:id="583" w:name="Tc_lCoSQfkmJEOq1XZLBkcm_Q_14_11"/>
      <w:bookmarkStart w:id="584" w:name="Tc_FbZAtfzaPUCpDEqibv_PHQ_14_5"/>
      <w:bookmarkStart w:id="585" w:name="Tc_s-0RycCTDkaE74ZVglPIZw_14_2"/>
      <w:bookmarkStart w:id="586" w:name="Tc_QWHU_--4f0KShuyIOyIinw_14_0"/>
      <w:bookmarkStart w:id="587" w:name="Tc_S8R78P_VTEeH_sxJ1-GG-A_13_14"/>
      <w:bookmarkStart w:id="588" w:name="Tc_PzAZ-_TgLkSo6ls0VqFLOg_13_11"/>
      <w:bookmarkStart w:id="589" w:name="Tc_W2hTlnrj10-44grEH1MtiA_13_0"/>
      <w:bookmarkStart w:id="590" w:name="Tc_qlWsMtR8606ceLc5d99fzw_12_14"/>
      <w:bookmarkStart w:id="591" w:name="Tc_h4hBFl-EdUuw3VuJWwFwyA_12_11"/>
      <w:bookmarkStart w:id="592" w:name="Tc_fgx_OyYtV0e6e_fKq4h2QQ_12_5"/>
      <w:bookmarkStart w:id="593" w:name="Tc_oJ3D6URjaEGge8uFMeIzBQ_12_0"/>
      <w:bookmarkStart w:id="594" w:name="Tc_vrCnQvoZh02AO7E0_mkMaw_11_16"/>
      <w:bookmarkStart w:id="595" w:name="Tc_AC21-nun8EyiNHEq4ZXL6w_11_13"/>
      <w:bookmarkStart w:id="596" w:name="Tc_y8feAH3x10-6z6_BHl0neg_11_10"/>
      <w:bookmarkStart w:id="597" w:name="Tc_vAiFmkuocU2_q5uG9X65AA_11_7"/>
      <w:bookmarkStart w:id="598" w:name="Tc_0mNbbWQXbUOH60wtn8CegQ_11_4"/>
      <w:bookmarkStart w:id="599" w:name="Tc_LTEy04JWhk6FAUg_cvp8Hg_11_0"/>
      <w:bookmarkStart w:id="600" w:name="Tc_TDeByd0eNEOX4lEmMpj4IQ_10_11"/>
      <w:bookmarkStart w:id="601" w:name="Tc_1cemGHrmjUu8VEa5dGFeSw_10_8"/>
      <w:bookmarkStart w:id="602" w:name="Tc_8i9dTPCcvEq2QIuRWlm6jw_10_5"/>
      <w:bookmarkStart w:id="603" w:name="Tc_Z2yS8fYDmEqkzMMZvd5sTg_10_2"/>
      <w:bookmarkStart w:id="604" w:name="Tc_i3NAOvidPUy6oVElvpLpkQ_10_0"/>
      <w:bookmarkStart w:id="605" w:name="Tc_gL9z0N9qKk6w8Uqe29CPQw_9_14"/>
      <w:bookmarkStart w:id="606" w:name="Tc_2AEz1m9RYUOPjrlTDE8fmw_9_8"/>
      <w:bookmarkStart w:id="607" w:name="Tc_YwnlqttBhkG7FsTY9qxT7Q_9_5"/>
      <w:bookmarkStart w:id="608" w:name="Tc_0iPNeyMdv0eKnIOFQzVk_g_9_2"/>
      <w:bookmarkStart w:id="609" w:name="Tc_6rMXfsyMekSHwDclP3nW8g_9_0"/>
      <w:bookmarkStart w:id="610" w:name="Tc_SRFtc8YdK0-e3H_Ud-sGBw_8_14"/>
      <w:bookmarkStart w:id="611" w:name="Tc_d4A-Pa_uqUOBN4gCjbSQ6A_8_11"/>
      <w:bookmarkStart w:id="612" w:name="Tc_ie1NGVhsAUSJBekVZsmoGQ_8_5"/>
      <w:bookmarkStart w:id="613" w:name="Tc_Ags3HehIpUWJUzD0y_k5FQ_8_2"/>
      <w:bookmarkStart w:id="614" w:name="Tc_Xp29uddj0kW68GENcowPLQ_8_0"/>
      <w:bookmarkStart w:id="615" w:name="Tc_1V7a3dD-ek6-d2qwx088YA_7_14"/>
      <w:bookmarkStart w:id="616" w:name="Tc_u9tU73mS60CwB6SurF5vHQ_7_11"/>
      <w:bookmarkStart w:id="617" w:name="Tc_HnIF7RMGx0mY170Zi-FNLA_7_5"/>
      <w:bookmarkStart w:id="618" w:name="Tc_k2eyNxiCF0GCHO5QXkowHw_7_0"/>
      <w:bookmarkStart w:id="619" w:name="Tc_2xeBZhMu2keALi6ZTux9-A_6_16"/>
      <w:bookmarkStart w:id="620" w:name="Tc_z6qo19ba5kKjDxgqQM-cJQ_6_13"/>
      <w:bookmarkStart w:id="621" w:name="Tc_nF4ZkkNbDU6o5cYKS_-GWQ_6_10"/>
      <w:bookmarkStart w:id="622" w:name="Tc__GASiwUSGUShx_Xe9OzhuQ_6_7"/>
      <w:bookmarkStart w:id="623" w:name="Tc_8vlKi3lXsUqQniWfwkr0vQ_6_4"/>
      <w:bookmarkStart w:id="624" w:name="Tc_c2YB-CHA0kCb3GlmbuIHKg_6_0"/>
      <w:bookmarkStart w:id="625" w:name="Tc_g5mlV44e4EKcognsJkhyRw_5_2"/>
      <w:bookmarkStart w:id="626" w:name="Tc_iUqWLR9QRkqwtzbpwwyLGQ_4_16"/>
      <w:bookmarkStart w:id="627" w:name="Tc_VEcWMJ8n-E6vFy42YV2xiQ_4_13"/>
      <w:bookmarkStart w:id="628" w:name="Tc_u8kkP0TP6E2paWYeppeJXg_4_10"/>
      <w:bookmarkStart w:id="629" w:name="Tc_vfaMfrGcFkezs7nlD9pxRA_4_7"/>
      <w:bookmarkStart w:id="630" w:name="Tc_yM9qV1fig0iJeQdRfaub4Q_4_4"/>
      <w:bookmarkStart w:id="631" w:name="Tc_f2KjXImJ3EiJwwTkiLTubA_4_2"/>
      <w:bookmarkStart w:id="632" w:name="Tc_bh5vBd3dwUmLKIpTCQ7ayw_3_16"/>
      <w:bookmarkStart w:id="633" w:name="Tc_ikuBhu0DakCeXQoO0-7lqw_3_13"/>
      <w:bookmarkStart w:id="634" w:name="Tc_1Fh5RYf8lkSt6k_kSncLYw_3_10"/>
      <w:bookmarkStart w:id="635" w:name="Tc_3kaax1voKE2mrV4Ee12pbQ_3_7"/>
      <w:bookmarkStart w:id="636" w:name="Tc_X1TS1f6ud0OMR6oyQdbePQ_3_4"/>
      <w:bookmarkStart w:id="637" w:name="Tc_yYw_awvpdE2JE9V3wpSjXQ_3_2"/>
      <w:bookmarkStart w:id="638" w:name="Tc_1NVDvZoz6Uu4sIdvLADzvg_2_16"/>
      <w:bookmarkStart w:id="639" w:name="Tc_G41zZ-krI0aVlGexEgs58g_2_10"/>
      <w:bookmarkStart w:id="640" w:name="Tc_R9R8kS8qUk27xLJQXxYzMA_2_7"/>
      <w:bookmarkStart w:id="641" w:name="Tc___75vhJaSkWLf0mibjv5lQ_2_4"/>
      <w:bookmarkStart w:id="642" w:name="Tc_IYS8vscek0aQJR1000wfjQ_2_2"/>
      <w:bookmarkStart w:id="643" w:name="Tc_wXYcu_YFAUS7bVbuAUlAMw_1_1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r>
        <w:rPr>
          <w:rFonts w:ascii="Times New Roman;Times;serif" w:hAnsi="Times New Roman;Times;serif"/>
          <w:b/>
          <w:sz w:val="20"/>
        </w:rPr>
        <w:t>(10)  Stockholders’ Equity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2023, the Company filed an automatic shelf registration statement with the SEC to register for sale any combination of the types of securities described in the shelf registration statement, including shares of its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26, 2024, the Company entered into a controlled equity offering sales agreement (“ATM Agreement”) with Cantor Fitzgerald &amp; Co. (“Cantor”) to allow the Company to issue and sell shares of its common stock from time to time through Cantor, acting as agent. At June 30, 2026, the Company had registered $300.0 million of its common stock to be sold pursuant to the Company’s ATM Agreement, all of which remained unsold as of that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2026, the Company issued 11,896,750 shares of its common stock in an underwritten public offering resulting in net proceeds to the Company of $323.8 million, after deducting underwriting fees and offering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changes in Stockholders’ Equity during the three and six months ended June 30, 2026 and 2025 are summarized below:</w:t>
      </w:r>
    </w:p>
    <w:p>
      <w:pPr>
        <w:pStyle w:val="TextBody"/>
        <w:bidi w:val="0"/>
        <w:spacing w:before="0" w:after="0"/>
        <w:ind w:left="0" w:right="0" w:hanging="0"/>
        <w:jc w:val="left"/>
        <w:rPr/>
      </w:pPr>
      <w:r>
        <w:rPr/>
        <w:t>​</w:t>
      </w:r>
    </w:p>
    <w:tbl>
      <w:tblPr>
        <w:tblW w:w="10336" w:type="dxa"/>
        <w:jc w:val="left"/>
        <w:tblInd w:w="0" w:type="dxa"/>
        <w:tblLayout w:type="fixed"/>
        <w:tblCellMar>
          <w:top w:w="0" w:type="dxa"/>
          <w:left w:w="0" w:type="dxa"/>
          <w:bottom w:w="0" w:type="dxa"/>
          <w:right w:w="0" w:type="dxa"/>
        </w:tblCellMar>
      </w:tblPr>
      <w:tblGrid>
        <w:gridCol w:w="1741"/>
        <w:gridCol w:w="346"/>
        <w:gridCol w:w="1036"/>
        <w:gridCol w:w="346"/>
        <w:gridCol w:w="312"/>
        <w:gridCol w:w="514"/>
        <w:gridCol w:w="346"/>
        <w:gridCol w:w="211"/>
        <w:gridCol w:w="931"/>
        <w:gridCol w:w="346"/>
        <w:gridCol w:w="304"/>
        <w:gridCol w:w="912"/>
        <w:gridCol w:w="346"/>
        <w:gridCol w:w="211"/>
        <w:gridCol w:w="991"/>
        <w:gridCol w:w="346"/>
        <w:gridCol w:w="211"/>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105535" cy="175260"/>
                      <wp:effectExtent l="0" t="0" r="0" b="0"/>
                      <wp:wrapNone/>
                      <wp:docPr id="100" name="Frame10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57860" cy="175260"/>
                      <wp:effectExtent l="0" t="0" r="0" b="0"/>
                      <wp:wrapNone/>
                      <wp:docPr id="102" name="Frame1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98120" cy="175260"/>
                      <wp:effectExtent l="0" t="0" r="0" b="0"/>
                      <wp:wrapNone/>
                      <wp:docPr id="104" name="Frame104"/>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26390" cy="175260"/>
                      <wp:effectExtent l="0" t="0" r="0" b="0"/>
                      <wp:wrapNone/>
                      <wp:docPr id="105" name="Frame105"/>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91185" cy="175260"/>
                      <wp:effectExtent l="0" t="0" r="0" b="0"/>
                      <wp:wrapNone/>
                      <wp:docPr id="108" name="Frame1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93040" cy="175260"/>
                      <wp:effectExtent l="0" t="0" r="0" b="0"/>
                      <wp:wrapNone/>
                      <wp:docPr id="110" name="Frame11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79120" cy="175260"/>
                      <wp:effectExtent l="0" t="0" r="0" b="0"/>
                      <wp:wrapNone/>
                      <wp:docPr id="111" name="Frame111"/>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29285" cy="175260"/>
                      <wp:effectExtent l="0" t="0" r="0" b="0"/>
                      <wp:wrapNone/>
                      <wp:docPr id="114" name="Frame11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62610" cy="175260"/>
                      <wp:effectExtent l="0" t="0" r="0" b="0"/>
                      <wp:wrapNone/>
                      <wp:docPr id="117" name="Frame11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336"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49"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66,549,442</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2,337,453</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(1,813,981)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527,165</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19,529</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8,523</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8,523</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(78,685)</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2026</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66,568,971</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2,346,303</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(1,892,666)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456,226</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34,452</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in underwritten offering, net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11,896,750</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323,820</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323,832</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8,408</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8,408</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(73,503)</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June 30, 2026</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78,500,173</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2,679,356</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(1,966,169)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714,564</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Income</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Equity</w:t>
            </w:r>
          </w:p>
        </w:tc>
      </w:tr>
      <w:tr>
        <w:trPr/>
        <w:tc>
          <w:tcPr>
            <w:tcW w:w="10336"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49"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66,374,549</w:t>
            </w:r>
          </w:p>
        </w:tc>
        <w:tc>
          <w:tcPr>
            <w:tcW w:w="346" w:type="dxa"/>
            <w:tcBorders/>
            <w:shd w:fill="CCEEFF" w:val="clear"/>
            <w:vAlign w:val="center"/>
          </w:tcPr>
          <w:p>
            <w:pPr>
              <w:pStyle w:val="TableContents"/>
              <w:bidi w:val="0"/>
              <w:spacing w:before="0" w:after="0"/>
              <w:ind w:left="0" w:right="0" w:hanging="0"/>
              <w:jc w:val="left"/>
              <w:rPr/>
            </w:pPr>
            <w:r>
              <w:rPr/>
              <w:t> </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2,298,849</w:t>
            </w:r>
          </w:p>
        </w:tc>
        <w:tc>
          <w:tcPr>
            <w:tcW w:w="34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(1,555,224)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747,005</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9,642</w:t>
            </w:r>
          </w:p>
        </w:tc>
        <w:tc>
          <w:tcPr>
            <w:tcW w:w="3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1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c>
          <w:tcPr>
            <w:tcW w:w="34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2025</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66,384,191</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2,308,367</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(1,609,020)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702,981</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10,050</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(56,600)</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66,394,241</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2,317,621</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(1,665,620)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655,406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44" w:name="Tc_q65gdz3tEU2WOWPBLDnS8g_6_0"/>
      <w:bookmarkStart w:id="645" w:name="Tc_ur6EdKQ9skSxDk6gWrJ1Ig_5_8"/>
      <w:bookmarkStart w:id="646" w:name="Tc_4MDWfmrN3UObc2Fo6yIdkA_5_6"/>
      <w:bookmarkStart w:id="647" w:name="Tc_GeYA1j7JxkeKbvW1JVO-7g_5_4"/>
      <w:bookmarkStart w:id="648" w:name="Tc_evCnsXIxqEeE0-SOrR4fNQ_5_2"/>
      <w:bookmarkStart w:id="649" w:name="Tc_Epcp26_W9EGUCrFETAgzkQ_5_0"/>
      <w:bookmarkStart w:id="650" w:name="Tc_DO7j7BlXXEqBa2qvp9jRCQ_4_8"/>
      <w:bookmarkStart w:id="651" w:name="Tc_K18RX6QoIkqbw5NhJKq3lw_4_6"/>
      <w:bookmarkStart w:id="652" w:name="Tc_9Iq_hCTEdkWRbTKhqpZK8g_4_4"/>
      <w:bookmarkStart w:id="653" w:name="Tc_zvV1PyiDY0yG9UuUsQAFvg_4_2"/>
      <w:bookmarkStart w:id="654" w:name="Tc_8Dpy82livEOtKRAUs60SFg_4_0"/>
      <w:bookmarkStart w:id="655" w:name="Tc_zWfVb4Gd6EGuDlmFvEjnKA_3_8"/>
      <w:bookmarkStart w:id="656" w:name="Tc_F1PXTYkazUOMQrUNqqFD2g_3_6"/>
      <w:bookmarkStart w:id="657" w:name="Tc_6DZx-i22CEKZdF4_K3EfNQ_3_2"/>
      <w:bookmarkStart w:id="658" w:name="Tc_nCUUyYsCgkC86t-nLwZgrQ_3_0"/>
      <w:bookmarkStart w:id="659" w:name="Tc_ZhwUMoGj_kyLPrS990HfXA_2_8"/>
      <w:bookmarkStart w:id="660" w:name="Tc_vBysKaSX10yjczTlq808UQ_2_6"/>
      <w:bookmarkStart w:id="661" w:name="Tc_OhY3BkRCSkqHDQEqFGXjMw_2_4"/>
      <w:bookmarkStart w:id="662" w:name="Tc_AZp-Qbu-9ky7Rl1hy2Ymxw_2_2"/>
      <w:bookmarkStart w:id="663" w:name="Tc_oNmTzJXNTkyPy562mpjzBQ_1_6"/>
      <w:bookmarkStart w:id="664" w:name="Tc_zKcs8C4vTECrCsu44zE35w_1_2"/>
      <w:bookmarkStart w:id="665" w:name="Tc_TO-eWzZoxUugUdAKArmpMg_6_11"/>
      <w:bookmarkStart w:id="666" w:name="Tc_7evT9FbbVEmma-vuDqVZcg_6_8"/>
      <w:bookmarkStart w:id="667" w:name="Tc_yXrvhBjTwk2B9c8INPudZA_6_5"/>
      <w:bookmarkStart w:id="668" w:name="Tc_cKmqjHST60SWmeM57r49JA_6_2"/>
      <w:bookmarkStart w:id="669" w:name="Tc_ciZzXq4QeUy3Lmaq8kmxnA_6_0"/>
      <w:bookmarkStart w:id="670" w:name="Tc_16xKqpeMWUOOdcB4J2kYZQ_5_0"/>
      <w:bookmarkStart w:id="671" w:name="Tc_XN-OHr6VxUW8lU7g6yndXQ_4_11"/>
      <w:bookmarkStart w:id="672" w:name="Tc_Vj2u0kmsME-ImjYw7y_tmg_4_8"/>
      <w:bookmarkStart w:id="673" w:name="Tc_TTEb61ypekqGbMpVL1FN4w_4_5"/>
      <w:bookmarkStart w:id="674" w:name="Tc_-KXZQuXwCUCBgKqEwM9taQ_4_2"/>
      <w:bookmarkStart w:id="675" w:name="Tc_JaXbiqkSBEy89ht-8maZGQ_4_0"/>
      <w:bookmarkStart w:id="676" w:name="Tc_AGo1Y7mFZUWEE_uxD1d1lA_3_8"/>
      <w:bookmarkStart w:id="677" w:name="Tc_HSQiU29EfE6VbZIoaqDP4Q_3_2"/>
      <w:bookmarkStart w:id="678" w:name="Tc_kjM0udp_30ypWg3sCouj1A_2_11"/>
      <w:bookmarkStart w:id="679" w:name="Tc_wXin-Qi8PUu6wiim5eglYw_2_8"/>
      <w:bookmarkStart w:id="680" w:name="Tc_edKb4EeUdkCKN-e1CpZ8Zg_2_5"/>
      <w:bookmarkStart w:id="681" w:name="Tc_MPareRrXYUWSgur7Q2pDSA_2_2"/>
      <w:bookmarkStart w:id="682" w:name="Tc_yq01CyMUP0a5u7v6sWt0SQ_1_8"/>
      <w:bookmarkStart w:id="683" w:name="Tc_kprHhowIrU2zuZmkSiJWdQ_1_2"/>
      <w:bookmarkStart w:id="684" w:name="_208d867e_68e7_470e_b6b2_7f922333a701"/>
      <w:bookmarkStart w:id="685" w:name="Tc_-Xi0JkHcmUGpQ8os5ejg0Q_13_0"/>
      <w:bookmarkStart w:id="686" w:name="Tc_SG9NCCZA90SiabraF8KDQw_12_4"/>
      <w:bookmarkStart w:id="687" w:name="Tc_DdtlmO2F1EqG7xmLIc7GpA_12_0"/>
      <w:bookmarkStart w:id="688" w:name="Tc_4u-jm4biO0ahw3gcMi0k5g_11_4"/>
      <w:bookmarkStart w:id="689" w:name="Tc_oe6uFIZgSEWX7yqJr9D7MA_11_0"/>
      <w:bookmarkStart w:id="690" w:name="Tc_FBABo0mkB0SCqPo6V-z5uw_10_4"/>
      <w:bookmarkStart w:id="691" w:name="Tc_VYxIa9ch5EaI3yrqQ_wVEw_10_0"/>
      <w:bookmarkStart w:id="692" w:name="Tc_f_LxcLGAAUuFCcHKUbR-7w_9_7"/>
      <w:bookmarkStart w:id="693" w:name="Tc_2hiCY962ckqlcL1S5jxepg_9_4"/>
      <w:bookmarkStart w:id="694" w:name="Tc_wurYLPEK10GI4BQHzUkfWA_9_0"/>
      <w:bookmarkStart w:id="695" w:name="Tc_EKzDa3IzFEmQXPjs3dW6cw_8_7"/>
      <w:bookmarkStart w:id="696" w:name="Tc_F-avHucpMEeD9tQoGtdYUw_8_4"/>
      <w:bookmarkStart w:id="697" w:name="Tc_2lHcUaw5IECsXkZbzWeDLA_8_0"/>
      <w:bookmarkStart w:id="698" w:name="Tc_PKRmoXZF1k-S6NRBQnc6hw_7_7"/>
      <w:bookmarkStart w:id="699" w:name="Tc_dZ5HiraRPkODpNpi6yLmWQ_7_4"/>
      <w:bookmarkStart w:id="700" w:name="Tc_duvZf60gjkWEtE8kN2n3Rg_7_0"/>
      <w:bookmarkStart w:id="701" w:name="Tc_HUy7boUBPU2YcsxSqTCeDg_6_4"/>
      <w:bookmarkStart w:id="702" w:name="Tc_tm71kFq3akSQSYRIPTK7Kg_6_0"/>
      <w:bookmarkStart w:id="703" w:name="Tc_uVpfNc4RrkuCKnfU1CakkA_5_7"/>
      <w:bookmarkStart w:id="704" w:name="Tc_60PLBeiRT0ek8bDuIZGTvQ_5_4"/>
      <w:bookmarkStart w:id="705" w:name="Tc_mMzjL83dF02R4swIZc-gxA_5_2"/>
      <w:bookmarkStart w:id="706" w:name="Tc_X2cPcANV4U-4OTDj6DekAQ_4_7"/>
      <w:bookmarkStart w:id="707" w:name="Tc_gjsddTrBF0y1Sly_TKXVTA_4_4"/>
      <w:bookmarkStart w:id="708" w:name="Tc_UcsSYd-N2UWGUNMqUtGQOw_3_7"/>
      <w:bookmarkStart w:id="709" w:name="Tc_cCXxQLofHkKuzkz87nyM5A_3_4"/>
      <w:bookmarkStart w:id="710" w:name="Tc_nFPAyA7tbECPFX8Ap0iukg_2_7"/>
      <w:bookmarkStart w:id="711" w:name="Tc_2cJkoISyP066dC9KzJYbZQ_2_4"/>
      <w:bookmarkStart w:id="712" w:name="Tc_pqFS0gwv-Eigo9OEHAgseQ_1_7"/>
      <w:bookmarkStart w:id="713" w:name="Tc_0muYM3UAxEWhxJ4VDPWMWQ_1_4"/>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r>
        <w:rPr>
          <w:rFonts w:ascii="Times New Roman;Times;serif" w:hAnsi="Times New Roman;Times;serif"/>
          <w:b/>
          <w:sz w:val="20"/>
        </w:rPr>
        <w:t>(11)  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stock option activity for the six months ended June 30, 2026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019"/>
        <w:gridCol w:w="346"/>
        <w:gridCol w:w="1036"/>
        <w:gridCol w:w="346"/>
        <w:gridCol w:w="222"/>
        <w:gridCol w:w="604"/>
        <w:gridCol w:w="346"/>
        <w:gridCol w:w="1286"/>
      </w:tblGrid>
      <w:tr>
        <w:trPr/>
        <w:tc>
          <w:tcPr>
            <w:tcW w:w="6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822065" cy="175260"/>
                      <wp:effectExtent l="0" t="0" r="0" b="0"/>
                      <wp:wrapNone/>
                      <wp:docPr id="118" name="Frame118"/>
                      <a:graphic xmlns:a="http://schemas.openxmlformats.org/drawingml/2006/main">
                        <a:graphicData uri="http://schemas.microsoft.com/office/word/2010/wordprocessingShape">
                          <wps:wsp>
                            <wps:cNvSpPr txBox="1"/>
                            <wps:spPr>
                              <a:xfrm>
                                <a:off x="0" y="0"/>
                                <a:ext cx="3822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57860" cy="175260"/>
                      <wp:effectExtent l="0" t="0" r="0" b="0"/>
                      <wp:wrapNone/>
                      <wp:docPr id="120" name="Frame1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40970" cy="175260"/>
                      <wp:effectExtent l="0" t="0" r="0" b="0"/>
                      <wp:wrapNone/>
                      <wp:docPr id="122" name="Frame12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83540" cy="175260"/>
                      <wp:effectExtent l="0" t="0" r="0" b="0"/>
                      <wp:wrapNone/>
                      <wp:docPr id="123" name="Frame123"/>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16610" cy="175260"/>
                      <wp:effectExtent l="0" t="0" r="0" b="0"/>
                      <wp:wrapNone/>
                      <wp:docPr id="125" name="Frame125"/>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6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6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6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6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before="0" w:after="0"/>
              <w:ind w:left="0" w:right="0" w:hanging="0"/>
              <w:jc w:val="left"/>
              <w:rPr/>
            </w:pPr>
            <w:r>
              <w:rPr/>
              <w:t>  ​ ​ ​</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(In Years)</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9,134,278</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w:t>
            </w:r>
          </w:p>
        </w:tc>
        <w:tc>
          <w:tcPr>
            <w:tcW w:w="346"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60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2,588,670</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w:t>
            </w:r>
          </w:p>
        </w:tc>
        <w:tc>
          <w:tcPr>
            <w:tcW w:w="34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w:t>
            </w:r>
          </w:p>
        </w:tc>
        <w:tc>
          <w:tcPr>
            <w:tcW w:w="346"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0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Canceled</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(250,328)</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42.97</w:t>
            </w:r>
          </w:p>
        </w:tc>
        <w:tc>
          <w:tcPr>
            <w:tcW w:w="346" w:type="dxa"/>
            <w:tcBorders/>
            <w:vAlign w:val="center"/>
          </w:tcPr>
          <w:p>
            <w:pPr>
              <w:pStyle w:val="TableContents"/>
              <w:bidi w:val="0"/>
              <w:spacing w:before="0" w:after="0"/>
              <w:ind w:left="0" w:right="0" w:hanging="0"/>
              <w:jc w:val="left"/>
              <w:rPr/>
            </w:pPr>
            <w:r>
              <w:rPr/>
              <w:t>​</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11,430,726</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w:t>
            </w:r>
          </w:p>
        </w:tc>
        <w:tc>
          <w:tcPr>
            <w:tcW w:w="346" w:type="dxa"/>
            <w:tcBorders/>
            <w:shd w:fill="CCEEFF" w:val="clear"/>
            <w:vAlign w:val="center"/>
          </w:tcPr>
          <w:p>
            <w:pPr>
              <w:pStyle w:val="TableContents"/>
              <w:bidi w:val="0"/>
              <w:spacing w:before="0" w:after="0"/>
              <w:ind w:left="0" w:right="0" w:hanging="0"/>
              <w:jc w:val="left"/>
              <w:rPr/>
            </w:pPr>
            <w:r>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60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at June 30, 2026</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11,288,830</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27.77</w:t>
            </w:r>
          </w:p>
        </w:tc>
        <w:tc>
          <w:tcPr>
            <w:tcW w:w="34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6,194,728</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w:t>
            </w:r>
          </w:p>
        </w:tc>
        <w:tc>
          <w:tcPr>
            <w:tcW w:w="346"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60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the Celldex Therapeutics, Inc. 2021 Omnibus Equity Incentive Plan (as amended, effective as of June 25, 2026) at June 30, 2026</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3,686,494</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weighted average grant-date fair value of stock options granted during the three and six months ended June 30, 2026 was $20.96 and $20.90,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aggregate intrinsic value of stock options vested and expected to vest at June 30, 2026 was $107.2 million. The aggregate intrinsic value of stock options exercisable at June 30, 2026 was $72.5 million. As of June 30, 2026, total compensation cost related to non-vested employee, consultant and non-employee director stock options not yet recognized was approximately $98.5 million, net of estimated forfeitures, which is expected to be recognized as expense over a weighted average period of 3.0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Stock-based compensation expense for the three and six months ended June 30, 2026 and 2025 was recorded as follows:</w:t>
      </w:r>
    </w:p>
    <w:p>
      <w:pPr>
        <w:pStyle w:val="TextBody"/>
        <w:bidi w:val="0"/>
        <w:spacing w:before="0" w:after="0"/>
        <w:ind w:left="0" w:right="0" w:hanging="0"/>
        <w:jc w:val="left"/>
        <w:rPr/>
      </w:pPr>
      <w:r>
        <w:rPr/>
        <w:t>​</w:t>
      </w:r>
    </w:p>
    <w:tbl>
      <w:tblPr>
        <w:tblW w:w="8721" w:type="dxa"/>
        <w:jc w:val="left"/>
        <w:tblInd w:w="0" w:type="dxa"/>
        <w:tblLayout w:type="fixed"/>
        <w:tblCellMar>
          <w:top w:w="0" w:type="dxa"/>
          <w:left w:w="0" w:type="dxa"/>
          <w:bottom w:w="0" w:type="dxa"/>
          <w:right w:w="0" w:type="dxa"/>
        </w:tblCellMar>
      </w:tblPr>
      <w:tblGrid>
        <w:gridCol w:w="3496"/>
        <w:gridCol w:w="346"/>
        <w:gridCol w:w="255"/>
        <w:gridCol w:w="690"/>
        <w:gridCol w:w="418"/>
        <w:gridCol w:w="255"/>
        <w:gridCol w:w="690"/>
        <w:gridCol w:w="346"/>
        <w:gridCol w:w="211"/>
        <w:gridCol w:w="676"/>
        <w:gridCol w:w="346"/>
        <w:gridCol w:w="211"/>
        <w:gridCol w:w="78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219960" cy="175260"/>
                      <wp:effectExtent l="0" t="0" r="0" b="0"/>
                      <wp:wrapNone/>
                      <wp:docPr id="126" name="Frame126"/>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1925" cy="175260"/>
                      <wp:effectExtent l="0" t="0" r="0" b="0"/>
                      <wp:wrapNone/>
                      <wp:docPr id="128" name="Frame12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38150" cy="175260"/>
                      <wp:effectExtent l="0" t="0" r="0" b="0"/>
                      <wp:wrapNone/>
                      <wp:docPr id="129" name="Frame129"/>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65430" cy="175260"/>
                      <wp:effectExtent l="0" t="0" r="0" b="0"/>
                      <wp:wrapNone/>
                      <wp:docPr id="130" name="Frame130"/>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61925" cy="175260"/>
                      <wp:effectExtent l="0" t="0" r="0" b="0"/>
                      <wp:wrapNone/>
                      <wp:docPr id="131" name="Frame13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38150" cy="175260"/>
                      <wp:effectExtent l="0" t="0" r="0" b="0"/>
                      <wp:wrapNone/>
                      <wp:docPr id="132" name="Frame13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29260" cy="175260"/>
                      <wp:effectExtent l="0" t="0" r="0" b="0"/>
                      <wp:wrapNone/>
                      <wp:docPr id="135" name="Frame1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95935" cy="175260"/>
                      <wp:effectExtent l="0" t="0" r="0" b="0"/>
                      <wp:wrapNone/>
                      <wp:docPr id="138" name="Frame1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0"/>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72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4,588</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9,467</w:t>
            </w:r>
          </w:p>
        </w:tc>
      </w:tr>
      <w:tr>
        <w:trPr/>
        <w:tc>
          <w:tcPr>
            <w:tcW w:w="34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w:t>
            </w:r>
          </w:p>
        </w:tc>
        <w:tc>
          <w:tcPr>
            <w:tcW w:w="418"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9,040</w:t>
            </w:r>
          </w:p>
        </w:tc>
      </w:tr>
      <w:tr>
        <w:trPr/>
        <w:tc>
          <w:tcPr>
            <w:tcW w:w="34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stock-based compensation expense </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8,408</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18,507</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values of employee, consultant and non-employee director stock options granted during the three and six months ended June 30, 2026 and 2025 were valued using the Black-Scholes option pricing model with the following assumptions:</w:t>
      </w:r>
    </w:p>
    <w:p>
      <w:pPr>
        <w:pStyle w:val="TextBody"/>
        <w:bidi w:val="0"/>
        <w:spacing w:before="0" w:after="0"/>
        <w:ind w:left="0" w:right="0" w:hanging="0"/>
        <w:jc w:val="left"/>
        <w:rPr/>
      </w:pPr>
      <w:r>
        <w:rPr/>
        <w:t>​</w:t>
      </w:r>
    </w:p>
    <w:tbl>
      <w:tblPr>
        <w:tblW w:w="7970" w:type="dxa"/>
        <w:jc w:val="left"/>
        <w:tblInd w:w="0" w:type="dxa"/>
        <w:tblLayout w:type="fixed"/>
        <w:tblCellMar>
          <w:top w:w="0" w:type="dxa"/>
          <w:left w:w="0" w:type="dxa"/>
          <w:bottom w:w="0" w:type="dxa"/>
          <w:right w:w="0" w:type="dxa"/>
        </w:tblCellMar>
      </w:tblPr>
      <w:tblGrid>
        <w:gridCol w:w="2626"/>
        <w:gridCol w:w="346"/>
        <w:gridCol w:w="981"/>
        <w:gridCol w:w="347"/>
        <w:gridCol w:w="981"/>
        <w:gridCol w:w="346"/>
        <w:gridCol w:w="976"/>
        <w:gridCol w:w="346"/>
        <w:gridCol w:w="102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67510" cy="175260"/>
                      <wp:effectExtent l="0" t="0" r="0" b="0"/>
                      <wp:wrapNone/>
                      <wp:docPr id="139" name="Frame139"/>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22935" cy="175260"/>
                      <wp:effectExtent l="0" t="0" r="0" b="0"/>
                      <wp:wrapNone/>
                      <wp:docPr id="141" name="Frame141"/>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20345" cy="175260"/>
                      <wp:effectExtent l="0" t="0" r="0" b="0"/>
                      <wp:wrapNone/>
                      <wp:docPr id="142" name="Frame14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22935" cy="175260"/>
                      <wp:effectExtent l="0" t="0" r="0" b="0"/>
                      <wp:wrapNone/>
                      <wp:docPr id="143" name="Frame143"/>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19760" cy="175260"/>
                      <wp:effectExtent l="0" t="0" r="0" b="0"/>
                      <wp:wrapNone/>
                      <wp:docPr id="145" name="Frame14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335" cy="175260"/>
                      <wp:effectExtent l="0" t="0" r="0" b="0"/>
                      <wp:wrapNone/>
                      <wp:docPr id="147" name="Frame14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7" w:type="dxa"/>
            <w:tcBorders/>
            <w:vAlign w:val="center"/>
          </w:tcPr>
          <w:p>
            <w:pPr>
              <w:pStyle w:val="TableContents"/>
              <w:bidi w:val="0"/>
              <w:spacing w:before="0" w:after="0"/>
              <w:ind w:left="0" w:right="0" w:hanging="0"/>
              <w:jc w:val="left"/>
              <w:rPr/>
            </w:pPr>
            <w:r>
              <w:rPr/>
              <w:t>  ​ ​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34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 – 74%</w:t>
            </w:r>
          </w:p>
        </w:tc>
        <w:tc>
          <w:tcPr>
            <w:tcW w:w="347"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 – 76%</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 – 81%</w:t>
            </w:r>
          </w:p>
        </w:tc>
      </w:tr>
      <w:tr>
        <w:trPr/>
        <w:tc>
          <w:tcPr>
            <w:tcW w:w="26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option term</w:t>
            </w:r>
          </w:p>
        </w:tc>
        <w:tc>
          <w:tcPr>
            <w:tcW w:w="34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47"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r>
      <w:tr>
        <w:trPr/>
        <w:tc>
          <w:tcPr>
            <w:tcW w:w="26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 – 4.4%</w:t>
            </w:r>
          </w:p>
        </w:tc>
        <w:tc>
          <w:tcPr>
            <w:tcW w:w="347"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 – 4.3%</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 – 4.4%</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 – 4.7%</w:t>
            </w:r>
          </w:p>
        </w:tc>
      </w:tr>
      <w:tr>
        <w:trPr/>
        <w:tc>
          <w:tcPr>
            <w:tcW w:w="26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47"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14" w:name="Tc_EbwLvuMqg0q5mqgdWo0CKg_8_8"/>
      <w:bookmarkStart w:id="715" w:name="Tc_367186NhVEGSt8QKcRrqfg_8_5"/>
      <w:bookmarkStart w:id="716" w:name="Tc_hfGdDTiQEEyxqiTTDuMFKA_8_2"/>
      <w:bookmarkStart w:id="717" w:name="Tc_5kTyXT9Nbkq0gH_4YzFzGg_8_0"/>
      <w:bookmarkStart w:id="718" w:name="Tc_f4p9eFw2K0qPifiYu_KRoQ_7_0"/>
      <w:bookmarkStart w:id="719" w:name="Tc_JVUnfJlHVkKMIX9PCH5jLQ_6_8"/>
      <w:bookmarkStart w:id="720" w:name="Tc_WU4R580O0kOFWdt9B1E5Lw_6_5"/>
      <w:bookmarkStart w:id="721" w:name="Tc_IeypZ7_jwU2zMmqC9plqRQ_6_2"/>
      <w:bookmarkStart w:id="722" w:name="Tc_IHpYwf0M0Um00JZkEFSAAw_6_0"/>
      <w:bookmarkStart w:id="723" w:name="Tc_fWUmI5WMBEiuLj9pEheuyQ_5_2"/>
      <w:bookmarkStart w:id="724" w:name="Tc_gDgsTmrzXkStCy6CfZNZ_A_4_8"/>
      <w:bookmarkStart w:id="725" w:name="Tc_ug0CcKG5hUWeKbXr13_NmQ_4_5"/>
      <w:bookmarkStart w:id="726" w:name="Tc_tq3vMYG1OE-Mgei1SixXIg_4_2"/>
      <w:bookmarkStart w:id="727" w:name="Tc_8qInBtko2UCX9zIpADu9cg_3_5"/>
      <w:bookmarkStart w:id="728" w:name="Tc_ARanR09znkWUZmGVr6ckzw_3_2"/>
      <w:bookmarkStart w:id="729" w:name="Tc_cMDDWZxn3UuY-VP3vOOSoA_2_2"/>
      <w:bookmarkStart w:id="730" w:name="Tc_sQE9E0vHfUK195Pnl-PxOw_1_2"/>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r>
        <w:rPr>
          <w:rFonts w:ascii="Times New Roman;Times;serif" w:hAnsi="Times New Roman;Times;serif"/>
          <w:b/>
          <w:sz w:val="20"/>
        </w:rPr>
        <w:t>(12)  Accumulated Other Comprehensive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changes in accumulated other comprehensive income, which is reported as a component of stockholders’ equity, for the six months ended June 30, 2026 are summarized below:</w:t>
      </w:r>
    </w:p>
    <w:p>
      <w:pPr>
        <w:pStyle w:val="TextBody"/>
        <w:bidi w:val="0"/>
        <w:spacing w:before="0" w:after="0"/>
        <w:ind w:left="0" w:right="0" w:hanging="0"/>
        <w:jc w:val="left"/>
        <w:rPr/>
      </w:pPr>
      <w:r>
        <w:rPr/>
        <w:t>​</w:t>
      </w:r>
    </w:p>
    <w:tbl>
      <w:tblPr>
        <w:tblW w:w="6982" w:type="dxa"/>
        <w:jc w:val="left"/>
        <w:tblInd w:w="0" w:type="dxa"/>
        <w:tblLayout w:type="fixed"/>
        <w:tblCellMar>
          <w:top w:w="0" w:type="dxa"/>
          <w:left w:w="0" w:type="dxa"/>
          <w:bottom w:w="0" w:type="dxa"/>
          <w:right w:w="0" w:type="dxa"/>
        </w:tblCellMar>
      </w:tblPr>
      <w:tblGrid>
        <w:gridCol w:w="2596"/>
        <w:gridCol w:w="346"/>
        <w:gridCol w:w="273"/>
        <w:gridCol w:w="897"/>
        <w:gridCol w:w="346"/>
        <w:gridCol w:w="332"/>
        <w:gridCol w:w="899"/>
        <w:gridCol w:w="346"/>
        <w:gridCol w:w="211"/>
        <w:gridCol w:w="7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648460" cy="175260"/>
                      <wp:effectExtent l="0" t="0" r="0" b="0"/>
                      <wp:wrapNone/>
                      <wp:docPr id="148" name="Frame14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73355" cy="175260"/>
                      <wp:effectExtent l="0" t="0" r="0" b="0"/>
                      <wp:wrapNone/>
                      <wp:docPr id="150" name="Frame150"/>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69595" cy="175260"/>
                      <wp:effectExtent l="0" t="0" r="0" b="0"/>
                      <wp:wrapNone/>
                      <wp:docPr id="151" name="Frame151"/>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0820" cy="175260"/>
                      <wp:effectExtent l="0" t="0" r="0" b="0"/>
                      <wp:wrapNone/>
                      <wp:docPr id="153" name="Frame153"/>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70865" cy="175260"/>
                      <wp:effectExtent l="0" t="0" r="0" b="0"/>
                      <wp:wrapNone/>
                      <wp:docPr id="154" name="Frame154"/>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67360" cy="175260"/>
                      <wp:effectExtent l="0" t="0" r="0" b="0"/>
                      <wp:wrapNone/>
                      <wp:docPr id="157" name="Frame15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Marketable</w:t>
            </w:r>
          </w:p>
        </w:tc>
        <w:tc>
          <w:tcPr>
            <w:tcW w:w="34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0"/>
              <w:ind w:left="0" w:right="0" w:hanging="0"/>
              <w:jc w:val="left"/>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 Items</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98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3,626</w:t>
            </w:r>
          </w:p>
        </w:tc>
      </w:tr>
      <w:tr>
        <w:trPr/>
        <w:tc>
          <w:tcPr>
            <w:tcW w:w="25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w:t>
            </w:r>
          </w:p>
        </w:tc>
      </w:tr>
      <w:tr>
        <w:trPr/>
        <w:tc>
          <w:tcPr>
            <w:tcW w:w="25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1,298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amounts were reclassified out of accumulated other comprehensive income during the six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and Grants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entered into agreements with Rockefeller University (“Rockefeller”) pursuant to which the Company performs manufacturing and research and development services on a time-and-materials basis or at a negotiated fixed-price. The Company recognized no material revenue under the agreements with Rockefeller during the three and six months ended June 30, 2026. The Company recognized $0.7 million and $1.4 million under the agreements with Rockefeller during the three and six months ended June 30, 2025,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June 30, 2026 and December 31, 2025, the Company’s right to consideration under all contracts were considered unconditional, and as such, no contract assets were recorded. Accordingly, amounts billed but not yet paid by customers were recorded as trade receivables at June 30, 2026 and December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June 30, 2026, the Company had $1.8 million in contract liabilities recorded, representing consideration billed in advance of performing manufacturing and research and development services. The Company expects to recognize this amount as revenue over the next 24 months as the related services are performed. At December 31, 2025, the Company had $1.8 million in contract liabilities recorded. No revenue was recognized from contract liabilities as of December 31, 2025 during the six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4, 2025, the One Big Beautiful Bill Act (“OBBBA”) was enacted in the United States. The OBBBA includes significant corporate tax reforms, including (i) the permanent reinstatement of deducting domestic research and development expenditures as incurred (under prior law such expenditures were capitalized and amortized over five years) and (ii) the option to claim 100% accelerated depreciation deductions on qualified property. The corporate tax changes included in the OBBBA did not have a material impact on our effective income tax rate during the three and six months ended June 30, 2026, and we do not anticipate a material impact on our effective income tax rate in future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June 30, 2026 and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net deferred tax liability of $1.6 million at June 30, 2026 and December 31, 2025 relates to the temporary differences associated with the IPR&amp;D intangible assets acquired in previous business combinations and is not deductible for tax purposes.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Massachusetts, New Jersey, New York and Connecticut are the jurisdictions in which the Company primarily operates or has operated and has income tax nexus. The Company is not currently under examination by these or any other jurisdictions for any tax year.</w:t>
      </w:r>
    </w:p>
    <w:p>
      <w:pPr>
        <w:pStyle w:val="TextBody"/>
        <w:bidi w:val="0"/>
        <w:spacing w:before="0" w:after="240"/>
        <w:ind w:left="0" w:right="0" w:hanging="0"/>
        <w:jc w:val="left"/>
        <w:rPr>
          <w:rFonts w:ascii="Times New Roman;Times;serif" w:hAnsi="Times New Roman;Times;serif"/>
          <w:b/>
          <w:sz w:val="20"/>
        </w:rPr>
      </w:pPr>
      <w:bookmarkStart w:id="731" w:name="Tc_o-ENmQAMsEmb_NMvGRBbng_4_4"/>
      <w:bookmarkStart w:id="732" w:name="Tc_MZlG8t1WFEKSvGkGxZQ4RQ_4_2"/>
      <w:bookmarkStart w:id="733" w:name="Tc_ux8hHrViUUyv55DN3D0Zpw_4_0"/>
      <w:bookmarkStart w:id="734" w:name="Tc_xHK08T2fFECIapsGWrTvpg_3_0"/>
      <w:bookmarkStart w:id="735" w:name="Tc_UUaQmoXLREegbas81Qsctw_2_4"/>
      <w:bookmarkStart w:id="736" w:name="Tc_3pn5J0wCX0mnJ88q9bqqdQ_2_2"/>
      <w:bookmarkStart w:id="737" w:name="Tc_ZJFbeUXE7Euk35Hms_sIlw_1_2"/>
      <w:bookmarkEnd w:id="731"/>
      <w:bookmarkEnd w:id="732"/>
      <w:bookmarkEnd w:id="733"/>
      <w:bookmarkEnd w:id="734"/>
      <w:bookmarkEnd w:id="735"/>
      <w:bookmarkEnd w:id="736"/>
      <w:bookmarkEnd w:id="737"/>
      <w:r>
        <w:rPr>
          <w:rFonts w:ascii="Times New Roman;Times;serif" w:hAnsi="Times New Roman;Times;serif"/>
          <w:b/>
          <w:sz w:val="20"/>
        </w:rPr>
        <w:t>(15)  Net Loss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pStyle w:val="TextBody"/>
        <w:bidi w:val="0"/>
        <w:spacing w:before="0" w:after="0"/>
        <w:ind w:left="0" w:right="0" w:hanging="0"/>
        <w:jc w:val="left"/>
        <w:rPr/>
      </w:pPr>
      <w:r>
        <w:rPr/>
        <w:t>​</w:t>
      </w:r>
    </w:p>
    <w:tbl>
      <w:tblPr>
        <w:tblW w:w="4220" w:type="dxa"/>
        <w:jc w:val="left"/>
        <w:tblInd w:w="0" w:type="dxa"/>
        <w:tblLayout w:type="fixed"/>
        <w:tblCellMar>
          <w:top w:w="0" w:type="dxa"/>
          <w:left w:w="0" w:type="dxa"/>
          <w:bottom w:w="0" w:type="dxa"/>
          <w:right w:w="0" w:type="dxa"/>
        </w:tblCellMar>
      </w:tblPr>
      <w:tblGrid>
        <w:gridCol w:w="1456"/>
        <w:gridCol w:w="346"/>
        <w:gridCol w:w="1036"/>
        <w:gridCol w:w="346"/>
        <w:gridCol w:w="103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924560" cy="175260"/>
                      <wp:effectExtent l="0" t="0" r="0" b="0"/>
                      <wp:wrapNone/>
                      <wp:docPr id="158" name="Frame158"/>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57860" cy="175260"/>
                      <wp:effectExtent l="0" t="0" r="0" b="0"/>
                      <wp:wrapNone/>
                      <wp:docPr id="160" name="Frame16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57860" cy="175260"/>
                      <wp:effectExtent l="0" t="0" r="0" b="0"/>
                      <wp:wrapNone/>
                      <wp:docPr id="162" name="Frame16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Options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11,430,726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9,290,328</w:t>
            </w:r>
          </w:p>
        </w:tc>
      </w:tr>
      <w:tr>
        <w:trPr/>
        <w:tc>
          <w:tcPr>
            <w:tcW w:w="14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4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11,430,726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9,290,328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(16)  Kolltan Acquisition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15, 2022, the Company entered into a definitive settlement agreement between the Company and SRS (the “Settlement Agreement”) and the Company and SRS jointly filed a Stipulation of Dismissal with prejudice relating to the Litigation on July 19,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Settlement Agreement, all milestone payments provided for by the Merger Agreement were replaced in their entirety with the following payments, each of which is payable only once:</w:t>
      </w:r>
    </w:p>
    <w:tbl>
      <w:tblPr>
        <w:tblW w:w="8901" w:type="dxa"/>
        <w:jc w:val="left"/>
        <w:tblInd w:w="0" w:type="dxa"/>
        <w:tblLayout w:type="fixed"/>
        <w:tblCellMar>
          <w:top w:w="28" w:type="dxa"/>
          <w:left w:w="28" w:type="dxa"/>
          <w:bottom w:w="28" w:type="dxa"/>
          <w:right w:w="28" w:type="dxa"/>
        </w:tblCellMar>
      </w:tblPr>
      <w:tblGrid>
        <w:gridCol w:w="124"/>
        <w:gridCol w:w="28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$15.0</w:t>
            </w:r>
            <w:r>
              <w:rPr>
                <w:caps w:val="false"/>
                <w:smallCaps w:val="false"/>
              </w:rPr>
              <w:t xml:space="preserve"> </w:t>
            </w:r>
            <w:r>
              <w:rPr>
                <w:rFonts w:ascii="Times New Roman;Times;serif" w:hAnsi="Times New Roman;Times;serif"/>
                <w:b w:val="false"/>
                <w:i w:val="false"/>
                <w:caps w:val="false"/>
                <w:smallCaps w:val="false"/>
                <w:sz w:val="20"/>
              </w:rPr>
              <w:t>million upon execution of the Settlement Agreement (the “Initial Payment”).</w:t>
            </w:r>
          </w:p>
        </w:tc>
      </w:tr>
    </w:tbl>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$12.5</w:t>
            </w:r>
            <w:r>
              <w:rPr>
                <w:caps w:val="false"/>
                <w:smallCaps w:val="false"/>
              </w:rPr>
              <w:t xml:space="preserve"> </w:t>
            </w:r>
            <w:r>
              <w:rPr>
                <w:rFonts w:ascii="Times New Roman;Times;serif" w:hAnsi="Times New Roman;Times;serif"/>
                <w:b w:val="false"/>
                <w:i w:val="false"/>
                <w:caps w:val="false"/>
                <w:smallCaps w:val="false"/>
                <w:sz w:val="20"/>
              </w:rPr>
              <w:t>million upon the Successful Completion (as defined in the Settlement Agreement) of a Phase 2 Clinical Trial (as defined in the Merger Agreement) of barzolvolimab.</w:t>
            </w:r>
          </w:p>
        </w:tc>
      </w:tr>
    </w:tbl>
    <w:tbl>
      <w:tblPr>
        <w:tblW w:w="10205" w:type="dxa"/>
        <w:jc w:val="left"/>
        <w:tblInd w:w="0" w:type="dxa"/>
        <w:tblLayout w:type="fixed"/>
        <w:tblCellMar>
          <w:top w:w="28" w:type="dxa"/>
          <w:left w:w="28" w:type="dxa"/>
          <w:bottom w:w="28" w:type="dxa"/>
          <w:right w:w="28" w:type="dxa"/>
        </w:tblCellMar>
      </w:tblPr>
      <w:tblGrid>
        <w:gridCol w:w="124"/>
        <w:gridCol w:w="370"/>
        <w:gridCol w:w="9711"/>
      </w:tblGrid>
      <w:tr>
        <w:trPr/>
        <w:tc>
          <w:tcPr>
            <w:tcW w:w="124" w:type="dxa"/>
            <w:tcBorders/>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shall pay $52.5</w:t>
            </w:r>
            <w:r>
              <w:rPr>
                <w:caps w:val="false"/>
                <w:smallCaps w:val="false"/>
              </w:rPr>
              <w:t xml:space="preserve"> </w:t>
            </w:r>
            <w:r>
              <w:rPr>
                <w:rFonts w:ascii="Times New Roman;Times;serif" w:hAnsi="Times New Roman;Times;serif"/>
                <w:b w:val="false"/>
                <w:i w:val="false"/>
                <w:caps w:val="false"/>
                <w:smallCaps w:val="false"/>
                <w:sz w:val="20"/>
              </w:rPr>
              <w:t>million upon the first United States Food and Drug Administration or European Medicines Agency, or, in each case, any successor organization, regulatory approval of a Surviving Company Product (as defined in the Settlement Agreement).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above payment obligations replace, in their entirety, the contingent consideration in the form of development, regulatory approval and sales-based milestones of up to $172.5 million contained in the Merger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paid the Initial Payment in cash in July 2022. The Company paid the second milestone for “successful completion” of a Phase 2 Clinical Trial of barzolvolimab in cash in November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future milestone payment related to the barzolvolimab program, which was subject to the Litigation, will be recorded when and if payment becomes probable and reasonably estimable in accordance with the loss contingency model under ASC 450. A future milestone payment related to the remaining Surviving Company Products is measured at fair value (refer to Note 4). When and if the remaining payment described above becomes due, it shall be payable, at the Company’s sole election, in either cash or stock (as set forth in the Merger Agreement) or a combination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38" w:name="Item2ManagementsDiscussionandAnalysisofF"/>
      <w:bookmarkStart w:id="739" w:name="_84c8b5bc_4055_4453_b6e4_3a983f65ddd2"/>
      <w:bookmarkEnd w:id="738"/>
      <w:bookmarkEnd w:id="739"/>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Safe Harbor Statement under the Private Securities Litigation Reform Act of 1995:</w:t>
      </w:r>
      <w:r>
        <w:rPr>
          <w:rFonts w:ascii="Times New Roman;Times;serif" w:hAnsi="Times New Roman;Times;serif"/>
          <w:sz w:val="20"/>
        </w:rPr>
        <w:t xml:space="preserve"> This Quarterly Report on Form 10-Q 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a number of important factors that could cause the actual results to differ materially from those expressed in any forward-looking statement made by us. These factors include, but are not limited to:</w:t>
      </w:r>
    </w:p>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product candidates that are still in development stages;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research and further development, including preclinical and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timing for preclinical development, regulatory submissions, commencement and completion of clinical trials and product approvals;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our drug candidates and the growth of the markets for those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before competitors that are superior to the alternatives developed by such competitors;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strategic partnerships, where appropriate, for our drug candidates;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multiple clinical trials for a variety of drug candidates at different stages of development;</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scope and results of ongoing preclinical and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of the attributes of our product and development candidates, including pharmaceutical properties, efficacy, safety and dosing regimens;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uncertainty of obtaining regulatory approvals for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management services provided by our clinical research organization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and commercial-grade materials produced by our own manufacturing facility or supplied by contract manufacturers, suppliers and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before competitors that are superior to the alternatives developed by such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paying the regulatory approval milestone under the merger agreement by which we acquired Kolltan Pharmaceuticals, Inc. (“Kolltan”) and our related settlement agreement with Kolltan;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 and our ability to avoid intellectual property litigation, which can be costly and divert management time and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without infringing the intellectual property rights of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2025 and other reports that we file with the SEC</w:t>
            </w:r>
            <w:r>
              <w:rPr>
                <w:rFonts w:ascii="Times New Roman;Times;serif" w:hAnsi="Times New Roman;Times;serif"/>
                <w:b w:val="false"/>
                <w:i/>
                <w:sz w:val="20"/>
              </w:rPr>
              <w: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biopharmaceutical company dedicated to developing novel antibody-based treatments that engage the human immune system and directly affect critical pathways to improve the lives of patients with allergic, inflammatory and autoimmune disorders. Our drug candidates include monoclonal and bispecific antibodies designed to address mast cell mediated diseases for which available treatments are inadequate.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focusing our efforts and resources on the continued research and development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(also referred to as CDX-0159), a monoclonal antibody that specifically binds the KIT receptor and potently inhibits its activity, which is currently being studied across multiple mast cell driven diseases including;</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Spontaneous Urticaria (CSU): Enrollment is complete in our Phase 3 studies in CSU and topline data will be available in September/October 2026. 1,939 patients were enrolled—the largest program conducted in antihistamine refractory CSU, including patients with advanced therapy experienced/refractory CSU. In November 2023, we announced that our Phase 2 study in CSU achieved the primary efficacy endpoint (statistically significant mean change from baseline to Week 12 of urticaria activity score compared to placebo) and was well tolerated. Patients on study continued to receive barzolvolimab and, in September 2024, we reported data from 52 weeks of treatment—demonstrating sustained and deepening disease efficacy and a well tolerated long term safety profile. In June 2025, Celldex presented longer term follow up data from the study. At 76 weeks, 7 months after the completion of dosing with barzolvolimab, over 40% of patients (150 mg Q4W) continued to experience profound, sustained complete response and clinically meaningful improvements in quality of life and angioedema;</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Cold Urticaria (ColdU) and Symptomatic Dermographism (SD): We initiated a Phase 3 study in ColdU and SD in December 2025 and enrollment is ongoing. In July 2024, we announced that our Phase 2 study being conducted in two forms of chronic inducible urticaria (CIndU), ColdU and SD,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and, in November 2025, we reported data from 20 weeks of treatment—demonstrating sustained efficacy and a well tolerated safety profile over the longer treatment period. In March 2026, we presented results that demonstrated that barzolvolimab re-treatment achieved similar profound efficacy to first exposure in patients with ColdU and SD;</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Prurigo Nodularis (PN): In April 2024, we initiated a Phase 2 study in PN and enrollment was completed in December 2025. In July 2026, we shared topline results that showed the trial did not meet primary or key secondary endpoints at Week 12 at either dose level evaluated. Barzolvolimab was well-tolerated and demonstrated a favorable safety profile consistent with prior studies. Rapid and profound suppression of circulating tryptase, indicative of systemic mast cell depletion was observed. These data indicate that mast cells may not be the key pathogenic driver in PN and, based on these results, we are discontinuing the Phase 2 PN study; and</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Atopic Dermatitis (AD): A Phase 2 study in AD was initiated in December 2024 and enrollment was completed in January 2026. Topline data from the study is expected in late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generation bispecific antibody platform to support pipeline expansion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presented first-in-human data that demonstrated that neutralizing soluble SCF can selectively inhibit KIT signaling in mast cells. This approach provides a validated anchor mechanism that enables the development of diverse bispecific antibody candidates where a dual mechanism approach may overcome the heterogeneity inherent in the pathophysiology of many inflammatory disorders.</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bispecific candidate based on this science is CDX-622 (SCF &amp; TSLP) which targets two complementary pathways that drive chronic inflammation, potently neutralizing the alarmin thymic stromal lymphopoietin (TSLP) and depleting mast cells via stem cell factor (SCF) starvation. In November 2024, a multi-part Phase 1a dose-escalation study in healthy volunteers was initiated and enrollment was completed across all parts in January 2026. Positive data from the single ascending dose portion of the study was presented in October 2025. Data from the multiple ascending dose portion of the study and from the subcutaneous administration portion of the study were presented in June 2026. CDX-622 was well tolerated at all dose levels and results showed rapid, profound, dose-dependent, and durable reductions in serum tryptase indicative of mast cell depletion, without measurably impacting other KIT functions. In January 2026, we initiated an open-label, single-dose Phase 1 proof of mechanism study in adults with mild to moderate asthma to assess the impact of dual neutralization of SCF and TSLP.</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More detail on these programs is provided in the Clinical Development Programs section.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strategy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tbl>
      <w:tblPr>
        <w:tblW w:w="2598" w:type="dxa"/>
        <w:jc w:val="left"/>
        <w:tblInd w:w="0" w:type="dxa"/>
        <w:tblLayout w:type="fixed"/>
        <w:tblCellMar>
          <w:top w:w="0" w:type="dxa"/>
          <w:left w:w="0" w:type="dxa"/>
          <w:bottom w:w="0" w:type="dxa"/>
          <w:right w:w="0" w:type="dxa"/>
        </w:tblCellMar>
      </w:tblPr>
      <w:tblGrid>
        <w:gridCol w:w="1141"/>
        <w:gridCol w:w="346"/>
        <w:gridCol w:w="1111"/>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24535" cy="175260"/>
                      <wp:effectExtent l="0" t="0" r="0" b="0"/>
                      <wp:wrapNone/>
                      <wp:docPr id="163" name="Frame16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05485" cy="175260"/>
                      <wp:effectExtent l="0" t="0" r="0" b="0"/>
                      <wp:wrapNone/>
                      <wp:docPr id="165" name="Frame16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Completion</w:t>
            </w:r>
          </w:p>
        </w:tc>
      </w:tr>
      <w:tr>
        <w:trPr/>
        <w:tc>
          <w:tcPr>
            <w:tcW w:w="114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Clinical Phase</w:t>
            </w:r>
          </w:p>
        </w:tc>
        <w:tc>
          <w:tcPr>
            <w:tcW w:w="34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1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1</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2 Years</w:t>
            </w:r>
          </w:p>
        </w:tc>
      </w:tr>
      <w:tr>
        <w:trPr/>
        <w:tc>
          <w:tcPr>
            <w:tcW w:w="11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2</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5 Years</w:t>
            </w:r>
          </w:p>
        </w:tc>
      </w:tr>
      <w:tr>
        <w:trPr/>
        <w:tc>
          <w:tcPr>
            <w:tcW w:w="11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3</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 – 5 Years</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duration and the cost of clinical trials may vary significantly over the life of a project as a result of differences arising during the clinical trial protocol, including, among others, the following:</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ultimately participate in the trial;</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 that seems appropriate in view of results;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 subjects; and</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drug candidate.</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past five years through December 31, 2025, we incurred an aggregate of $662.2 million in research and development expenses. The following table indicates the amount incurred for each of our significant research programs and for other identified research and development activities during the six months ended June 30, 2026 and 2025. The amounts disclosed in the following table reflect direct research and development costs and an allocation of indirect research and development costs to each program.</w:t>
      </w:r>
    </w:p>
    <w:tbl>
      <w:tblPr>
        <w:tblW w:w="5840" w:type="dxa"/>
        <w:jc w:val="left"/>
        <w:tblInd w:w="0" w:type="dxa"/>
        <w:tblLayout w:type="fixed"/>
        <w:tblCellMar>
          <w:top w:w="0" w:type="dxa"/>
          <w:left w:w="0" w:type="dxa"/>
          <w:bottom w:w="0" w:type="dxa"/>
          <w:right w:w="0" w:type="dxa"/>
        </w:tblCellMar>
      </w:tblPr>
      <w:tblGrid>
        <w:gridCol w:w="2851"/>
        <w:gridCol w:w="346"/>
        <w:gridCol w:w="239"/>
        <w:gridCol w:w="887"/>
        <w:gridCol w:w="346"/>
        <w:gridCol w:w="225"/>
        <w:gridCol w:w="946"/>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810385" cy="175260"/>
                      <wp:effectExtent l="0" t="0" r="0" b="0"/>
                      <wp:wrapNone/>
                      <wp:docPr id="166" name="Frame166"/>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51765" cy="175260"/>
                      <wp:effectExtent l="0" t="0" r="0" b="0"/>
                      <wp:wrapNone/>
                      <wp:docPr id="168" name="Frame16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63245" cy="175260"/>
                      <wp:effectExtent l="0" t="0" r="0" b="0"/>
                      <wp:wrapNone/>
                      <wp:docPr id="169" name="Frame16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42875" cy="175260"/>
                      <wp:effectExtent l="0" t="0" r="0" b="0"/>
                      <wp:wrapNone/>
                      <wp:docPr id="171" name="Frame17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00710" cy="175260"/>
                      <wp:effectExtent l="0" t="0" r="0" b="0"/>
                      <wp:wrapNone/>
                      <wp:docPr id="172" name="Frame17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584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6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117,110</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82,348</w:t>
            </w:r>
          </w:p>
        </w:tc>
      </w:tr>
      <w:tr>
        <w:trPr/>
        <w:tc>
          <w:tcPr>
            <w:tcW w:w="28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w:t>
              <w:noBreakHyphen/>
              <w:t>622</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7,795</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9,289</w:t>
            </w:r>
          </w:p>
        </w:tc>
      </w:tr>
      <w:tr>
        <w:trPr/>
        <w:tc>
          <w:tcPr>
            <w:tcW w:w="28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15,638</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15,173</w:t>
            </w:r>
          </w:p>
        </w:tc>
      </w:tr>
      <w:tr>
        <w:trPr/>
        <w:tc>
          <w:tcPr>
            <w:tcW w:w="28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140,543</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106,810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Clinical Development Programs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Barzolvolimab (also referred to as CDX-0159)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Barzolvolimab was initially studied in chronic spontaneous urticaria (CSU) and chronic inducible urticaria (CIndU), diseases where mast cell degranulation plays a central role in the onset and progression of the disease.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we initiated two Phase 3 studies in CSU and, in February 2026, we announced that enrollment was complete. Topline data is expected in September/October 2026 and, assuming positive Phase 3 data, the Company plans to file a BLA in 2027.</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2 study in CSU has been completed. The primary endpoint of the study was achieved—a statistically significant mean change from baseline to Week 12 of UAS7 (weekly urticaria activity score) compared to placebo. All secondary endpoints were also met and barzolvolimab was well tolerated. Up to 51% of patients on study had a complete response and were symptom free (UAS7=0; no itch/no hives) at 12 weeks, which continued to deepen over 52 weeks of active therapy to up to 71% of patients. This profound clinical benefit continued even after patients were off therapy with up to 41% of patients reporting complete response seven months after receiving their last dose. Patients also reported clinically meaningful improvements in angioedema control and quality of life. At 12 weeks, up to 65% of barzolvolimab treated patients were angioedema free (AAS7=0), which increased to up to 77% at Week 52 and remained at up to 64% seven months after last dose. At 12 weeks, up to 67% of patients treated with barzolvolimab reported their CSU had no impact on their quality of life (DLQI 0/1), which increased to up to 82% at Week 52 and remained at up to 48% seven months after last dose.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initiated a Phase 3 study in two of the most common forms of CIndU—cold urticaria (ColdU) and symptomatic dermographism (SD).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2 study in ColdU and SD has been completed. The primary endpoint of the study was achieved—a statistically significant difference between the percent of patients with a negative provocation test compared to placebo at Week 12. All secondary endpoints were also met and barzolvolimab was well tolerated. Sustained efficacy and a favorable safety profile were observed over the continued (20 week) placebo controlled treatment period. Patients were then followed for up to 24 additional weeks without treatment and patients with returning or continuing symptoms were eligible to enroll into an open label extension (OLE) where it was demonstrated that barzolvolimab re-treatment achieved similar profound efficacy to first exposure in patients with ColdU and SD.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positive results reported in urticaria, we expanded development of barzolvolimab into additional indications where mast cells are believed to play an important role. We are conducting an ongoing Phase 2 study in atopic dermatitis (AD) and continue to assess potential opportunities for barzolvolimab in other diseases where mast cells play an important role, such as dermatologic, respiratory, allergic, gastrointestinal and ophthalmic conditions.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Chronic Spontaneous Urticaria (CSU) Summary of Phase 1 and Phase 2 Data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 Approximately 50% of patients with CSU achieve symptomatic control with antihistamines. Currently approved advanced therapies address downstream mediators/mechanisms in CSU and do not provide symptom free complete control (absence of itch and hives, UAS7=0) in a majority of patients. Consequently, there is a need for additional therapies.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uniquely targets the root cause of CSU—the mast cell. Based on results from completed Phase 1 and Phase 2 studies in CSU, barzolvolimab has the potential to offer symptom free complete control (absence of itch and hives, UAS7=0) and clinically meaningful improvements in quality of life and angioedema in a majority of patients.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tbl>
      <w:tblPr>
        <w:tblW w:w="7684" w:type="dxa"/>
        <w:jc w:val="left"/>
        <w:tblInd w:w="0" w:type="dxa"/>
        <w:tblLayout w:type="fixed"/>
        <w:tblCellMar>
          <w:top w:w="0" w:type="dxa"/>
          <w:left w:w="0" w:type="dxa"/>
          <w:bottom w:w="0" w:type="dxa"/>
          <w:right w:w="0" w:type="dxa"/>
        </w:tblCellMar>
      </w:tblPr>
      <w:tblGrid>
        <w:gridCol w:w="3991"/>
        <w:gridCol w:w="1216"/>
        <w:gridCol w:w="1216"/>
        <w:gridCol w:w="1261"/>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534285" cy="175260"/>
                      <wp:effectExtent l="0" t="0" r="0" b="0"/>
                      <wp:wrapNone/>
                      <wp:docPr id="173" name="Frame173"/>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72160" cy="29210"/>
                      <wp:effectExtent l="0" t="0" r="0" b="0"/>
                      <wp:wrapNone/>
                      <wp:docPr id="174" name="Frame174"/>
                      <a:graphic xmlns:a="http://schemas.openxmlformats.org/drawingml/2006/main">
                        <a:graphicData uri="http://schemas.microsoft.com/office/word/2010/wordprocessingShape">
                          <wps:wsp>
                            <wps:cNvSpPr txBox="1"/>
                            <wps:spPr>
                              <a:xfrm>
                                <a:off x="0" y="0"/>
                                <a:ext cx="772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72160" cy="29210"/>
                      <wp:effectExtent l="0" t="0" r="0" b="0"/>
                      <wp:wrapNone/>
                      <wp:docPr id="175" name="Frame175"/>
                      <a:graphic xmlns:a="http://schemas.openxmlformats.org/drawingml/2006/main">
                        <a:graphicData uri="http://schemas.microsoft.com/office/word/2010/wordprocessingShape">
                          <wps:wsp>
                            <wps:cNvSpPr txBox="1"/>
                            <wps:spPr>
                              <a:xfrm>
                                <a:off x="0" y="0"/>
                                <a:ext cx="772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800735" cy="29210"/>
                      <wp:effectExtent l="0" t="0" r="0" b="0"/>
                      <wp:wrapNone/>
                      <wp:docPr id="176" name="Frame176"/>
                      <a:graphic xmlns:a="http://schemas.openxmlformats.org/drawingml/2006/main">
                        <a:graphicData uri="http://schemas.microsoft.com/office/word/2010/wordprocessingShape">
                          <wps:wsp>
                            <wps:cNvSpPr txBox="1"/>
                            <wps:spPr>
                              <a:xfrm>
                                <a:off x="0" y="0"/>
                                <a:ext cx="800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684"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lineRule="auto" w:line="302" w:before="0" w:after="0"/>
              <w:ind w:left="0" w:right="0" w:hanging="0"/>
              <w:jc w:val="center"/>
              <w:rPr>
                <w:rFonts w:ascii="Times New Roman;Times;serif" w:hAnsi="Times New Roman;Times;serif"/>
                <w:b/>
                <w:sz w:val="16"/>
              </w:rPr>
            </w:pPr>
            <w:r>
              <w:rPr>
                <w:rFonts w:ascii="Times New Roman;Times;serif" w:hAnsi="Times New Roman;Times;serif"/>
                <w:b/>
                <w:sz w:val="16"/>
              </w:rPr>
              <w:t>Phase 1 CSU: Summary of Clinical Activity Assessments at Week 12 &amp; 24</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pPr>
            <w:r>
              <w:rPr/>
              <w:t>​</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4.5 mg/kg Q8</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3.0 mg/kg Q8</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1.5 mg/kg Q4</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Mean Reduction Baseline UAS7;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82% (n=9)</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 (n=9)</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 (n=8)</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pBdr/>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Mean Reduction Baseline UAS7;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77% (n=7)</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70% (n=6)</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80% (n=7)</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UAS7=0 (Complete Control);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pBdr/>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UAS7=0 (Complete Control);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UAS7≤6 (Well-controlled);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pBdr/>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UAS7≤6 (Well-controlled);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UCT ≥ 12 (Well-controlled);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89%</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pBdr/>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UCT ≥ 12 (Well-controlled);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post-treatment follow up, 71% (10 of 14) of patients who had been treated with doses greater than or equal to 1.5 mg/kg and had a complete response (UAS7=0) at Week 12, remained urticaria free at Week 24 (patients received last dose of barzolvolimab at Week 8). Profound and durable improvement in angioedema symptoms as measured through the weekly angioedema activity score (AAS7) was achieved across all dose levels evaluated with sustained activity observed with the 1.5 mg/kg and greater dose levels. 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Tryptase suppression, indicative of mast cell depletion, paralleled symptom improvement, demonstrating the impact of mast cell depletion on CSU disease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completed a Phase 2 study in patients with CSU who remained symptomatic despite antihistamine therapy. The study was conducted at approximately 75 clinical trial sites across 9 countries. The study was a randomized, double-blind, placebo-controlled, parallel group Phase 2 study that evaluated the efficacy and safety profile of multiple dose regimens of barzolvolimab to determine the optimal dosing strategy. 208 patients were randomly assigned on a 1:1:1:1 ratio to receive subcutaneous injections of barzolvolimab at 75 mg every 4 weeks, 150 mg every 4 weeks, 300 mg every 8 weeks or placebo during a 16-week placebo-controlled treatment phase. After 16 weeks, patients then entered a 36-week active treatment period, in which patients receiving placebo or the 75 mg dose were randomized to receive barzolvolimab 150 mg every 4 weeks or 300 mg every 8 weeks; patients already randomized to the 150 mg and 300 mg treatment arms remained on the same regimen as during the placebo-controlled treatment period. After 52 weeks, patients then entered a follow-up period for an additional 24 weeks. The primary endpoint of the study was mean change in baseline to Week 12 in UAS7 (weekly urticaria activity score). Secondary endpoints included safety and other assessments of clinical activity including ISS7 (weekly itch severity score), HSS7 (weekly hive severity score) and AAS7 (weekly angioedema activity score).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Topline data from this study were presented in November of 2023 and 12 week treatment results were presented at the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tbl>
      <w:tblPr>
        <w:tblW w:w="10205" w:type="dxa"/>
        <w:jc w:val="left"/>
        <w:tblInd w:w="0" w:type="dxa"/>
        <w:tblLayout w:type="fixed"/>
        <w:tblCellMar>
          <w:top w:w="28" w:type="dxa"/>
          <w:left w:w="28" w:type="dxa"/>
          <w:bottom w:w="28" w:type="dxa"/>
          <w:right w:w="28" w:type="dxa"/>
        </w:tblCellMar>
      </w:tblPr>
      <w:tblGrid>
        <w:gridCol w:w="5008"/>
        <w:gridCol w:w="1494"/>
        <w:gridCol w:w="1452"/>
        <w:gridCol w:w="1452"/>
        <w:gridCol w:w="799"/>
      </w:tblGrid>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Phase 2 CSU: Summary of Clinical Activity Assessments at Week 12</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300 mg Q8W</w:t>
              <w:br/>
              <w:t>(n=51)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150 mg Q4W</w:t>
              <w:br/>
              <w:t>(n=52)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75 mg Q4W</w:t>
              <w:br/>
              <w:t>(n=53)</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Placebo</w:t>
              <w:br/>
              <w:t>(n=51)</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UAS7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UAS7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31.33</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30.75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30.30</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30.09</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-23.87</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-23.02</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-17.06</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-10.47</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-13.41</w:t>
              <w:br/>
              <w:t>(CI: -17.47, -9.34)</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-12.55</w:t>
              <w:br/>
              <w:t>(CI:-16.56, -8.55)</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-6.60</w:t>
              <w:br/>
              <w:t>(CI:-10.71, -2.49)</w:t>
              <w:br/>
              <w:t>p=0.0017</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HSS7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HSS7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14.92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15.05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14.86</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14.47</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-12.19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-11.19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-8.25</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-4.95</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-7.24</w:t>
              <w:br/>
              <w:t>(CI:-9.36, -5.12)</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-6.24</w:t>
              <w:br/>
              <w:t>(CI:-8.33, -4.16),</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-3.31</w:t>
              <w:br/>
              <w:t>(CI:-5.40, -1.22),</w:t>
              <w:br/>
              <w:t>p=0.0020</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ISS7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ISS7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16.42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15.70</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15.44</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15.61</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-11.79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-11.68</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-8.62</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-5.47</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-6.32</w:t>
              <w:br/>
              <w:t>(CI: -8.50, -4.13),</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-6.21</w:t>
              <w:br/>
              <w:t>(CI: -8.38, -4.04),</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-3.16</w:t>
              <w:br/>
              <w:t>(CI: -5.41, -0.91),</w:t>
              <w:br/>
              <w:t>p=0.0061</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Responder Analyses/Clinical Responses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UAS7=0 (Complete Control)</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37.5%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51.1%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22.9%</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UAS7≤6 (Well-controlled)</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62.5%</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59.6%</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41.7%</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UAS7, HSS7 and ISS7 data were analyzed using ANCOVA model and multiple imputation.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June 2024, 12 week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Patients on study continued to receive barzolvolimab for up to 52 weeks. Long term treatment data were presented in September at the European Academy of Dermatology &amp; Venereology (EADV) Congress 2024 and quality of life data were presented in March at the AAAAI Annual Meeting 2025. The data demonstrated a sustained and deepening disease efficacy, a well tolerated safety profile, greatly improved urticaria control and reduced disease impact on quality of life over a 52 week treatment period. Key highlights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UAS7 (weekly urticaria activity score), previously shown to be statistically significantly vs placebo at Week 12, were noted as early as Week 1 and were sustained or deepened at Week 52.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16, patients receiving low dose barzolvolimab (75 mg) or placebo were transitioned to barzolvolimab 150 mg or 300 mg; after crossover, these patients experienced similar clinically meaningful disease response as the rest of the study population.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of patients treated with barzolvolimab 150 mg Q4W and 52% of patients treated with 300 mg Q8W had a complete response (no itch/hives; UAS7=0) at Week 52. These responses were observed early and sustained through 52 weeks.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of patients treated with barzolvolimab 150 mg Q4W and 68% of patients treated with 300 mg Q8W had well controlled (UAS7&lt;6) disease at Week 52.</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robust responses were observed regardless of prior omalizumab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and sustained improvement in urticaria control (UCT) and quality of life (DLQI) were observed in patients with CSU refractory to antihistamines.</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82% of patients reported that CSU symptoms no longer had an impact on their quality of life at Week 52 and up to 95% of patients reported meaningful improvement in quality of life based on DLQI at Week 52.</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82% of patients reported well-controlled urticaria based on UCT, and approximately half of patients reported complete control at Week 52.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through 52 weeks of treatment. Most adverse events were grade 1 (mild), mechanism related (KIT) and expected to be reversible. The most common treatment emergent adverse events occurring in greater than 10% of barzolvolimab treated patients were hair color changes, neutropenia, urticaria, skin hypopigmentation (areas of skin lightening) and nasopharyngitis (common cold). Neutrophil counts did not decline further with continued dosing and there was no association between infections and neutropenia. The hypopigmentation was observed with longer term exposure and did not lead to treatment discontinuation. Adverse events were not dose dependent.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of 2025, 52 week data on angioedema activity and additional measures of angioedema control were presented at the EAACI 2025 Congress. Barzolvolimab continued to demonstrate robust, durable and deepening improvements in angioedema symptoms over the treatment period.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52, an 86% mean reduction from baseline was reported for 150 mg Q4W arm and an 82% reduction was reported for the 300 mg Q8W.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77% of patients treated with barzolvolimab who had angioedema at baseline were angioedema free (AAS7=0) at Week 52, which we subsequently announced remained at up to 64% seven months after last dose.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treated with barzolvolimab were angioedema free up to 72% of the time over the 52 week treatment period. Up to 87% of patients reported clinically meaningful improvement (&gt;8 point) in AAS7 at Week 52.</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of 2025, long term follow up data from the Phase 2 CSU study were presented at the EAACI 2025 Congress. At Week 76, seven months after receiving their final dose of barzolvolimab, patients continued to experience profound clinical benefit on study. Key highlights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UAS7 mean change from baseline at Week 76 was -20.42 for patients treated with 150 mg Q4W and -21.10 for patients treated with 300 mg Q8W.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of patients treated with barzolvolimab 150 mg Q4W and 35% of patients treated with 300 mg Q8W had a complete response (no itch/hives; UAS7=0) at Week 76.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of patients treated with barzolvolimab 150 mg Q4W and 47% of patients treated with 300 mg Q8W had well controlled disease (UAS7≤6) at Week 76.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of patients treated with barzolvolimab 150 mg Q4W and 40% of patients treated with 300 mg Q8W reported that CSU had no impact on their quality of life at 76 weeks as measured by the Dermatology Life Quality Index (DLQI). Current clinical guidelines recommend complete response (UAS7=0) as the goal of treatment and achieving complete response is directly correlated to the greatest improvements in quality of life for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76 weeks, up to 64% of barzolvolimab treated patients remained angioedema free (AAS7=0) seven months after last dose of barzolvolimab (reported in company press release dated February 25,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robust responses and improvements in quality of life and angioedema were observed regardless of prior omalizumab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through 76 weeks. No new safety signals were identified during the follow-up period. As expected, neutrophil counts returned to baseline following the completion of barzolvolimab treatment and the mild hair color changes and skin hypopigmentation observed on study were demonstrated to be reversible following discontinuation of treatment.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September at EADV 2025, data were presented demonstrating rapid and strong efficacy regardless of baseline immunoglobulin E (IgE) levels. In November 2025, at the American College of Allergy, Asthma &amp; Immunology’s Annual Scientific (ACAAI) Meeting, data were presented demonstrating that barzolvolimab leads to rapid and profound improvements in UCT7 scores with sustained disease control off treatment.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these results strongly support the further development of barzolvolimab in CSU.</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2024, we initiated two Phase 3 studies of barzolvolimab in CSU. The studies, EMBARQ-CSU1 and EMBARQ-CSU2, are designed to establish the efficacy and safety of barzolvolimab in adult patients with CSU who remain symptomatic despite H1 antihistamine treatment. 1,939 patients were enrolled—the largest program conducted in antihistamine refractory CSU, including patients with advanced therapy experienced/refractory CSU. The studies included 43 countries and over 500 sites. Both Phase 3 trials are randomized, double-blind, placebo-controlled, parallel group, global studies where patients have been randomized evenly per trial to barzolvolimab 150 mg every 4 weeks (following 300 mg loading dose), barzolvolimab 300 mg every 8 weeks (following 450 mg loading dose) or placebo for 52 weeks. At 24 weeks, patients on placebo are re-randomized to active treatment across both dosing groups. After completion of the 52 week treatment period, patients on study are followed for 16 weeks.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The primary endpoint analysis will be performed when all patients have completed the placebo controlled portion of the study at 24 weeks. Enrollment to the studies was completed in February 2026 and topline data will be available in September/October 2026. Assuming positive Phase 3 data, the Company plans to file a BLA in 2027.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a global Phase 3b long term extension (LTE) study has been established for patient entry after completion of the EMBARQ - CSU Phase 3 trials. The study will consist of 2 Groups: Group 1 (Observation Group), containing patients whose disease remains well controlled (UAS7&lt;16) and Group 2 (Barzolvolimab Retreatment Group) containing patients whose disease is currently moderate to severe (UAS7≥16). Patients in Group 2 will receive up to an additional year of treatment with barzolvolimab. Patients in the observation group (Group 1) whose CSU flares to a UAS7&gt;/=16 in the first 6 months of the LTE will also be able to receive treatment.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Chronic Inducible Urticaria (CIndU) Summary of Phase 1 and Phase 2 Data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Rapid (as early as 1 week) and durable responses were observed in patients as assessed by provocation testing.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Data from this study were reported in Allergy (Nov 2022) and across multiple medical meetings, including the GA²LEN Global Urticaria Forum (GUF) in December and the European Academy of Allergy and Clinical Immunology (EAACI) Annual Congress in June 2022.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completed a Phase 2 study in patients with CIndU who remain symptomatic despite antihistamine therapy. The study was conducted at approximately 85 sites across approximately 12 countries. The randomized, double-blind, placebo-controlled, parallel group Phase 2 study evaluated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entered a follow-up phase for an additional 24 weeks. In addition, the study included the option for patients who had symptoms following the treatment phase, including patients who were on placebo, to enroll in an open label extension where all patients received 300 mg of barzolvolimab every 8 weeks. The primary endpoint of the study was the percentage of patients with a negative provocation test at Week 12. Secondary endpoints included safety and other assessments of clinical activity including CTT (Critical Temperature Threshold), CFT (Critical Friction Threshold) and WI-NRS (Worst itch numeric rating scale).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Topline primary endpoint data from this study were reported in July 2024 and 12 week treatment results were presented at the American College of Allergy, Asthma &amp; Immunology’s Annual Scientific Meeting. Data from the 193 patients randomized and treated in the study showed that barzolvolimab achieved the primary efficacy endpoint, a statistically significant difference between the percent of patients with a negative provocation test compared to placebo at Week 12 as assessed by the TempTest® in ColdU and the FricTest® in SD. Secondary and exploratory endpoints in the study were also achieved at Week 12 and strongly support the primary endpoint results, including responder analyses, improvements in Critical Temperature and Critical Friction Thresholds (CFT and CFT), changes in WI-NRSprovo (itch associated with provocation test) and Urticaria Control Test. Demographics and baseline disease characteristics were well balanced across treatment groups. Patients on study had poorly controlled disease on initial provocation testing. In cold urticaria, patients presented with a mean baseline critical temperature threshold of approximately 19°C or 66°F on the TempTest on initial provocation testing. In patients with symptomatic dermographism baseline FricTest thresholds were an average of 3.6 out of 4 pins. UCT scores at baseline also reflected poorly controlled disease.</w:t>
      </w:r>
    </w:p>
    <w:tbl>
      <w:tblPr>
        <w:tblW w:w="8048" w:type="dxa"/>
        <w:jc w:val="left"/>
        <w:tblInd w:w="0" w:type="dxa"/>
        <w:tblLayout w:type="fixed"/>
        <w:tblCellMar>
          <w:top w:w="28" w:type="dxa"/>
          <w:left w:w="28" w:type="dxa"/>
          <w:bottom w:w="28" w:type="dxa"/>
          <w:right w:w="28" w:type="dxa"/>
        </w:tblCellMar>
      </w:tblPr>
      <w:tblGrid>
        <w:gridCol w:w="2386"/>
        <w:gridCol w:w="886"/>
        <w:gridCol w:w="886"/>
        <w:gridCol w:w="751"/>
        <w:gridCol w:w="346"/>
        <w:gridCol w:w="916"/>
        <w:gridCol w:w="916"/>
        <w:gridCol w:w="961"/>
      </w:tblGrid>
      <w:tr>
        <w:trPr/>
        <w:tc>
          <w:tcPr>
            <w:tcW w:w="8048" w:type="dxa"/>
            <w:gridSpan w:val="8"/>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Summary of Clinical Assessments at Week 12</w:t>
            </w:r>
          </w:p>
        </w:tc>
      </w:tr>
      <w:tr>
        <w:trPr/>
        <w:tc>
          <w:tcPr>
            <w:tcW w:w="23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523"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Cold Urticaria</w:t>
            </w:r>
          </w:p>
        </w:tc>
        <w:tc>
          <w:tcPr>
            <w:tcW w:w="34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  ​ ​ ​</w:t>
            </w:r>
          </w:p>
        </w:tc>
        <w:tc>
          <w:tcPr>
            <w:tcW w:w="2793"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Symptomatic Dermographism</w:t>
            </w:r>
          </w:p>
        </w:tc>
      </w:tr>
      <w:tr>
        <w:trPr/>
        <w:tc>
          <w:tcPr>
            <w:tcW w:w="23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All measurements at </w:t>
              <w:br/>
              <w:t>Week 12</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mg</w:t>
              <w:br/>
              <w:t>q4w</w:t>
              <w:br/>
              <w:t>(n=32)</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mg</w:t>
              <w:br/>
              <w:t>q8w</w:t>
              <w:br/>
              <w:t>(n=32)</w:t>
            </w:r>
          </w:p>
        </w:tc>
        <w:tc>
          <w:tcPr>
            <w:tcW w:w="75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br/>
              <w:t>(n=32)</w:t>
            </w:r>
          </w:p>
        </w:tc>
        <w:tc>
          <w:tcPr>
            <w:tcW w:w="346"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mg</w:t>
              <w:br/>
              <w:t>q4w</w:t>
              <w:br/>
              <w:t>(n=33)</w:t>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mg</w:t>
              <w:br/>
              <w:t>q8w</w:t>
              <w:br/>
              <w:t>(n=33)</w:t>
            </w:r>
          </w:p>
        </w:tc>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br/>
              <w:t>(n=31)</w:t>
            </w:r>
          </w:p>
        </w:tc>
      </w:tr>
      <w:tr>
        <w:trPr/>
        <w:tc>
          <w:tcPr>
            <w:tcW w:w="238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Helvetica;sans-serif" w:hAnsi="Helvetica;sans-serif"/>
                <w:sz w:val="22"/>
              </w:rPr>
            </w:pPr>
            <w:r>
              <w:rPr>
                <w:rFonts w:ascii="Times New Roman;Times;serif" w:hAnsi="Times New Roman;Times;serif"/>
                <w:b/>
                <w:sz w:val="20"/>
              </w:rPr>
              <w:t>Primary endpoint:</w:t>
            </w:r>
            <w:r>
              <w:rPr>
                <w:rFonts w:ascii="Times New Roman;Times;serif" w:hAnsi="Times New Roman;Times;serif"/>
                <w:sz w:val="20"/>
              </w:rPr>
              <w:br/>
              <w:t>% of patients with</w:t>
              <w:br/>
              <w:t>negative provocation</w:t>
              <w:br/>
              <w:t>test (complete</w:t>
              <w:br/>
              <w:t>response)</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46.9%</w:t>
              <w:br/>
            </w:r>
            <w:r>
              <w:rPr>
                <w:rFonts w:ascii="Times New Roman;Times;serif" w:hAnsi="Times New Roman;Times;serif"/>
                <w:b/>
                <w:sz w:val="20"/>
              </w:rPr>
              <w:t>p=0.0023</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53.1%</w:t>
              <w:br/>
            </w:r>
            <w:r>
              <w:rPr>
                <w:rFonts w:ascii="Times New Roman;Times;serif" w:hAnsi="Times New Roman;Times;serif"/>
                <w:b/>
                <w:sz w:val="20"/>
              </w:rPr>
              <w:t>p=0.0011</w:t>
            </w:r>
          </w:p>
        </w:tc>
        <w:tc>
          <w:tcPr>
            <w:tcW w:w="7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12.5%</w:t>
            </w:r>
          </w:p>
        </w:tc>
        <w:tc>
          <w:tcPr>
            <w:tcW w:w="34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57.6%</w:t>
              <w:br/>
            </w:r>
            <w:r>
              <w:rPr>
                <w:rFonts w:ascii="Times New Roman;Times;serif" w:hAnsi="Times New Roman;Times;serif"/>
                <w:b/>
                <w:sz w:val="20"/>
              </w:rPr>
              <w:t>p&lt;0.0001</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42.4%</w:t>
              <w:br/>
            </w:r>
            <w:r>
              <w:rPr>
                <w:rFonts w:ascii="Times New Roman;Times;serif" w:hAnsi="Times New Roman;Times;serif"/>
                <w:b/>
                <w:sz w:val="20"/>
              </w:rPr>
              <w:t>p=0.0003</w:t>
            </w:r>
          </w:p>
        </w:tc>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23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of patients with complete</w:t>
              <w:br/>
              <w:t>or partial response per</w:t>
              <w:br/>
              <w:t>provocation test</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62.5%</w:t>
              <w:br/>
            </w:r>
            <w:r>
              <w:rPr>
                <w:rFonts w:ascii="Times New Roman;Times;serif" w:hAnsi="Times New Roman;Times;serif"/>
                <w:b/>
                <w:sz w:val="20"/>
              </w:rPr>
              <w:t>p=0.0118</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75%</w:t>
              <w:br/>
            </w:r>
            <w:r>
              <w:rPr>
                <w:rFonts w:ascii="Times New Roman;Times;serif" w:hAnsi="Times New Roman;Times;serif"/>
                <w:b/>
                <w:sz w:val="20"/>
              </w:rPr>
              <w:t>p=0.0006</w:t>
            </w:r>
          </w:p>
        </w:tc>
        <w:tc>
          <w:tcPr>
            <w:tcW w:w="75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31.3%</w:t>
            </w:r>
          </w:p>
        </w:tc>
        <w:tc>
          <w:tcPr>
            <w:tcW w:w="346"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66.6%</w:t>
              <w:br/>
            </w:r>
            <w:r>
              <w:rPr>
                <w:rFonts w:ascii="Times New Roman;Times;serif" w:hAnsi="Times New Roman;Times;serif"/>
                <w:b/>
                <w:sz w:val="20"/>
              </w:rPr>
              <w:t>p&lt;0.0001</w:t>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57.5%</w:t>
              <w:br/>
            </w:r>
            <w:r>
              <w:rPr>
                <w:rFonts w:ascii="Times New Roman;Times;serif" w:hAnsi="Times New Roman;Times;serif"/>
                <w:b/>
                <w:sz w:val="20"/>
              </w:rPr>
              <w:t>p=0.0002</w:t>
            </w:r>
          </w:p>
        </w:tc>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12.9%</w:t>
            </w:r>
          </w:p>
        </w:tc>
      </w:tr>
      <w:tr>
        <w:trPr/>
        <w:tc>
          <w:tcPr>
            <w:tcW w:w="238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Improvement in Critical</w:t>
              <w:br/>
              <w:t>Temperature (CTT)</w:t>
              <w:br/>
              <w:t>and Critical Friction</w:t>
              <w:br/>
              <w:t>(CFT) Thresholds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-8.82°C</w:t>
              <w:br/>
            </w:r>
            <w:r>
              <w:rPr>
                <w:rFonts w:ascii="Times New Roman;Times;serif" w:hAnsi="Times New Roman;Times;serif"/>
                <w:b/>
                <w:sz w:val="20"/>
              </w:rPr>
              <w:t>p&lt;0.0001</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-9.61°C</w:t>
              <w:br/>
            </w:r>
            <w:r>
              <w:rPr>
                <w:rFonts w:ascii="Times New Roman;Times;serif" w:hAnsi="Times New Roman;Times;serif"/>
                <w:b/>
                <w:sz w:val="20"/>
              </w:rPr>
              <w:t>p&lt;0.0001</w:t>
            </w:r>
          </w:p>
        </w:tc>
        <w:tc>
          <w:tcPr>
            <w:tcW w:w="7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-0.30°C</w:t>
            </w:r>
          </w:p>
        </w:tc>
        <w:tc>
          <w:tcPr>
            <w:tcW w:w="34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-2.46 pins</w:t>
              <w:br/>
            </w:r>
            <w:r>
              <w:rPr>
                <w:rFonts w:ascii="Times New Roman;Times;serif" w:hAnsi="Times New Roman;Times;serif"/>
                <w:b/>
                <w:sz w:val="20"/>
              </w:rPr>
              <w:t>p&lt;0.0001</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-2.27 pins</w:t>
              <w:br/>
            </w:r>
            <w:r>
              <w:rPr>
                <w:rFonts w:ascii="Times New Roman;Times;serif" w:hAnsi="Times New Roman;Times;serif"/>
                <w:b/>
                <w:sz w:val="20"/>
              </w:rPr>
              <w:t>p=0.0002</w:t>
            </w:r>
          </w:p>
        </w:tc>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-0.82 pins</w:t>
            </w:r>
          </w:p>
        </w:tc>
      </w:tr>
      <w:tr>
        <w:trPr/>
        <w:tc>
          <w:tcPr>
            <w:tcW w:w="23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of patients with</w:t>
              <w:br/>
              <w:t>Urticaria Control Test</w:t>
              <w:br/>
              <w:t>&gt;12</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58.6%</w:t>
              <w:br/>
            </w:r>
            <w:r>
              <w:rPr>
                <w:rFonts w:ascii="Times New Roman;Times;serif" w:hAnsi="Times New Roman;Times;serif"/>
                <w:b/>
                <w:sz w:val="20"/>
              </w:rPr>
              <w:t>p=0.0048</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68.8%</w:t>
              <w:br/>
            </w:r>
            <w:r>
              <w:rPr>
                <w:rFonts w:ascii="Times New Roman;Times;serif" w:hAnsi="Times New Roman;Times;serif"/>
                <w:b/>
                <w:sz w:val="20"/>
              </w:rPr>
              <w:t>p&lt;0.0001</w:t>
            </w:r>
          </w:p>
        </w:tc>
        <w:tc>
          <w:tcPr>
            <w:tcW w:w="75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31.0%</w:t>
            </w:r>
          </w:p>
        </w:tc>
        <w:tc>
          <w:tcPr>
            <w:tcW w:w="346"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54.8%</w:t>
              <w:br/>
            </w:r>
            <w:r>
              <w:rPr>
                <w:rFonts w:ascii="Times New Roman;Times;serif" w:hAnsi="Times New Roman;Times;serif"/>
                <w:b/>
                <w:sz w:val="20"/>
              </w:rPr>
              <w:t>p=0.0015</w:t>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65.5%</w:t>
              <w:br/>
            </w:r>
            <w:r>
              <w:rPr>
                <w:rFonts w:ascii="Times New Roman;Times;serif" w:hAnsi="Times New Roman;Times;serif"/>
                <w:b/>
                <w:sz w:val="20"/>
              </w:rPr>
              <w:t>p&lt;0.0001</w:t>
            </w:r>
          </w:p>
        </w:tc>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Patients experienced rapid disease improvement as early as two weeks (the first assessment) after receiving the initial dose of barzolvolimab as demonstrated by reductions in critical temperature and friction thresholds resulting in hives and rapid reduction in itch at the time of provocation testing (WI-NRSprovo).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well tolerated with a favorable safety profile consistent with prior studies. Most adverse events were grade 1 (mild). Through 12 weeks, the most common treatment emergent adverse events in barzolvolimab treated patients were hair color changes (13%; Grade 1, n=15 / Grade 2, n=2) and neutropenia (10%; Grade 1, n=7 / Grade 2, n=6), which are mechanism related (KIT) and expected to be reversible. The rate of infections was similar between barzolvolimab-treated patients and placebo with no association between neutropenia and infections.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2025, quality of life data were presented at the AAAAI Annual Meeting 2025. A marked and rapid improvement in urticaria control (UCT) and quality of life (DLQI) was observed and sustained through the 12-week period in patients with ColdU and SD. Up to 60% of patients reported that CIndU symptoms no longer had an impact on their quality of life at Week 12 and up to 69% of patients reported well-controlled urticaria based on UCT at Week 12.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Patients on study continued to receive barzolvolimab for up to 20 weeks. Data from this longer term treatment period were presented in November 2025 at the ACAAI Annual Scientific Meeting. The data demonstrated sustained efficacy and a favorable safety profile over the 20 week placebo controlled treatment period. Key highlights at 20 weeks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66% of patients with ColdU and 49% of patients with SD obtained a complete response compared to 16% and 10% of patients on placebo,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78% of patients with ColdU and 58% of patients with SD obtained a partial or complete response compared to 25% and 16% of patients on placebo,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Marked improvement in critical temperature threshold (from baseline values of 18.7°C and 20.7°C to Week 20 values of 10.7°C and 9.2°C for barzolvolimab 150 mg Q4W and 300 mg Q8W, respectively compared to baseline values of 18.6°C to Week 20 values of 18.2°C for placebo) and friction thresholds (from baseline values of 3.6 and 3.6 pins to 1.5 and 1.4 pins for barzolvolimab 150 mg Q4W and 300 mg Q8W, respectively compared to baseline values of 3.6 pins to 2.9 pins for placebo) were observed over the course of the 20 week treatment period. Sustained improvement in itch reduction at the time of provocation testing (WI-NRSprovo) was also observed at Week 20.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completing the treatment period, patients were eligible to enter a 24 week open label extension (OLE) upon resumption/continuation of symptoms. Consistent with the clinical endpoint results at Week 20, placebo-treated patients entered the OLE at a faster rate compared to barzolvolimab-treated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Barzolvolimab was well tolerated with a favorable safety profile over the 20 week treatment period consistent with previous studies. There was no difference between active treatment (2%) and placebo groups (3%) in rate of discontinuations due to adverse events. Most adverse events for patients on study drug were grade 1 (mild), mechanism related (KIT) and, as demonstrated in previous studies, expected to be reversible. The most common adverse events occurring in greater than 10% of patients in any treatment group through Week 20 were hair color changes (18%; Grade 1, n=22 / Grade 2, n=2) and neutropenia (12%; Grade 1, n=9 / Grade 2, n=6). Neutropenia was transient and there was no association with infections. </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2026, data from the Phase 2 ColdU and SD Open Label Extension (OLE) were presented at the AAAAI Annual Meeting 2026 demonstrating that retreatment with barzolvolimab leads to rapid improvement in urticaria control after symptom recurrence. Patients with disease recurrence during the main study follow-up period qualified for the OLE. 121 patients entered the OLE, 61 patients with ColdU and 60 patients with SD, and 116 patients completed treatment in the OLE. Patients treated with placebo in the main study entered the OLE faster than patients treated with barzolvolimab (median time of 56 days versus 105 days from last dose in main study). Barzolvolimab re-treatment achieved similar profound efficacy to first exposure in patients with ColdU and SD.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barzolvolimab re-treatment, 62% of patients with ColdU and 60% of patients with SD had a complete response at Week 20 in the OLE. These findings are consistent with the complete response rates in these patients to their initial treatment of 66% for ColdU and 49% for SD at Week 20 in the main study.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patients with ColdU who achieved a complete response in the main study (n = 22), in the OLE, 82% of these patients achieved a complete response again and 95% achieved complete or partial response at Week 20.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patients with SD who achieved a complete response in main study (n = 21), in the OLE, 86% of these patients achieved a complete response again and 100% achieved either a complete or partial response at Week 20.</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Marked, rapid reduction in critical temperature and friction thresholds were observed upon re-treatment.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re-treatment resulted in clinically meaningful improvements in urticaria control, achieving a high rate of well controlled disease: up to 68% of patients with ColdU and 69% of patients with SD.</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safety profile consistent with prior studies.</w:t>
            </w:r>
          </w:p>
        </w:tc>
      </w:tr>
    </w:tbl>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re-treat facilitates a real-world paradigm in which treatment for CIndU may be intermittent.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these results strongly support the further development of barzolvolimab in ColdU and SD.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2025, we initiated a Phase 3 study of barzolvolimab in adult patients with ColdU and SD who remain symptomatic despite H1 antihistamine treatment. The Phase 3 trial (EMBARQ-ColdU and SD) is a randomized, double-blind, placebo-controlled, parallel group, global Phase 3 study (approximately 75 clinical trial sites across 7 countries) where approximately 240 participants will be enrolled to 2 separate cohorts (differentiated by subtype) to include approximately 120 participants with ColdU and 120 participants with SD. Participants in each cohort will be randomized in a 1:1 ratio to one of two treatment arms: cohort 1: barzolvolimab 150 mg every 4 weeks (Q4W) following a loading dose of 450 mg on Day 1 or cohort 2: matching placebo for 24 weeks. At 24 weeks, all patients will receive open label barzolvolimab 300mg every 8 weeks (Q8W) for an additional 28 weeks for a total treatment duration of 52 weeks in the study. The primary endpoint of the study will evaluate the percentage of patients with complete response (negative provocation test) at Week 12 as assessed by the TempTest® in ColdU and the FricTest® in SD. After completing the 52 week treatment period, participants will continue to be followed for 16 weeks.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Prurigo Nodularis (PN)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2026, we announced topline results from a Phase 2 study in prurigo nodularis (PN),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We designed the Phase 2 study to determine if barzolvolimab could deplete mast cells and, in turn, improve clinical outcomes in PN. Topline results demonstrated that the trial did not meet primary or key secondary endpoints at Week 12 at either dose level evaluated. Barzolvolimab was well-tolerated and demonstrated a favorable safety profile consistent with prior studies. Rapid and profound suppression of circulating tryptase, indicative of systemic mast cell depletion was observed. These data indicate that mast cells may not be the key pathogenic driver in PN. Based on these results, we are discontinuing the Phase 2 PN study.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Atopic Dermatitis (AD)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of 2024, we announced the initiation of a Phase 2 study in atopic dermatitis (AD). AD is one of the most common chronic inflammatory skin diseases, with a lifetime prevalence of up to 20% of the US population and a substantial impact on quality of life (Kawakami, et al. 2009). Mast cells are strongly implicated in all facets of AD pathophysiology and the fundamental processes that characterize AD, including epithelial barrier dysfunction, immune cell recruitment, neuroinflammation (Keith, et al. 2023) and multiple other mast cell-associated factors that correlate with disease severity. Activated mast cells are also found in increased numbers in lesional biopsies. Two-thirds of patients treated with first line systemic therapy (1.7 million patients in the US) do not achieve complete control of their atopic dermatitis (Simpson, Bieber, Guttman-Yassky, et al. 2016) and new therapies that offer rapid, meaningful relief from the severe itching and breakdown of the skin associated with AD are needed. Given barzolvolimab’s potential as a mast cell depleting agent, we believe AD is an important indication for future study.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randomized, double-blind, placebo-controlled, parallel group Phase 2 study is evaluating the efficacy and safety profile of subcutaneous barzolvolimab in patients with moderate to severe AD. 131 patients were randomly assigned on a 1:1:1 ratio to receive subcutaneous injections of barzolvolimab at either 150 or 300 mg or placebo every 4 weeks after an initial loading dose of 450 mg or placebo during a 16-week placebo-controlled treatment phase. Participants randomized into the placebo arm were re-randomized at Week 16 into 1 of the 2 active treatment arms. Patients then entered a 16-week active treatment phase, in which all patients will receive barzolvolimab every 4 weeks. The primary endpoint of the study is to evaluate the clinical efficacy of the two dose levels compared to placebo using the Peak Pruritus Numerical Rating Scale (PP-NRS) at Week 16, a well‐defined, reliable, sensitive and valid scale for evaluating worst itch intensity in adults with moderate‐to‐severe AD. Secondary endpoints include the evaluation of the clinical efficacy of barzolvolimab, compared to placebo across multiple patient-reported outcomes, including assessing impressions of disease change and severity and improvements in quality of life. The study included approximately 40 clinical trial centers in the United States. Enrollment was completed in January 2026. Topline data from the study is expected in late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Additional Barzolvolimab Development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barzolvolimab manufacturing process has been successfully transferred and scaled up to produce larger cGMP batches at both Drug Substance (DS) and Drug Product (DP) commercial Contract Development and Manufacturing Organizations in support of late-stage trials and to prepare for potential commercialization. Drug product manufacturing into 1 mL pre-filled syringes has been completed and pre-filled syringes are actively being used in Phase 3 trials. In 2025, we initiated the Process Performance Qualification (PPQ) manufacturing runs for DS and anticipate the completion of those activities in 2026. We are currently preparing for the DP PPQ activities and expect to complete these activities in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Bispecific Platform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 In June 2026 we presented first-in-human data that demonstrated neutralizing soluble SCF can selectively inhibit KIT signaling in mast cells. This approach provides a validated anchor mechanism that enables the development of diverse bispecific candidates where a dual mechanism approach may overcome the heterogeneity inherent in the pathophysiology of many inflammatory disorders.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CDX-622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CDX-622 is our first bispecific antibody based on this science and targets two complementary pathways that drive chronic inflammation, potently neutralizing the alarmin thymic stromal lymphopoietin (TSLP) and depleting mast cells via stem cell factor (SCF) starvation. We believe CDX-622 has significant potential across indications where both TSLP and mast cells play a pathogenic role. Combined neutralization of SCF and TSLP with CDX-622 is expected to simultaneously reduce tissue mast cells and inhibit Type 2 inflammatory responses to potentially offer enhanced therapeutic benefit in inflammatory and fibrotic disorders. CDX-622 has been engineered to disable effector function (AQQ) and reduce clearance (YTE). Prioritized indications include severe asthma, allergic rhinitis, and food allergy.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we initiated a multi-part Phase 1 study of CDX-622 in healthy volunteers and enrollment was completed across all parts in January 2026. The Phase 1a clinical trial is a three-part, randomized, double-blind, placebo-controlled, dose escalation study designed to assess the safety, pharmacokinetics, and pharmacodynamics of CDX-622 in up to 80 healthy participants. A single dose of CDX-622 or placebo was administered intravenously (IV) once during Part 1. In Part 2, CDX-622 or placebo was administered IV every 2 weeks (Q2W) for up to 6 weeks following the first dose, for a total of 4 doses. In Part 3, a single dose of CDX-622 or placebo was administered subcutaneously once. Participants are followed for 12 weeks in all Parts following the last dose of study drug. The pharmacodynamic biomarkers from blood and skin will be highly informative on the ability of CDX-622 to engage and neutralize SCF and TSLP.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presented positive data from the Phase 1 single ascending dose portion of the study (Part 1) at the CIA (Collegium Internationale Allergologicum) Biennial Symposium in October 2025. CDX-622 was well tolerated with no dose limiting toxicities and no emergent events related to systemic KIT inhibition. CDX-622 exhibited a good pharmacokinetic profile and induced rapid and sustained dose dependent reductions in serum tryptase, indicative of mast cell inhibition and depletion. Complete results from the Phase 1, first-in-human trial were presented at the European Academy of Allergy and Clinical Immunology (EAACI) Annual Congress in June 2026.</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profound, dose-dependent, and durable reductions in serum tryptase were observed, indicative of tissue mast cell inhibition and depletion.</w:t>
            </w:r>
          </w:p>
        </w:tc>
      </w:tr>
    </w:tbl>
    <w:p>
      <w:pPr>
        <w:pStyle w:val="TextBody"/>
        <w:bidi w:val="0"/>
        <w:spacing w:before="0" w:after="0"/>
        <w:ind w:left="0" w:right="0" w:hanging="0"/>
        <w:jc w:val="left"/>
        <w:rPr/>
      </w:pPr>
      <w:r>
        <w:rPr/>
        <w:t>​</w:t>
      </w:r>
    </w:p>
    <w:tbl>
      <w:tblPr>
        <w:tblW w:w="6906" w:type="dxa"/>
        <w:jc w:val="left"/>
        <w:tblInd w:w="0" w:type="dxa"/>
        <w:tblLayout w:type="fixed"/>
        <w:tblCellMar>
          <w:top w:w="28" w:type="dxa"/>
          <w:left w:w="28" w:type="dxa"/>
          <w:bottom w:w="28" w:type="dxa"/>
          <w:right w:w="28" w:type="dxa"/>
        </w:tblCellMar>
      </w:tblPr>
      <w:tblGrid>
        <w:gridCol w:w="124"/>
        <w:gridCol w:w="22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Tryptase decreases were comparable to KIT-targeting following multiple doses.</w:t>
            </w:r>
          </w:p>
        </w:tc>
      </w:tr>
    </w:tbl>
    <w:p>
      <w:pPr>
        <w:pStyle w:val="TextBody"/>
        <w:bidi w:val="0"/>
        <w:spacing w:before="0" w:after="0"/>
        <w:ind w:left="0" w:right="0" w:hanging="0"/>
        <w:jc w:val="left"/>
        <w:rPr/>
      </w:pPr>
      <w:r>
        <w:rPr/>
        <w:t>​</w:t>
      </w:r>
    </w:p>
    <w:tbl>
      <w:tblPr>
        <w:tblW w:w="7866" w:type="dxa"/>
        <w:jc w:val="left"/>
        <w:tblInd w:w="0" w:type="dxa"/>
        <w:tblLayout w:type="fixed"/>
        <w:tblCellMar>
          <w:top w:w="28" w:type="dxa"/>
          <w:left w:w="28" w:type="dxa"/>
          <w:bottom w:w="28" w:type="dxa"/>
          <w:right w:w="28" w:type="dxa"/>
        </w:tblCellMar>
      </w:tblPr>
      <w:tblGrid>
        <w:gridCol w:w="124"/>
        <w:gridCol w:w="22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Biopsy data were consistent with greater impact on mucosal mast cells than skin mast cells.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CDX-622 exhibited monoclonal antibody-like pharmacokinetics, with extended half-life and good exposure with subcutaneous administration, consistent with good bioavailability.</w:t>
            </w:r>
          </w:p>
        </w:tc>
      </w:tr>
    </w:tbl>
    <w:p>
      <w:pPr>
        <w:pStyle w:val="TextBody"/>
        <w:bidi w:val="0"/>
        <w:spacing w:before="0" w:after="0"/>
        <w:ind w:left="0" w:right="0" w:hanging="0"/>
        <w:jc w:val="left"/>
        <w:rPr/>
      </w:pPr>
      <w:r>
        <w:rPr/>
        <w:t>​</w:t>
      </w:r>
    </w:p>
    <w:tbl>
      <w:tblPr>
        <w:tblW w:w="4956" w:type="dxa"/>
        <w:jc w:val="left"/>
        <w:tblInd w:w="0" w:type="dxa"/>
        <w:tblLayout w:type="fixed"/>
        <w:tblCellMar>
          <w:top w:w="28" w:type="dxa"/>
          <w:left w:w="28" w:type="dxa"/>
          <w:bottom w:w="28" w:type="dxa"/>
          <w:right w:w="28" w:type="dxa"/>
        </w:tblCellMar>
      </w:tblPr>
      <w:tblGrid>
        <w:gridCol w:w="124"/>
        <w:gridCol w:w="22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evidence of immunogenicity at any dose.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CDX-622 was well-tolerated in all study parts and at all dose levels. There were no dose-limiting toxicities or related serious adverse events.</w:t>
            </w:r>
          </w:p>
        </w:tc>
      </w:tr>
    </w:tbl>
    <w:p>
      <w:pPr>
        <w:pStyle w:val="TextBody"/>
        <w:bidi w:val="0"/>
        <w:spacing w:before="0" w:after="0"/>
        <w:ind w:left="0" w:right="0" w:hanging="0"/>
        <w:jc w:val="left"/>
        <w:rPr/>
      </w:pPr>
      <w:r>
        <w:rPr/>
        <w:t>​</w:t>
      </w:r>
    </w:p>
    <w:tbl>
      <w:tblPr>
        <w:tblW w:w="7251" w:type="dxa"/>
        <w:jc w:val="left"/>
        <w:tblInd w:w="0" w:type="dxa"/>
        <w:tblLayout w:type="fixed"/>
        <w:tblCellMar>
          <w:top w:w="28" w:type="dxa"/>
          <w:left w:w="28" w:type="dxa"/>
          <w:bottom w:w="28" w:type="dxa"/>
          <w:right w:w="28" w:type="dxa"/>
        </w:tblCellMar>
      </w:tblPr>
      <w:tblGrid>
        <w:gridCol w:w="124"/>
        <w:gridCol w:w="22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commonly reported adverse event across the study was Grade 1 headache.</w:t>
            </w:r>
          </w:p>
        </w:tc>
      </w:tr>
    </w:tbl>
    <w:p>
      <w:pPr>
        <w:pStyle w:val="TextBody"/>
        <w:bidi w:val="0"/>
        <w:spacing w:before="0" w:after="0"/>
        <w:ind w:left="0" w:right="0" w:hanging="0"/>
        <w:jc w:val="left"/>
        <w:rPr/>
      </w:pPr>
      <w:r>
        <w:rPr/>
        <w:t>​</w:t>
      </w:r>
    </w:p>
    <w:tbl>
      <w:tblPr>
        <w:tblW w:w="5676" w:type="dxa"/>
        <w:jc w:val="left"/>
        <w:tblInd w:w="0" w:type="dxa"/>
        <w:tblLayout w:type="fixed"/>
        <w:tblCellMar>
          <w:top w:w="28" w:type="dxa"/>
          <w:left w:w="28" w:type="dxa"/>
          <w:bottom w:w="28" w:type="dxa"/>
          <w:right w:w="28" w:type="dxa"/>
        </w:tblCellMar>
      </w:tblPr>
      <w:tblGrid>
        <w:gridCol w:w="124"/>
        <w:gridCol w:w="22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meaningful changes in hair or skin pigmentation.</w:t>
            </w:r>
          </w:p>
        </w:tc>
      </w:tr>
    </w:tbl>
    <w:p>
      <w:pPr>
        <w:pStyle w:val="TextBody"/>
        <w:bidi w:val="0"/>
        <w:spacing w:before="0" w:after="0"/>
        <w:ind w:left="0" w:right="0" w:hanging="0"/>
        <w:jc w:val="left"/>
        <w:rPr/>
      </w:pPr>
      <w:r>
        <w:rPr/>
        <w:t>​</w:t>
      </w:r>
    </w:p>
    <w:tbl>
      <w:tblPr>
        <w:tblW w:w="5421" w:type="dxa"/>
        <w:jc w:val="left"/>
        <w:tblInd w:w="0" w:type="dxa"/>
        <w:tblLayout w:type="fixed"/>
        <w:tblCellMar>
          <w:top w:w="28" w:type="dxa"/>
          <w:left w:w="28" w:type="dxa"/>
          <w:bottom w:w="28" w:type="dxa"/>
          <w:right w:w="28" w:type="dxa"/>
        </w:tblCellMar>
      </w:tblPr>
      <w:tblGrid>
        <w:gridCol w:w="124"/>
        <w:gridCol w:w="22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meaningful impact on hematologic parameters.</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in June, Celldex presented new non-human primate data at the European Mast Cell and Basophil Research Network (EMBRN) that validates the approach of targeting soluble SCF to deplete mast cells. The preclinical study evaluated antibodies either targeting soluble SCF or both soluble and the membrane form of SCF. The data showed that targeting soluble SCF effectively depleted mast cells in a manner similar to targeting membrane SCF, but without measurable effect on spermatogenesis or melanogenesis in non-human primates.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Results to date support that combined TSLP neutralization and mast cell depletion with CDX-622 may result in broad efficacy in inflammatory diseases where both pathways play a pathogenic role.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January 2026, we initiated an open-label, single-dose Phase 1 proof of mechanism study to assess the safety, pharmacodynamics, and pharmacokinetics of CDX-622 in adults with mild to moderate asthma to assess the impact of dual neutralization of SCF and TSLP. Participants receive a single IV infusion of CDX-622 and are followed for 12 weeks. PD effects of CDX-622 on fractional exhaled nitric oxide (FeNO), absolute eosinophil count (AEC) and serum biomarkers, including TSLP- and SCF-related biomarkers, will be evaluated.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2025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Three Months Ended June 30, 2026 Compared with Three Months Ended June 30, 2025</w:t>
      </w:r>
    </w:p>
    <w:p>
      <w:pPr>
        <w:pStyle w:val="TextBody"/>
        <w:bidi w:val="0"/>
        <w:spacing w:before="0" w:after="0"/>
        <w:ind w:left="0" w:right="0" w:hanging="0"/>
        <w:jc w:val="left"/>
        <w:rPr/>
      </w:pPr>
      <w:r>
        <w:rPr/>
        <w:t>​</w:t>
      </w:r>
    </w:p>
    <w:tbl>
      <w:tblPr>
        <w:tblW w:w="9433" w:type="dxa"/>
        <w:jc w:val="left"/>
        <w:tblInd w:w="0" w:type="dxa"/>
        <w:tblLayout w:type="fixed"/>
        <w:tblCellMar>
          <w:top w:w="0" w:type="dxa"/>
          <w:left w:w="0" w:type="dxa"/>
          <w:bottom w:w="0" w:type="dxa"/>
          <w:right w:w="0" w:type="dxa"/>
        </w:tblCellMar>
      </w:tblPr>
      <w:tblGrid>
        <w:gridCol w:w="3961"/>
        <w:gridCol w:w="346"/>
        <w:gridCol w:w="211"/>
        <w:gridCol w:w="796"/>
        <w:gridCol w:w="346"/>
        <w:gridCol w:w="211"/>
        <w:gridCol w:w="796"/>
        <w:gridCol w:w="346"/>
        <w:gridCol w:w="211"/>
        <w:gridCol w:w="676"/>
        <w:gridCol w:w="346"/>
        <w:gridCol w:w="871"/>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515235" cy="175260"/>
                      <wp:effectExtent l="0" t="0" r="0" b="0"/>
                      <wp:wrapNone/>
                      <wp:docPr id="177" name="Frame177"/>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05460" cy="175260"/>
                      <wp:effectExtent l="0" t="0" r="0" b="0"/>
                      <wp:wrapNone/>
                      <wp:docPr id="180" name="Frame1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05460" cy="175260"/>
                      <wp:effectExtent l="0" t="0" r="0" b="0"/>
                      <wp:wrapNone/>
                      <wp:docPr id="183" name="Frame18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9260" cy="175260"/>
                      <wp:effectExtent l="0" t="0" r="0" b="0"/>
                      <wp:wrapNone/>
                      <wp:docPr id="186" name="Frame1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53085" cy="175260"/>
                      <wp:effectExtent l="0" t="0" r="0" b="0"/>
                      <wp:wrapNone/>
                      <wp:docPr id="188" name="Frame18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0660" cy="175260"/>
                      <wp:effectExtent l="0" t="0" r="0" b="0"/>
                      <wp:wrapNone/>
                      <wp:docPr id="189" name="Frame18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943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81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13,346</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16,058</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16,903</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$16.9 million increase in net loss for the three months ended June 30, 2026, as compared to the three months ended June 30, 2025, was primarily due to an increase in research and development expenses related to barzolvolimab.</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$0.7 million decrease in contracts and grants revenue for the three months ended June 30, 2026, as compared to the three months ended June 30, 2025, was primarily due to a decrease in revenue from our contract manufacturing and research and development agreements with Rockefeller University. We expect revenue to increase over the next twelve months as a result of an increase in services expected to be performed under our contract manufacturing and research and development agreements with Rockefeller University,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pStyle w:val="TextBody"/>
        <w:bidi w:val="0"/>
        <w:spacing w:before="0" w:after="0"/>
        <w:ind w:left="0" w:right="0" w:hanging="0"/>
        <w:jc w:val="left"/>
        <w:rPr/>
      </w:pPr>
      <w:r>
        <w:rPr/>
        <w:t>​</w:t>
      </w:r>
    </w:p>
    <w:tbl>
      <w:tblPr>
        <w:tblW w:w="6553" w:type="dxa"/>
        <w:jc w:val="left"/>
        <w:tblInd w:w="0" w:type="dxa"/>
        <w:tblLayout w:type="fixed"/>
        <w:tblCellMar>
          <w:top w:w="0" w:type="dxa"/>
          <w:left w:w="0" w:type="dxa"/>
          <w:bottom w:w="0" w:type="dxa"/>
          <w:right w:w="0" w:type="dxa"/>
        </w:tblCellMar>
      </w:tblPr>
      <w:tblGrid>
        <w:gridCol w:w="1861"/>
        <w:gridCol w:w="346"/>
        <w:gridCol w:w="211"/>
        <w:gridCol w:w="676"/>
        <w:gridCol w:w="346"/>
        <w:gridCol w:w="211"/>
        <w:gridCol w:w="676"/>
        <w:gridCol w:w="346"/>
        <w:gridCol w:w="211"/>
        <w:gridCol w:w="571"/>
        <w:gridCol w:w="346"/>
        <w:gridCol w:w="436"/>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181735" cy="175260"/>
                      <wp:effectExtent l="0" t="0" r="0" b="0"/>
                      <wp:wrapNone/>
                      <wp:docPr id="190" name="Frame190"/>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29260" cy="175260"/>
                      <wp:effectExtent l="0" t="0" r="0" b="0"/>
                      <wp:wrapNone/>
                      <wp:docPr id="193" name="Frame1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29260" cy="175260"/>
                      <wp:effectExtent l="0" t="0" r="0" b="0"/>
                      <wp:wrapNone/>
                      <wp:docPr id="196" name="Frame1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62585" cy="175260"/>
                      <wp:effectExtent l="0" t="0" r="0" b="0"/>
                      <wp:wrapNone/>
                      <wp:docPr id="199" name="Frame1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76860" cy="175260"/>
                      <wp:effectExtent l="0" t="0" r="0" b="0"/>
                      <wp:wrapNone/>
                      <wp:docPr id="201" name="Frame20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0660" cy="175260"/>
                      <wp:effectExtent l="0" t="0" r="0" b="0"/>
                      <wp:wrapNone/>
                      <wp:docPr id="202" name="Frame20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15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655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03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$1.8 million increase in personnel expenses for the three months ended June 30, 2026, as compared to the three months ended June 30, 2025, was primarily due to an increase in employee headcount. We expect personnel expenses to increase over the next twelve months as a result of additional headcount to support the development of barzolvolimab.</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$1.0 million increase in laboratory supply expenses for the three months ended June 30, 2026, as compared to the three months ended June 30, 2025, was primarily due to higher laboratory materials and supplies purchases. We expect laboratory supplies expenses to remain relatively consistent over the next twelve months, although there may be fluctuations on a quarterly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The $0.2 million decrease in facility expenses for the three months ended June 30, 2026, as compared to the three months ended June 30, 2025, was primarily due to lower expense related to our leased facilities. In 2025, we signed a new lease in New Haven, Connecticut and we are in process of relocating our existing New Haven operations to that facility. In addition, we expanded our leased space in Hampton, New Jersey in June 2026. As a result, we expect facility expenses to increase over the next twelve months, although there may be fluctuations on a quarterly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$8.2 million increase in product development expenses for the three months ended June 30, 2026, as compared to the three months ended June 30, 2025, was primarily due to an increase in barzolvolimab clinical trial expenses. We expect product development expenses to increase over the next twelve months primarily due to increased costs associated with the development of barzolvolimab,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$2.7 million increase in general and administrative expenses for the three months ended June 30, 2026, as compared to the three months ended June 30, 2025, was primarily due to higher commercial planning expenses and an increase in employee headcount. We expect general and administrative expenses to increase over the next twelve months primarily due to increased costs to support commercial planning efforts and the continued growth of our organization in preparation for potential commercialization of barzolvolimab,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Investment and other income, net for the three months ended June 30, 2026 was relatively consistent with the three months ended June 30, 2025. We expect investment and other income to remain relatively consistent over the next twelve months, although there may be fluctuations on a quarterly basis.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2026 Compared with Six Months Ended June 30, 2025</w:t>
      </w:r>
    </w:p>
    <w:p>
      <w:pPr>
        <w:pStyle w:val="TextBody"/>
        <w:bidi w:val="0"/>
        <w:spacing w:before="0" w:after="0"/>
        <w:ind w:left="0" w:right="0" w:hanging="0"/>
        <w:jc w:val="left"/>
        <w:rPr/>
      </w:pPr>
      <w:r>
        <w:rPr/>
        <w:t>​</w:t>
      </w:r>
    </w:p>
    <w:tbl>
      <w:tblPr>
        <w:tblW w:w="9658" w:type="dxa"/>
        <w:jc w:val="left"/>
        <w:tblInd w:w="0" w:type="dxa"/>
        <w:tblLayout w:type="fixed"/>
        <w:tblCellMar>
          <w:top w:w="0" w:type="dxa"/>
          <w:left w:w="0" w:type="dxa"/>
          <w:bottom w:w="0" w:type="dxa"/>
          <w:right w:w="0" w:type="dxa"/>
        </w:tblCellMar>
      </w:tblPr>
      <w:tblGrid>
        <w:gridCol w:w="3961"/>
        <w:gridCol w:w="346"/>
        <w:gridCol w:w="211"/>
        <w:gridCol w:w="901"/>
        <w:gridCol w:w="346"/>
        <w:gridCol w:w="211"/>
        <w:gridCol w:w="901"/>
        <w:gridCol w:w="346"/>
        <w:gridCol w:w="211"/>
        <w:gridCol w:w="691"/>
        <w:gridCol w:w="346"/>
        <w:gridCol w:w="871"/>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515235" cy="175260"/>
                      <wp:effectExtent l="0" t="0" r="0" b="0"/>
                      <wp:wrapNone/>
                      <wp:docPr id="203" name="Frame203"/>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72135" cy="175260"/>
                      <wp:effectExtent l="0" t="0" r="0" b="0"/>
                      <wp:wrapNone/>
                      <wp:docPr id="206" name="Frame20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72135" cy="175260"/>
                      <wp:effectExtent l="0" t="0" r="0" b="0"/>
                      <wp:wrapNone/>
                      <wp:docPr id="209" name="Frame20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38785" cy="175260"/>
                      <wp:effectExtent l="0" t="0" r="0" b="0"/>
                      <wp:wrapNone/>
                      <wp:docPr id="212" name="Frame2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53085" cy="175260"/>
                      <wp:effectExtent l="0" t="0" r="0" b="0"/>
                      <wp:wrapNone/>
                      <wp:docPr id="214" name="Frame21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0660" cy="175260"/>
                      <wp:effectExtent l="0" t="0" r="0" b="0"/>
                      <wp:wrapNone/>
                      <wp:docPr id="215" name="Frame21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965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03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33,733</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37,074</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38,461</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41,792</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$41.8 million increase in net loss for the six months ended June 30, 2026, as compared to the six months ended June 30, 2025, was primarily due to an increase in research and development expenses related to barzolvolimab.</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$1.3 million decrease in contracts and grants revenue for the six months ended June 30, 2026, as compared to the six months ended June 30, 2025, was primarily due to a decrease in revenue from our contract manufacturing and research and development agreements with Rockefeller University.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pStyle w:val="TextBody"/>
        <w:bidi w:val="0"/>
        <w:spacing w:before="0" w:after="0"/>
        <w:ind w:left="0" w:right="0" w:hanging="0"/>
        <w:jc w:val="left"/>
        <w:rPr/>
      </w:pPr>
      <w:r>
        <w:rPr/>
        <w:t>​</w:t>
      </w:r>
    </w:p>
    <w:tbl>
      <w:tblPr>
        <w:tblW w:w="6658" w:type="dxa"/>
        <w:jc w:val="left"/>
        <w:tblInd w:w="0" w:type="dxa"/>
        <w:tblLayout w:type="fixed"/>
        <w:tblCellMar>
          <w:top w:w="0" w:type="dxa"/>
          <w:left w:w="0" w:type="dxa"/>
          <w:bottom w:w="0" w:type="dxa"/>
          <w:right w:w="0" w:type="dxa"/>
        </w:tblCellMar>
      </w:tblPr>
      <w:tblGrid>
        <w:gridCol w:w="1861"/>
        <w:gridCol w:w="346"/>
        <w:gridCol w:w="211"/>
        <w:gridCol w:w="676"/>
        <w:gridCol w:w="346"/>
        <w:gridCol w:w="211"/>
        <w:gridCol w:w="676"/>
        <w:gridCol w:w="346"/>
        <w:gridCol w:w="211"/>
        <w:gridCol w:w="676"/>
        <w:gridCol w:w="346"/>
        <w:gridCol w:w="436"/>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181735" cy="175260"/>
                      <wp:effectExtent l="0" t="0" r="0" b="0"/>
                      <wp:wrapNone/>
                      <wp:docPr id="216" name="Frame216"/>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219" name="Frame2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29260" cy="175260"/>
                      <wp:effectExtent l="0" t="0" r="0" b="0"/>
                      <wp:wrapNone/>
                      <wp:docPr id="222" name="Frame2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29260" cy="175260"/>
                      <wp:effectExtent l="0" t="0" r="0" b="0"/>
                      <wp:wrapNone/>
                      <wp:docPr id="225" name="Frame2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76860" cy="175260"/>
                      <wp:effectExtent l="0" t="0" r="0" b="0"/>
                      <wp:wrapNone/>
                      <wp:docPr id="227" name="Frame22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0660" cy="175260"/>
                      <wp:effectExtent l="0" t="0" r="0" b="0"/>
                      <wp:wrapNone/>
                      <wp:docPr id="228" name="Frame22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center"/>
              <w:rPr/>
            </w:pPr>
            <w:r>
              <w:rPr/>
              <w:t>​</w:t>
            </w:r>
          </w:p>
        </w:tc>
        <w:tc>
          <w:tcPr>
            <w:tcW w:w="166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6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665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13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26,201</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$3.7 million increase in personnel expenses for the six months ended June 30, 2026, as compared to the six months ended June 30, 2025, was primarily due to an increase in employee headcount.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$0.3 million increase in laboratory supply expenses for the six months ended June 30, 2026, as compared to the six months ended June 30, 2025, was primarily due to higher laboratory materials and supplies purchases.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The $0.7 million decrease in facility expenses for the six months ended June 30, 2026, as compared to the six months ended June 30, 2025, was primarily due to lower expense related to our leased facilities.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$26.2 million increase in product development expenses for the six months ended June 30, 2026, as compared to the six months ended June 30, 2025, was primarily due to an increase in barzolvolimab clinical trial and contract manufacturing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$3.3 million increase in general and administrative expenses for the six months ended June 30, 2026, as compared to the six months ended June 30, 2025, was primarily due to higher commercial planning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$3.3 million decrease in investment and other income, net for the six months ended June 30, 2026, as compared to the six months ended June 30, 2025, was primarily due to lower cash and investment balances prior to the April 2026 underwritten public offering and lower yields on fixed income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June 30, 2026, our principal sources of liquidity consisted of cash, cash equivalents and marketable securities of $717.6 million. We have had recurring losses and incurred a loss of $152.2 million for the six months ended June 30, 2026. Net cash used in operations for the six months ended June 30, 2026 was $123.0 million. We believe that the cash, cash equivalents and marketable securities at June 30, 2026 are sufficient to meet estimated working capital requirements and fund current planned operations through 2028. This could be impacted if we elect to pay the future milestone under the Settlement Agreement with SRS in cash, in the event that we achieve the milestone related to that payment.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financings,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 under the Settlement Agreement with SRS, in the event that we achieve the milestone related to that payment. We may decide to pay that milestone payment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$123.0 million for the six months ended June 30, 2026 as compared to $98.4 million for the six months ended June 30, 2025. The increase in net cash used in operating activities was primarily due to an increase in research and development expenses related to barzolvolimab, partially offset by an increase in accounts payable during the six months ended June 30, 2026. We expect that cash used in operating activities will increase over the next twelve months as a result of the expanded development of barzolvolimab.</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$183.4 million for the six months ended June 30, 2026 compared to net cash provided by investing activities of $92.8 million for the six months ended June 30, 2025. The increase in net cash used in investing activities was primarily due to net purchases of marketable securities of $178.6 million for the six months ended June 30, 2026 as compared to net sales and maturities of marketable securities of $93.8 million for the six months ended June 30,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$325.0 million for the six months ended June 30, 2026 as compared to $0.3 million for the six months ended June 30, 2025. The increase in net cash provided by financing activities was primarily due to an increase in proceeds from stock issuances.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2026, we issued 11,896,750 shares of common stock in an underwritten public offering resulting in net proceeds of $323.8 million, after deducting underwriting fees and offering expenses.</w:t>
      </w:r>
    </w:p>
    <w:p>
      <w:pPr>
        <w:pStyle w:val="TextBody"/>
        <w:bidi w:val="0"/>
        <w:spacing w:before="0" w:after="240"/>
        <w:ind w:left="0" w:right="0" w:hanging="0"/>
        <w:jc w:val="left"/>
        <w:rPr>
          <w:rFonts w:ascii="Times New Roman;Times;serif" w:hAnsi="Times New Roman;Times;serif"/>
          <w:sz w:val="20"/>
        </w:rPr>
      </w:pPr>
      <w:bookmarkStart w:id="740" w:name="Item3QuantitativeandQualitativeDisclosur"/>
      <w:bookmarkStart w:id="741" w:name="_fa653d89_5bd7_4eb4_81f4_fa1fbdcbe195"/>
      <w:bookmarkEnd w:id="740"/>
      <w:bookmarkEnd w:id="741"/>
      <w:r>
        <w:rPr>
          <w:rFonts w:ascii="Times New Roman;Times;serif" w:hAnsi="Times New Roman;Times;serif"/>
          <w:b/>
          <w:sz w:val="20"/>
        </w:rPr>
        <w:t>Item 3.</w:t>
      </w:r>
      <w:r>
        <w:rPr>
          <w:rFonts w:ascii="Times New Roman;Times;serif" w:hAnsi="Times New Roman;Times;serif"/>
          <w:sz w:val="20"/>
        </w:rPr>
        <w:t>  </w:t>
      </w:r>
      <w:r>
        <w:rPr>
          <w:rFonts w:ascii="Times New Roman;Times;serif" w:hAnsi="Times New Roman;Times;serif"/>
          <w:b/>
          <w:sz w:val="20"/>
        </w:rPr>
        <w:t>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utilize derivative financial instruments. The carrying amounts reflected in the consolidated balance sheet of cash and cash equivalents, accounts receivables and accounts payable approximate fair value at June 30, 2026 due to the short-term maturities of these instruments.</w:t>
      </w:r>
    </w:p>
    <w:p>
      <w:pPr>
        <w:pStyle w:val="TextBody"/>
        <w:pBdr/>
        <w:bidi w:val="0"/>
        <w:spacing w:before="0" w:after="240"/>
        <w:ind w:left="0" w:right="0" w:hanging="1152"/>
        <w:jc w:val="left"/>
        <w:rPr>
          <w:rFonts w:ascii="Times New Roman;Times;serif" w:hAnsi="Times New Roman;Times;serif"/>
          <w:sz w:val="20"/>
        </w:rPr>
      </w:pPr>
      <w:bookmarkStart w:id="742" w:name="Item4ControlsandProcedures_940929"/>
      <w:bookmarkStart w:id="743" w:name="_8787ceb1_0ee4_486a_a921_ebe7f698a8db"/>
      <w:bookmarkEnd w:id="742"/>
      <w:bookmarkEnd w:id="743"/>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2026.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4" w:name="PARTIIOTHERINFORMATION_770534"/>
      <w:bookmarkStart w:id="745" w:name="_a97ef64d_2310_4842_a9f1_ca847513556d"/>
      <w:bookmarkEnd w:id="744"/>
      <w:bookmarkEnd w:id="745"/>
      <w:r>
        <w:rPr>
          <w:rFonts w:ascii="Times New Roman;Times;serif" w:hAnsi="Times New Roman;Times;serif"/>
          <w:b/>
          <w:sz w:val="20"/>
        </w:rPr>
        <w:t>PART II — OTHER INFORMATION</w:t>
      </w:r>
    </w:p>
    <w:p>
      <w:pPr>
        <w:pStyle w:val="TextBody"/>
        <w:pBdr/>
        <w:bidi w:val="0"/>
        <w:spacing w:before="0" w:after="240"/>
        <w:ind w:left="0" w:right="0" w:hanging="1152"/>
        <w:jc w:val="left"/>
        <w:rPr>
          <w:rFonts w:ascii="Times New Roman;Times;serif" w:hAnsi="Times New Roman;Times;serif"/>
          <w:sz w:val="20"/>
        </w:rPr>
      </w:pPr>
      <w:bookmarkStart w:id="746" w:name="Item1ARiskFactors_750939"/>
      <w:bookmarkEnd w:id="746"/>
      <w:r>
        <w:rPr>
          <w:rFonts w:ascii="Times New Roman;Times;serif" w:hAnsi="Times New Roman;Times;serif"/>
          <w:b/>
          <w:sz w:val="20"/>
        </w:rPr>
        <w:t>Item 1A.</w:t>
      </w:r>
      <w:r>
        <w:rPr>
          <w:rFonts w:ascii="Times New Roman;Times;serif" w:hAnsi="Times New Roman;Times;serif"/>
          <w:sz w:val="20"/>
        </w:rPr>
        <w:t>  </w:t>
      </w:r>
      <w:r>
        <w:rPr>
          <w:rFonts w:ascii="Times New Roman;Times;serif" w:hAnsi="Times New Roman;Times;serif"/>
          <w:b/>
          <w:sz w:val="20"/>
        </w:rPr>
        <w:t>Risk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factors discussed in Part I, “Item 1A. Risk Factors” in our Annual Report on Form 10-K for the year ended December 31, 2025,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material changes to the risk factors previously disclosed in our Annual Report on Form 10-K filed with the SEC on February 25, 2026.</w:t>
      </w:r>
    </w:p>
    <w:p>
      <w:pPr>
        <w:pStyle w:val="TextBody"/>
        <w:bidi w:val="0"/>
        <w:spacing w:before="0" w:after="240"/>
        <w:ind w:left="0" w:right="0" w:hanging="0"/>
        <w:jc w:val="left"/>
        <w:rPr>
          <w:rFonts w:ascii="Times New Roman;Times;serif" w:hAnsi="Times New Roman;Times;serif"/>
          <w:b/>
          <w:sz w:val="20"/>
        </w:rPr>
      </w:pPr>
      <w:bookmarkStart w:id="747" w:name="Item5OtherInformation_222271"/>
      <w:bookmarkStart w:id="748" w:name="_46c0da4f_849a_4e58_8ccb_a8c3fdd9e12c"/>
      <w:bookmarkEnd w:id="747"/>
      <w:bookmarkEnd w:id="748"/>
      <w:r>
        <w:rPr>
          <w:rFonts w:ascii="Times New Roman;Times;serif" w:hAnsi="Times New Roman;Times;serif"/>
          <w:b/>
          <w:sz w:val="20"/>
        </w:rPr>
        <w:t>Item 5.  Other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period covered by this Quarterly Report on Form 10-Q, no director or officer of the Company adopted or terminated a “Rule 10b5-1 trading arrangement” or “non-Rule 10b5-1 trading arrangement,” as each term is defined in Item 408(a) of Regulation S-K.</w:t>
      </w:r>
    </w:p>
    <w:p>
      <w:pPr>
        <w:pStyle w:val="TextBody"/>
        <w:bidi w:val="0"/>
        <w:spacing w:before="0" w:after="140"/>
        <w:ind w:left="0" w:right="0" w:hanging="0"/>
        <w:jc w:val="left"/>
        <w:rPr>
          <w:rFonts w:ascii="Times New Roman;Times;serif" w:hAnsi="Times New Roman;Times;serif"/>
          <w:b/>
          <w:sz w:val="20"/>
        </w:rPr>
      </w:pPr>
      <w:bookmarkStart w:id="749" w:name="Item6Exhibits_142075"/>
      <w:bookmarkStart w:id="750" w:name="_0581f85b_ffcb_4769_bbc4_3e0c8bcb5b47"/>
      <w:bookmarkEnd w:id="749"/>
      <w:bookmarkEnd w:id="750"/>
      <w:r>
        <w:rPr>
          <w:rFonts w:ascii="Times New Roman;Times;serif" w:hAnsi="Times New Roman;Times;serif"/>
          <w:b/>
          <w:sz w:val="20"/>
        </w:rPr>
        <w:t>Item 6.  Exhibits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exhibits filed as part of this Quarterly Report on Form 10-Q are listed in the exhibit index included herewith and are incorporated by reference herein.</w:t>
      </w:r>
    </w:p>
    <w:p>
      <w:pPr>
        <w:pStyle w:val="TextBody"/>
        <w:bidi w:val="0"/>
        <w:spacing w:before="0" w:after="240"/>
        <w:ind w:left="0" w:right="0" w:hanging="0"/>
        <w:jc w:val="center"/>
        <w:rPr>
          <w:rFonts w:ascii="Times New Roman;Times;serif" w:hAnsi="Times New Roman;Times;serif"/>
          <w:b/>
          <w:sz w:val="20"/>
        </w:rPr>
      </w:pPr>
      <w:bookmarkStart w:id="751" w:name="Exhibitindex"/>
      <w:bookmarkEnd w:id="751"/>
      <w:r>
        <w:rPr>
          <w:rFonts w:ascii="Times New Roman;Times;serif" w:hAnsi="Times New Roman;Times;serif"/>
          <w:b/>
          <w:sz w:val="20"/>
        </w:rPr>
        <w:t>EXHIBIT INDEX</w:t>
      </w:r>
    </w:p>
    <w:tbl>
      <w:tblPr>
        <w:tblW w:w="10205" w:type="dxa"/>
        <w:jc w:val="left"/>
        <w:tblInd w:w="0" w:type="dxa"/>
        <w:tblLayout w:type="fixed"/>
        <w:tblCellMar>
          <w:top w:w="0" w:type="dxa"/>
          <w:left w:w="0" w:type="dxa"/>
          <w:bottom w:w="28" w:type="dxa"/>
          <w:right w:w="0" w:type="dxa"/>
        </w:tblCellMar>
      </w:tblPr>
      <w:tblGrid>
        <w:gridCol w:w="790"/>
        <w:gridCol w:w="346"/>
        <w:gridCol w:w="9069"/>
      </w:tblGrid>
      <w:tr>
        <w:trPr/>
        <w:tc>
          <w:tcPr>
            <w:tcW w:w="790" w:type="dxa"/>
            <w:tcBorders>
              <w:bottom w:val="single" w:sz="2" w:space="0" w:color="000000"/>
            </w:tcBorders>
            <w:vAlign w:val="center"/>
          </w:tcPr>
          <w:p>
            <w:pPr>
              <w:pStyle w:val="TableContents"/>
              <w:bidi w:val="0"/>
              <w:spacing w:before="0" w:after="0"/>
              <w:ind w:left="0" w:right="0" w:hanging="0"/>
              <w:jc w:val="left"/>
              <w:rPr>
                <w:rFonts w:ascii="Helvetica;sans-serif" w:hAnsi="Helvetica;sans-serif"/>
                <w:sz w:val="16"/>
              </w:rPr>
            </w:pPr>
            <w:r>
              <w:rPr>
                <w:rFonts w:ascii="Times New Roman;Times;serif" w:hAnsi="Times New Roman;Times;serif"/>
                <w:b/>
                <w:sz w:val="16"/>
              </w:rPr>
              <w:t>Exhibit</w:t>
            </w:r>
            <w:r>
              <w:rPr>
                <w:rFonts w:ascii="Helvetica;sans-serif" w:hAnsi="Helvetica;sans-serif"/>
                <w:sz w:val="16"/>
              </w:rPr>
              <w:t xml:space="preserve"> </w:t>
            </w:r>
            <w:r>
              <w:rPr>
                <w:rFonts w:ascii="Times New Roman;Times;serif" w:hAnsi="Times New Roman;Times;serif"/>
                <w:sz w:val="16"/>
              </w:rPr>
              <w:br/>
            </w:r>
            <w:r>
              <w:rPr>
                <w:rFonts w:ascii="Times New Roman;Times;serif" w:hAnsi="Times New Roman;Times;serif"/>
                <w:b/>
                <w:sz w:val="16"/>
              </w:rPr>
              <w:t>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906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90"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69"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2"/>
                </w:rPr>
                <w:t>Amendment No. 4 to Celldex Therapeutics, Inc. 2021 Omnibus Equity Incentive Plan, incorporated by reference to Exhibit 10.1 to the Company’s current report on Form 8-K, filed on June 26, 2026 with the Securities and Exchange Commission.</w:t>
              </w:r>
            </w:hyperlink>
          </w:p>
        </w:tc>
      </w:tr>
      <w:tr>
        <w:trPr/>
        <w:tc>
          <w:tcPr>
            <w:tcW w:w="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69" w:type="dxa"/>
            <w:tcBorders/>
            <w:tcMar>
              <w:bottom w:w="0" w:type="dxa"/>
            </w:tcMar>
            <w:vAlign w:val="center"/>
          </w:tcPr>
          <w:p>
            <w:pPr>
              <w:pStyle w:val="TableContents"/>
              <w:bidi w:val="0"/>
              <w:spacing w:before="0" w:after="0"/>
              <w:ind w:left="0" w:right="0" w:hanging="0"/>
              <w:jc w:val="left"/>
              <w:rPr/>
            </w:pPr>
            <w:hyperlink w:anchor="cldx-20260630xex31d1.htm">
              <w:r>
                <w:rPr>
                  <w:rStyle w:val="InternetLink"/>
                  <w:rFonts w:ascii="Times New Roman;Times;serif" w:hAnsi="Times New Roman;Times;serif"/>
                  <w:b w:val="false"/>
                  <w:i w:val="false"/>
                  <w:caps w:val="false"/>
                  <w:smallCaps w:val="false"/>
                  <w:sz w:val="22"/>
                </w:rPr>
                <w:t>Certification of President and Chief Executive Officer</w:t>
              </w:r>
            </w:hyperlink>
            <w:hyperlink w:anchor="cldx-20260630xex31d1.htm">
              <w:r>
                <w:rPr>
                  <w:rStyle w:val="InternetLink"/>
                  <w:rFonts w:ascii="Helvetica;sans-serif" w:hAnsi="Helvetica;sans-serif"/>
                  <w:b w:val="false"/>
                  <w:i w:val="false"/>
                  <w:caps w:val="false"/>
                  <w:smallCaps w:val="false"/>
                  <w:sz w:val="22"/>
                </w:rPr>
                <w:t>.</w:t>
              </w:r>
            </w:hyperlink>
          </w:p>
        </w:tc>
      </w:tr>
      <w:tr>
        <w:trPr/>
        <w:tc>
          <w:tcPr>
            <w:tcW w:w="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69" w:type="dxa"/>
            <w:tcBorders/>
            <w:tcMar>
              <w:bottom w:w="0" w:type="dxa"/>
            </w:tcMar>
            <w:vAlign w:val="center"/>
          </w:tcPr>
          <w:p>
            <w:pPr>
              <w:pStyle w:val="TableContents"/>
              <w:bidi w:val="0"/>
              <w:spacing w:before="0" w:after="0"/>
              <w:ind w:left="0" w:right="0" w:hanging="0"/>
              <w:jc w:val="left"/>
              <w:rPr/>
            </w:pPr>
            <w:hyperlink w:anchor="cldx-20260630xex31d2.htm">
              <w:r>
                <w:rPr>
                  <w:rStyle w:val="InternetLink"/>
                  <w:rFonts w:ascii="Times New Roman;Times;serif" w:hAnsi="Times New Roman;Times;serif"/>
                  <w:b w:val="false"/>
                  <w:i w:val="false"/>
                  <w:caps w:val="false"/>
                  <w:smallCaps w:val="false"/>
                  <w:sz w:val="22"/>
                </w:rPr>
                <w:t>Certification of Senior Vice President and Chief Financial Officer</w:t>
              </w:r>
            </w:hyperlink>
            <w:hyperlink w:anchor="cldx-20260630xex31d2.htm">
              <w:r>
                <w:rPr>
                  <w:rStyle w:val="InternetLink"/>
                  <w:rFonts w:ascii="Helvetica;sans-serif" w:hAnsi="Helvetica;sans-serif"/>
                  <w:b w:val="false"/>
                  <w:i w:val="false"/>
                  <w:caps w:val="false"/>
                  <w:smallCaps w:val="false"/>
                  <w:sz w:val="22"/>
                </w:rPr>
                <w:t>.</w:t>
              </w:r>
            </w:hyperlink>
          </w:p>
        </w:tc>
      </w:tr>
      <w:tr>
        <w:trPr/>
        <w:tc>
          <w:tcPr>
            <w:tcW w:w="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69" w:type="dxa"/>
            <w:tcBorders/>
            <w:tcMar>
              <w:bottom w:w="0" w:type="dxa"/>
            </w:tcMar>
            <w:vAlign w:val="center"/>
          </w:tcPr>
          <w:p>
            <w:pPr>
              <w:pStyle w:val="TableContents"/>
              <w:bidi w:val="0"/>
              <w:spacing w:before="0" w:after="0"/>
              <w:ind w:left="0" w:right="0" w:hanging="0"/>
              <w:jc w:val="left"/>
              <w:rPr/>
            </w:pPr>
            <w:hyperlink w:anchor="cldx-20260630xex32d1.htm">
              <w:r>
                <w:rPr>
                  <w:rStyle w:val="InternetLink"/>
                  <w:rFonts w:ascii="Times New Roman;Times;serif" w:hAnsi="Times New Roman;Times;serif"/>
                  <w:b w:val="false"/>
                  <w:i w:val="false"/>
                  <w:caps w:val="false"/>
                  <w:smallCaps w:val="false"/>
                  <w:sz w:val="22"/>
                </w:rPr>
                <w:t>Section 1350 Certifications</w:t>
              </w:r>
            </w:hyperlink>
            <w:hyperlink w:anchor="cldx-20260630xex32d1.htm">
              <w:r>
                <w:rPr>
                  <w:rStyle w:val="InternetLink"/>
                  <w:rFonts w:ascii="Helvetica;sans-serif" w:hAnsi="Helvetica;sans-serif"/>
                  <w:b w:val="false"/>
                  <w:i w:val="false"/>
                  <w:caps w:val="false"/>
                  <w:smallCaps w:val="false"/>
                  <w:sz w:val="22"/>
                </w:rPr>
                <w:t>.</w:t>
              </w:r>
            </w:hyperlink>
          </w:p>
        </w:tc>
      </w:tr>
      <w:tr>
        <w:trPr/>
        <w:tc>
          <w:tcPr>
            <w:tcW w:w="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69"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Schema Document.</w:t>
            </w:r>
          </w:p>
        </w:tc>
      </w:tr>
      <w:tr>
        <w:trPr/>
        <w:tc>
          <w:tcPr>
            <w:tcW w:w="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69"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Calculation Linkbase Document.</w:t>
            </w:r>
          </w:p>
        </w:tc>
      </w:tr>
      <w:tr>
        <w:trPr/>
        <w:tc>
          <w:tcPr>
            <w:tcW w:w="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69"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Definition Linkbase Document.</w:t>
            </w:r>
          </w:p>
        </w:tc>
      </w:tr>
      <w:tr>
        <w:trPr/>
        <w:tc>
          <w:tcPr>
            <w:tcW w:w="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69"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Label Linkbase Document.</w:t>
            </w:r>
          </w:p>
        </w:tc>
      </w:tr>
      <w:tr>
        <w:trPr/>
        <w:tc>
          <w:tcPr>
            <w:tcW w:w="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69"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Presentation Linkbase Document.</w:t>
            </w:r>
          </w:p>
        </w:tc>
      </w:tr>
      <w:tr>
        <w:trPr/>
        <w:tc>
          <w:tcPr>
            <w:tcW w:w="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Indicates a management contract or compensation plan, contract or arrangement.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52" w:name="SIGNATURES_933986"/>
      <w:bookmarkStart w:id="753" w:name="_bf8da324_78c1_4a53_bc85_4d53fa0ceb62"/>
      <w:bookmarkEnd w:id="752"/>
      <w:bookmarkEnd w:id="753"/>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092" w:type="dxa"/>
        <w:jc w:val="left"/>
        <w:tblInd w:w="0" w:type="dxa"/>
        <w:tblLayout w:type="fixed"/>
        <w:tblCellMar>
          <w:top w:w="0" w:type="dxa"/>
          <w:left w:w="0" w:type="dxa"/>
          <w:bottom w:w="0" w:type="dxa"/>
          <w:right w:w="0" w:type="dxa"/>
        </w:tblCellMar>
      </w:tblPr>
      <w:tblGrid>
        <w:gridCol w:w="1951"/>
        <w:gridCol w:w="4141"/>
      </w:tblGrid>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240"/>
        <w:ind w:left="0" w:right="0" w:hanging="0"/>
        <w:jc w:val="right"/>
        <w:rPr>
          <w:rFonts w:ascii="Times New Roman;Times;serif" w:hAnsi="Times New Roman;Times;serif"/>
          <w:b/>
          <w:sz w:val="20"/>
        </w:rPr>
      </w:pPr>
      <w:bookmarkStart w:id="754" w:name="cldx-20260630xex31d1.htm"/>
      <w:bookmarkStart w:id="755" w:name="kscldx20260630xex31d1"/>
      <w:bookmarkEnd w:id="754"/>
      <w:bookmarkEnd w:id="755"/>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Anthony S. Marucci, certify that:</w:t>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7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5688" w:type="dxa"/>
        <w:jc w:val="left"/>
        <w:tblInd w:w="0" w:type="dxa"/>
        <w:tblLayout w:type="fixed"/>
        <w:tblCellMar>
          <w:top w:w="0" w:type="dxa"/>
          <w:left w:w="0" w:type="dxa"/>
          <w:bottom w:w="0" w:type="dxa"/>
          <w:right w:w="0" w:type="dxa"/>
        </w:tblCellMar>
      </w:tblPr>
      <w:tblGrid>
        <w:gridCol w:w="1846"/>
        <w:gridCol w:w="631"/>
        <w:gridCol w:w="321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56" w:name="cldx-20260630xex31d2.htm"/>
      <w:bookmarkStart w:id="757" w:name="kscldx20260630xex31d2"/>
      <w:bookmarkEnd w:id="756"/>
      <w:bookmarkEnd w:id="757"/>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Sam Martin, certify that:</w:t>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7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618" w:type="dxa"/>
        <w:jc w:val="left"/>
        <w:tblInd w:w="0" w:type="dxa"/>
        <w:tblLayout w:type="fixed"/>
        <w:tblCellMar>
          <w:top w:w="0" w:type="dxa"/>
          <w:left w:w="0" w:type="dxa"/>
          <w:bottom w:w="0" w:type="dxa"/>
          <w:right w:w="0" w:type="dxa"/>
        </w:tblCellMar>
      </w:tblPr>
      <w:tblGrid>
        <w:gridCol w:w="1846"/>
        <w:gridCol w:w="631"/>
        <w:gridCol w:w="414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58" w:name="cldx-20260630xex32d1.htm"/>
      <w:bookmarkStart w:id="759" w:name="kscldx20260630xex32d1"/>
      <w:bookmarkEnd w:id="758"/>
      <w:bookmarkEnd w:id="759"/>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SECTION 1350 CERTIFICATIONS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tbl>
      <w:tblPr>
        <w:tblW w:w="5688" w:type="dxa"/>
        <w:jc w:val="left"/>
        <w:tblInd w:w="0" w:type="dxa"/>
        <w:tblLayout w:type="fixed"/>
        <w:tblCellMar>
          <w:top w:w="0" w:type="dxa"/>
          <w:left w:w="0" w:type="dxa"/>
          <w:bottom w:w="0" w:type="dxa"/>
          <w:right w:w="0" w:type="dxa"/>
        </w:tblCellMar>
      </w:tblPr>
      <w:tblGrid>
        <w:gridCol w:w="1846"/>
        <w:gridCol w:w="631"/>
        <w:gridCol w:w="321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172210" cy="175260"/>
                      <wp:effectExtent l="0" t="0" r="0" b="0"/>
                      <wp:wrapNone/>
                      <wp:docPr id="229" name="Frame22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00685" cy="175260"/>
                      <wp:effectExtent l="0" t="0" r="0" b="0"/>
                      <wp:wrapNone/>
                      <wp:docPr id="230" name="Frame23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38985" cy="175260"/>
                      <wp:effectExtent l="0" t="0" r="0" b="0"/>
                      <wp:wrapNone/>
                      <wp:docPr id="231" name="Frame231"/>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tbl>
      <w:tblPr>
        <w:tblW w:w="6618" w:type="dxa"/>
        <w:jc w:val="left"/>
        <w:tblInd w:w="0" w:type="dxa"/>
        <w:tblLayout w:type="fixed"/>
        <w:tblCellMar>
          <w:top w:w="0" w:type="dxa"/>
          <w:left w:w="0" w:type="dxa"/>
          <w:bottom w:w="0" w:type="dxa"/>
          <w:right w:w="0" w:type="dxa"/>
        </w:tblCellMar>
      </w:tblPr>
      <w:tblGrid>
        <w:gridCol w:w="1846"/>
        <w:gridCol w:w="631"/>
        <w:gridCol w:w="414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172210" cy="175260"/>
                      <wp:effectExtent l="0" t="0" r="0" b="0"/>
                      <wp:wrapNone/>
                      <wp:docPr id="232" name="Frame232"/>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00685" cy="175260"/>
                      <wp:effectExtent l="0" t="0" r="0" b="0"/>
                      <wp:wrapNone/>
                      <wp:docPr id="233" name="Frame23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629535" cy="175260"/>
                      <wp:effectExtent l="0" t="0" r="0" b="0"/>
                      <wp:wrapNone/>
                      <wp:docPr id="234" name="Frame234"/>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Symbol">
    <w:charset w:val="02"/>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4218/000110465926078023/tm2619009d1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21039</Words>
  <Characters>116517</Characters>
  <CharactersWithSpaces>138382</CharactersWithSpaces>
  <Paragraphs>4122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