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ind w:left="3820" w:right="1440" w:hanging="3488"/>
        <w:spacing w:after="0" w:line="500"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200" w:right="1420" w:hanging="3868"/>
        <w:spacing w:after="0" w:line="498"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000-15006</w:t>
      </w:r>
    </w:p>
    <w:p>
      <w:pPr>
        <w:jc w:val="center"/>
        <w:ind w:right="-19"/>
        <w:spacing w:after="0"/>
        <w:rPr>
          <w:sz w:val="20"/>
          <w:szCs w:val="20"/>
          <w:color w:val="auto"/>
        </w:rPr>
      </w:pPr>
      <w:r>
        <w:rPr>
          <w:rFonts w:ascii="Arial" w:cs="Arial" w:eastAsia="Arial" w:hAnsi="Arial"/>
          <w:sz w:val="25"/>
          <w:szCs w:val="25"/>
          <w:b w:val="1"/>
          <w:bCs w:val="1"/>
          <w:color w:val="auto"/>
        </w:rPr>
        <w:t>CELLDEX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77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4420" w:type="dxa"/>
            <w:vAlign w:val="bottom"/>
            <w:gridSpan w:val="5"/>
          </w:tcPr>
          <w:p>
            <w:pPr>
              <w:ind w:lef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2"/>
        </w:trPr>
        <w:tc>
          <w:tcPr>
            <w:tcW w:w="332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2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color w:val="auto"/>
                <w:w w:val="90"/>
              </w:rPr>
              <w:t>Common Stock, par value $.001</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CLDX</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78" w:right="339" w:bottom="1440" w:gutter="0" w:footer="0" w:header="0"/>
          <w:type w:val="continuous"/>
        </w:sectPr>
      </w:pPr>
    </w:p>
    <w:p>
      <w:pPr>
        <w:spacing w:after="0" w:line="151"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460"/>
          </w:cols>
          <w:pgMar w:left="320" w:top="778" w:right="339" w:bottom="1440" w:gutter="0" w:footer="0" w:header="0"/>
          <w:type w:val="continuous"/>
        </w:sectPr>
      </w:pPr>
    </w:p>
    <w:p>
      <w:pPr>
        <w:spacing w:after="0" w:line="48"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80" w:space="720"/>
            <w:col w:w="3840"/>
          </w:cols>
          <w:pgMar w:left="320" w:top="778" w:right="339" w:bottom="1440" w:gutter="0" w:footer="0" w:header="0"/>
          <w:type w:val="continuous"/>
        </w:sectPr>
      </w:pPr>
    </w:p>
    <w:p>
      <w:pPr>
        <w:spacing w:after="0" w:line="48" w:lineRule="exact"/>
        <w:rPr>
          <w:sz w:val="24"/>
          <w:szCs w:val="24"/>
          <w:color w:val="auto"/>
        </w:rPr>
      </w:pPr>
    </w:p>
    <w:p>
      <w:pPr>
        <w:ind w:left="74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78" w:right="339" w:bottom="1440" w:gutter="0" w:footer="0" w:header="0"/>
          <w:type w:val="continuous"/>
        </w:sectPr>
      </w:pP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2020, 18,938,085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60" w:type="dxa"/>
            <w:vAlign w:val="bottom"/>
          </w:tcPr>
          <w:p>
            <w:pPr>
              <w:jc w:val="center"/>
              <w:ind w:left="690"/>
              <w:spacing w:after="0"/>
              <w:rPr>
                <w:sz w:val="20"/>
                <w:szCs w:val="20"/>
                <w:color w:val="auto"/>
              </w:rPr>
            </w:pPr>
            <w:r>
              <w:rPr>
                <w:rFonts w:ascii="Arial" w:cs="Arial" w:eastAsia="Arial" w:hAnsi="Arial"/>
                <w:sz w:val="18"/>
                <w:szCs w:val="18"/>
                <w:b w:val="1"/>
                <w:bCs w:val="1"/>
                <w:color w:val="auto"/>
              </w:rPr>
              <w:t>CELLDEX THERAPEUTICS, INC.</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6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For the Quarterly Period Ended March 31, 2020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460" w:type="dxa"/>
            <w:vAlign w:val="bottom"/>
            <w:tcBorders>
              <w:top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Unaudited Financial Statements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and December 31, 2019</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340"/>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Condensed Consolidated Statements of Operations and Comprehensive Loss for the Three Months Ended March 31, 2020 and 2019</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Three Months Ended March 31, 2020 and 2019</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 Management’s Discussion and Analysis of Financial Condition and Results of Operations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 Quantitative and Qualitative Disclosures About Market Risk</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 Controls and Procedures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 Other Information</w:t>
              </w:r>
            </w:hyperlink>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1A. Risk Factors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6. Exhibits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Exhibit Index</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Signatures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46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9"/>
              </w:rPr>
              <w:t>2</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53,151</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48,690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r>
      <w:tr>
        <w:trPr>
          <w:trHeight w:val="22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63"/>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tcPr>
          <w:p>
            <w:pPr>
              <w:spacing w:after="0"/>
              <w:rPr>
                <w:sz w:val="22"/>
                <w:szCs w:val="22"/>
                <w:color w:val="auto"/>
              </w:rPr>
            </w:pPr>
          </w:p>
        </w:tc>
      </w:tr>
      <w:tr>
        <w:trPr>
          <w:trHeight w:val="197"/>
        </w:trPr>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Current Portion of Other Long-Term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r>
      <w:tr>
        <w:trPr>
          <w:trHeight w:val="209"/>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15,551</w:t>
            </w:r>
          </w:p>
        </w:tc>
      </w:tr>
      <w:tr>
        <w:trPr>
          <w:trHeight w:val="210"/>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Convertible Preferred Stock, $.01 Par Value; 3,000,000 Shares Authorized; No Shares Issued and Outstanding at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2020 and December 31, 2019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$.001 Par Value; 297,000,000 Shares Authorized; 17,730,802 and 16,972,077 Shares Issued and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Outstanding at March 31, 2020 and December 31, 2019, Respectively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1,104,706</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(1,025,941)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(1,013,316)</w:t>
            </w:r>
          </w:p>
        </w:tc>
      </w:tr>
      <w:tr>
        <w:trPr>
          <w:trHeight w:val="210"/>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94,026</w:t>
            </w:r>
          </w:p>
        </w:tc>
        <w:tc>
          <w:tcPr>
            <w:tcW w:w="100" w:type="dxa"/>
            <w:vAlign w:val="bottom"/>
            <w:tcBorders>
              <w:bottom w:val="single" w:sz="8" w:color="CCEEFF"/>
            </w:tcBorders>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4040"/>
              <w:spacing w:after="0"/>
              <w:rPr>
                <w:sz w:val="20"/>
                <w:szCs w:val="20"/>
                <w:color w:val="auto"/>
              </w:rPr>
            </w:pPr>
            <w:r>
              <w:rPr>
                <w:rFonts w:ascii="Arial" w:cs="Arial" w:eastAsia="Arial" w:hAnsi="Arial"/>
                <w:sz w:val="18"/>
                <w:szCs w:val="18"/>
                <w:b w:val="1"/>
                <w:bCs w:val="1"/>
                <w:color w:val="auto"/>
              </w:rPr>
              <w:t>(In thousands, except per share amounts)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24"/>
                <w:szCs w:val="24"/>
                <w:color w:val="auto"/>
              </w:rPr>
            </w:pPr>
          </w:p>
        </w:tc>
        <w:tc>
          <w:tcPr>
            <w:tcW w:w="134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6"/>
              </w:rPr>
              <w:t>Three Months</w:t>
            </w:r>
          </w:p>
        </w:tc>
      </w:tr>
      <w:tr>
        <w:trPr>
          <w:trHeight w:val="216"/>
        </w:trPr>
        <w:tc>
          <w:tcPr>
            <w:tcW w:w="7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Ended</w:t>
            </w:r>
          </w:p>
        </w:tc>
      </w:tr>
      <w:tr>
        <w:trPr>
          <w:trHeight w:val="234"/>
        </w:trPr>
        <w:tc>
          <w:tcPr>
            <w:tcW w:w="7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March 31, 2020</w:t>
            </w:r>
          </w:p>
        </w:tc>
        <w:tc>
          <w:tcPr>
            <w:tcW w:w="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2019</w:t>
            </w: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2,286</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129</w:t>
            </w:r>
          </w:p>
        </w:tc>
      </w:tr>
      <w:tr>
        <w:trPr>
          <w:trHeight w:val="22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1,296</w:t>
            </w:r>
          </w:p>
        </w:tc>
      </w:tr>
      <w:tr>
        <w:trPr>
          <w:trHeight w:val="21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6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tcPr>
          <w:p>
            <w:pPr>
              <w:spacing w:after="0"/>
              <w:rPr>
                <w:sz w:val="18"/>
                <w:szCs w:val="18"/>
                <w:color w:val="auto"/>
              </w:rPr>
            </w:pPr>
          </w:p>
        </w:tc>
      </w:tr>
      <w:tr>
        <w:trPr>
          <w:trHeight w:val="209"/>
        </w:trPr>
        <w:tc>
          <w:tcPr>
            <w:tcW w:w="7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11,151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3,666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4,896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1,800</w:t>
            </w: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Loss on Fair Value Remeasurement of Contingent Consideration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1,519</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(17,941)</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702</w:t>
            </w: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(0.73)</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17,406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12,297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(12,625)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(17,239)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w:t>
            </w: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4"/>
              </w:rPr>
              <w:t>Three Months</w:t>
            </w:r>
          </w:p>
        </w:tc>
        <w:tc>
          <w:tcPr>
            <w:tcW w:w="80" w:type="dxa"/>
            <w:vAlign w:val="bottom"/>
          </w:tcPr>
          <w:p>
            <w:pPr>
              <w:spacing w:after="0"/>
              <w:rPr>
                <w:sz w:val="24"/>
                <w:szCs w:val="24"/>
                <w:color w:val="auto"/>
              </w:rPr>
            </w:pPr>
          </w:p>
        </w:tc>
        <w:tc>
          <w:tcPr>
            <w:tcW w:w="134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4"/>
              </w:rPr>
              <w:t>Three Months</w:t>
            </w: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Ended</w:t>
            </w:r>
          </w:p>
        </w:tc>
      </w:tr>
      <w:tr>
        <w:trPr>
          <w:trHeight w:val="234"/>
        </w:trPr>
        <w:tc>
          <w:tcPr>
            <w:tcW w:w="7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2019</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(12,625)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(17,239)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1,352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Premium of Marketable Securities, Net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Loss on Sale or Disposal of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 Impairment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Loss on Fair Value Remeasurement of Contingent Consideration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1,519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Other Receivables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299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(1,737)</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22,200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37,886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21,965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16,296</w:t>
            </w:r>
          </w:p>
        </w:tc>
      </w:tr>
      <w:tr>
        <w:trPr>
          <w:trHeight w:val="209"/>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4,151</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w:t>
            </w:r>
          </w:p>
        </w:tc>
      </w:tr>
      <w:tr>
        <w:trPr>
          <w:trHeight w:val="21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11,492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7,223</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11,232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24,310</w:t>
            </w:r>
          </w:p>
        </w:tc>
      </w:tr>
      <w:tr>
        <w:trPr>
          <w:trHeight w:val="263"/>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100" w:type="dxa"/>
            <w:vAlign w:val="bottom"/>
            <w:tcBorders>
              <w:bottom w:val="single" w:sz="8" w:color="CCEEFF"/>
            </w:tcBorders>
          </w:tcPr>
          <w:p>
            <w:pPr>
              <w:spacing w:after="0"/>
              <w:rPr>
                <w:sz w:val="22"/>
                <w:szCs w:val="22"/>
                <w:color w:val="auto"/>
              </w:rPr>
            </w:pPr>
          </w:p>
        </w:tc>
      </w:tr>
      <w:tr>
        <w:trPr>
          <w:trHeight w:val="196"/>
        </w:trPr>
        <w:tc>
          <w:tcPr>
            <w:tcW w:w="7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construction in progress</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6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2019, which are included in the Company’s Annual Report on Form 10-K filed with the Securities and Exchange Commission on March 26, 2020.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2020.</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U.S. GAAP, the Company has the responsibility to evaluate whether conditions and/or events raise substantial doubt about its ability to meet its future financial obligations as they become due within one year after the date that the financial statements are issued. This evaluation shall initially not take into consideration the potential mitigating effects of plans that have not been fully implemented as of the date the financial statements are issued. The Company’s financial statements have been prepared on the basis of continuity of operations, realization of assets and the satisfaction of liabilities in the ordinary course of business. At March 31, 2020, the Company had cash, cash equivalents and marketable securities of $53.7 million. The Company has had recurring losses and incurred a loss of $12.6 million for the three months ended March 31, 2020. Net cash used in operations for the three months ended March 31, 2020 was $12.1 million. As of May 6, 2020, the date of issuance of the consolidated financial statements, the Company expects that its cash, cash equivalents and marketable securities of $53.7 million as of March 31, 2020 will be sufficient to fund its operating expenses and capital expenditure requirements into the second quarter of 2021. The future viability of the Company beyond that point is dependent on the Company’s ability to raise additional capital to finance its operations. The Company has generated no product revenue to date and cannot predict when and if it will generate product revenue. The Company has had recurring losses and anticipate operating losses to continue for the foreseeable future due to, among other things, costs related to research, development of product candidates, conducting preclinical studies and clinical trials, facilities and general and administrative expenses. These conditions raise substantial doubt about the Company’s ability to continue as a going concern for one year after the date that the financial statements are issued.</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 The financial statements do not include any adjustments that might result from the outcome of this uncertainty.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 w:firstLine="648"/>
        <w:spacing w:after="0" w:line="268" w:lineRule="auto"/>
        <w:rPr>
          <w:sz w:val="20"/>
          <w:szCs w:val="20"/>
          <w:color w:val="auto"/>
        </w:rPr>
      </w:pPr>
      <w:r>
        <w:rPr>
          <w:rFonts w:ascii="Arial" w:cs="Arial" w:eastAsia="Arial" w:hAnsi="Arial"/>
          <w:sz w:val="17"/>
          <w:szCs w:val="17"/>
          <w:color w:val="auto"/>
        </w:rPr>
        <w:t>In December 2019, a novel strain of coronavirus, now referred to as COVID-19, surfaced in Wuhan, China. The virus continues to spread globally, has been declared a pandemic by the World Health Organization and has spread to over 200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COVID-19 has had a more severe impact in New Jersey, Massachusetts and Connecticut, where the Company has office, research and manufacturing facilities, than in other parts of the United States. In an effort to halt the outbreak of COVID-19, various states, including New Jersey, Massachusetts and Connecticut,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(IPR&amp;D) assets which amounted to $48.7 million at March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40" w:firstLine="630"/>
        <w:spacing w:after="0" w:line="311"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months ended March 31, 2020 are consistent with those discussed in Note 2 to the financial statements in our Annual Report on Form 10-K for the year ended December 31, 2019, except as it relates to the adoption of new accounting standards during the first three months of 2020 as discussed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 2020, the Company adopted a new accounting standard that modifies certain disclosure requirements for fair value measurements. For instance, the Company is required to disclose weighted average information for significant unobservable inputs for all Level 3 fair value measurements. The adoption of this new guidance did not have a material impact on the Company’s consolidated financial statements and related disclosures. Refer to Note 3 for the disclosures related to the Company’s level 3 fair value measurements.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 2020, the Company adopted a new accounting standard that clarifies the interaction between the accounting guidance for collaborative arrangements and revenue from contracts with customers. The amendments clarify that certain transactions between collaborative arrangement participants should be accounted for as revenue under ASC 606, when the collaborative arrangement participant is a customer in the context of a unit of account. The adoption of this standard did not have a material impact on our consolidated financial statements, as we have no arrangements within the scope of ASC 808.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(3) Fair Value Measurements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9400" w:type="dxa"/>
            <w:vAlign w:val="bottom"/>
            <w:gridSpan w:val="16"/>
          </w:tcPr>
          <w:p>
            <w:pPr>
              <w:ind w:left="3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8"/>
              </w:rPr>
              <w:t>March</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4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8"/>
          </w:tcPr>
          <w:p>
            <w:pPr>
              <w:ind w:left="6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15,396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15,396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0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30,998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30,998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0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46,394</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30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30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12,719</w:t>
            </w:r>
          </w:p>
        </w:tc>
      </w:tr>
      <w:tr>
        <w:trPr>
          <w:trHeight w:val="223"/>
        </w:trPr>
        <w:tc>
          <w:tcPr>
            <w:tcW w:w="30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20" w:type="dxa"/>
            <w:vAlign w:val="bottom"/>
            <w:gridSpan w:val="6"/>
          </w:tcPr>
          <w:p>
            <w:pPr>
              <w:ind w:left="880"/>
              <w:spacing w:after="0"/>
              <w:rPr>
                <w:sz w:val="20"/>
                <w:szCs w:val="20"/>
                <w:color w:val="auto"/>
              </w:rPr>
            </w:pPr>
            <w:r>
              <w:rPr>
                <w:rFonts w:ascii="Arial" w:cs="Arial" w:eastAsia="Arial" w:hAnsi="Arial"/>
                <w:sz w:val="18"/>
                <w:szCs w:val="18"/>
                <w:b w:val="1"/>
                <w:bCs w:val="1"/>
                <w:color w:val="auto"/>
                <w:w w:val="93"/>
              </w:rPr>
              <w:t>December 31, 2019</w:t>
            </w:r>
          </w:p>
        </w:tc>
        <w:tc>
          <w:tcPr>
            <w:tcW w:w="8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8"/>
          </w:tcPr>
          <w:p>
            <w:pPr>
              <w:ind w:left="5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4,024</w:t>
            </w:r>
          </w:p>
        </w:tc>
        <w:tc>
          <w:tcPr>
            <w:tcW w:w="80" w:type="dxa"/>
            <w:vAlign w:val="bottom"/>
          </w:tcPr>
          <w:p>
            <w:pPr>
              <w:spacing w:after="0"/>
              <w:rPr>
                <w:sz w:val="18"/>
                <w:szCs w:val="18"/>
                <w:color w:val="auto"/>
              </w:rPr>
            </w:pPr>
          </w:p>
        </w:tc>
        <w:tc>
          <w:tcPr>
            <w:tcW w:w="12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0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53,151</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53,151</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0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57,175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gridSpan w:val="2"/>
          </w:tcPr>
          <w:p>
            <w:pPr>
              <w:ind w:left="98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57,175</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6"/>
        </w:trPr>
        <w:tc>
          <w:tcPr>
            <w:tcW w:w="30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12,485</w:t>
            </w:r>
          </w:p>
        </w:tc>
        <w:tc>
          <w:tcPr>
            <w:tcW w:w="80" w:type="dxa"/>
            <w:vAlign w:val="bottom"/>
          </w:tcPr>
          <w:p>
            <w:pPr>
              <w:spacing w:after="0"/>
              <w:rPr>
                <w:sz w:val="19"/>
                <w:szCs w:val="19"/>
                <w:color w:val="auto"/>
              </w:rPr>
            </w:pPr>
          </w:p>
        </w:tc>
        <w:tc>
          <w:tcPr>
            <w:tcW w:w="12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12,485</w:t>
            </w:r>
          </w:p>
        </w:tc>
      </w:tr>
      <w:tr>
        <w:trPr>
          <w:trHeight w:val="223"/>
        </w:trPr>
        <w:tc>
          <w:tcPr>
            <w:tcW w:w="30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three months ended March 31, 2020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9"/>
              </w:rPr>
              <w:t>Other Liabilities:</w:t>
            </w:r>
          </w:p>
        </w:tc>
      </w:tr>
      <w:tr>
        <w:trPr>
          <w:trHeight w:val="216"/>
        </w:trPr>
        <w:tc>
          <w:tcPr>
            <w:tcW w:w="9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9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Consideration</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March 31, 2020, the weighted average discount rate used in calculating the fair value of contingent consideration was 16.5% (with a range of 16.3% to 18.9%) and the weighted average amount of time until the conditions of the milestone payments are met was 3 years.</w:t>
      </w:r>
    </w:p>
    <w:p>
      <w:pPr>
        <w:spacing w:after="0" w:line="17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During the three months ended March 31, 2020, the Company recorded a $0.2 million loss on fair value remeasurement of contingent consideration, respectively, primarily due to the passage of time. During the three months ended March 31, 2019, the Company recorded a $1.5 million loss on fair value remeasurement of contingent consideration, primarily due to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transfers in or out of Level 3 assets or liabilities during the three months ended March 31,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(4) Marketable Securities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60" w:type="dxa"/>
            <w:vAlign w:val="bottom"/>
            <w:gridSpan w:val="7"/>
          </w:tcPr>
          <w:p>
            <w:pPr>
              <w:ind w:left="660"/>
              <w:spacing w:after="0"/>
              <w:rPr>
                <w:sz w:val="20"/>
                <w:szCs w:val="20"/>
                <w:color w:val="auto"/>
              </w:rPr>
            </w:pPr>
            <w:r>
              <w:rPr>
                <w:rFonts w:ascii="Arial" w:cs="Arial" w:eastAsia="Arial" w:hAnsi="Arial"/>
                <w:sz w:val="18"/>
                <w:szCs w:val="18"/>
                <w:color w:val="auto"/>
                <w:w w:val="92"/>
              </w:rPr>
              <w:t>The following is a summary of marketable debt securities, classified as available-for-sale:</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8"/>
                <w:szCs w:val="18"/>
                <w:b w:val="1"/>
                <w:bCs w:val="1"/>
                <w:color w:val="auto"/>
              </w:rPr>
              <w:t>Gross Unrealized</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Gains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right"/>
              <w:ind w:right="424"/>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10,538</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10,554</w:t>
            </w: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20,444</w:t>
            </w:r>
          </w:p>
        </w:tc>
      </w:tr>
      <w:tr>
        <w:trPr>
          <w:trHeight w:val="263"/>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30,998</w:t>
            </w:r>
          </w:p>
        </w:tc>
        <w:tc>
          <w:tcPr>
            <w:tcW w:w="100" w:type="dxa"/>
            <w:vAlign w:val="bottom"/>
            <w:tcBorders>
              <w:bottom w:val="single" w:sz="8" w:color="CCEEFF"/>
            </w:tcBorders>
          </w:tcPr>
          <w:p>
            <w:pPr>
              <w:spacing w:after="0"/>
              <w:rPr>
                <w:sz w:val="22"/>
                <w:szCs w:val="22"/>
                <w:color w:val="auto"/>
              </w:rPr>
            </w:pPr>
          </w:p>
        </w:tc>
      </w:tr>
      <w:tr>
        <w:trPr>
          <w:trHeight w:val="196"/>
        </w:trPr>
        <w:tc>
          <w:tcPr>
            <w:tcW w:w="5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18,509</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18,522</w:t>
            </w: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9"/>
                <w:szCs w:val="19"/>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34,629</w:t>
            </w:r>
          </w:p>
        </w:tc>
      </w:tr>
      <w:tr>
        <w:trPr>
          <w:trHeight w:val="223"/>
        </w:trPr>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March 31, 2020 and December 31, 2019. The unrealized losses are attributable to changes in interest rates and the Company does not believe any unrealized losses represent other-than-temporary impairments. Marketable securities include $0.2 million in accrued interest at March 31, 2020 and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At March 31, 2020 and 2019, the Company recorded indefinite-lived intangible assets of $48.7 million. Indefinite-lived intangible assets consist of acquired in-process research and development (“IPR&amp;D”) related to the development of CDX-3379, the anti-KIT program (including CDX-0159) and the TAM program. CDX-3379 is in Phase 2 development, CDX-0159 is in Phase 1 development, and the TAM program is in preclinical development. As of March 31, 2020, none of the Company’s IPR&amp;D assets had reached technological feasibility nor did any have alternative future uses.</w:t>
      </w:r>
    </w:p>
    <w:p>
      <w:pPr>
        <w:spacing w:after="0" w:line="1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 funding as of March 31, 2019. Therefore, the Company concluded that the investment was impaired, and a non-cash impairment charge of $1.8 million was recorded during the first quarter of 2019.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(7) Other Long-Term Liabilities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8000" w:type="dxa"/>
            <w:vAlign w:val="bottom"/>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March 31,</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0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r>
      <w:tr>
        <w:trPr>
          <w:trHeight w:val="216"/>
        </w:trPr>
        <w:tc>
          <w:tcPr>
            <w:tcW w:w="3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r>
      <w:tr>
        <w:trPr>
          <w:trHeight w:val="216"/>
        </w:trPr>
        <w:tc>
          <w:tcPr>
            <w:tcW w:w="30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w:t>
            </w:r>
          </w:p>
        </w:tc>
      </w:tr>
      <w:tr>
        <w:trPr>
          <w:trHeight w:val="229"/>
        </w:trPr>
        <w:tc>
          <w:tcPr>
            <w:tcW w:w="3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Revenue (Note 11)</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0"/>
        </w:trPr>
        <w:tc>
          <w:tcPr>
            <w:tcW w:w="30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r>
      <w:tr>
        <w:trPr>
          <w:trHeight w:val="223"/>
        </w:trPr>
        <w:tc>
          <w:tcPr>
            <w:tcW w:w="300" w:type="dxa"/>
            <w:vAlign w:val="bottom"/>
          </w:tcPr>
          <w:p>
            <w:pPr>
              <w:spacing w:after="0"/>
              <w:rPr>
                <w:sz w:val="19"/>
                <w:szCs w:val="19"/>
                <w:color w:val="auto"/>
              </w:rPr>
            </w:pPr>
          </w:p>
        </w:tc>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In November 2015, the Company received approval from the New Jersey Economic Development Authority and agreed to sell New Jersey tax benefits of $9.8 million to an independent third party for $9.2 million. Under the agreement, the Company must maintain a base of operations in New Jersey for five years or the tax benefits must be paid back on a pro-rata basis based on the number of years completed. The Company recognized $0.0 million and $0.2 million in other income related to the sale of these tax benefits during the three months ended March 31,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May 2016, the Company entered into a controlled equity offering sales agreement agreement (the “Cantor Agreement”) with Cantor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Fitzgerald &amp; Co. (“Cantor”) to allow the Company to issue and sell shares of its common stock from time to time through Cantor, acting as agent. In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Company filed a prospectus supplement for the amount of shares that the Company is eligible to sell pursuant to the Cantor Agreement.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March 2020 prospectus supplement, the Company may offer and sell shares of common stock having an aggregate offering price of up to $18,000,000.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2020, the Company issued 0.7 million shares of common stock pursuant to the Cantor Agreement resulting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$1.6 million after deducting commission and offering expenses. At March 31, 2020, the Company had $17.9 million remaining in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offering price available under the March 2020 prospectus supplement. In April 2020, the Company issued 1.2 million shares of its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net proceeds to the Company of $2.9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Stockholders’ Equity during the three months ended March 31, 2020 and 2019 are summarized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Par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3"/>
              </w:rPr>
              <w:t>Accumulated</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Income</w:t>
            </w:r>
          </w:p>
        </w:tc>
        <w:tc>
          <w:tcPr>
            <w:tcW w:w="12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0"/>
              </w:rPr>
              <w:t>(In thousands, except share amounts)</w:t>
            </w: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December 31, 2019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16,972,077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2,619</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(1,013,316)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94,026</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Shares Issued under Stock Option and Employee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 Purchase Plans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746,152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Marketable Securities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(12,625)</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(12,625)</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March 31, 2020</w:t>
            </w: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17,730,802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1,107,029</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2,597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(1,025,941</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83,703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Par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3"/>
              </w:rPr>
              <w:t>Accumulated</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0"/>
              </w:rPr>
              <w:t>(In thousands, except share amounts)</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December 31, 2018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11,957,635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(962,438)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124,060</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Shares Issued under Stock Option and Employee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6"/>
                <w:szCs w:val="16"/>
                <w:color w:val="auto"/>
              </w:rPr>
              <w:t>Stock Purchase Plans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 Agreement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883,569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4,151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Marketable Securities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(17,239)</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(17,239)</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March 31, 2019</w:t>
            </w: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1,089,755</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2,602</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(979,677</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112,693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Canceled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(43,811)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50.59</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2020</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1,585,639</w:t>
            </w:r>
          </w:p>
        </w:tc>
        <w:tc>
          <w:tcPr>
            <w:tcW w:w="22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46.50</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576,042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465,324</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month period ended March 31, 2020 was $1.23. Stock-based compensation expense for the three months ended March 31, 2020 and 2019 was recorded as follows: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0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256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months ended March 31, 2020 and 2019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6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Three months ended March 31,</w:t>
            </w: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option term</w:t>
            </w:r>
          </w:p>
        </w:tc>
        <w:tc>
          <w:tcPr>
            <w:tcW w:w="42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6.0 Years</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6.0 Years</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28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280" w:type="dxa"/>
            <w:vAlign w:val="bottom"/>
          </w:tcPr>
          <w:p>
            <w:pPr>
              <w:spacing w:after="0"/>
              <w:rPr>
                <w:sz w:val="20"/>
                <w:szCs w:val="20"/>
                <w:color w:val="auto"/>
              </w:rPr>
            </w:pPr>
          </w:p>
        </w:tc>
      </w:tr>
      <w:tr>
        <w:trPr>
          <w:trHeight w:val="634"/>
        </w:trPr>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are summarized below:</w:t>
      </w:r>
    </w:p>
    <w:p>
      <w:pPr>
        <w:sectPr>
          <w:pgSz w:w="11900" w:h="16838" w:orient="portrait"/>
          <w:cols w:equalWidth="0" w:num="1">
            <w:col w:w="11220"/>
          </w:cols>
          <w:pgMar w:left="320" w:top="9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Gain/(Loss) 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Marketable</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Currency Items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40"/>
          </w:cols>
          <w:pgMar w:left="320" w:top="904" w:right="359" w:bottom="1440" w:gutter="0" w:footer="0" w:header="0"/>
          <w:type w:val="continuous"/>
        </w:sectPr>
      </w:pP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amounts were reclassified out of accumulated other comprehensive income during the three months ended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entered into an agreement with Rockefeller University in September 2013, as amended, (the “Rockefeller Agreement”) pursuant to which the Company performs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three months ended March 31, 2020. The Company is eligible to receive additional payments from Rockefeller University if this portfolio progresses through clinical and commercial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entered into the Rockefeller Agreement and an agreement with Duke University pursuant to which the Company performs manufacturing and research and development services on a time-and-materials basis. The Company recognized $0.4 million and $1.2 million in revenue for labor hours and direct costs incurred under these agreements during the three months ended March 31,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At December 31, 2019 and March 31, 2020, the Company’s right to consideration under all contracts was considered unconditional, and as such, there were no recorded contract assets. At December 31, 2019 and March 31, 2020, the Company had $0.3 million and $0.2 million in contract liabilities recorded, respectively. Revenue recognized from contract liabilities as of December 31, 2019 during the three months ended March 31, 2020 was $0.1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2020 and December 31, 2019.</w:t>
      </w:r>
    </w:p>
    <w:p>
      <w:pPr>
        <w:spacing w:after="0" w:line="1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net deferred tax liability of $3.0 million at March 31, 2020 and December 31, 2019 relates to the temporary differences associated with the IPR&amp;D intangible assets acquired in previous business combinations and is not deductible for tax purposes.</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1,658,141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836,104</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Restricted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r>
      <w:tr>
        <w:trPr>
          <w:trHeight w:val="223"/>
        </w:trPr>
        <w:tc>
          <w:tcPr>
            <w:tcW w:w="84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Kolltan Acquisition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have been abandoned consistent with the provisions of the Merger Agreement and, because of this, as of March 31, 2020, the Company believes that the adjusted amount we may be required to pay for future consideration is up to $127.5 million contingent upon the achievement of the Kolltan Milestones.</w:t>
      </w:r>
    </w:p>
    <w:p>
      <w:pPr>
        <w:spacing w:after="0" w:line="19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October 2019, the Company received a letter from the representative of Kolltan’s former stockholders notifying the Company that it objected to the Company’s abandonment of certain Kolltan Milestones relating to development, regulatory approval and sales-based milestones. The Company disagrees with their objection and believes their objection to be without merit. The Company is discussing with the representative of Kolltan’s former stockholders potential amendments to the Merger Agreement with respect to the Kolltan Milestones. There can be no assurances that an amendment to the Merger Agreement will be completed on terms acceptable to the Company or at all. At this time, the Company is unable to reasonably assess the ultimate outcome of the Company’s disagreement with the representative of Kolltan’s former stockholders over its objection to the Company’s abandonment of certain Kolltan Milestones or determine an estimate of potential losses, if 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980" w:right="32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 outbreak of a novel strain of coronavirus (“COVID-19”) on our business or on the economy generally;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recent coronavirus outbreak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cost, delivery and quality of clinical management services provided by our clinical research organization partners;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rFonts w:ascii="Arial" w:cs="Arial" w:eastAsia="Arial" w:hAnsi="Arial"/>
          <w:sz w:val="16"/>
          <w:szCs w:val="16"/>
          <w:color w:val="auto"/>
        </w:rPr>
      </w:pPr>
    </w:p>
    <w:p>
      <w:pPr>
        <w:ind w:left="980" w:right="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2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including under any future amendment to that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25" w:lineRule="exact"/>
        <w:rPr>
          <w:rFonts w:ascii="Arial" w:cs="Arial" w:eastAsia="Arial" w:hAnsi="Arial"/>
          <w:sz w:val="18"/>
          <w:szCs w:val="18"/>
          <w:color w:val="auto"/>
        </w:rPr>
      </w:pPr>
    </w:p>
    <w:p>
      <w:pPr>
        <w:jc w:val="both"/>
        <w:ind w:left="980" w:right="8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2019 and other reports that we file with the Securities and Exchange Commission</w:t>
      </w:r>
      <w:r>
        <w:rPr>
          <w:rFonts w:ascii="Arial" w:cs="Arial" w:eastAsia="Arial" w:hAnsi="Arial"/>
          <w:sz w:val="16"/>
          <w:szCs w:val="16"/>
          <w:i w:val="1"/>
          <w:iCs w:val="1"/>
          <w:color w:val="auto"/>
        </w:rPr>
        <w:t>.</w:t>
      </w:r>
    </w:p>
    <w:p>
      <w:pPr>
        <w:spacing w:after="0" w:line="14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human and bispecific antibodies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140" w:hanging="324"/>
        <w:spacing w:after="0" w:line="23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as a single-agent and in combination with CDX-301, a dendritic cell growth factor. Dose escalation was recently completed in a Phase 1 study in solid tumors and lymphoma and the recommended dose for further study was determined to be 1.5 mg/kg for both CDX-1140 monotherapy and in combination with CDX-301. Celldex has initiated multiple expansion cohorts within the study, including a combination cohort with KEYTRUDA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(pembrolizumab). The Company is exploring additional combination cohorts with mechanisms that we believe could be complementary or synergistic with CDX-1140.</w:t>
      </w:r>
    </w:p>
    <w:p>
      <w:pPr>
        <w:spacing w:after="0" w:line="206" w:lineRule="exact"/>
        <w:rPr>
          <w:rFonts w:ascii="Arial" w:cs="Arial" w:eastAsia="Arial" w:hAnsi="Arial"/>
          <w:sz w:val="18"/>
          <w:szCs w:val="18"/>
          <w:color w:val="auto"/>
        </w:rPr>
      </w:pPr>
    </w:p>
    <w:p>
      <w:pPr>
        <w:ind w:left="980" w:right="60" w:hanging="324"/>
        <w:spacing w:after="0" w:line="28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CDX-3379, a monoclonal antibody designed to block the activity of ErbB3 (HER3), currently in an early Phase 2 study in advanced head and neck squamous cell cancer in combination with Erbitux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and potently inhibits its activity, which recently completed enrollment and treatment of healthy subjects in a Phase 1a study. We plan to study CDX-0159 in mast cell driven diseases, including, initially, chronic spontaneous urticaria (CSU) and chronic inducible urticarias (CINDUs); and,</w:t>
      </w:r>
    </w:p>
    <w:p>
      <w:pPr>
        <w:spacing w:after="0" w:line="183" w:lineRule="exact"/>
        <w:rPr>
          <w:rFonts w:ascii="Arial" w:cs="Arial" w:eastAsia="Arial" w:hAnsi="Arial"/>
          <w:sz w:val="18"/>
          <w:szCs w:val="18"/>
          <w:color w:val="auto"/>
        </w:rPr>
      </w:pPr>
    </w:p>
    <w:p>
      <w:pPr>
        <w:ind w:left="980" w:right="76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are planning a Phase 1 study in advanced solid tumors.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right="56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Clinical Phase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9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1 - 5 Years</w:t>
            </w:r>
          </w:p>
        </w:tc>
      </w:tr>
      <w:tr>
        <w:trPr>
          <w:trHeight w:val="216"/>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 Years</w:t>
            </w: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ind w:right="80" w:firstLine="648"/>
        <w:spacing w:after="0" w:line="273" w:lineRule="auto"/>
        <w:rPr>
          <w:sz w:val="20"/>
          <w:szCs w:val="20"/>
          <w:color w:val="auto"/>
        </w:rPr>
      </w:pPr>
      <w:r>
        <w:rPr>
          <w:rFonts w:ascii="Arial" w:cs="Arial" w:eastAsia="Arial" w:hAnsi="Arial"/>
          <w:sz w:val="17"/>
          <w:szCs w:val="17"/>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78"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During the past five years through December 31, 2019, we incurred an aggregate of $408.2 million in research and development expenses. The following table indicates the amount incurred for each of our significant research programs and for other identified research and development activities during the three months ended March 31, 2020 and 2019. The amounts disclosed in the following table reflect direct research and development costs, license fees associated with the underlying technology and an allocation of indirect research and development costs to each program.</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182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7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 2019</w:t>
            </w:r>
          </w:p>
        </w:tc>
      </w:tr>
      <w:tr>
        <w:trPr>
          <w:trHeight w:val="209"/>
        </w:trPr>
        <w:tc>
          <w:tcPr>
            <w:tcW w:w="7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5"/>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CDX-1140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CDX-3379</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CDX-0159/Anti-KIT Program</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CDX-527</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TAM Program</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r>
      <w:tr>
        <w:trPr>
          <w:trHeight w:val="229"/>
        </w:trPr>
        <w:tc>
          <w:tcPr>
            <w:tcW w:w="7100" w:type="dxa"/>
            <w:vAlign w:val="bottom"/>
          </w:tcPr>
          <w:p>
            <w:pPr>
              <w:ind w:left="160"/>
              <w:spacing w:after="0"/>
              <w:rPr>
                <w:sz w:val="20"/>
                <w:szCs w:val="20"/>
                <w:color w:val="auto"/>
              </w:rPr>
            </w:pPr>
            <w:r>
              <w:rPr>
                <w:rFonts w:ascii="Arial" w:cs="Arial" w:eastAsia="Arial" w:hAnsi="Arial"/>
                <w:sz w:val="18"/>
                <w:szCs w:val="18"/>
                <w:color w:val="auto"/>
              </w:rPr>
              <w:t>Other Programs</w:t>
            </w: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initiated a Phase 1 study of CDX-1140 in November 2017. This study is expected to enroll up to approximately 220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7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Interim data from this ongoing study were presented at the Society for Immunotherapy of Cancer’s (SITC) 34th Annual Meeting in November 2019. CDX-1140 monotherapy dose escalation in the study is complete and the maximum tolerated dose and recommended Phase 2 dose was defined as 1.5 mg/kg every four weeks. CDX-1140 monotherapy and combination with CDX-301 was generally well tolerated, with mostly grade 1 or grade 2 drug related adverse events reported. Two patients out of six experienced pneumonitis as dose limiting toxicities (DLTs) in the CDX-1140 3.0 mg/kg monotherapy cohort. There were no DLTs observed in the CDX-301 combination cohorts up to 0.72 mg/kg CDX-1140. A cohort of CDX-1140 at 1.5 mg/kg plus CDX-301, which was ongoing at the time of data release, has subsequently completed dose escalation with no DLTs observed; therefore, the recommended dose of CDX-1140 in combination with CDX-301 is 1.5mg/kg.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120" w:firstLine="648"/>
        <w:spacing w:after="0" w:line="286" w:lineRule="auto"/>
        <w:rPr>
          <w:sz w:val="20"/>
          <w:szCs w:val="20"/>
          <w:color w:val="auto"/>
        </w:rPr>
      </w:pPr>
      <w:r>
        <w:rPr>
          <w:rFonts w:ascii="Arial" w:cs="Arial" w:eastAsia="Arial" w:hAnsi="Arial"/>
          <w:sz w:val="17"/>
          <w:szCs w:val="17"/>
          <w:color w:val="auto"/>
        </w:rPr>
        <w:t>As of the cut-off date for data reporting for SITC, 62 patients with advanced refractory solid tumors or lymphoma were enrolled and 38 patients had pre- 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65" w:lineRule="exact"/>
        <w:rPr>
          <w:sz w:val="20"/>
          <w:szCs w:val="20"/>
          <w:color w:val="auto"/>
        </w:rPr>
      </w:pPr>
    </w:p>
    <w:p>
      <w:pPr>
        <w:ind w:left="980" w:right="20" w:hanging="324"/>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Two of five patients with head and neck squamous cell carcinoma (HNSCC) treated with CDX-1140 doses of 0.72 mg/kg or higher experienced clinical activity.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57" w:lineRule="exact"/>
        <w:rPr>
          <w:rFonts w:ascii="Arial" w:cs="Arial" w:eastAsia="Arial" w:hAnsi="Arial"/>
          <w:sz w:val="16"/>
          <w:szCs w:val="16"/>
          <w:color w:val="auto"/>
        </w:rPr>
      </w:pPr>
    </w:p>
    <w:p>
      <w:pPr>
        <w:ind w:left="980" w:right="22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18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continued on treatment for 10+ months without confirmation of progressive disease at CDX-1140 0.09 mg/kg plus CDX-301.</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17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CDX-1140 monotherapy expansion cohorts in HNSCC, renal cell carcinoma and gastroesophageal adenocarcinoma have been added to the study, along with a combination cohort of CDX-1140 and CDX-301 in HNSCC. In addition, we have amended the ongoing Phase 1 study to evaluate CDX-1140</w:t>
      </w:r>
    </w:p>
    <w:p>
      <w:pPr>
        <w:ind w:right="40"/>
        <w:spacing w:after="0" w:line="227" w:lineRule="auto"/>
        <w:rPr>
          <w:sz w:val="20"/>
          <w:szCs w:val="20"/>
          <w:color w:val="auto"/>
        </w:rPr>
      </w:pPr>
      <w:r>
        <w:rPr>
          <w:rFonts w:ascii="Arial" w:cs="Arial" w:eastAsia="Arial" w:hAnsi="Arial"/>
          <w:sz w:val="18"/>
          <w:szCs w:val="18"/>
          <w:color w:val="auto"/>
        </w:rPr>
        <w:t>in combination with KEYTRUDA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(pembrolizumab), Merck’s anti-PD-1 therapy, under a clinical trial collaboration agreement with Merck (known as MSD outside of the U.S. and Canada). The cohort is designed to characterize the safety, pharmacodynamics and activity of CDX-1140 in combination with pembrolizumab in patients refractory to PD1/PDL1 treatment. Enrollment is ongoing. The Company is exploring additional combination cohorts with mechanisms that we believe could be complementary or synergistic with CDX-1140.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ErbB3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Enrollment opened in November 2017 to an open-label Phase 2 study in combination with Erbitux in patients with human papillomavirus (HPV) negative, Erbitux-resistant, advanced HNSCC who have previously been treated with an anti-PD1 checkpoint inhibitor, a population with limited options and a particularly poor prognosis. 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is objective response rate (ORR). Secondary endpoints include assessments of clinical benefit response (CBR), duration of response (DOR), progression-free survival (PFS), overall survival (OS), and safety and pharmacokinetics associated with the combination. Enrollment to the first stage of the Phase 2 study (n=15) is complete and interim data from the study were presented at the 2019 ASCO Annual Meeting in June that support the continued development of CDX-3379.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60" w:firstLine="648"/>
        <w:spacing w:after="0" w:line="296" w:lineRule="auto"/>
        <w:rPr>
          <w:sz w:val="20"/>
          <w:szCs w:val="20"/>
          <w:color w:val="auto"/>
        </w:rPr>
      </w:pPr>
      <w:r>
        <w:rPr>
          <w:rFonts w:ascii="Arial" w:cs="Arial" w:eastAsia="Arial" w:hAnsi="Arial"/>
          <w:sz w:val="16"/>
          <w:szCs w:val="16"/>
          <w:color w:val="auto"/>
        </w:rPr>
        <w:t>Patients had a median of 3 (range of 2-6) prior cancer therapy treatments. All patients had received prior checkpoint inhibitor treatment and 14 of 15 patients were cetuximab refractory. Notable clinical activity was observed in this refractory patient population. A durable confirmed complete response (11+ months) was observed. An unconfirmed partial response (uPR) in a patient that had not received cetuximab was also observed. 7 patients experienced stable disease (47%; includes uPR). A clinical benefit rate of 29% was achieved (objective response or stable disease greater than or equal to 12 weeks). CDX-3379 in combination with cetuximab was generally associated with the expected target-mediated adverse events of diarrhea and rash.</w:t>
      </w:r>
    </w:p>
    <w:p>
      <w:pPr>
        <w:spacing w:after="0" w:line="16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Emerging data from the Phase 2 study and earlier studies of CDX-3379 suggest that antitumor activity may be associated with somatic mutations in certain genes. Based on these observations, next-generation sequencing was performed on tumor samples from 18 patients with HNSCC treated with CDX-3379 across three clinical studies of CDX-3379 that have enrolled patients with HNSCC. This data set included four patients with clinical responses, eight patients with stable disease and/or tumor shrinkage, and six patients with progressive disease. Key findings are outlined below.</w:t>
      </w:r>
    </w:p>
    <w:p>
      <w:pPr>
        <w:spacing w:after="0" w:line="15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mutations in the FAT1 gene.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a primary tumor site of oral cavity.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of the four clinical responses occurred in patients who also had mutations in NOTCH1, NOTCH2 or NOTCH3 genes.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of note, all patients (n=7 of 18) who experienced clinical benefit (objective response or stable disease greater than or equal to 12 weeks) had FAT1 and/or NOTCH1-3 mutations.</w:t>
      </w:r>
    </w:p>
    <w:p>
      <w:pPr>
        <w:spacing w:after="0" w:line="170" w:lineRule="exact"/>
        <w:rPr>
          <w:rFonts w:ascii="Arial" w:cs="Arial" w:eastAsia="Arial" w:hAnsi="Arial"/>
          <w:sz w:val="18"/>
          <w:szCs w:val="18"/>
          <w:color w:val="auto"/>
        </w:rPr>
      </w:pPr>
    </w:p>
    <w:p>
      <w:pPr>
        <w:ind w:left="980" w:right="40" w:hanging="324"/>
        <w:spacing w:after="0" w:line="31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FAT1 and NOTCH genes are associated with tumor suppression. Inactivating mutations in the FAT1 and NOTCH genes occur in sizeable subsets of HPV negative HNSCC tumors, having been identified in 32% (FAT1) and 26% (NOTCH) of these tumors, respectively. Preclinical studies investigating the association of CDX-3379 sensitivity and inactivating mutations of FAT1 and other genes are ongoing.</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Based on these biomarker observations and the notable clinical activity observed in this refractory patient population, the study has been expanded (n= ~45 patients, including at least 15 patients with FAT1 mutations) to allow for an evaluation of the utility of biomarkers for future patient selection. Enrollment is ongoing.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urticarias (CINDUs), mast cell degranulation plays a central role in the onset and progression of the disease.</w:t>
      </w:r>
    </w:p>
    <w:p>
      <w:pPr>
        <w:spacing w:after="0" w:line="17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2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recently completed enrollment and treatment of healthy subjects in the Phase 1a study of CDX-0159. The study, which was initiated in November 2019, is designed to evaluate the safety profile, pharmacokinetics and pharmacodynamics of single ascending doses of CDX-0159. Based on positive results to date, we plan to initiate studies of CDX-0159 in CSU and CINDU, both mast cell-related diseases, by year-end 2020.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more effective later line therapies. CINDUs are forms of urticaria that have an attributable cause or trigger associated with them, typically resulting in hives or wheals. We are exploring cold-induced and dermographism-induced (scratching of the skin-induced) urticarias.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We plan to present data from the Phase 1a study mid-year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Celldex plans to initiate a Phase 1 dose-escalation study in up to 90 patients with advanced or metastatic solid tumors that have progressed during or after standard of care therapy in the second half of 2020, followed by tumor-specific expansion cohorts to further evaluate the tolerability, biologic and anti-tumor effects of selected dose level(s) of CDX-527 in specific tumor types.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2019 for a discussion of our critical accounting policies. There have been no material changes to such critical accounting policies. We believe our most critical accounting policies include accounting for contingent consideration, revenue recognition, intangible and long-lived assets, research and development expenses and stock-based compensation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with Three Months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3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Increase/</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Increase/</w:t>
            </w:r>
          </w:p>
        </w:tc>
      </w:tr>
      <w:tr>
        <w:trPr>
          <w:trHeight w:val="234"/>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6"/>
              </w:rPr>
              <w:t>(Decrease)</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09"/>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2,286</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2,157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63"/>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197"/>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11,695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11,151</w:t>
            </w:r>
          </w:p>
        </w:tc>
        <w:tc>
          <w:tcPr>
            <w:tcW w:w="14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544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4,896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Other Asset Impairment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(1,800)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Fair Value Remeasurement of Contingent Consideration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(1,285)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9"/>
                <w:szCs w:val="19"/>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(460)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$4.6 million decrease in net loss for the three months ended March 31, 2020, as compared to the three months ended March 31, 2019, was primarily the result of an increase in revenue from product development and licensing agreements and a decrease in non-cash other asset impairment expense.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$2.2 million increase in product development and licensing agreements revenue for the three months ended March 31, 2020, as compared to the three months ended March 31, 2019, was primarily due to the $1.8 million received from the Rockefeller Transaction. The $0.9 million decrease in contracts and grants revenue for the three months ended March 31, 2020, as compared to the three months ended March 31, 2019, was primarily related to a decrease in services performed under our manufacturing and research and development agreement with Duke University. We expect revenue to decrease over the next twelve months, although there may be fluctuations on a quarterly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4"/>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(Decrease)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09"/>
        </w:trPr>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w:t>
            </w:r>
          </w:p>
        </w:tc>
        <w:tc>
          <w:tcPr>
            <w:tcW w:w="8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Laboratory Supplies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1,460</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664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Product Development</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1,806</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111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$0.1 million decrease in personnel expenses for the three months ended March 31, 2020, as compared to the three months ended March 31, 2019, was primarily due to lower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$0.7 million increase in laboratory supply expenses for the three months ended March 31, 2020, as compared to the three months ended March 31, 2019, was primarily due to higher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$0.2 million decrease in facility expenses for the three months ended March 31, 2020, as compared to the three months ended March 31, 2019, was primarily due to lower depreciation expense. We expect facility expenses to decrease over the next twelve months as a result of our decision to consolidate our Massachusetts lab and manufacturing facilities. The lease in Needham, MA will not be renewed and most functions and employees will be integrated into our Fall River, MA facility during the second quarter of 2020.</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$0.1 million increase in product development expenses for the three months ended March 31, 2020, as compared to the three months ended March 31, 2019, was primarily due to an increase in clinical trial expenses of $0.5 million, partially offset by a decrease in contract research expenses of $0.4 million. We expect product development expenses to remain relatively consistent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The $1.2 million decrease in general and administrative expenses for the three months ended March 31, 2020, as compared to the three months ended March 31, 2019, was primarily due to lower stock-based compensation expense and lower professional service expenses. We expect general and administrative expenses to remain relatively consistent over the next twelve months, although there may be fluctuations on a quarterly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$0.2 million loss on fair value remeasurement of contingent consideration for the three months ended March 31, 2020 was primarily due to the passage of time. The $1.5 million loss on fair value remeasurement of contingent consideration for the three months ended March 31, 2019 was primarily due to changes in discount rates and the passage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$0.5 million decrease in investment and other income, net for the three months ended March 31,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2019, was primarily due to lower levels of cash and investment balances and lower other income related to our sale of New Jersey tax benefits.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investment income to decrease over the next twelve months due to lower levels of cash and investment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9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At March 31, 2020, our principal sources of liquidity consisted of cash, cash equivalents and marketable securities of $53.7 million. We have had recurring losses and incurred a loss of $12.6 million for the three months ended March 31, 2020. We believe that our existing cash, cash equivalents and marketable securities will enable us to fund our operating expenses and capital expenditure requirements into the second quarter of 2021. In accordance with U.S. GAAP, we have determined that there is substantial doubt about our ability to continue as a going concern. The financial statements do not include any adjustments that might result from the outcome of this uncertainty. See Note 1 to the unaudited consolidated financial statements for further discussion of our liquidity and the conditions and events that raise substantial doubt regarding our ability to continue as a going concern.</w:t>
      </w:r>
    </w:p>
    <w:p>
      <w:pPr>
        <w:spacing w:after="0" w:line="16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Net cash used in operating activities was $12.1 million for the three months ended March 31, 2020 as compared to $13.2 million for the three months ended March 31, 2019. The decrease in net cash used in operating activities was primarily due to a decrease in general and administrative expenses and an increase in cash received related to product development and licensing agreements. We expect that cash used in operating activities will remain relatively consistent over the next twelve months, although there may be fluctuations on a quarterly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right="1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Net cash provided by investing activities was $22.0 million for the three months ended March 31, 2020 as compared to $16.3 million for the three months ended March 31, 2019. The increase in net cash provided by investing activities was primarily due to net sales and maturities of marketable securities for the three months ended March 31, 2020 of $22.2 million as compared to $16.5 million for the three months ended March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Net cash provided by financing activities was $1.6 million for the three months ended March 31, 2020 as compared to $4.2 million for the three months ended March 31, 2019. Net proceeds from stock issuances pursuant to employee benefit plans were $0.0 million during the three months ended March 31, 2020 and March 31, 2019.</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March 2020, we filed a prospectus supplement for the amount of shares that we are eligible to sell pursuant to the Cantor Agreement.. Under the March 2020 prospectus supplement, we may offer and sell shares of common stock having an aggregate offering price of up to $18,000,000. During the three months ended March 31, 2020, we issued 0.7 million shares of common stock under our Cantor agreement resulting in net proceeds of $1.6 million after deducting commission and offering expenses. At March 31, 2020, we had $17.9 million remaining in aggregate gross offering price available under the March 2020 prospectus supplement. In April 2020, we issued 1.2 million shares of its common stock resulting in net proceeds to us of $2.9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2019 which was filed with the SEC on March 26, 2020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March 31, 2020 due to the short-term maturities of these instruments.</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March 31, 2020,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700" w:firstLine="690"/>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26, 2020.</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24"/>
                <w:szCs w:val="24"/>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*31.1</w:t>
              </w:r>
            </w:hyperlink>
          </w:p>
        </w:tc>
        <w:tc>
          <w:tcPr>
            <w:tcW w:w="220" w:type="dxa"/>
            <w:vAlign w:val="bottom"/>
          </w:tcPr>
          <w:p>
            <w:pPr>
              <w:spacing w:after="0"/>
              <w:rPr>
                <w:sz w:val="19"/>
                <w:szCs w:val="19"/>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President and Chief Executive Officer</w:t>
              </w:r>
            </w:hyperlink>
          </w:p>
        </w:tc>
      </w:tr>
      <w:tr>
        <w:trPr>
          <w:trHeight w:val="418"/>
        </w:trPr>
        <w:tc>
          <w:tcPr>
            <w:tcW w:w="11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*31.2</w:t>
              </w:r>
            </w:hyperlink>
          </w:p>
        </w:tc>
        <w:tc>
          <w:tcPr>
            <w:tcW w:w="220" w:type="dxa"/>
            <w:vAlign w:val="bottom"/>
          </w:tcPr>
          <w:p>
            <w:pPr>
              <w:spacing w:after="0"/>
              <w:rPr>
                <w:sz w:val="24"/>
                <w:szCs w:val="24"/>
                <w:color w:val="auto"/>
              </w:rPr>
            </w:pPr>
          </w:p>
        </w:tc>
        <w:tc>
          <w:tcPr>
            <w:tcW w:w="988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of Senior Vice President and Chief Financial Officer</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**32.1</w:t>
              </w:r>
            </w:hyperlink>
          </w:p>
        </w:tc>
        <w:tc>
          <w:tcPr>
            <w:tcW w:w="220" w:type="dxa"/>
            <w:vAlign w:val="bottom"/>
          </w:tcPr>
          <w:p>
            <w:pPr>
              <w:spacing w:after="0"/>
              <w:rPr>
                <w:sz w:val="24"/>
                <w:szCs w:val="24"/>
                <w:color w:val="auto"/>
              </w:rPr>
            </w:pPr>
          </w:p>
        </w:tc>
        <w:tc>
          <w:tcPr>
            <w:tcW w:w="988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Section 1350 Certifications</w:t>
              </w:r>
            </w:hyperlink>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40" w:hanging="40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60" w:hanging="388"/>
        <w:spacing w:after="0" w:line="26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60" w:hanging="388"/>
        <w:spacing w:after="0" w:line="26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650"/>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650"/>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650"/>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650"/>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20" w:hanging="388"/>
        <w:spacing w:after="0" w:line="342"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650"/>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50"/>
        <w:spacing w:after="0" w:line="277"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60" w:hanging="388"/>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60" w:hanging="388"/>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650"/>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650"/>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650"/>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650"/>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20" w:hanging="388"/>
        <w:spacing w:after="0" w:line="342"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650"/>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50"/>
        <w:spacing w:after="0" w:line="277"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2020-05-06T15:27:32Z</dcterms:created>
  <dcterms:modified xsi:type="dcterms:W3CDTF">2020-05-06T15:27:32Z</dcterms:modified>
</cp:coreProperties>
</file>