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FORM 10-K</w:t>
      </w:r>
    </w:p>
    <w:p>
      <w:pPr>
        <w:spacing w:after="0" w:line="238"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(Mark one)</w:t>
      </w:r>
    </w:p>
    <w:p>
      <w:pPr>
        <w:spacing w:after="0" w:line="252" w:lineRule="exact"/>
        <w:rPr>
          <w:sz w:val="24"/>
          <w:szCs w:val="24"/>
          <w:color w:val="auto"/>
        </w:rPr>
      </w:pPr>
    </w:p>
    <w:p>
      <w:pPr>
        <w:ind w:left="1140" w:right="3620" w:hanging="727"/>
        <w:spacing w:after="0" w:line="275" w:lineRule="auto"/>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1140" w:hanging="690"/>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rFonts w:ascii="Arial" w:cs="Arial" w:eastAsia="Arial" w:hAnsi="Arial"/>
          <w:sz w:val="18"/>
          <w:szCs w:val="18"/>
          <w:color w:val="auto"/>
        </w:rPr>
      </w:pPr>
    </w:p>
    <w:p>
      <w:pPr>
        <w:ind w:left="4260"/>
        <w:spacing w:after="0"/>
        <w:rPr>
          <w:rFonts w:ascii="Arial" w:cs="Arial" w:eastAsia="Arial" w:hAnsi="Arial"/>
          <w:sz w:val="18"/>
          <w:szCs w:val="18"/>
          <w:color w:val="auto"/>
        </w:rPr>
      </w:pPr>
      <w:r>
        <w:rPr>
          <w:rFonts w:ascii="Arial" w:cs="Arial" w:eastAsia="Arial" w:hAnsi="Arial"/>
          <w:sz w:val="18"/>
          <w:szCs w:val="18"/>
          <w:b w:val="1"/>
          <w:bCs w:val="1"/>
          <w:color w:val="auto"/>
        </w:rPr>
        <w:t>Commission File Number 000-15006</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CELLDEX THERAPEUTICS, INC.</w:t>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6" w:lineRule="exact"/>
        <w:rPr>
          <w:sz w:val="24"/>
          <w:szCs w:val="24"/>
          <w:color w:val="auto"/>
        </w:rPr>
      </w:pPr>
    </w:p>
    <w:tbl>
      <w:tblPr>
        <w:tblLayout w:type="fixed"/>
        <w:tblInd w:w="3460" w:type="dxa"/>
        <w:tblCellMar>
          <w:top w:w="0" w:type="dxa"/>
          <w:left w:w="0" w:type="dxa"/>
          <w:bottom w:w="0" w:type="dxa"/>
          <w:right w:w="0" w:type="dxa"/>
        </w:tblCellMar>
      </w:tblPr>
      <w:tr>
        <w:trPr>
          <w:trHeight w:val="222"/>
        </w:trPr>
        <w:tc>
          <w:tcPr>
            <w:tcW w:w="2340" w:type="dxa"/>
            <w:vAlign w:val="bottom"/>
          </w:tcPr>
          <w:p>
            <w:pPr>
              <w:jc w:val="center"/>
              <w:ind w:right="232"/>
              <w:spacing w:after="0"/>
              <w:rPr>
                <w:sz w:val="20"/>
                <w:szCs w:val="20"/>
                <w:color w:val="auto"/>
              </w:rPr>
            </w:pPr>
            <w:r>
              <w:rPr>
                <w:rFonts w:ascii="Arial" w:cs="Arial" w:eastAsia="Arial" w:hAnsi="Arial"/>
                <w:sz w:val="18"/>
                <w:szCs w:val="18"/>
                <w:b w:val="1"/>
                <w:bCs w:val="1"/>
                <w:color w:val="auto"/>
                <w:w w:val="88"/>
              </w:rPr>
              <w:t>Delaware</w:t>
            </w:r>
          </w:p>
        </w:tc>
        <w:tc>
          <w:tcPr>
            <w:tcW w:w="1640" w:type="dxa"/>
            <w:vAlign w:val="bottom"/>
          </w:tcPr>
          <w:p>
            <w:pPr>
              <w:jc w:val="center"/>
              <w:ind w:left="232"/>
              <w:spacing w:after="0"/>
              <w:rPr>
                <w:sz w:val="20"/>
                <w:szCs w:val="20"/>
                <w:color w:val="auto"/>
              </w:rPr>
            </w:pPr>
            <w:r>
              <w:rPr>
                <w:rFonts w:ascii="Arial" w:cs="Arial" w:eastAsia="Arial" w:hAnsi="Arial"/>
                <w:sz w:val="18"/>
                <w:szCs w:val="18"/>
                <w:b w:val="1"/>
                <w:bCs w:val="1"/>
                <w:color w:val="auto"/>
                <w:w w:val="87"/>
              </w:rPr>
              <w:t>13-3191702</w:t>
            </w:r>
          </w:p>
        </w:tc>
      </w:tr>
      <w:tr>
        <w:trPr>
          <w:trHeight w:val="216"/>
        </w:trPr>
        <w:tc>
          <w:tcPr>
            <w:tcW w:w="2340" w:type="dxa"/>
            <w:vAlign w:val="bottom"/>
          </w:tcPr>
          <w:p>
            <w:pPr>
              <w:jc w:val="center"/>
              <w:ind w:right="232"/>
              <w:spacing w:after="0"/>
              <w:rPr>
                <w:sz w:val="20"/>
                <w:szCs w:val="20"/>
                <w:color w:val="auto"/>
              </w:rPr>
            </w:pPr>
            <w:r>
              <w:rPr>
                <w:rFonts w:ascii="Arial" w:cs="Arial" w:eastAsia="Arial" w:hAnsi="Arial"/>
                <w:sz w:val="18"/>
                <w:szCs w:val="18"/>
                <w:color w:val="auto"/>
                <w:w w:val="89"/>
              </w:rPr>
              <w:t>(State or other jurisdiction of</w:t>
            </w:r>
          </w:p>
        </w:tc>
        <w:tc>
          <w:tcPr>
            <w:tcW w:w="1640" w:type="dxa"/>
            <w:vAlign w:val="bottom"/>
          </w:tcPr>
          <w:p>
            <w:pPr>
              <w:jc w:val="center"/>
              <w:ind w:left="232"/>
              <w:spacing w:after="0"/>
              <w:rPr>
                <w:sz w:val="20"/>
                <w:szCs w:val="20"/>
                <w:color w:val="auto"/>
              </w:rPr>
            </w:pPr>
            <w:r>
              <w:rPr>
                <w:rFonts w:ascii="Arial" w:cs="Arial" w:eastAsia="Arial" w:hAnsi="Arial"/>
                <w:sz w:val="18"/>
                <w:szCs w:val="18"/>
                <w:color w:val="auto"/>
                <w:w w:val="90"/>
              </w:rPr>
              <w:t>(I.R.S. Employer</w:t>
            </w:r>
          </w:p>
        </w:tc>
      </w:tr>
      <w:tr>
        <w:trPr>
          <w:trHeight w:val="216"/>
        </w:trPr>
        <w:tc>
          <w:tcPr>
            <w:tcW w:w="2340" w:type="dxa"/>
            <w:vAlign w:val="bottom"/>
          </w:tcPr>
          <w:p>
            <w:pPr>
              <w:jc w:val="center"/>
              <w:ind w:right="232"/>
              <w:spacing w:after="0"/>
              <w:rPr>
                <w:sz w:val="20"/>
                <w:szCs w:val="20"/>
                <w:color w:val="auto"/>
              </w:rPr>
            </w:pPr>
            <w:r>
              <w:rPr>
                <w:rFonts w:ascii="Arial" w:cs="Arial" w:eastAsia="Arial" w:hAnsi="Arial"/>
                <w:sz w:val="18"/>
                <w:szCs w:val="18"/>
                <w:color w:val="auto"/>
                <w:w w:val="91"/>
              </w:rPr>
              <w:t>incorporation or</w:t>
            </w:r>
          </w:p>
        </w:tc>
        <w:tc>
          <w:tcPr>
            <w:tcW w:w="1640" w:type="dxa"/>
            <w:vAlign w:val="bottom"/>
          </w:tcPr>
          <w:p>
            <w:pPr>
              <w:jc w:val="center"/>
              <w:ind w:left="232"/>
              <w:spacing w:after="0"/>
              <w:rPr>
                <w:sz w:val="20"/>
                <w:szCs w:val="20"/>
                <w:color w:val="auto"/>
              </w:rPr>
            </w:pPr>
            <w:r>
              <w:rPr>
                <w:rFonts w:ascii="Arial" w:cs="Arial" w:eastAsia="Arial" w:hAnsi="Arial"/>
                <w:sz w:val="18"/>
                <w:szCs w:val="18"/>
                <w:color w:val="auto"/>
                <w:w w:val="94"/>
              </w:rPr>
              <w:t>Identification No.)</w:t>
            </w:r>
          </w:p>
        </w:tc>
      </w:tr>
      <w:tr>
        <w:trPr>
          <w:trHeight w:val="222"/>
        </w:trPr>
        <w:tc>
          <w:tcPr>
            <w:tcW w:w="2340" w:type="dxa"/>
            <w:vAlign w:val="bottom"/>
          </w:tcPr>
          <w:p>
            <w:pPr>
              <w:jc w:val="center"/>
              <w:ind w:right="232"/>
              <w:spacing w:after="0"/>
              <w:rPr>
                <w:sz w:val="20"/>
                <w:szCs w:val="20"/>
                <w:color w:val="auto"/>
              </w:rPr>
            </w:pPr>
            <w:r>
              <w:rPr>
                <w:rFonts w:ascii="Arial" w:cs="Arial" w:eastAsia="Arial" w:hAnsi="Arial"/>
                <w:sz w:val="18"/>
                <w:szCs w:val="18"/>
                <w:color w:val="auto"/>
                <w:w w:val="90"/>
              </w:rPr>
              <w:t>organization)</w:t>
            </w:r>
          </w:p>
        </w:tc>
        <w:tc>
          <w:tcPr>
            <w:tcW w:w="1640" w:type="dxa"/>
            <w:vAlign w:val="bottom"/>
          </w:tcPr>
          <w:p>
            <w:pPr>
              <w:spacing w:after="0"/>
              <w:rPr>
                <w:sz w:val="19"/>
                <w:szCs w:val="19"/>
                <w:color w:val="auto"/>
              </w:rPr>
            </w:pPr>
          </w:p>
        </w:tc>
      </w:tr>
    </w:tbl>
    <w:p>
      <w:pPr>
        <w:spacing w:after="0" w:line="20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Perryville III Building, 53 Frontage Road, Suite 220, Hampton, New Jersey 08827</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of principal executive offices) (Zip Code)</w:t>
      </w:r>
    </w:p>
    <w:p>
      <w:pPr>
        <w:spacing w:after="0" w:line="21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(908) 200-7500</w:t>
      </w:r>
    </w:p>
    <w:p>
      <w:pPr>
        <w:spacing w:after="0" w:line="23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0" w:lineRule="exact"/>
        <w:rPr>
          <w:sz w:val="24"/>
          <w:szCs w:val="24"/>
          <w:color w:val="auto"/>
        </w:rPr>
      </w:pPr>
    </w:p>
    <w:tbl>
      <w:tblPr>
        <w:tblLayout w:type="fixed"/>
        <w:tblInd w:w="400" w:type="dxa"/>
        <w:tblCellMar>
          <w:top w:w="0" w:type="dxa"/>
          <w:left w:w="0" w:type="dxa"/>
          <w:bottom w:w="0" w:type="dxa"/>
          <w:right w:w="0" w:type="dxa"/>
        </w:tblCellMar>
      </w:tblPr>
      <w:tr>
        <w:trPr>
          <w:trHeight w:val="149"/>
        </w:trPr>
        <w:tc>
          <w:tcPr>
            <w:tcW w:w="17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Name of Each Exchange</w:t>
            </w:r>
          </w:p>
        </w:tc>
        <w:tc>
          <w:tcPr>
            <w:tcW w:w="580" w:type="dxa"/>
            <w:vAlign w:val="bottom"/>
          </w:tcPr>
          <w:p>
            <w:pPr>
              <w:spacing w:after="0"/>
              <w:rPr>
                <w:sz w:val="12"/>
                <w:szCs w:val="12"/>
                <w:color w:val="auto"/>
              </w:rPr>
            </w:pPr>
          </w:p>
        </w:tc>
      </w:tr>
      <w:tr>
        <w:trPr>
          <w:trHeight w:val="161"/>
        </w:trPr>
        <w:tc>
          <w:tcPr>
            <w:tcW w:w="176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3"/>
                <w:szCs w:val="13"/>
                <w:b w:val="1"/>
                <w:bCs w:val="1"/>
                <w:color w:val="auto"/>
                <w:w w:val="93"/>
              </w:rPr>
              <w:t>Title of Each Class:</w:t>
            </w:r>
          </w:p>
        </w:tc>
        <w:tc>
          <w:tcPr>
            <w:tcW w:w="26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3"/>
                <w:szCs w:val="13"/>
                <w:b w:val="1"/>
                <w:bCs w:val="1"/>
                <w:color w:val="auto"/>
                <w:w w:val="94"/>
              </w:rPr>
              <w:t>Trading Symbol(s)</w:t>
            </w:r>
          </w:p>
        </w:tc>
        <w:tc>
          <w:tcPr>
            <w:tcW w:w="280" w:type="dxa"/>
            <w:vAlign w:val="bottom"/>
          </w:tcPr>
          <w:p>
            <w:pPr>
              <w:spacing w:after="0"/>
              <w:rPr>
                <w:sz w:val="14"/>
                <w:szCs w:val="14"/>
                <w:color w:val="auto"/>
              </w:rPr>
            </w:pPr>
          </w:p>
        </w:tc>
        <w:tc>
          <w:tcPr>
            <w:tcW w:w="24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Where Registered:</w:t>
            </w:r>
          </w:p>
        </w:tc>
        <w:tc>
          <w:tcPr>
            <w:tcW w:w="580" w:type="dxa"/>
            <w:vAlign w:val="bottom"/>
          </w:tcPr>
          <w:p>
            <w:pPr>
              <w:spacing w:after="0"/>
              <w:rPr>
                <w:sz w:val="14"/>
                <w:szCs w:val="14"/>
                <w:color w:val="auto"/>
              </w:rPr>
            </w:pPr>
          </w:p>
        </w:tc>
      </w:tr>
      <w:tr>
        <w:trPr>
          <w:trHeight w:val="201"/>
        </w:trPr>
        <w:tc>
          <w:tcPr>
            <w:tcW w:w="1760" w:type="dxa"/>
            <w:vAlign w:val="bottom"/>
          </w:tcPr>
          <w:p>
            <w:pPr>
              <w:spacing w:after="0"/>
              <w:rPr>
                <w:sz w:val="17"/>
                <w:szCs w:val="17"/>
                <w:color w:val="auto"/>
              </w:rPr>
            </w:pPr>
          </w:p>
        </w:tc>
        <w:tc>
          <w:tcPr>
            <w:tcW w:w="22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Common Stock, par value</w:t>
            </w:r>
          </w:p>
        </w:tc>
        <w:tc>
          <w:tcPr>
            <w:tcW w:w="260" w:type="dxa"/>
            <w:vAlign w:val="bottom"/>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22"/>
        </w:trPr>
        <w:tc>
          <w:tcPr>
            <w:tcW w:w="4040" w:type="dxa"/>
            <w:vAlign w:val="bottom"/>
            <w:gridSpan w:val="2"/>
          </w:tcPr>
          <w:p>
            <w:pPr>
              <w:jc w:val="center"/>
              <w:ind w:left="1672"/>
              <w:spacing w:after="0"/>
              <w:rPr>
                <w:sz w:val="20"/>
                <w:szCs w:val="20"/>
                <w:color w:val="auto"/>
              </w:rPr>
            </w:pPr>
            <w:r>
              <w:rPr>
                <w:rFonts w:ascii="Arial" w:cs="Arial" w:eastAsia="Arial" w:hAnsi="Arial"/>
                <w:sz w:val="18"/>
                <w:szCs w:val="18"/>
                <w:color w:val="auto"/>
                <w:w w:val="88"/>
              </w:rPr>
              <w:t>$.001</w:t>
            </w:r>
          </w:p>
        </w:tc>
        <w:tc>
          <w:tcPr>
            <w:tcW w:w="26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CLDX</w:t>
            </w:r>
          </w:p>
        </w:tc>
        <w:tc>
          <w:tcPr>
            <w:tcW w:w="280" w:type="dxa"/>
            <w:vAlign w:val="bottom"/>
          </w:tcPr>
          <w:p>
            <w:pPr>
              <w:spacing w:after="0"/>
              <w:rPr>
                <w:sz w:val="19"/>
                <w:szCs w:val="19"/>
                <w:color w:val="auto"/>
              </w:rPr>
            </w:pPr>
          </w:p>
        </w:tc>
        <w:tc>
          <w:tcPr>
            <w:tcW w:w="24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NASDAQ Capital Market</w:t>
            </w:r>
          </w:p>
        </w:tc>
        <w:tc>
          <w:tcPr>
            <w:tcW w:w="580" w:type="dxa"/>
            <w:vAlign w:val="bottom"/>
          </w:tcPr>
          <w:p>
            <w:pPr>
              <w:spacing w:after="0"/>
              <w:rPr>
                <w:sz w:val="19"/>
                <w:szCs w:val="19"/>
                <w:color w:val="auto"/>
              </w:rPr>
            </w:pPr>
          </w:p>
        </w:tc>
      </w:tr>
      <w:tr>
        <w:trPr>
          <w:trHeight w:val="432"/>
        </w:trPr>
        <w:tc>
          <w:tcPr>
            <w:tcW w:w="1760" w:type="dxa"/>
            <w:vAlign w:val="bottom"/>
          </w:tcPr>
          <w:p>
            <w:pPr>
              <w:spacing w:after="0"/>
              <w:rPr>
                <w:sz w:val="24"/>
                <w:szCs w:val="24"/>
                <w:color w:val="auto"/>
              </w:rPr>
            </w:pPr>
          </w:p>
        </w:tc>
        <w:tc>
          <w:tcPr>
            <w:tcW w:w="7060" w:type="dxa"/>
            <w:vAlign w:val="bottom"/>
            <w:gridSpan w:val="6"/>
          </w:tcPr>
          <w:p>
            <w:pPr>
              <w:jc w:val="center"/>
              <w:ind w:right="140"/>
              <w:spacing w:after="0"/>
              <w:rPr>
                <w:sz w:val="20"/>
                <w:szCs w:val="20"/>
                <w:color w:val="auto"/>
              </w:rPr>
            </w:pPr>
            <w:r>
              <w:rPr>
                <w:rFonts w:ascii="Arial" w:cs="Arial" w:eastAsia="Arial" w:hAnsi="Arial"/>
                <w:sz w:val="18"/>
                <w:szCs w:val="18"/>
                <w:color w:val="auto"/>
                <w:w w:val="88"/>
              </w:rPr>
              <w:t xml:space="preserve">Securities registered pursuant to Section 12(g) of the Act: </w:t>
            </w:r>
            <w:r>
              <w:rPr>
                <w:rFonts w:ascii="Arial" w:cs="Arial" w:eastAsia="Arial" w:hAnsi="Arial"/>
                <w:sz w:val="18"/>
                <w:szCs w:val="18"/>
                <w:b w:val="1"/>
                <w:bCs w:val="1"/>
                <w:color w:val="auto"/>
                <w:w w:val="88"/>
              </w:rPr>
              <w:t>None</w:t>
            </w:r>
          </w:p>
        </w:tc>
        <w:tc>
          <w:tcPr>
            <w:tcW w:w="580" w:type="dxa"/>
            <w:vAlign w:val="bottom"/>
          </w:tcPr>
          <w:p>
            <w:pPr>
              <w:spacing w:after="0"/>
              <w:rPr>
                <w:sz w:val="24"/>
                <w:szCs w:val="24"/>
                <w:color w:val="auto"/>
              </w:rPr>
            </w:pPr>
          </w:p>
        </w:tc>
      </w:tr>
      <w:tr>
        <w:trPr>
          <w:trHeight w:val="452"/>
        </w:trPr>
        <w:tc>
          <w:tcPr>
            <w:tcW w:w="8820" w:type="dxa"/>
            <w:vAlign w:val="bottom"/>
            <w:gridSpan w:val="7"/>
          </w:tcPr>
          <w:p>
            <w:pPr>
              <w:spacing w:after="0"/>
              <w:rPr>
                <w:sz w:val="20"/>
                <w:szCs w:val="20"/>
                <w:color w:val="auto"/>
              </w:rPr>
            </w:pPr>
            <w:r>
              <w:rPr>
                <w:rFonts w:ascii="Arial" w:cs="Arial" w:eastAsia="Arial" w:hAnsi="Arial"/>
                <w:sz w:val="18"/>
                <w:szCs w:val="18"/>
                <w:color w:val="auto"/>
                <w:w w:val="89"/>
              </w:rPr>
              <w:t>Indicate by check mark if the registrant is a well-known seasoned issuer, as defined in Rule 405 of the Securities Act. Yes o</w:t>
            </w:r>
          </w:p>
        </w:tc>
        <w:tc>
          <w:tcPr>
            <w:tcW w:w="58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32"/>
        </w:trPr>
        <w:tc>
          <w:tcPr>
            <w:tcW w:w="8820" w:type="dxa"/>
            <w:vAlign w:val="bottom"/>
            <w:gridSpan w:val="7"/>
          </w:tcPr>
          <w:p>
            <w:pPr>
              <w:spacing w:after="0"/>
              <w:rPr>
                <w:sz w:val="20"/>
                <w:szCs w:val="20"/>
                <w:color w:val="auto"/>
              </w:rPr>
            </w:pPr>
            <w:r>
              <w:rPr>
                <w:rFonts w:ascii="Arial" w:cs="Arial" w:eastAsia="Arial" w:hAnsi="Arial"/>
                <w:sz w:val="18"/>
                <w:szCs w:val="18"/>
                <w:color w:val="auto"/>
                <w:w w:val="88"/>
              </w:rPr>
              <w:t>Indicate by check mark if the registrant is not required to file reports pursuant to Section 13 or Section 15(d) of the Act. Yes o</w:t>
            </w:r>
          </w:p>
        </w:tc>
        <w:tc>
          <w:tcPr>
            <w:tcW w:w="580" w:type="dxa"/>
            <w:vAlign w:val="bottom"/>
          </w:tcPr>
          <w:p>
            <w:pPr>
              <w:ind w:left="180"/>
              <w:spacing w:after="0" w:line="207" w:lineRule="exact"/>
              <w:rPr>
                <w:sz w:val="20"/>
                <w:szCs w:val="20"/>
                <w:color w:val="auto"/>
              </w:rPr>
            </w:pPr>
            <w:r>
              <w:rPr>
                <w:rFonts w:ascii="Arial" w:cs="Arial" w:eastAsia="Arial" w:hAnsi="Arial"/>
                <w:sz w:val="18"/>
                <w:szCs w:val="18"/>
                <w:color w:val="auto"/>
                <w:w w:val="82"/>
              </w:rPr>
              <w:t xml:space="preserve">No </w:t>
            </w:r>
            <w:r>
              <w:rPr>
                <w:rFonts w:ascii="MS PGothic" w:cs="MS PGothic" w:eastAsia="MS PGothic" w:hAnsi="MS PGothic"/>
                <w:sz w:val="18"/>
                <w:szCs w:val="18"/>
                <w:color w:val="auto"/>
                <w:w w:val="82"/>
              </w:rPr>
              <w:t>☒</w:t>
            </w:r>
          </w:p>
        </w:tc>
      </w:tr>
    </w:tbl>
    <w:p>
      <w:pPr>
        <w:spacing w:after="0" w:line="190" w:lineRule="exact"/>
        <w:rPr>
          <w:sz w:val="24"/>
          <w:szCs w:val="24"/>
          <w:color w:val="auto"/>
        </w:rPr>
      </w:pPr>
    </w:p>
    <w:p>
      <w:pPr>
        <w:ind w:right="80"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1" w:lineRule="exact"/>
        <w:rPr>
          <w:sz w:val="24"/>
          <w:szCs w:val="24"/>
          <w:color w:val="auto"/>
        </w:rPr>
      </w:pPr>
    </w:p>
    <w:p>
      <w:pPr>
        <w:jc w:val="both"/>
        <w:ind w:right="160"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1" w:lineRule="exact"/>
        <w:rPr>
          <w:sz w:val="24"/>
          <w:szCs w:val="24"/>
          <w:color w:val="auto"/>
        </w:rPr>
      </w:pPr>
    </w:p>
    <w:p>
      <w:pPr>
        <w:ind w:right="20" w:firstLine="395"/>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00"/>
          </w:cols>
          <w:pgMar w:left="320" w:top="685" w:right="379" w:bottom="0" w:gutter="0" w:footer="0" w:header="0"/>
        </w:sectPr>
      </w:pPr>
    </w:p>
    <w:p>
      <w:pPr>
        <w:spacing w:after="0" w:line="194" w:lineRule="exact"/>
        <w:rPr>
          <w:sz w:val="24"/>
          <w:szCs w:val="24"/>
          <w:color w:val="auto"/>
        </w:rPr>
      </w:pPr>
    </w:p>
    <w:p>
      <w:pPr>
        <w:ind w:left="40"/>
        <w:spacing w:after="0"/>
        <w:rPr>
          <w:sz w:val="20"/>
          <w:szCs w:val="20"/>
          <w:color w:val="auto"/>
        </w:rPr>
      </w:pPr>
      <w:r>
        <w:rPr>
          <w:rFonts w:ascii="Arial" w:cs="Arial" w:eastAsia="Arial" w:hAnsi="Arial"/>
          <w:sz w:val="15"/>
          <w:szCs w:val="15"/>
          <w:color w:val="auto"/>
        </w:rPr>
        <w:t>Large accelerated filer o</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79" w:lineRule="exact"/>
        <w:rPr>
          <w:sz w:val="24"/>
          <w:szCs w:val="24"/>
          <w:color w:val="auto"/>
        </w:rPr>
      </w:pPr>
    </w:p>
    <w:p>
      <w:pPr>
        <w:ind w:left="40"/>
        <w:spacing w:after="0"/>
        <w:rPr>
          <w:sz w:val="20"/>
          <w:szCs w:val="20"/>
          <w:color w:val="auto"/>
        </w:rPr>
      </w:pPr>
      <w:r>
        <w:rPr>
          <w:rFonts w:ascii="Arial" w:cs="Arial" w:eastAsia="Arial" w:hAnsi="Arial"/>
          <w:sz w:val="16"/>
          <w:szCs w:val="16"/>
          <w:color w:val="auto"/>
        </w:rPr>
        <w:t>Emerging growth company o</w:t>
      </w:r>
    </w:p>
    <w:p>
      <w:pPr>
        <w:spacing w:after="0" w:line="200" w:lineRule="exact"/>
        <w:rPr>
          <w:sz w:val="24"/>
          <w:szCs w:val="24"/>
          <w:color w:val="auto"/>
        </w:rPr>
      </w:pPr>
    </w:p>
    <w:p>
      <w:pPr>
        <w:sectPr>
          <w:pgSz w:w="11900" w:h="16838" w:orient="portrait"/>
          <w:cols w:equalWidth="0" w:num="4">
            <w:col w:w="1740" w:space="720"/>
            <w:col w:w="1780" w:space="720"/>
            <w:col w:w="2780" w:space="720"/>
            <w:col w:w="2740"/>
          </w:cols>
          <w:pgMar w:left="320" w:top="685" w:right="379" w:bottom="0" w:gutter="0" w:footer="0" w:header="0"/>
          <w:type w:val="continuous"/>
        </w:sectPr>
      </w:pPr>
    </w:p>
    <w:p>
      <w:pPr>
        <w:spacing w:after="0" w:line="34" w:lineRule="exact"/>
        <w:rPr>
          <w:sz w:val="24"/>
          <w:szCs w:val="24"/>
          <w:color w:val="auto"/>
        </w:rPr>
      </w:pPr>
    </w:p>
    <w:p>
      <w:pPr>
        <w:ind w:firstLine="395"/>
        <w:spacing w:after="0" w:line="26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53" w:lineRule="exact"/>
        <w:rPr>
          <w:sz w:val="24"/>
          <w:szCs w:val="24"/>
          <w:color w:val="auto"/>
        </w:rPr>
      </w:pPr>
    </w:p>
    <w:p>
      <w:pPr>
        <w:ind w:left="400"/>
        <w:spacing w:after="0" w:line="184" w:lineRule="exact"/>
        <w:tabs>
          <w:tab w:leader="none" w:pos="82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 Yes o</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ectPr>
          <w:pgSz w:w="11900" w:h="16838" w:orient="portrait"/>
          <w:cols w:equalWidth="0" w:num="1">
            <w:col w:w="11200"/>
          </w:cols>
          <w:pgMar w:left="320" w:top="685" w:right="379" w:bottom="0" w:gutter="0" w:footer="0" w:header="0"/>
          <w:type w:val="continuous"/>
        </w:sectPr>
      </w:pPr>
    </w:p>
    <w:bookmarkStart w:id="1" w:name="page2"/>
    <w:bookmarkEnd w:id="1"/>
    <w:p>
      <w:pPr>
        <w:jc w:val="both"/>
        <w:ind w:firstLine="392"/>
        <w:spacing w:after="0" w:line="259" w:lineRule="auto"/>
        <w:rPr>
          <w:sz w:val="20"/>
          <w:szCs w:val="20"/>
          <w:color w:val="auto"/>
        </w:rPr>
      </w:pPr>
      <w:r>
        <w:rPr>
          <w:rFonts w:ascii="Arial" w:cs="Arial" w:eastAsia="Arial" w:hAnsi="Arial"/>
          <w:sz w:val="18"/>
          <w:szCs w:val="18"/>
          <w:color w:val="auto"/>
        </w:rPr>
        <w:t>The aggregate market value of the registrant's common stock held by non-affiliates as of June 30, 2019 was $40 million. Exclusion of shares held by any person should not be construed to indicate that such person possesses the power, direct or indirect, to direct or cause the actions of the management or policies of the registrant, or that such person is controlled by or under common control with the registrant.</w:t>
      </w:r>
    </w:p>
    <w:p>
      <w:pPr>
        <w:spacing w:after="0" w:line="19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number of shares of common stock outstanding at March 13, 2020 was 17,574,679 shares.</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Portions of the definitive Proxy Statement for our 2020 Annual Meeting of Stockholders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520700</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20"/>
          </w:cols>
          <w:pgMar w:left="320" w:top="131" w:right="4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CELLDEX THERAPEUTICS, INC.</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ind w:right="-1060"/>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213"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80" w:type="dxa"/>
            <w:vAlign w:val="bottom"/>
            <w:gridSpan w:val="2"/>
            <w:vMerge w:val="restart"/>
          </w:tcPr>
          <w:p>
            <w:pPr>
              <w:spacing w:after="0"/>
              <w:rPr>
                <w:rFonts w:ascii="Arial" w:cs="Arial" w:eastAsia="Arial" w:hAnsi="Arial"/>
                <w:sz w:val="18"/>
                <w:szCs w:val="18"/>
                <w:color w:val="0000EE"/>
                <w:w w:val="83"/>
              </w:rPr>
            </w:pPr>
            <w:hyperlink w:anchor="page6">
              <w:r>
                <w:rPr>
                  <w:rFonts w:ascii="Arial" w:cs="Arial" w:eastAsia="Arial" w:hAnsi="Arial"/>
                  <w:sz w:val="18"/>
                  <w:szCs w:val="18"/>
                  <w:color w:val="0000EE"/>
                  <w:w w:val="83"/>
                </w:rPr>
                <w:t>Part I</w:t>
              </w:r>
            </w:hyperlink>
          </w:p>
        </w:tc>
        <w:tc>
          <w:tcPr>
            <w:tcW w:w="140" w:type="dxa"/>
            <w:vAlign w:val="bottom"/>
            <w:gridSpan w:val="3"/>
            <w:vMerge w:val="restart"/>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gridSpan w:val="5"/>
          </w:tcPr>
          <w:p>
            <w:pPr>
              <w:jc w:val="right"/>
              <w:ind w:right="8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74"/>
        </w:trPr>
        <w:tc>
          <w:tcPr>
            <w:tcW w:w="380" w:type="dxa"/>
            <w:vAlign w:val="bottom"/>
            <w:tcBorders>
              <w:bottom w:val="single" w:sz="8" w:color="0000EE"/>
            </w:tcBorders>
            <w:gridSpan w:val="2"/>
            <w:vMerge w:val="continue"/>
          </w:tcPr>
          <w:p>
            <w:pPr>
              <w:spacing w:after="0"/>
              <w:rPr>
                <w:sz w:val="14"/>
                <w:szCs w:val="14"/>
                <w:color w:val="auto"/>
              </w:rPr>
            </w:pPr>
          </w:p>
        </w:tc>
        <w:tc>
          <w:tcPr>
            <w:tcW w:w="1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Item</w:t>
              </w:r>
            </w:hyperlink>
          </w:p>
        </w:tc>
        <w:tc>
          <w:tcPr>
            <w:tcW w:w="160" w:type="dxa"/>
            <w:vAlign w:val="bottom"/>
            <w:tcBorders>
              <w:bottom w:val="single" w:sz="8" w:color="0000EE"/>
            </w:tcBorders>
          </w:tcPr>
          <w:p>
            <w:pPr>
              <w:ind w:left="20"/>
              <w:spacing w:after="0"/>
              <w:rPr>
                <w:rFonts w:ascii="Arial" w:cs="Arial" w:eastAsia="Arial" w:hAnsi="Arial"/>
                <w:sz w:val="16"/>
                <w:szCs w:val="16"/>
                <w:color w:val="0000EE"/>
                <w:w w:val="74"/>
              </w:rPr>
            </w:pPr>
            <w:hyperlink w:anchor="page6">
              <w:r>
                <w:rPr>
                  <w:rFonts w:ascii="Arial" w:cs="Arial" w:eastAsia="Arial" w:hAnsi="Arial"/>
                  <w:sz w:val="16"/>
                  <w:szCs w:val="16"/>
                  <w:color w:val="0000EE"/>
                  <w:w w:val="74"/>
                </w:rPr>
                <w:t>1.</w:t>
              </w:r>
            </w:hyperlink>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Business</w:t>
              </w:r>
            </w:hyperlink>
          </w:p>
        </w:tc>
        <w:tc>
          <w:tcPr>
            <w:tcW w:w="6580" w:type="dxa"/>
            <w:vAlign w:val="bottom"/>
            <w:gridSpan w:val="19"/>
          </w:tcPr>
          <w:p>
            <w:pPr>
              <w:spacing w:after="0"/>
              <w:rPr>
                <w:sz w:val="17"/>
                <w:szCs w:val="17"/>
                <w:color w:val="auto"/>
              </w:rPr>
            </w:pPr>
          </w:p>
        </w:tc>
        <w:tc>
          <w:tcPr>
            <w:tcW w:w="340" w:type="dxa"/>
            <w:vAlign w:val="bottom"/>
            <w:gridSpan w:val="3"/>
          </w:tcPr>
          <w:p>
            <w:pPr>
              <w:spacing w:after="0"/>
              <w:rPr>
                <w:sz w:val="17"/>
                <w:szCs w:val="17"/>
                <w:color w:val="auto"/>
              </w:rPr>
            </w:pPr>
          </w:p>
        </w:tc>
        <w:tc>
          <w:tcPr>
            <w:tcW w:w="10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1</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40" w:type="dxa"/>
            <w:vAlign w:val="bottom"/>
            <w:gridSpan w:val="4"/>
          </w:tcPr>
          <w:p>
            <w:pPr>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Item</w:t>
              </w:r>
            </w:hyperlink>
          </w:p>
        </w:tc>
        <w:tc>
          <w:tcPr>
            <w:tcW w:w="240" w:type="dxa"/>
            <w:vAlign w:val="bottom"/>
            <w:gridSpan w:val="2"/>
          </w:tcPr>
          <w:p>
            <w:pPr>
              <w:ind w:left="20"/>
              <w:spacing w:after="0"/>
              <w:rPr>
                <w:rFonts w:ascii="Arial" w:cs="Arial" w:eastAsia="Arial" w:hAnsi="Arial"/>
                <w:sz w:val="16"/>
                <w:szCs w:val="16"/>
                <w:color w:val="0000EE"/>
                <w:w w:val="74"/>
              </w:rPr>
            </w:pPr>
            <w:hyperlink w:anchor="page27">
              <w:r>
                <w:rPr>
                  <w:rFonts w:ascii="Arial" w:cs="Arial" w:eastAsia="Arial" w:hAnsi="Arial"/>
                  <w:sz w:val="16"/>
                  <w:szCs w:val="16"/>
                  <w:color w:val="0000EE"/>
                  <w:w w:val="74"/>
                </w:rPr>
                <w:t>1A.</w:t>
              </w:r>
            </w:hyperlink>
          </w:p>
        </w:tc>
        <w:tc>
          <w:tcPr>
            <w:tcW w:w="400" w:type="dxa"/>
            <w:vAlign w:val="bottom"/>
          </w:tcPr>
          <w:p>
            <w:pPr>
              <w:spacing w:after="0"/>
              <w:rPr>
                <w:sz w:val="17"/>
                <w:szCs w:val="17"/>
                <w:color w:val="auto"/>
              </w:rPr>
            </w:pPr>
          </w:p>
        </w:tc>
        <w:tc>
          <w:tcPr>
            <w:tcW w:w="900" w:type="dxa"/>
            <w:vAlign w:val="bottom"/>
            <w:gridSpan w:val="4"/>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Risk Factors</w:t>
              </w:r>
            </w:hyperlink>
          </w:p>
        </w:tc>
        <w:tc>
          <w:tcPr>
            <w:tcW w:w="6320" w:type="dxa"/>
            <w:vAlign w:val="bottom"/>
            <w:gridSpan w:val="17"/>
          </w:tcPr>
          <w:p>
            <w:pPr>
              <w:spacing w:after="0"/>
              <w:rPr>
                <w:sz w:val="17"/>
                <w:szCs w:val="17"/>
                <w:color w:val="auto"/>
              </w:rPr>
            </w:pPr>
          </w:p>
        </w:tc>
        <w:tc>
          <w:tcPr>
            <w:tcW w:w="440" w:type="dxa"/>
            <w:vAlign w:val="bottom"/>
            <w:gridSpan w:val="5"/>
          </w:tcPr>
          <w:p>
            <w:pPr>
              <w:jc w:val="right"/>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40" w:type="dxa"/>
            <w:vAlign w:val="bottom"/>
            <w:gridSpan w:val="4"/>
          </w:tcPr>
          <w:p>
            <w:pPr>
              <w:spacing w:after="0" w:line="196" w:lineRule="exact"/>
              <w:rPr>
                <w:rFonts w:ascii="Arial" w:cs="Arial" w:eastAsia="Arial" w:hAnsi="Arial"/>
                <w:sz w:val="18"/>
                <w:szCs w:val="18"/>
                <w:color w:val="0000EE"/>
                <w:w w:val="91"/>
              </w:rPr>
            </w:pPr>
            <w:hyperlink w:anchor="page56">
              <w:r>
                <w:rPr>
                  <w:rFonts w:ascii="Arial" w:cs="Arial" w:eastAsia="Arial" w:hAnsi="Arial"/>
                  <w:sz w:val="18"/>
                  <w:szCs w:val="18"/>
                  <w:color w:val="0000EE"/>
                  <w:w w:val="91"/>
                </w:rPr>
                <w:t>Item</w:t>
              </w:r>
            </w:hyperlink>
          </w:p>
        </w:tc>
        <w:tc>
          <w:tcPr>
            <w:tcW w:w="240" w:type="dxa"/>
            <w:vAlign w:val="bottom"/>
            <w:gridSpan w:val="2"/>
          </w:tcPr>
          <w:p>
            <w:pPr>
              <w:ind w:left="20"/>
              <w:spacing w:after="0"/>
              <w:rPr>
                <w:rFonts w:ascii="Arial" w:cs="Arial" w:eastAsia="Arial" w:hAnsi="Arial"/>
                <w:sz w:val="16"/>
                <w:szCs w:val="16"/>
                <w:color w:val="0000EE"/>
                <w:w w:val="74"/>
              </w:rPr>
            </w:pPr>
            <w:hyperlink w:anchor="page56">
              <w:r>
                <w:rPr>
                  <w:rFonts w:ascii="Arial" w:cs="Arial" w:eastAsia="Arial" w:hAnsi="Arial"/>
                  <w:sz w:val="16"/>
                  <w:szCs w:val="16"/>
                  <w:color w:val="0000EE"/>
                  <w:w w:val="74"/>
                </w:rPr>
                <w:t>1B.</w:t>
              </w:r>
            </w:hyperlink>
          </w:p>
        </w:tc>
        <w:tc>
          <w:tcPr>
            <w:tcW w:w="400" w:type="dxa"/>
            <w:vAlign w:val="bottom"/>
          </w:tcPr>
          <w:p>
            <w:pPr>
              <w:spacing w:after="0"/>
              <w:rPr>
                <w:sz w:val="17"/>
                <w:szCs w:val="17"/>
                <w:color w:val="auto"/>
              </w:rPr>
            </w:pPr>
          </w:p>
        </w:tc>
        <w:tc>
          <w:tcPr>
            <w:tcW w:w="7220" w:type="dxa"/>
            <w:vAlign w:val="bottom"/>
            <w:gridSpan w:val="21"/>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Unresolved Staff Comments</w:t>
              </w:r>
            </w:hyperlink>
          </w:p>
        </w:tc>
        <w:tc>
          <w:tcPr>
            <w:tcW w:w="440" w:type="dxa"/>
            <w:vAlign w:val="bottom"/>
            <w:gridSpan w:val="5"/>
          </w:tcPr>
          <w:p>
            <w:pPr>
              <w:jc w:val="right"/>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40" w:type="dxa"/>
            <w:vAlign w:val="bottom"/>
            <w:gridSpan w:val="4"/>
          </w:tcPr>
          <w:p>
            <w:pPr>
              <w:spacing w:after="0" w:line="196" w:lineRule="exact"/>
              <w:rPr>
                <w:rFonts w:ascii="Arial" w:cs="Arial" w:eastAsia="Arial" w:hAnsi="Arial"/>
                <w:sz w:val="18"/>
                <w:szCs w:val="18"/>
                <w:color w:val="0000EE"/>
                <w:w w:val="91"/>
              </w:rPr>
            </w:pPr>
            <w:hyperlink w:anchor="page56">
              <w:r>
                <w:rPr>
                  <w:rFonts w:ascii="Arial" w:cs="Arial" w:eastAsia="Arial" w:hAnsi="Arial"/>
                  <w:sz w:val="18"/>
                  <w:szCs w:val="18"/>
                  <w:color w:val="0000EE"/>
                  <w:w w:val="91"/>
                </w:rPr>
                <w:t>Item</w:t>
              </w:r>
            </w:hyperlink>
          </w:p>
        </w:tc>
        <w:tc>
          <w:tcPr>
            <w:tcW w:w="160" w:type="dxa"/>
            <w:vAlign w:val="bottom"/>
          </w:tcPr>
          <w:p>
            <w:pPr>
              <w:ind w:left="20"/>
              <w:spacing w:after="0"/>
              <w:rPr>
                <w:rFonts w:ascii="Arial" w:cs="Arial" w:eastAsia="Arial" w:hAnsi="Arial"/>
                <w:sz w:val="16"/>
                <w:szCs w:val="16"/>
                <w:color w:val="0000EE"/>
                <w:w w:val="74"/>
              </w:rPr>
            </w:pPr>
            <w:hyperlink w:anchor="page56">
              <w:r>
                <w:rPr>
                  <w:rFonts w:ascii="Arial" w:cs="Arial" w:eastAsia="Arial" w:hAnsi="Arial"/>
                  <w:sz w:val="16"/>
                  <w:szCs w:val="16"/>
                  <w:color w:val="0000EE"/>
                  <w:w w:val="74"/>
                </w:rPr>
                <w:t>2.</w:t>
              </w:r>
            </w:hyperlink>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0" w:type="dxa"/>
            <w:vAlign w:val="bottom"/>
            <w:gridSpan w:val="10"/>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Properties</w:t>
              </w:r>
            </w:hyperlink>
          </w:p>
        </w:tc>
        <w:tc>
          <w:tcPr>
            <w:tcW w:w="5220" w:type="dxa"/>
            <w:vAlign w:val="bottom"/>
            <w:gridSpan w:val="11"/>
          </w:tcPr>
          <w:p>
            <w:pPr>
              <w:spacing w:after="0"/>
              <w:rPr>
                <w:sz w:val="17"/>
                <w:szCs w:val="17"/>
                <w:color w:val="auto"/>
              </w:rPr>
            </w:pPr>
          </w:p>
        </w:tc>
        <w:tc>
          <w:tcPr>
            <w:tcW w:w="440" w:type="dxa"/>
            <w:vAlign w:val="bottom"/>
            <w:gridSpan w:val="5"/>
          </w:tcPr>
          <w:p>
            <w:pPr>
              <w:jc w:val="right"/>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40" w:type="dxa"/>
            <w:vAlign w:val="bottom"/>
            <w:gridSpan w:val="4"/>
          </w:tcPr>
          <w:p>
            <w:pPr>
              <w:spacing w:after="0" w:line="196" w:lineRule="exact"/>
              <w:rPr>
                <w:rFonts w:ascii="Arial" w:cs="Arial" w:eastAsia="Arial" w:hAnsi="Arial"/>
                <w:sz w:val="18"/>
                <w:szCs w:val="18"/>
                <w:color w:val="0000EE"/>
                <w:w w:val="91"/>
              </w:rPr>
            </w:pPr>
            <w:hyperlink w:anchor="page56">
              <w:r>
                <w:rPr>
                  <w:rFonts w:ascii="Arial" w:cs="Arial" w:eastAsia="Arial" w:hAnsi="Arial"/>
                  <w:sz w:val="18"/>
                  <w:szCs w:val="18"/>
                  <w:color w:val="0000EE"/>
                  <w:w w:val="91"/>
                </w:rPr>
                <w:t>Item</w:t>
              </w:r>
            </w:hyperlink>
          </w:p>
        </w:tc>
        <w:tc>
          <w:tcPr>
            <w:tcW w:w="160" w:type="dxa"/>
            <w:vAlign w:val="bottom"/>
          </w:tcPr>
          <w:p>
            <w:pPr>
              <w:ind w:left="20"/>
              <w:spacing w:after="0"/>
              <w:rPr>
                <w:rFonts w:ascii="Arial" w:cs="Arial" w:eastAsia="Arial" w:hAnsi="Arial"/>
                <w:sz w:val="16"/>
                <w:szCs w:val="16"/>
                <w:color w:val="0000EE"/>
                <w:w w:val="74"/>
              </w:rPr>
            </w:pPr>
            <w:hyperlink w:anchor="page56">
              <w:r>
                <w:rPr>
                  <w:rFonts w:ascii="Arial" w:cs="Arial" w:eastAsia="Arial" w:hAnsi="Arial"/>
                  <w:sz w:val="16"/>
                  <w:szCs w:val="16"/>
                  <w:color w:val="0000EE"/>
                  <w:w w:val="74"/>
                </w:rPr>
                <w:t>3.</w:t>
              </w:r>
            </w:hyperlink>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gridSpan w:val="5"/>
          </w:tcPr>
          <w:p>
            <w:pPr>
              <w:spacing w:after="0" w:line="196" w:lineRule="exact"/>
              <w:rPr>
                <w:rFonts w:ascii="Arial" w:cs="Arial" w:eastAsia="Arial" w:hAnsi="Arial"/>
                <w:sz w:val="18"/>
                <w:szCs w:val="18"/>
                <w:color w:val="0000EE"/>
                <w:w w:val="84"/>
              </w:rPr>
            </w:pPr>
            <w:hyperlink w:anchor="page56">
              <w:r>
                <w:rPr>
                  <w:rFonts w:ascii="Arial" w:cs="Arial" w:eastAsia="Arial" w:hAnsi="Arial"/>
                  <w:sz w:val="18"/>
                  <w:szCs w:val="18"/>
                  <w:color w:val="0000EE"/>
                  <w:w w:val="84"/>
                </w:rPr>
                <w:t>Legal Proceedings</w:t>
              </w:r>
            </w:hyperlink>
          </w:p>
        </w:tc>
        <w:tc>
          <w:tcPr>
            <w:tcW w:w="5920" w:type="dxa"/>
            <w:vAlign w:val="bottom"/>
            <w:gridSpan w:val="16"/>
          </w:tcPr>
          <w:p>
            <w:pPr>
              <w:spacing w:after="0"/>
              <w:rPr>
                <w:sz w:val="17"/>
                <w:szCs w:val="17"/>
                <w:color w:val="auto"/>
              </w:rPr>
            </w:pPr>
          </w:p>
        </w:tc>
        <w:tc>
          <w:tcPr>
            <w:tcW w:w="440" w:type="dxa"/>
            <w:vAlign w:val="bottom"/>
            <w:gridSpan w:val="5"/>
          </w:tcPr>
          <w:p>
            <w:pPr>
              <w:jc w:val="right"/>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40" w:type="dxa"/>
            <w:vAlign w:val="bottom"/>
            <w:gridSpan w:val="4"/>
          </w:tcPr>
          <w:p>
            <w:pPr>
              <w:spacing w:after="0" w:line="196" w:lineRule="exact"/>
              <w:rPr>
                <w:rFonts w:ascii="Arial" w:cs="Arial" w:eastAsia="Arial" w:hAnsi="Arial"/>
                <w:sz w:val="18"/>
                <w:szCs w:val="18"/>
                <w:color w:val="0000EE"/>
                <w:w w:val="91"/>
              </w:rPr>
            </w:pPr>
            <w:hyperlink w:anchor="page56">
              <w:r>
                <w:rPr>
                  <w:rFonts w:ascii="Arial" w:cs="Arial" w:eastAsia="Arial" w:hAnsi="Arial"/>
                  <w:sz w:val="18"/>
                  <w:szCs w:val="18"/>
                  <w:color w:val="0000EE"/>
                  <w:w w:val="91"/>
                </w:rPr>
                <w:t>Item</w:t>
              </w:r>
            </w:hyperlink>
          </w:p>
        </w:tc>
        <w:tc>
          <w:tcPr>
            <w:tcW w:w="160" w:type="dxa"/>
            <w:vAlign w:val="bottom"/>
          </w:tcPr>
          <w:p>
            <w:pPr>
              <w:ind w:left="20"/>
              <w:spacing w:after="0"/>
              <w:rPr>
                <w:rFonts w:ascii="Arial" w:cs="Arial" w:eastAsia="Arial" w:hAnsi="Arial"/>
                <w:sz w:val="16"/>
                <w:szCs w:val="16"/>
                <w:color w:val="0000EE"/>
                <w:w w:val="74"/>
              </w:rPr>
            </w:pPr>
            <w:hyperlink w:anchor="page56">
              <w:r>
                <w:rPr>
                  <w:rFonts w:ascii="Arial" w:cs="Arial" w:eastAsia="Arial" w:hAnsi="Arial"/>
                  <w:sz w:val="16"/>
                  <w:szCs w:val="16"/>
                  <w:color w:val="0000EE"/>
                  <w:w w:val="74"/>
                </w:rPr>
                <w:t>4.</w:t>
              </w:r>
            </w:hyperlink>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gridSpan w:val="8"/>
          </w:tcPr>
          <w:p>
            <w:pPr>
              <w:spacing w:after="0" w:line="196" w:lineRule="exact"/>
              <w:rPr>
                <w:rFonts w:ascii="Arial" w:cs="Arial" w:eastAsia="Arial" w:hAnsi="Arial"/>
                <w:sz w:val="18"/>
                <w:szCs w:val="18"/>
                <w:color w:val="0000EE"/>
                <w:w w:val="84"/>
              </w:rPr>
            </w:pPr>
            <w:hyperlink w:anchor="page56">
              <w:r>
                <w:rPr>
                  <w:rFonts w:ascii="Arial" w:cs="Arial" w:eastAsia="Arial" w:hAnsi="Arial"/>
                  <w:sz w:val="18"/>
                  <w:szCs w:val="18"/>
                  <w:color w:val="0000EE"/>
                  <w:w w:val="84"/>
                </w:rPr>
                <w:t>Mine Safety Disclosures</w:t>
              </w:r>
            </w:hyperlink>
          </w:p>
        </w:tc>
        <w:tc>
          <w:tcPr>
            <w:tcW w:w="5540" w:type="dxa"/>
            <w:vAlign w:val="bottom"/>
            <w:gridSpan w:val="13"/>
          </w:tcPr>
          <w:p>
            <w:pPr>
              <w:spacing w:after="0"/>
              <w:rPr>
                <w:sz w:val="17"/>
                <w:szCs w:val="17"/>
                <w:color w:val="auto"/>
              </w:rPr>
            </w:pPr>
          </w:p>
        </w:tc>
        <w:tc>
          <w:tcPr>
            <w:tcW w:w="440" w:type="dxa"/>
            <w:vAlign w:val="bottom"/>
            <w:gridSpan w:val="5"/>
          </w:tcPr>
          <w:p>
            <w:pPr>
              <w:jc w:val="right"/>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57">
              <w:r>
                <w:rPr>
                  <w:rFonts w:ascii="Arial" w:cs="Arial" w:eastAsia="Arial" w:hAnsi="Arial"/>
                  <w:sz w:val="18"/>
                  <w:szCs w:val="18"/>
                  <w:color w:val="0000EE"/>
                  <w:w w:val="87"/>
                </w:rPr>
                <w:t>Part II</w:t>
              </w:r>
            </w:hyperlink>
          </w:p>
        </w:tc>
        <w:tc>
          <w:tcPr>
            <w:tcW w:w="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57">
              <w:r>
                <w:rPr>
                  <w:rFonts w:ascii="Arial" w:cs="Arial" w:eastAsia="Arial" w:hAnsi="Arial"/>
                  <w:sz w:val="18"/>
                  <w:szCs w:val="18"/>
                  <w:color w:val="0000EE"/>
                  <w:w w:val="91"/>
                </w:rPr>
                <w:t>Item</w:t>
              </w:r>
            </w:hyperlink>
          </w:p>
        </w:tc>
        <w:tc>
          <w:tcPr>
            <w:tcW w:w="160" w:type="dxa"/>
            <w:vAlign w:val="bottom"/>
            <w:tcBorders>
              <w:bottom w:val="single" w:sz="8" w:color="0000EE"/>
            </w:tcBorders>
          </w:tcPr>
          <w:p>
            <w:pPr>
              <w:ind w:left="20"/>
              <w:spacing w:after="0"/>
              <w:rPr>
                <w:rFonts w:ascii="Arial" w:cs="Arial" w:eastAsia="Arial" w:hAnsi="Arial"/>
                <w:sz w:val="16"/>
                <w:szCs w:val="16"/>
                <w:color w:val="0000EE"/>
                <w:w w:val="74"/>
              </w:rPr>
            </w:pPr>
            <w:hyperlink w:anchor="page57">
              <w:r>
                <w:rPr>
                  <w:rFonts w:ascii="Arial" w:cs="Arial" w:eastAsia="Arial" w:hAnsi="Arial"/>
                  <w:sz w:val="16"/>
                  <w:szCs w:val="16"/>
                  <w:color w:val="0000EE"/>
                  <w:w w:val="74"/>
                </w:rPr>
                <w:t>5.</w:t>
              </w:r>
            </w:hyperlink>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2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Market for Registrant's Common Equity, Related Stockholder Matters and Issuer Purchases of</w:t>
              </w:r>
            </w:hyperlink>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5"/>
          </w:tcPr>
          <w:p>
            <w:pPr>
              <w:spacing w:after="0" w:line="19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Equity Securities</w:t>
              </w:r>
            </w:hyperlink>
          </w:p>
        </w:tc>
        <w:tc>
          <w:tcPr>
            <w:tcW w:w="5820" w:type="dxa"/>
            <w:vAlign w:val="bottom"/>
            <w:gridSpan w:val="15"/>
          </w:tcPr>
          <w:p>
            <w:pPr>
              <w:spacing w:after="0"/>
              <w:rPr>
                <w:sz w:val="17"/>
                <w:szCs w:val="17"/>
                <w:color w:val="auto"/>
              </w:rPr>
            </w:pPr>
          </w:p>
        </w:tc>
        <w:tc>
          <w:tcPr>
            <w:tcW w:w="440" w:type="dxa"/>
            <w:vAlign w:val="bottom"/>
            <w:gridSpan w:val="5"/>
          </w:tcPr>
          <w:p>
            <w:pPr>
              <w:jc w:val="right"/>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52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40" w:type="dxa"/>
            <w:vAlign w:val="bottom"/>
            <w:gridSpan w:val="4"/>
          </w:tcPr>
          <w:p>
            <w:pPr>
              <w:spacing w:after="0" w:line="196" w:lineRule="exact"/>
              <w:rPr>
                <w:rFonts w:ascii="Arial" w:cs="Arial" w:eastAsia="Arial" w:hAnsi="Arial"/>
                <w:sz w:val="18"/>
                <w:szCs w:val="18"/>
                <w:color w:val="0000EE"/>
                <w:w w:val="91"/>
              </w:rPr>
            </w:pPr>
            <w:hyperlink w:anchor="page57">
              <w:r>
                <w:rPr>
                  <w:rFonts w:ascii="Arial" w:cs="Arial" w:eastAsia="Arial" w:hAnsi="Arial"/>
                  <w:sz w:val="18"/>
                  <w:szCs w:val="18"/>
                  <w:color w:val="0000EE"/>
                  <w:w w:val="91"/>
                </w:rPr>
                <w:t>Item</w:t>
              </w:r>
            </w:hyperlink>
          </w:p>
        </w:tc>
        <w:tc>
          <w:tcPr>
            <w:tcW w:w="160" w:type="dxa"/>
            <w:vAlign w:val="bottom"/>
          </w:tcPr>
          <w:p>
            <w:pPr>
              <w:ind w:left="20"/>
              <w:spacing w:after="0"/>
              <w:rPr>
                <w:rFonts w:ascii="Arial" w:cs="Arial" w:eastAsia="Arial" w:hAnsi="Arial"/>
                <w:sz w:val="16"/>
                <w:szCs w:val="16"/>
                <w:color w:val="0000EE"/>
                <w:w w:val="74"/>
              </w:rPr>
            </w:pPr>
            <w:hyperlink w:anchor="page57">
              <w:r>
                <w:rPr>
                  <w:rFonts w:ascii="Arial" w:cs="Arial" w:eastAsia="Arial" w:hAnsi="Arial"/>
                  <w:sz w:val="16"/>
                  <w:szCs w:val="16"/>
                  <w:color w:val="0000EE"/>
                  <w:w w:val="74"/>
                </w:rPr>
                <w:t>6.</w:t>
              </w:r>
            </w:hyperlink>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gridSpan w:val="8"/>
          </w:tcPr>
          <w:p>
            <w:pPr>
              <w:spacing w:after="0" w:line="196" w:lineRule="exact"/>
              <w:rPr>
                <w:rFonts w:ascii="Arial" w:cs="Arial" w:eastAsia="Arial" w:hAnsi="Arial"/>
                <w:sz w:val="18"/>
                <w:szCs w:val="18"/>
                <w:color w:val="0000EE"/>
                <w:w w:val="86"/>
              </w:rPr>
            </w:pPr>
            <w:hyperlink w:anchor="page57">
              <w:r>
                <w:rPr>
                  <w:rFonts w:ascii="Arial" w:cs="Arial" w:eastAsia="Arial" w:hAnsi="Arial"/>
                  <w:sz w:val="18"/>
                  <w:szCs w:val="18"/>
                  <w:color w:val="0000EE"/>
                  <w:w w:val="86"/>
                </w:rPr>
                <w:t>Selected Financial Data</w:t>
              </w:r>
            </w:hyperlink>
          </w:p>
        </w:tc>
        <w:tc>
          <w:tcPr>
            <w:tcW w:w="5540" w:type="dxa"/>
            <w:vAlign w:val="bottom"/>
            <w:gridSpan w:val="13"/>
          </w:tcPr>
          <w:p>
            <w:pPr>
              <w:spacing w:after="0"/>
              <w:rPr>
                <w:sz w:val="17"/>
                <w:szCs w:val="17"/>
                <w:color w:val="auto"/>
              </w:rPr>
            </w:pPr>
          </w:p>
        </w:tc>
        <w:tc>
          <w:tcPr>
            <w:tcW w:w="440" w:type="dxa"/>
            <w:vAlign w:val="bottom"/>
            <w:gridSpan w:val="5"/>
          </w:tcPr>
          <w:p>
            <w:pPr>
              <w:jc w:val="right"/>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52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40" w:type="dxa"/>
            <w:vAlign w:val="bottom"/>
            <w:gridSpan w:val="4"/>
          </w:tcPr>
          <w:p>
            <w:pPr>
              <w:spacing w:after="0" w:line="196" w:lineRule="exact"/>
              <w:rPr>
                <w:rFonts w:ascii="Arial" w:cs="Arial" w:eastAsia="Arial" w:hAnsi="Arial"/>
                <w:sz w:val="18"/>
                <w:szCs w:val="18"/>
                <w:color w:val="0000EE"/>
                <w:w w:val="91"/>
              </w:rPr>
            </w:pPr>
            <w:hyperlink w:anchor="page59">
              <w:r>
                <w:rPr>
                  <w:rFonts w:ascii="Arial" w:cs="Arial" w:eastAsia="Arial" w:hAnsi="Arial"/>
                  <w:sz w:val="18"/>
                  <w:szCs w:val="18"/>
                  <w:color w:val="0000EE"/>
                  <w:w w:val="91"/>
                </w:rPr>
                <w:t>Item</w:t>
              </w:r>
            </w:hyperlink>
          </w:p>
        </w:tc>
        <w:tc>
          <w:tcPr>
            <w:tcW w:w="160" w:type="dxa"/>
            <w:vAlign w:val="bottom"/>
          </w:tcPr>
          <w:p>
            <w:pPr>
              <w:ind w:left="20"/>
              <w:spacing w:after="0"/>
              <w:rPr>
                <w:rFonts w:ascii="Arial" w:cs="Arial" w:eastAsia="Arial" w:hAnsi="Arial"/>
                <w:sz w:val="16"/>
                <w:szCs w:val="16"/>
                <w:color w:val="0000EE"/>
                <w:w w:val="74"/>
              </w:rPr>
            </w:pPr>
            <w:hyperlink w:anchor="page59">
              <w:r>
                <w:rPr>
                  <w:rFonts w:ascii="Arial" w:cs="Arial" w:eastAsia="Arial" w:hAnsi="Arial"/>
                  <w:sz w:val="16"/>
                  <w:szCs w:val="16"/>
                  <w:color w:val="0000EE"/>
                  <w:w w:val="74"/>
                </w:rPr>
                <w:t>7.</w:t>
              </w:r>
            </w:hyperlink>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20" w:type="dxa"/>
            <w:vAlign w:val="bottom"/>
            <w:gridSpan w:val="21"/>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Management's Discussion and Analysis of Financial Condition and Results of Operations</w:t>
              </w:r>
            </w:hyperlink>
          </w:p>
        </w:tc>
        <w:tc>
          <w:tcPr>
            <w:tcW w:w="440" w:type="dxa"/>
            <w:vAlign w:val="bottom"/>
            <w:gridSpan w:val="5"/>
          </w:tcPr>
          <w:p>
            <w:pPr>
              <w:jc w:val="right"/>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40" w:type="dxa"/>
            <w:vAlign w:val="bottom"/>
            <w:gridSpan w:val="4"/>
          </w:tcPr>
          <w:p>
            <w:pPr>
              <w:spacing w:after="0" w:line="196" w:lineRule="exact"/>
              <w:rPr>
                <w:rFonts w:ascii="Arial" w:cs="Arial" w:eastAsia="Arial" w:hAnsi="Arial"/>
                <w:sz w:val="18"/>
                <w:szCs w:val="18"/>
                <w:color w:val="0000EE"/>
                <w:w w:val="91"/>
              </w:rPr>
            </w:pPr>
            <w:hyperlink w:anchor="page76">
              <w:r>
                <w:rPr>
                  <w:rFonts w:ascii="Arial" w:cs="Arial" w:eastAsia="Arial" w:hAnsi="Arial"/>
                  <w:sz w:val="18"/>
                  <w:szCs w:val="18"/>
                  <w:color w:val="0000EE"/>
                  <w:w w:val="91"/>
                </w:rPr>
                <w:t>Item</w:t>
              </w:r>
            </w:hyperlink>
          </w:p>
        </w:tc>
        <w:tc>
          <w:tcPr>
            <w:tcW w:w="240" w:type="dxa"/>
            <w:vAlign w:val="bottom"/>
            <w:gridSpan w:val="2"/>
          </w:tcPr>
          <w:p>
            <w:pPr>
              <w:ind w:left="20"/>
              <w:spacing w:after="0"/>
              <w:rPr>
                <w:rFonts w:ascii="Arial" w:cs="Arial" w:eastAsia="Arial" w:hAnsi="Arial"/>
                <w:sz w:val="16"/>
                <w:szCs w:val="16"/>
                <w:color w:val="0000EE"/>
                <w:w w:val="74"/>
              </w:rPr>
            </w:pPr>
            <w:hyperlink w:anchor="page76">
              <w:r>
                <w:rPr>
                  <w:rFonts w:ascii="Arial" w:cs="Arial" w:eastAsia="Arial" w:hAnsi="Arial"/>
                  <w:sz w:val="16"/>
                  <w:szCs w:val="16"/>
                  <w:color w:val="0000EE"/>
                  <w:w w:val="74"/>
                </w:rPr>
                <w:t>7A.</w:t>
              </w:r>
            </w:hyperlink>
          </w:p>
        </w:tc>
        <w:tc>
          <w:tcPr>
            <w:tcW w:w="400" w:type="dxa"/>
            <w:vAlign w:val="bottom"/>
          </w:tcPr>
          <w:p>
            <w:pPr>
              <w:spacing w:after="0"/>
              <w:rPr>
                <w:sz w:val="17"/>
                <w:szCs w:val="17"/>
                <w:color w:val="auto"/>
              </w:rPr>
            </w:pPr>
          </w:p>
        </w:tc>
        <w:tc>
          <w:tcPr>
            <w:tcW w:w="7220" w:type="dxa"/>
            <w:vAlign w:val="bottom"/>
            <w:gridSpan w:val="21"/>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Quantitative and Qualitative Disclosures About Market Risk</w:t>
              </w:r>
            </w:hyperlink>
          </w:p>
        </w:tc>
        <w:tc>
          <w:tcPr>
            <w:tcW w:w="440" w:type="dxa"/>
            <w:vAlign w:val="bottom"/>
            <w:gridSpan w:val="5"/>
          </w:tcPr>
          <w:p>
            <w:pPr>
              <w:jc w:val="right"/>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71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40" w:type="dxa"/>
            <w:vAlign w:val="bottom"/>
            <w:gridSpan w:val="4"/>
          </w:tcPr>
          <w:p>
            <w:pPr>
              <w:spacing w:after="0" w:line="196" w:lineRule="exact"/>
              <w:rPr>
                <w:rFonts w:ascii="Arial" w:cs="Arial" w:eastAsia="Arial" w:hAnsi="Arial"/>
                <w:sz w:val="18"/>
                <w:szCs w:val="18"/>
                <w:color w:val="0000EE"/>
                <w:w w:val="91"/>
              </w:rPr>
            </w:pPr>
            <w:hyperlink w:anchor="page78">
              <w:r>
                <w:rPr>
                  <w:rFonts w:ascii="Arial" w:cs="Arial" w:eastAsia="Arial" w:hAnsi="Arial"/>
                  <w:sz w:val="18"/>
                  <w:szCs w:val="18"/>
                  <w:color w:val="0000EE"/>
                  <w:w w:val="91"/>
                </w:rPr>
                <w:t>Item</w:t>
              </w:r>
            </w:hyperlink>
          </w:p>
        </w:tc>
        <w:tc>
          <w:tcPr>
            <w:tcW w:w="160" w:type="dxa"/>
            <w:vAlign w:val="bottom"/>
          </w:tcPr>
          <w:p>
            <w:pPr>
              <w:ind w:left="20"/>
              <w:spacing w:after="0"/>
              <w:rPr>
                <w:rFonts w:ascii="Arial" w:cs="Arial" w:eastAsia="Arial" w:hAnsi="Arial"/>
                <w:sz w:val="16"/>
                <w:szCs w:val="16"/>
                <w:color w:val="0000EE"/>
                <w:w w:val="74"/>
              </w:rPr>
            </w:pPr>
            <w:hyperlink w:anchor="page78">
              <w:r>
                <w:rPr>
                  <w:rFonts w:ascii="Arial" w:cs="Arial" w:eastAsia="Arial" w:hAnsi="Arial"/>
                  <w:sz w:val="16"/>
                  <w:szCs w:val="16"/>
                  <w:color w:val="0000EE"/>
                  <w:w w:val="74"/>
                </w:rPr>
                <w:t>8.</w:t>
              </w:r>
            </w:hyperlink>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60" w:type="dxa"/>
            <w:vAlign w:val="bottom"/>
            <w:gridSpan w:val="13"/>
          </w:tcPr>
          <w:p>
            <w:pPr>
              <w:spacing w:after="0" w:line="196" w:lineRule="exact"/>
              <w:rPr>
                <w:rFonts w:ascii="Arial" w:cs="Arial" w:eastAsia="Arial" w:hAnsi="Arial"/>
                <w:sz w:val="18"/>
                <w:szCs w:val="18"/>
                <w:color w:val="0000EE"/>
                <w:w w:val="87"/>
              </w:rPr>
            </w:pPr>
            <w:hyperlink w:anchor="page78">
              <w:r>
                <w:rPr>
                  <w:rFonts w:ascii="Arial" w:cs="Arial" w:eastAsia="Arial" w:hAnsi="Arial"/>
                  <w:sz w:val="18"/>
                  <w:szCs w:val="18"/>
                  <w:color w:val="0000EE"/>
                  <w:w w:val="87"/>
                </w:rPr>
                <w:t>Financial Statements and Supplementary Data</w:t>
              </w:r>
            </w:hyperlink>
          </w:p>
        </w:tc>
        <w:tc>
          <w:tcPr>
            <w:tcW w:w="1000" w:type="dxa"/>
            <w:vAlign w:val="bottom"/>
            <w:gridSpan w:val="2"/>
          </w:tcPr>
          <w:p>
            <w:pPr>
              <w:spacing w:after="0"/>
              <w:rPr>
                <w:sz w:val="17"/>
                <w:szCs w:val="17"/>
                <w:color w:val="auto"/>
              </w:rPr>
            </w:pPr>
          </w:p>
        </w:tc>
        <w:tc>
          <w:tcPr>
            <w:tcW w:w="2960" w:type="dxa"/>
            <w:vAlign w:val="bottom"/>
            <w:gridSpan w:val="6"/>
          </w:tcPr>
          <w:p>
            <w:pPr>
              <w:spacing w:after="0"/>
              <w:rPr>
                <w:sz w:val="17"/>
                <w:szCs w:val="17"/>
                <w:color w:val="auto"/>
              </w:rPr>
            </w:pPr>
          </w:p>
        </w:tc>
        <w:tc>
          <w:tcPr>
            <w:tcW w:w="440" w:type="dxa"/>
            <w:vAlign w:val="bottom"/>
            <w:gridSpan w:val="5"/>
          </w:tcPr>
          <w:p>
            <w:pPr>
              <w:jc w:val="right"/>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73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09">
              <w:r>
                <w:rPr>
                  <w:rFonts w:ascii="Arial" w:cs="Arial" w:eastAsia="Arial" w:hAnsi="Arial"/>
                  <w:sz w:val="18"/>
                  <w:szCs w:val="18"/>
                  <w:color w:val="0000EE"/>
                  <w:w w:val="91"/>
                </w:rPr>
                <w:t>Item</w:t>
              </w:r>
            </w:hyperlink>
          </w:p>
        </w:tc>
        <w:tc>
          <w:tcPr>
            <w:tcW w:w="160" w:type="dxa"/>
            <w:vAlign w:val="bottom"/>
            <w:tcBorders>
              <w:bottom w:val="single" w:sz="8" w:color="0000EE"/>
            </w:tcBorders>
          </w:tcPr>
          <w:p>
            <w:pPr>
              <w:ind w:left="20"/>
              <w:spacing w:after="0"/>
              <w:rPr>
                <w:rFonts w:ascii="Arial" w:cs="Arial" w:eastAsia="Arial" w:hAnsi="Arial"/>
                <w:sz w:val="16"/>
                <w:szCs w:val="16"/>
                <w:color w:val="0000EE"/>
                <w:w w:val="74"/>
              </w:rPr>
            </w:pPr>
            <w:hyperlink w:anchor="page109">
              <w:r>
                <w:rPr>
                  <w:rFonts w:ascii="Arial" w:cs="Arial" w:eastAsia="Arial" w:hAnsi="Arial"/>
                  <w:sz w:val="16"/>
                  <w:szCs w:val="16"/>
                  <w:color w:val="0000EE"/>
                  <w:w w:val="74"/>
                </w:rPr>
                <w:t>9.</w:t>
              </w:r>
            </w:hyperlink>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36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109">
              <w:r>
                <w:rPr>
                  <w:rFonts w:ascii="Arial" w:cs="Arial" w:eastAsia="Arial" w:hAnsi="Arial"/>
                  <w:sz w:val="18"/>
                  <w:szCs w:val="18"/>
                  <w:color w:val="0000EE"/>
                  <w:w w:val="88"/>
                </w:rPr>
                <w:t>Changes in and Disagreements With Accountants on Accounting and Financial Disclosure</w:t>
              </w:r>
            </w:hyperlink>
          </w:p>
        </w:tc>
        <w:tc>
          <w:tcPr>
            <w:tcW w:w="86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79"/>
              </w:rPr>
            </w:pPr>
            <w:hyperlink w:anchor="page109">
              <w:r>
                <w:rPr>
                  <w:rFonts w:ascii="Arial" w:cs="Arial" w:eastAsia="Arial" w:hAnsi="Arial"/>
                  <w:sz w:val="18"/>
                  <w:szCs w:val="18"/>
                  <w:color w:val="0000EE"/>
                  <w:w w:val="79"/>
                </w:rPr>
                <w:t>104</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09">
              <w:r>
                <w:rPr>
                  <w:rFonts w:ascii="Arial" w:cs="Arial" w:eastAsia="Arial" w:hAnsi="Arial"/>
                  <w:sz w:val="18"/>
                  <w:szCs w:val="18"/>
                  <w:color w:val="0000EE"/>
                  <w:w w:val="91"/>
                </w:rPr>
                <w:t>Item</w:t>
              </w:r>
            </w:hyperlink>
          </w:p>
        </w:tc>
        <w:tc>
          <w:tcPr>
            <w:tcW w:w="240" w:type="dxa"/>
            <w:vAlign w:val="bottom"/>
            <w:tcBorders>
              <w:bottom w:val="single" w:sz="8" w:color="0000EE"/>
            </w:tcBorders>
            <w:gridSpan w:val="2"/>
          </w:tcPr>
          <w:p>
            <w:pPr>
              <w:ind w:left="20"/>
              <w:spacing w:after="0"/>
              <w:rPr>
                <w:rFonts w:ascii="Arial" w:cs="Arial" w:eastAsia="Arial" w:hAnsi="Arial"/>
                <w:sz w:val="16"/>
                <w:szCs w:val="16"/>
                <w:color w:val="0000EE"/>
                <w:w w:val="74"/>
              </w:rPr>
            </w:pPr>
            <w:hyperlink w:anchor="page109">
              <w:r>
                <w:rPr>
                  <w:rFonts w:ascii="Arial" w:cs="Arial" w:eastAsia="Arial" w:hAnsi="Arial"/>
                  <w:sz w:val="16"/>
                  <w:szCs w:val="16"/>
                  <w:color w:val="0000EE"/>
                  <w:w w:val="74"/>
                </w:rPr>
                <w:t>9A.</w:t>
              </w:r>
            </w:hyperlink>
          </w:p>
        </w:tc>
        <w:tc>
          <w:tcPr>
            <w:tcW w:w="400" w:type="dxa"/>
            <w:vAlign w:val="bottom"/>
          </w:tcPr>
          <w:p>
            <w:pPr>
              <w:spacing w:after="0"/>
              <w:rPr>
                <w:sz w:val="17"/>
                <w:szCs w:val="17"/>
                <w:color w:val="auto"/>
              </w:rPr>
            </w:pPr>
          </w:p>
        </w:tc>
        <w:tc>
          <w:tcPr>
            <w:tcW w:w="1680" w:type="dxa"/>
            <w:vAlign w:val="bottom"/>
            <w:tcBorders>
              <w:bottom w:val="single" w:sz="8" w:color="0000EE"/>
            </w:tcBorders>
            <w:gridSpan w:val="8"/>
          </w:tcPr>
          <w:p>
            <w:pPr>
              <w:spacing w:after="0" w:line="196" w:lineRule="exact"/>
              <w:rPr>
                <w:rFonts w:ascii="Arial" w:cs="Arial" w:eastAsia="Arial" w:hAnsi="Arial"/>
                <w:sz w:val="18"/>
                <w:szCs w:val="18"/>
                <w:color w:val="0000EE"/>
                <w:w w:val="82"/>
              </w:rPr>
            </w:pPr>
            <w:hyperlink w:anchor="page109">
              <w:r>
                <w:rPr>
                  <w:rFonts w:ascii="Arial" w:cs="Arial" w:eastAsia="Arial" w:hAnsi="Arial"/>
                  <w:sz w:val="18"/>
                  <w:szCs w:val="18"/>
                  <w:color w:val="0000EE"/>
                  <w:w w:val="82"/>
                </w:rPr>
                <w:t>Controls and Procedures</w:t>
              </w:r>
            </w:hyperlink>
          </w:p>
        </w:tc>
        <w:tc>
          <w:tcPr>
            <w:tcW w:w="5540" w:type="dxa"/>
            <w:vAlign w:val="bottom"/>
            <w:gridSpan w:val="13"/>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79"/>
              </w:rPr>
            </w:pPr>
            <w:hyperlink w:anchor="page109">
              <w:r>
                <w:rPr>
                  <w:rFonts w:ascii="Arial" w:cs="Arial" w:eastAsia="Arial" w:hAnsi="Arial"/>
                  <w:sz w:val="18"/>
                  <w:szCs w:val="18"/>
                  <w:color w:val="0000EE"/>
                  <w:w w:val="79"/>
                </w:rPr>
                <w:t>104</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40" w:type="dxa"/>
            <w:vAlign w:val="bottom"/>
            <w:gridSpan w:val="4"/>
          </w:tcPr>
          <w:p>
            <w:pPr>
              <w:spacing w:after="0" w:line="196" w:lineRule="exact"/>
              <w:rPr>
                <w:rFonts w:ascii="Arial" w:cs="Arial" w:eastAsia="Arial" w:hAnsi="Arial"/>
                <w:sz w:val="18"/>
                <w:szCs w:val="18"/>
                <w:color w:val="0000EE"/>
                <w:w w:val="91"/>
              </w:rPr>
            </w:pPr>
            <w:hyperlink w:anchor="page110">
              <w:r>
                <w:rPr>
                  <w:rFonts w:ascii="Arial" w:cs="Arial" w:eastAsia="Arial" w:hAnsi="Arial"/>
                  <w:sz w:val="18"/>
                  <w:szCs w:val="18"/>
                  <w:color w:val="0000EE"/>
                  <w:w w:val="91"/>
                </w:rPr>
                <w:t>Item</w:t>
              </w:r>
            </w:hyperlink>
          </w:p>
        </w:tc>
        <w:tc>
          <w:tcPr>
            <w:tcW w:w="640" w:type="dxa"/>
            <w:vAlign w:val="bottom"/>
            <w:gridSpan w:val="3"/>
          </w:tcPr>
          <w:p>
            <w:pPr>
              <w:ind w:left="20"/>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9B.</w:t>
              </w:r>
            </w:hyperlink>
          </w:p>
        </w:tc>
        <w:tc>
          <w:tcPr>
            <w:tcW w:w="7220" w:type="dxa"/>
            <w:vAlign w:val="bottom"/>
            <w:gridSpan w:val="21"/>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Other Information</w:t>
              </w:r>
            </w:hyperlink>
          </w:p>
        </w:tc>
        <w:tc>
          <w:tcPr>
            <w:tcW w:w="440" w:type="dxa"/>
            <w:vAlign w:val="bottom"/>
            <w:gridSpan w:val="5"/>
          </w:tcPr>
          <w:p>
            <w:pPr>
              <w:jc w:val="right"/>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105</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11">
              <w:r>
                <w:rPr>
                  <w:rFonts w:ascii="Arial" w:cs="Arial" w:eastAsia="Arial" w:hAnsi="Arial"/>
                  <w:sz w:val="18"/>
                  <w:szCs w:val="18"/>
                  <w:color w:val="0000EE"/>
                  <w:w w:val="90"/>
                </w:rPr>
                <w:t>Part III</w:t>
              </w:r>
            </w:hyperlink>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40" w:type="dxa"/>
            <w:vAlign w:val="bottom"/>
            <w:gridSpan w:val="4"/>
          </w:tcPr>
          <w:p>
            <w:pPr>
              <w:spacing w:after="0" w:line="196" w:lineRule="exact"/>
              <w:rPr>
                <w:rFonts w:ascii="Arial" w:cs="Arial" w:eastAsia="Arial" w:hAnsi="Arial"/>
                <w:sz w:val="18"/>
                <w:szCs w:val="18"/>
                <w:color w:val="0000EE"/>
                <w:w w:val="91"/>
              </w:rPr>
            </w:pPr>
            <w:hyperlink w:anchor="page111">
              <w:r>
                <w:rPr>
                  <w:rFonts w:ascii="Arial" w:cs="Arial" w:eastAsia="Arial" w:hAnsi="Arial"/>
                  <w:sz w:val="18"/>
                  <w:szCs w:val="18"/>
                  <w:color w:val="0000EE"/>
                  <w:w w:val="91"/>
                </w:rPr>
                <w:t>Item</w:t>
              </w:r>
            </w:hyperlink>
          </w:p>
        </w:tc>
        <w:tc>
          <w:tcPr>
            <w:tcW w:w="240" w:type="dxa"/>
            <w:vAlign w:val="bottom"/>
            <w:gridSpan w:val="2"/>
          </w:tcPr>
          <w:p>
            <w:pPr>
              <w:ind w:left="20"/>
              <w:spacing w:after="0" w:line="196" w:lineRule="exact"/>
              <w:rPr>
                <w:rFonts w:ascii="Arial" w:cs="Arial" w:eastAsia="Arial" w:hAnsi="Arial"/>
                <w:sz w:val="18"/>
                <w:szCs w:val="18"/>
                <w:color w:val="0000EE"/>
                <w:w w:val="71"/>
              </w:rPr>
            </w:pPr>
            <w:hyperlink w:anchor="page111">
              <w:r>
                <w:rPr>
                  <w:rFonts w:ascii="Arial" w:cs="Arial" w:eastAsia="Arial" w:hAnsi="Arial"/>
                  <w:sz w:val="18"/>
                  <w:szCs w:val="18"/>
                  <w:color w:val="0000EE"/>
                  <w:w w:val="71"/>
                </w:rPr>
                <w:t>10.</w:t>
              </w:r>
            </w:hyperlink>
          </w:p>
        </w:tc>
        <w:tc>
          <w:tcPr>
            <w:tcW w:w="400" w:type="dxa"/>
            <w:vAlign w:val="bottom"/>
          </w:tcPr>
          <w:p>
            <w:pPr>
              <w:spacing w:after="0"/>
              <w:rPr>
                <w:sz w:val="17"/>
                <w:szCs w:val="17"/>
                <w:color w:val="auto"/>
              </w:rPr>
            </w:pPr>
          </w:p>
        </w:tc>
        <w:tc>
          <w:tcPr>
            <w:tcW w:w="7220" w:type="dxa"/>
            <w:vAlign w:val="bottom"/>
            <w:gridSpan w:val="21"/>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Directors, Executive Officers and Corporate Governance</w:t>
              </w:r>
            </w:hyperlink>
          </w:p>
        </w:tc>
        <w:tc>
          <w:tcPr>
            <w:tcW w:w="440" w:type="dxa"/>
            <w:vAlign w:val="bottom"/>
            <w:gridSpan w:val="5"/>
          </w:tcPr>
          <w:p>
            <w:pPr>
              <w:jc w:val="right"/>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106</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40" w:type="dxa"/>
            <w:vAlign w:val="bottom"/>
            <w:tcBorders>
              <w:top w:val="single" w:sz="8" w:color="0000EE"/>
            </w:tcBorders>
            <w:gridSpan w:val="4"/>
          </w:tcPr>
          <w:p>
            <w:pPr>
              <w:spacing w:after="0" w:line="196" w:lineRule="exact"/>
              <w:rPr>
                <w:rFonts w:ascii="Arial" w:cs="Arial" w:eastAsia="Arial" w:hAnsi="Arial"/>
                <w:sz w:val="18"/>
                <w:szCs w:val="18"/>
                <w:color w:val="0000EE"/>
                <w:w w:val="91"/>
              </w:rPr>
            </w:pPr>
            <w:hyperlink w:anchor="page111">
              <w:r>
                <w:rPr>
                  <w:rFonts w:ascii="Arial" w:cs="Arial" w:eastAsia="Arial" w:hAnsi="Arial"/>
                  <w:sz w:val="18"/>
                  <w:szCs w:val="18"/>
                  <w:color w:val="0000EE"/>
                  <w:w w:val="91"/>
                </w:rPr>
                <w:t>Item</w:t>
              </w:r>
            </w:hyperlink>
          </w:p>
        </w:tc>
        <w:tc>
          <w:tcPr>
            <w:tcW w:w="240" w:type="dxa"/>
            <w:vAlign w:val="bottom"/>
            <w:tcBorders>
              <w:top w:val="single" w:sz="8" w:color="0000EE"/>
            </w:tcBorders>
            <w:gridSpan w:val="2"/>
          </w:tcPr>
          <w:p>
            <w:pPr>
              <w:ind w:left="20"/>
              <w:spacing w:after="0" w:line="196" w:lineRule="exact"/>
              <w:rPr>
                <w:rFonts w:ascii="Arial" w:cs="Arial" w:eastAsia="Arial" w:hAnsi="Arial"/>
                <w:sz w:val="18"/>
                <w:szCs w:val="18"/>
                <w:color w:val="0000EE"/>
                <w:w w:val="71"/>
              </w:rPr>
            </w:pPr>
            <w:hyperlink w:anchor="page111">
              <w:r>
                <w:rPr>
                  <w:rFonts w:ascii="Arial" w:cs="Arial" w:eastAsia="Arial" w:hAnsi="Arial"/>
                  <w:sz w:val="18"/>
                  <w:szCs w:val="18"/>
                  <w:color w:val="0000EE"/>
                  <w:w w:val="71"/>
                </w:rPr>
                <w:t>11.</w:t>
              </w:r>
            </w:hyperlink>
          </w:p>
        </w:tc>
        <w:tc>
          <w:tcPr>
            <w:tcW w:w="400" w:type="dxa"/>
            <w:vAlign w:val="bottom"/>
          </w:tcPr>
          <w:p>
            <w:pPr>
              <w:spacing w:after="0"/>
              <w:rPr>
                <w:sz w:val="17"/>
                <w:szCs w:val="17"/>
                <w:color w:val="auto"/>
              </w:rPr>
            </w:pPr>
          </w:p>
        </w:tc>
        <w:tc>
          <w:tcPr>
            <w:tcW w:w="40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Executive Compensation</w:t>
              </w:r>
            </w:hyperlink>
          </w:p>
        </w:tc>
        <w:tc>
          <w:tcPr>
            <w:tcW w:w="3220" w:type="dxa"/>
            <w:vAlign w:val="bottom"/>
            <w:gridSpan w:val="7"/>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top w:val="single" w:sz="8" w:color="0000EE"/>
            </w:tcBorders>
            <w:gridSpan w:val="4"/>
          </w:tcPr>
          <w:p>
            <w:pPr>
              <w:jc w:val="right"/>
              <w:spacing w:after="0" w:line="196" w:lineRule="exact"/>
              <w:rPr>
                <w:rFonts w:ascii="Arial" w:cs="Arial" w:eastAsia="Arial" w:hAnsi="Arial"/>
                <w:sz w:val="18"/>
                <w:szCs w:val="18"/>
                <w:color w:val="0000EE"/>
                <w:w w:val="79"/>
              </w:rPr>
            </w:pPr>
            <w:hyperlink w:anchor="page111">
              <w:r>
                <w:rPr>
                  <w:rFonts w:ascii="Arial" w:cs="Arial" w:eastAsia="Arial" w:hAnsi="Arial"/>
                  <w:sz w:val="18"/>
                  <w:szCs w:val="18"/>
                  <w:color w:val="0000EE"/>
                  <w:w w:val="79"/>
                </w:rPr>
                <w:t>106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40" w:type="dxa"/>
            <w:vAlign w:val="bottom"/>
            <w:gridSpan w:val="4"/>
          </w:tcPr>
          <w:p>
            <w:pPr>
              <w:spacing w:after="0" w:line="196" w:lineRule="exact"/>
              <w:rPr>
                <w:rFonts w:ascii="Arial" w:cs="Arial" w:eastAsia="Arial" w:hAnsi="Arial"/>
                <w:sz w:val="18"/>
                <w:szCs w:val="18"/>
                <w:color w:val="0000EE"/>
                <w:w w:val="91"/>
              </w:rPr>
            </w:pPr>
            <w:hyperlink w:anchor="page111">
              <w:r>
                <w:rPr>
                  <w:rFonts w:ascii="Arial" w:cs="Arial" w:eastAsia="Arial" w:hAnsi="Arial"/>
                  <w:sz w:val="18"/>
                  <w:szCs w:val="18"/>
                  <w:color w:val="0000EE"/>
                  <w:w w:val="91"/>
                </w:rPr>
                <w:t>Item</w:t>
              </w:r>
            </w:hyperlink>
          </w:p>
        </w:tc>
        <w:tc>
          <w:tcPr>
            <w:tcW w:w="240" w:type="dxa"/>
            <w:vAlign w:val="bottom"/>
            <w:gridSpan w:val="2"/>
          </w:tcPr>
          <w:p>
            <w:pPr>
              <w:ind w:left="20"/>
              <w:spacing w:after="0" w:line="196" w:lineRule="exact"/>
              <w:rPr>
                <w:rFonts w:ascii="Arial" w:cs="Arial" w:eastAsia="Arial" w:hAnsi="Arial"/>
                <w:sz w:val="18"/>
                <w:szCs w:val="18"/>
                <w:color w:val="0000EE"/>
                <w:w w:val="71"/>
              </w:rPr>
            </w:pPr>
            <w:hyperlink w:anchor="page111">
              <w:r>
                <w:rPr>
                  <w:rFonts w:ascii="Arial" w:cs="Arial" w:eastAsia="Arial" w:hAnsi="Arial"/>
                  <w:sz w:val="18"/>
                  <w:szCs w:val="18"/>
                  <w:color w:val="0000EE"/>
                  <w:w w:val="71"/>
                </w:rPr>
                <w:t>12.</w:t>
              </w:r>
            </w:hyperlink>
          </w:p>
        </w:tc>
        <w:tc>
          <w:tcPr>
            <w:tcW w:w="400" w:type="dxa"/>
            <w:vAlign w:val="bottom"/>
          </w:tcPr>
          <w:p>
            <w:pPr>
              <w:spacing w:after="0"/>
              <w:rPr>
                <w:sz w:val="17"/>
                <w:szCs w:val="17"/>
                <w:color w:val="auto"/>
              </w:rPr>
            </w:pPr>
          </w:p>
        </w:tc>
        <w:tc>
          <w:tcPr>
            <w:tcW w:w="7220" w:type="dxa"/>
            <w:vAlign w:val="bottom"/>
            <w:gridSpan w:val="21"/>
          </w:tcPr>
          <w:p>
            <w:pPr>
              <w:spacing w:after="0" w:line="196" w:lineRule="exact"/>
              <w:rPr>
                <w:rFonts w:ascii="Arial" w:cs="Arial" w:eastAsia="Arial" w:hAnsi="Arial"/>
                <w:sz w:val="18"/>
                <w:szCs w:val="18"/>
                <w:color w:val="0000EE"/>
                <w:w w:val="97"/>
              </w:rPr>
            </w:pPr>
            <w:hyperlink w:anchor="page111">
              <w:r>
                <w:rPr>
                  <w:rFonts w:ascii="Arial" w:cs="Arial" w:eastAsia="Arial" w:hAnsi="Arial"/>
                  <w:sz w:val="18"/>
                  <w:szCs w:val="18"/>
                  <w:color w:val="0000EE"/>
                  <w:w w:val="97"/>
                </w:rPr>
                <w:t>Security Ownership of Certain Beneficial Owners and Management and Related Stockholder</w:t>
              </w:r>
            </w:hyperlink>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3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Matters</w:t>
              </w:r>
            </w:hyperlink>
          </w:p>
        </w:tc>
        <w:tc>
          <w:tcPr>
            <w:tcW w:w="680" w:type="dxa"/>
            <w:vAlign w:val="bottom"/>
            <w:gridSpan w:val="2"/>
          </w:tcPr>
          <w:p>
            <w:pPr>
              <w:spacing w:after="0"/>
              <w:rPr>
                <w:sz w:val="17"/>
                <w:szCs w:val="17"/>
                <w:color w:val="auto"/>
              </w:rPr>
            </w:pPr>
          </w:p>
        </w:tc>
        <w:tc>
          <w:tcPr>
            <w:tcW w:w="440" w:type="dxa"/>
            <w:vAlign w:val="bottom"/>
            <w:gridSpan w:val="5"/>
          </w:tcPr>
          <w:p>
            <w:pPr>
              <w:jc w:val="right"/>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106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40" w:type="dxa"/>
            <w:vAlign w:val="bottom"/>
            <w:gridSpan w:val="4"/>
          </w:tcPr>
          <w:p>
            <w:pPr>
              <w:spacing w:after="0" w:line="196" w:lineRule="exact"/>
              <w:rPr>
                <w:rFonts w:ascii="Arial" w:cs="Arial" w:eastAsia="Arial" w:hAnsi="Arial"/>
                <w:sz w:val="18"/>
                <w:szCs w:val="18"/>
                <w:color w:val="0000EE"/>
                <w:w w:val="91"/>
              </w:rPr>
            </w:pPr>
            <w:hyperlink w:anchor="page111">
              <w:r>
                <w:rPr>
                  <w:rFonts w:ascii="Arial" w:cs="Arial" w:eastAsia="Arial" w:hAnsi="Arial"/>
                  <w:sz w:val="18"/>
                  <w:szCs w:val="18"/>
                  <w:color w:val="0000EE"/>
                  <w:w w:val="91"/>
                </w:rPr>
                <w:t>Item</w:t>
              </w:r>
            </w:hyperlink>
          </w:p>
        </w:tc>
        <w:tc>
          <w:tcPr>
            <w:tcW w:w="240" w:type="dxa"/>
            <w:vAlign w:val="bottom"/>
            <w:gridSpan w:val="2"/>
          </w:tcPr>
          <w:p>
            <w:pPr>
              <w:ind w:left="20"/>
              <w:spacing w:after="0" w:line="196" w:lineRule="exact"/>
              <w:rPr>
                <w:rFonts w:ascii="Arial" w:cs="Arial" w:eastAsia="Arial" w:hAnsi="Arial"/>
                <w:sz w:val="18"/>
                <w:szCs w:val="18"/>
                <w:color w:val="0000EE"/>
                <w:w w:val="71"/>
              </w:rPr>
            </w:pPr>
            <w:hyperlink w:anchor="page111">
              <w:r>
                <w:rPr>
                  <w:rFonts w:ascii="Arial" w:cs="Arial" w:eastAsia="Arial" w:hAnsi="Arial"/>
                  <w:sz w:val="18"/>
                  <w:szCs w:val="18"/>
                  <w:color w:val="0000EE"/>
                  <w:w w:val="71"/>
                </w:rPr>
                <w:t>13.</w:t>
              </w:r>
            </w:hyperlink>
          </w:p>
        </w:tc>
        <w:tc>
          <w:tcPr>
            <w:tcW w:w="400" w:type="dxa"/>
            <w:vAlign w:val="bottom"/>
          </w:tcPr>
          <w:p>
            <w:pPr>
              <w:spacing w:after="0"/>
              <w:rPr>
                <w:sz w:val="17"/>
                <w:szCs w:val="17"/>
                <w:color w:val="auto"/>
              </w:rPr>
            </w:pPr>
          </w:p>
        </w:tc>
        <w:tc>
          <w:tcPr>
            <w:tcW w:w="7220" w:type="dxa"/>
            <w:vAlign w:val="bottom"/>
            <w:gridSpan w:val="21"/>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Certain Relationships and Related Transactions, and Director Independence</w:t>
              </w:r>
            </w:hyperlink>
          </w:p>
        </w:tc>
        <w:tc>
          <w:tcPr>
            <w:tcW w:w="440" w:type="dxa"/>
            <w:vAlign w:val="bottom"/>
            <w:gridSpan w:val="5"/>
          </w:tcPr>
          <w:p>
            <w:pPr>
              <w:jc w:val="right"/>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106</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111">
              <w:r>
                <w:rPr>
                  <w:rFonts w:ascii="Arial" w:cs="Arial" w:eastAsia="Arial" w:hAnsi="Arial"/>
                  <w:sz w:val="18"/>
                  <w:szCs w:val="18"/>
                  <w:color w:val="0000EE"/>
                  <w:w w:val="91"/>
                </w:rPr>
                <w:t>Item</w:t>
              </w:r>
            </w:hyperlink>
          </w:p>
        </w:tc>
        <w:tc>
          <w:tcPr>
            <w:tcW w:w="240" w:type="dxa"/>
            <w:vAlign w:val="bottom"/>
            <w:tcBorders>
              <w:top w:val="single" w:sz="8" w:color="0000EE"/>
              <w:bottom w:val="single" w:sz="8" w:color="0000EE"/>
            </w:tcBorders>
            <w:gridSpan w:val="2"/>
          </w:tcPr>
          <w:p>
            <w:pPr>
              <w:ind w:left="20"/>
              <w:spacing w:after="0" w:line="196" w:lineRule="exact"/>
              <w:rPr>
                <w:rFonts w:ascii="Arial" w:cs="Arial" w:eastAsia="Arial" w:hAnsi="Arial"/>
                <w:sz w:val="18"/>
                <w:szCs w:val="18"/>
                <w:color w:val="0000EE"/>
                <w:w w:val="71"/>
              </w:rPr>
            </w:pPr>
            <w:hyperlink w:anchor="page111">
              <w:r>
                <w:rPr>
                  <w:rFonts w:ascii="Arial" w:cs="Arial" w:eastAsia="Arial" w:hAnsi="Arial"/>
                  <w:sz w:val="18"/>
                  <w:szCs w:val="18"/>
                  <w:color w:val="0000EE"/>
                  <w:w w:val="71"/>
                </w:rPr>
                <w:t>14.</w:t>
              </w:r>
            </w:hyperlink>
          </w:p>
        </w:tc>
        <w:tc>
          <w:tcPr>
            <w:tcW w:w="40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w:anchor="page111">
              <w:r>
                <w:rPr>
                  <w:rFonts w:ascii="Arial" w:cs="Arial" w:eastAsia="Arial" w:hAnsi="Arial"/>
                  <w:sz w:val="18"/>
                  <w:szCs w:val="18"/>
                  <w:color w:val="0000EE"/>
                  <w:w w:val="87"/>
                </w:rPr>
                <w:t>Principal Accountant Fees and Services</w:t>
              </w:r>
            </w:hyperlink>
          </w:p>
        </w:tc>
        <w:tc>
          <w:tcPr>
            <w:tcW w:w="2520" w:type="dxa"/>
            <w:vAlign w:val="bottom"/>
            <w:tcBorders>
              <w:top w:val="single" w:sz="8" w:color="0000EE"/>
            </w:tcBorders>
            <w:gridSpan w:val="5"/>
          </w:tcPr>
          <w:p>
            <w:pPr>
              <w:spacing w:after="0"/>
              <w:rPr>
                <w:sz w:val="17"/>
                <w:szCs w:val="17"/>
                <w:color w:val="auto"/>
              </w:rPr>
            </w:pPr>
          </w:p>
        </w:tc>
        <w:tc>
          <w:tcPr>
            <w:tcW w:w="1900" w:type="dxa"/>
            <w:vAlign w:val="bottom"/>
            <w:gridSpan w:val="5"/>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top w:val="single" w:sz="8" w:color="0000EE"/>
              <w:bottom w:val="single" w:sz="8" w:color="0000EE"/>
            </w:tcBorders>
            <w:gridSpan w:val="4"/>
          </w:tcPr>
          <w:p>
            <w:pPr>
              <w:jc w:val="right"/>
              <w:spacing w:after="0" w:line="196" w:lineRule="exact"/>
              <w:rPr>
                <w:rFonts w:ascii="Arial" w:cs="Arial" w:eastAsia="Arial" w:hAnsi="Arial"/>
                <w:sz w:val="18"/>
                <w:szCs w:val="18"/>
                <w:color w:val="0000EE"/>
                <w:w w:val="79"/>
              </w:rPr>
            </w:pPr>
            <w:hyperlink w:anchor="page111">
              <w:r>
                <w:rPr>
                  <w:rFonts w:ascii="Arial" w:cs="Arial" w:eastAsia="Arial" w:hAnsi="Arial"/>
                  <w:sz w:val="18"/>
                  <w:szCs w:val="18"/>
                  <w:color w:val="0000EE"/>
                  <w:w w:val="79"/>
                </w:rPr>
                <w:t>106</w:t>
              </w:r>
            </w:hyperlink>
          </w:p>
        </w:tc>
        <w:tc>
          <w:tcPr>
            <w:tcW w:w="0" w:type="dxa"/>
            <w:vAlign w:val="bottom"/>
          </w:tcPr>
          <w:p>
            <w:pPr>
              <w:spacing w:after="0"/>
              <w:rPr>
                <w:sz w:val="1"/>
                <w:szCs w:val="1"/>
                <w:color w:val="auto"/>
              </w:rPr>
            </w:pPr>
          </w:p>
        </w:tc>
      </w:tr>
      <w:tr>
        <w:trPr>
          <w:trHeight w:val="196"/>
        </w:trPr>
        <w:tc>
          <w:tcPr>
            <w:tcW w:w="520" w:type="dxa"/>
            <w:vAlign w:val="bottom"/>
            <w:gridSpan w:val="5"/>
          </w:tcPr>
          <w:p>
            <w:pPr>
              <w:spacing w:after="0" w:line="196" w:lineRule="exact"/>
              <w:rPr>
                <w:rFonts w:ascii="Arial" w:cs="Arial" w:eastAsia="Arial" w:hAnsi="Arial"/>
                <w:sz w:val="18"/>
                <w:szCs w:val="18"/>
                <w:color w:val="0000EE"/>
                <w:w w:val="90"/>
              </w:rPr>
            </w:pPr>
            <w:hyperlink w:anchor="page112">
              <w:r>
                <w:rPr>
                  <w:rFonts w:ascii="Arial" w:cs="Arial" w:eastAsia="Arial" w:hAnsi="Arial"/>
                  <w:sz w:val="18"/>
                  <w:szCs w:val="18"/>
                  <w:color w:val="0000EE"/>
                  <w:w w:val="90"/>
                </w:rPr>
                <w:t>Part IV</w:t>
              </w:r>
            </w:hyperlink>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112">
              <w:r>
                <w:rPr>
                  <w:rFonts w:ascii="Arial" w:cs="Arial" w:eastAsia="Arial" w:hAnsi="Arial"/>
                  <w:sz w:val="18"/>
                  <w:szCs w:val="18"/>
                  <w:color w:val="0000EE"/>
                  <w:w w:val="85"/>
                </w:rPr>
                <w:t>Item</w:t>
              </w:r>
            </w:hyperlink>
          </w:p>
        </w:tc>
        <w:tc>
          <w:tcPr>
            <w:tcW w:w="20" w:type="dxa"/>
            <w:vAlign w:val="bottom"/>
            <w:tcBorders>
              <w:bottom w:val="single" w:sz="8" w:color="0000EE"/>
            </w:tcBorders>
          </w:tcPr>
          <w:p>
            <w:pPr>
              <w:spacing w:after="0"/>
              <w:rPr>
                <w:sz w:val="17"/>
                <w:szCs w:val="17"/>
                <w:color w:val="auto"/>
              </w:rPr>
            </w:pPr>
          </w:p>
        </w:tc>
        <w:tc>
          <w:tcPr>
            <w:tcW w:w="24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71"/>
              </w:rPr>
            </w:pPr>
            <w:hyperlink w:anchor="page112">
              <w:r>
                <w:rPr>
                  <w:rFonts w:ascii="Arial" w:cs="Arial" w:eastAsia="Arial" w:hAnsi="Arial"/>
                  <w:sz w:val="18"/>
                  <w:szCs w:val="18"/>
                  <w:color w:val="0000EE"/>
                  <w:w w:val="71"/>
                </w:rPr>
                <w:t>15.</w:t>
              </w:r>
            </w:hyperlink>
          </w:p>
        </w:tc>
        <w:tc>
          <w:tcPr>
            <w:tcW w:w="400" w:type="dxa"/>
            <w:vAlign w:val="bottom"/>
          </w:tcPr>
          <w:p>
            <w:pPr>
              <w:spacing w:after="0"/>
              <w:rPr>
                <w:sz w:val="17"/>
                <w:szCs w:val="17"/>
                <w:color w:val="auto"/>
              </w:rPr>
            </w:pPr>
          </w:p>
        </w:tc>
        <w:tc>
          <w:tcPr>
            <w:tcW w:w="284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112">
              <w:r>
                <w:rPr>
                  <w:rFonts w:ascii="Arial" w:cs="Arial" w:eastAsia="Arial" w:hAnsi="Arial"/>
                  <w:sz w:val="18"/>
                  <w:szCs w:val="18"/>
                  <w:color w:val="0000EE"/>
                  <w:w w:val="87"/>
                </w:rPr>
                <w:t>Exhibits, Financial Statement Schedules</w:t>
              </w:r>
            </w:hyperlink>
          </w:p>
        </w:tc>
        <w:tc>
          <w:tcPr>
            <w:tcW w:w="4380" w:type="dxa"/>
            <w:vAlign w:val="bottom"/>
            <w:gridSpan w:val="9"/>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79"/>
              </w:rPr>
            </w:pPr>
            <w:hyperlink w:anchor="page112">
              <w:r>
                <w:rPr>
                  <w:rFonts w:ascii="Arial" w:cs="Arial" w:eastAsia="Arial" w:hAnsi="Arial"/>
                  <w:sz w:val="18"/>
                  <w:szCs w:val="18"/>
                  <w:color w:val="0000EE"/>
                  <w:w w:val="79"/>
                </w:rPr>
                <w:t>107</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40" w:type="dxa"/>
            <w:vAlign w:val="bottom"/>
            <w:gridSpan w:val="4"/>
          </w:tcPr>
          <w:p>
            <w:pPr>
              <w:spacing w:after="0" w:line="196" w:lineRule="exact"/>
              <w:rPr>
                <w:rFonts w:ascii="Arial" w:cs="Arial" w:eastAsia="Arial" w:hAnsi="Arial"/>
                <w:sz w:val="18"/>
                <w:szCs w:val="18"/>
                <w:color w:val="0000EE"/>
                <w:w w:val="91"/>
              </w:rPr>
            </w:pPr>
            <w:hyperlink w:anchor="page116">
              <w:r>
                <w:rPr>
                  <w:rFonts w:ascii="Arial" w:cs="Arial" w:eastAsia="Arial" w:hAnsi="Arial"/>
                  <w:sz w:val="18"/>
                  <w:szCs w:val="18"/>
                  <w:color w:val="0000EE"/>
                  <w:w w:val="91"/>
                </w:rPr>
                <w:t>Item</w:t>
              </w:r>
            </w:hyperlink>
          </w:p>
        </w:tc>
        <w:tc>
          <w:tcPr>
            <w:tcW w:w="240" w:type="dxa"/>
            <w:vAlign w:val="bottom"/>
            <w:gridSpan w:val="2"/>
          </w:tcPr>
          <w:p>
            <w:pPr>
              <w:ind w:left="20"/>
              <w:spacing w:after="0" w:line="196" w:lineRule="exact"/>
              <w:rPr>
                <w:rFonts w:ascii="Arial" w:cs="Arial" w:eastAsia="Arial" w:hAnsi="Arial"/>
                <w:sz w:val="18"/>
                <w:szCs w:val="18"/>
                <w:color w:val="0000EE"/>
                <w:w w:val="71"/>
              </w:rPr>
            </w:pPr>
            <w:hyperlink w:anchor="page116">
              <w:r>
                <w:rPr>
                  <w:rFonts w:ascii="Arial" w:cs="Arial" w:eastAsia="Arial" w:hAnsi="Arial"/>
                  <w:sz w:val="18"/>
                  <w:szCs w:val="18"/>
                  <w:color w:val="0000EE"/>
                  <w:w w:val="71"/>
                </w:rPr>
                <w:t>16.</w:t>
              </w:r>
            </w:hyperlink>
          </w:p>
        </w:tc>
        <w:tc>
          <w:tcPr>
            <w:tcW w:w="400" w:type="dxa"/>
            <w:vAlign w:val="bottom"/>
          </w:tcPr>
          <w:p>
            <w:pPr>
              <w:spacing w:after="0"/>
              <w:rPr>
                <w:sz w:val="17"/>
                <w:szCs w:val="17"/>
                <w:color w:val="auto"/>
              </w:rPr>
            </w:pPr>
          </w:p>
        </w:tc>
        <w:tc>
          <w:tcPr>
            <w:tcW w:w="7220" w:type="dxa"/>
            <w:vAlign w:val="bottom"/>
            <w:gridSpan w:val="21"/>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Form 10-K Summary</w:t>
              </w:r>
            </w:hyperlink>
          </w:p>
        </w:tc>
        <w:tc>
          <w:tcPr>
            <w:tcW w:w="440" w:type="dxa"/>
            <w:vAlign w:val="bottom"/>
            <w:gridSpan w:val="5"/>
          </w:tcPr>
          <w:p>
            <w:pPr>
              <w:jc w:val="right"/>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111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6"/>
          </w:tcPr>
          <w:p>
            <w:pPr>
              <w:spacing w:after="0" w:line="196" w:lineRule="exact"/>
              <w:rPr>
                <w:rFonts w:ascii="Arial" w:cs="Arial" w:eastAsia="Arial" w:hAnsi="Arial"/>
                <w:sz w:val="18"/>
                <w:szCs w:val="18"/>
                <w:color w:val="0000EE"/>
                <w:w w:val="74"/>
              </w:rPr>
            </w:pPr>
            <w:hyperlink w:anchor="page117">
              <w:r>
                <w:rPr>
                  <w:rFonts w:ascii="Arial" w:cs="Arial" w:eastAsia="Arial" w:hAnsi="Arial"/>
                  <w:sz w:val="18"/>
                  <w:szCs w:val="18"/>
                  <w:color w:val="0000EE"/>
                  <w:w w:val="74"/>
                </w:rPr>
                <w:t>Signatures</w:t>
              </w:r>
            </w:hyperlink>
          </w:p>
        </w:tc>
        <w:tc>
          <w:tcPr>
            <w:tcW w:w="4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gridSpan w:val="5"/>
          </w:tcPr>
          <w:p>
            <w:pPr>
              <w:jc w:val="right"/>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112</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b w:val="1"/>
          <w:bCs w:val="1"/>
          <w:i w:val="1"/>
          <w:iCs w:val="1"/>
          <w:color w:val="auto"/>
        </w:rPr>
        <w:t xml:space="preserve">Safe Harbor Statement Under the Private Securities Litigation Reform Act of 1995: </w:t>
      </w:r>
      <w:r>
        <w:rPr>
          <w:rFonts w:ascii="Arial" w:cs="Arial" w:eastAsia="Arial" w:hAnsi="Arial"/>
          <w:sz w:val="16"/>
          <w:szCs w:val="16"/>
          <w:color w:val="auto"/>
        </w:rPr>
        <w:t>This Annual Report on Form 10-K contains forward-looking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73"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99"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product candidates, which are still in an early development stage;</w:t>
      </w:r>
    </w:p>
    <w:p>
      <w:pPr>
        <w:spacing w:after="0" w:line="252" w:lineRule="exact"/>
        <w:rPr>
          <w:rFonts w:ascii="Arial" w:cs="Arial" w:eastAsia="Arial" w:hAnsi="Arial"/>
          <w:sz w:val="18"/>
          <w:szCs w:val="18"/>
          <w:color w:val="auto"/>
        </w:rPr>
      </w:pPr>
    </w:p>
    <w:p>
      <w:pPr>
        <w:ind w:left="1080" w:right="420" w:hanging="532"/>
        <w:spacing w:after="0" w:line="331"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complete research and further development, including animal, preclinical and clinical studies, and, if we obtain regulatory approval, commercialization of our drug candidates and the growth of the markets for those drug candidates;</w:t>
      </w:r>
    </w:p>
    <w:p>
      <w:pPr>
        <w:spacing w:after="0" w:line="154" w:lineRule="exact"/>
        <w:rPr>
          <w:rFonts w:ascii="Arial" w:cs="Arial" w:eastAsia="Arial" w:hAnsi="Arial"/>
          <w:sz w:val="16"/>
          <w:szCs w:val="16"/>
          <w:color w:val="auto"/>
        </w:rPr>
      </w:pPr>
    </w:p>
    <w:p>
      <w:pPr>
        <w:ind w:left="1080" w:right="100" w:hanging="532"/>
        <w:spacing w:after="0" w:line="298"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raise sufficient capital to fund our animal, preclinical and clinical studies and to meet our liquidity needs, on terms acceptable to us, or at all. If we are unable to raise the funds necessary to meet our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179"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52"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timing for preclinical development, regulatory submissions, commencement and completion of clinical trials and product approvals;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recent outbreak of a novel strain of coronavirus ("COVID-19") on our business or on the economy generally;</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recent coronavirus outbreak will affect the timing of the completion of our planned and/or currently ongoing preclinical/clinical trials;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negotiate strategic partnerships, where appropriate, for our drug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drug candidates at different stages of development;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timing, scope and results of ongoing preclinical and clinical testing;</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of the attributes of our product and development candidates, including pharmaceutical properties, efficacy, safety and dosing regimens;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timing and uncertainty of obtaining regulatory approvals for our drug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availability, cost, delivery and quality of clinical management services provided by our clinical research organization partners;</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commercial-grade materials produced by our own manufacturing facility or supplied by contract manufacturers, suppliers and partners;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develop and commercialize products before competitors that are superior to the alternatives developed by such competitors;</w:t>
      </w:r>
    </w:p>
    <w:p>
      <w:pPr>
        <w:spacing w:after="0" w:line="261" w:lineRule="exact"/>
        <w:rPr>
          <w:rFonts w:ascii="Arial" w:cs="Arial" w:eastAsia="Arial" w:hAnsi="Arial"/>
          <w:sz w:val="16"/>
          <w:szCs w:val="16"/>
          <w:color w:val="auto"/>
        </w:rPr>
      </w:pPr>
    </w:p>
    <w:p>
      <w:pPr>
        <w:ind w:left="1080" w:right="220" w:hanging="532"/>
        <w:spacing w:after="0" w:line="369" w:lineRule="auto"/>
        <w:tabs>
          <w:tab w:leader="none" w:pos="108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develop technological capabilities, including identification of novel and clinically important targets, exploiting our existing technology platforms to develop new drug candidates and expand our focus to broader markets for our existing targeted immunotherapeutics;</w:t>
      </w:r>
    </w:p>
    <w:p>
      <w:pPr>
        <w:spacing w:after="0" w:line="131" w:lineRule="exact"/>
        <w:rPr>
          <w:rFonts w:ascii="Arial" w:cs="Arial" w:eastAsia="Arial" w:hAnsi="Arial"/>
          <w:sz w:val="15"/>
          <w:szCs w:val="15"/>
          <w:color w:val="auto"/>
        </w:rPr>
      </w:pPr>
    </w:p>
    <w:p>
      <w:pPr>
        <w:ind w:left="1080" w:right="34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of paying development, regulatory approval and sales-based milestones under the merger agreement by which we acquired Kolltan, including under any future amendment to that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the anticipated benefits from the acquisition of Kolltan;</w:t>
      </w:r>
    </w:p>
    <w:p>
      <w:pPr>
        <w:spacing w:after="0" w:line="238"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 our ability to avoid intellectual property litigation, which can be costly and divert management time and attention;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and commercialize products without infringing the intellectual property rights of third parties;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factors listed under "Risk Factors" in this Annual Report on Form 10-K.</w:t>
      </w:r>
    </w:p>
    <w:p>
      <w:pPr>
        <w:spacing w:after="0" w:line="225" w:lineRule="exact"/>
        <w:rPr>
          <w:sz w:val="20"/>
          <w:szCs w:val="20"/>
          <w:color w:val="auto"/>
        </w:rPr>
      </w:pPr>
    </w:p>
    <w:p>
      <w:pPr>
        <w:ind w:right="220" w:firstLine="341"/>
        <w:spacing w:after="0" w:line="294" w:lineRule="auto"/>
        <w:rPr>
          <w:sz w:val="20"/>
          <w:szCs w:val="20"/>
          <w:color w:val="auto"/>
        </w:rPr>
      </w:pPr>
      <w:r>
        <w:rPr>
          <w:rFonts w:ascii="Arial" w:cs="Arial" w:eastAsia="Arial" w:hAnsi="Arial"/>
          <w:sz w:val="16"/>
          <w:szCs w:val="16"/>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600" w:firstLine="351"/>
        <w:spacing w:after="0" w:line="298" w:lineRule="auto"/>
        <w:rPr>
          <w:sz w:val="20"/>
          <w:szCs w:val="20"/>
          <w:color w:val="auto"/>
        </w:rPr>
      </w:pPr>
      <w:r>
        <w:rPr>
          <w:rFonts w:ascii="Arial" w:cs="Arial" w:eastAsia="Arial" w:hAnsi="Arial"/>
          <w:sz w:val="16"/>
          <w:szCs w:val="16"/>
          <w:color w:val="auto"/>
        </w:rPr>
        <w:t>Celldex Therapeutics, Inc., which we refer to as "Celldex," "we," "us," "our" or the "Company," is a biopharmaceutical company focused on the development and commercialization of immunotherapies and other targeted biologics. Our drug candidates are derived from a broad set of human and bispecific antibodies which have the ability to engage the human immune system and/or directly inhibit tumors to treat specific types of cancer or other diseases. They are aimed at addressing market opportunities for which we believe current therapies are inadequate or non-existent.</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focusing our efforts and resources on the continued research and development of:</w:t>
      </w:r>
    </w:p>
    <w:p>
      <w:pPr>
        <w:spacing w:after="0" w:line="239" w:lineRule="exact"/>
        <w:rPr>
          <w:sz w:val="20"/>
          <w:szCs w:val="20"/>
          <w:color w:val="auto"/>
        </w:rPr>
      </w:pPr>
    </w:p>
    <w:p>
      <w:pPr>
        <w:ind w:left="1080" w:right="280" w:hanging="532"/>
        <w:spacing w:after="0" w:line="254"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CDX-1140, an agonist monoclonal antibody targeted to CD40, a key activator of immune response, currently being studied as a single-agent and in combination with CDX-301, a dendritic cell growth factor. Dose escalation was recently completed in a Phase 1 study in solid tumors and lymphoma and the recommended dose for further study was determined to be 1.5 mg/kg for both CDX-1140 monotherapy and in combination with CDX-301. Celldex has initiated multiple expansion cohorts within the study, including a combination cohort with KEYTRUDA® (pembrolizumab). The Company is exploring additional combination cohorts with mechanisms that we believe could be complementary or synergistic with CDX-1140.</w:t>
      </w:r>
    </w:p>
    <w:p>
      <w:pPr>
        <w:spacing w:after="0" w:line="224"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CDX-3379, a monoclonal antibody designed to block the activity of ErbB3 (HER3), currently in an early Phase 2 study in advanced head and neck squamous cell cancer in combination with Erbitux®;</w:t>
      </w:r>
    </w:p>
    <w:p>
      <w:pPr>
        <w:spacing w:after="0" w:line="199" w:lineRule="exact"/>
        <w:rPr>
          <w:rFonts w:ascii="Arial" w:cs="Arial" w:eastAsia="Arial" w:hAnsi="Arial"/>
          <w:sz w:val="18"/>
          <w:szCs w:val="18"/>
          <w:color w:val="auto"/>
        </w:rPr>
      </w:pPr>
    </w:p>
    <w:p>
      <w:pPr>
        <w:jc w:val="both"/>
        <w:ind w:left="1080" w:right="260" w:hanging="532"/>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CDX-0159, a monoclonal antibody that specifically binds the KIT receptor and potently inhibits its activity, which is currently completing a Phase 1 study in healthy subjects. We plan to study CDX-0159 in mast cell driven diseases, including, initially, chronic spontaneous urticaria (CSU) and chronic inducible urticarias (CINDUs); and,</w:t>
      </w:r>
    </w:p>
    <w:p>
      <w:pPr>
        <w:spacing w:after="0" w:line="207" w:lineRule="exact"/>
        <w:rPr>
          <w:rFonts w:ascii="Arial" w:cs="Arial" w:eastAsia="Arial" w:hAnsi="Arial"/>
          <w:sz w:val="18"/>
          <w:szCs w:val="18"/>
          <w:color w:val="auto"/>
        </w:rPr>
      </w:pPr>
    </w:p>
    <w:p>
      <w:pPr>
        <w:ind w:left="1080" w:right="100" w:hanging="532"/>
        <w:spacing w:after="0" w:line="331"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CDX-527, a bispecific antibody that uses our proprietary highly active anti-PD-L1 and CD27 human antibodies to couple CD27 co-stimulation with blockade of the PD-L1/PD-1 pathway, for which we are planning a Phase 1 study in advanced solid tumors.</w:t>
      </w:r>
    </w:p>
    <w:p>
      <w:pPr>
        <w:spacing w:after="0" w:line="141"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We routinely work with external parties to collaboratively advance our drug candidates. In addition to Celldex-led studies, we also have an Investigator Initiated Research (IIR) program with multiple studies ongoing with our drug candidates.</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goal is to build a fully integrated, commercial-stage biopharmaceutical company that develops important therapies for patients with unmet medical needs. We believe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 Currently, all programs are fully owned by Celldex.</w:t>
      </w:r>
    </w:p>
    <w:p>
      <w:pPr>
        <w:spacing w:after="0" w:line="166"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Our future success depends upon many factors, including our ability, and that of any licensees and collaborators that we may have, to successfully develop, obtain regulatory approval for and commercialize our drug candidates. We have had no commercial revenues from sales of our drug candidates, and we have had a history of operating losses. It is possible that we may not be able to successfully develop, obtain regulatory approval for, or commercialize, our drug candidates, and we are subject to a number of risks that you should be aware of before investing in us. These risks are described more fully in "Item 1A. Risk Factors."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CDX-1140</w:t>
      </w:r>
    </w:p>
    <w:p>
      <w:pPr>
        <w:spacing w:after="0" w:line="225"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color w:val="auto"/>
        </w:rPr>
        <w:t>CDX-1140 is a fully human agonist monoclonal antibody targeted to CD40, a key activator of immune response, which is found on dendritic cells, macrophages and B cells and is also expressed on many cancer cells. Potent CD40 agonist antibodies have shown encouraging results in early clinical studies; however, systemic toxicity associated with broad CD40 activation has limited their dosing. CDX-1140 has unique properties relative to other CD40 agonist antibodies: potent agonist activity is independent of Fc receptor interaction, contributing to more consistent, controlled immune activation; CD40L binding is not blocked, leading to potential synergistic effects of agonist activity near activated T cells in lymph nodes and tumors; and the antibody does not promote cytokine production in whole blood assays. CDX-1140 has shown direct anti-tumor activity in preclinical models of lymphoma. Preclinical studies of CDX-1140 clearly demonstrate strong immune activation effects and low systemic toxicity and support the design of the Phase 1 study to identify the dose for characterizing single-agent and combination activity.</w:t>
      </w:r>
    </w:p>
    <w:p>
      <w:pPr>
        <w:spacing w:after="0" w:line="178"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initiated a Phase 1 study of CDX-1140 in November 2017. This study is expected to enroll up to approximately 220 patients with recurrent, locally advanced or metastatic solid tumors and B cell lymphomas. The study is designed to determine the maximum tolerated dose, or MTD, during a dose-escalation phase (0.01 to 3.0 mg/kg once every four weeks until confirmed progression or intolerance) and to recommend a dose level for further study in a subsequent expansion phase. The expansion is designed to further evaluate the tolerability and biologic effects of selected dose(s) of CDX-1140 in specific tumor types. Secondary objectives include assessments of safety and tolerability, pharmacodynamics, pharmacokinetics, immunogenicity and additional measures of anti-tumor activity, including clinical benefit rate. We believe that the potential for CDX-1140 will be best defined in combination studies with other immunotherapies or conventional cancer treatments.</w:t>
      </w:r>
    </w:p>
    <w:p>
      <w:pPr>
        <w:spacing w:after="0" w:line="172"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 support of this, the Phase 1 study protocol also allows for the exploration of CDX-1140 in combination with CDX-301 at a fixed dose of CDX-301 and escalating doses of CDX-1140. Dendritic cells, which express CD40, are often rare or missing from the tumor microenvironment and are critical for initiating anti-tumor immunity. CDX-301, a recombinant FMS-like tyrosine kinase 3 ligand, or Flt3L, is a hematopoietic cytokine that uniquely expands dendritic cells and hematopoietic stem cells, and in combination with other agents may potentiate anti-tumor responses. CDX-301 is being utilized as a priming agent in this study to increase the number of dendritic cells in blood and tissue available for CDX-1140 activation. CDX-1140 should, in turn, activate and mature the dendritic cells, an important step for enhancing anti-tumor immune responses.</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Interim data from this ongoing study were presented at the Society for Immunotherapy of Cancer's (SITC) 34th Annual Meeting in November 2019. CDX-1140 monotherapy dose escalation in the study is complete and the maximum tolerated dose and recommended Phase 2 dose was defined as 1.5 mg/kg every four weeks. CDX-1140 monotherapy and combination with CDX-301 was generally well tolerated, with mostly grade 1 or grade 2 drug related adverse events reported. Two patients out of six experienced pneumonitis as dose limiting toxicities (DLTs) in the CDX-1140 3.0 mg/kg monotherapy cohort. There were no dose DLTs observed in the CDX-301 combination cohorts up to 0.72 mg/kg CDX-1140. A cohort of CDX-1140 at 1.5 mg/kg plus CDX-301, which was ongoing at the time of data release, has subsequently completed dose escalation with no DLTs observed; therefore, the recommended dose of CDX-1140 in combination with CDX-301 is 1.5mg/kg.</w:t>
      </w:r>
    </w:p>
    <w:p>
      <w:pPr>
        <w:spacing w:after="0" w:line="172" w:lineRule="exact"/>
        <w:rPr>
          <w:sz w:val="20"/>
          <w:szCs w:val="20"/>
          <w:color w:val="auto"/>
        </w:rPr>
      </w:pPr>
    </w:p>
    <w:p>
      <w:pPr>
        <w:jc w:val="both"/>
        <w:ind w:right="160" w:firstLine="341"/>
        <w:spacing w:after="0" w:line="306" w:lineRule="auto"/>
        <w:rPr>
          <w:sz w:val="20"/>
          <w:szCs w:val="20"/>
          <w:color w:val="auto"/>
        </w:rPr>
      </w:pPr>
      <w:r>
        <w:rPr>
          <w:rFonts w:ascii="Arial" w:cs="Arial" w:eastAsia="Arial" w:hAnsi="Arial"/>
          <w:sz w:val="16"/>
          <w:szCs w:val="16"/>
          <w:color w:val="auto"/>
        </w:rPr>
        <w:t>As of the cut-off date for data reporting for SITC, 62 patients with advanced refractory solid tumors or lymphoma were enrolled and 38 patients had pre-and post-treatment scans available. Patients were heavily pretreated (median of 4 prior therapies) and per protocol were required to have received all standard of care treatments prior to study entry. CDX-1140 demonstrated clinical and biological activity in the study.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298"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Two of five patients with head and neck squamous cell carcinoma (HNSCC) treated with CDX-1140 doses of 0.72 mg/kg or higher experienced clinical activity. The first patient experienced dramatic shrinkage of a large, protruding neck mass on physical exam after two doses of CDX-1140 at 1.5 mg/kg with documented evidence of tumor necrosis/cavitation on CT scan. This patient also reported decreased tumor pain. A second patient experienced cavitation of greater than 50% of lung metastases on CT scan after one dose of CDX-1140 3 mg/kg.</w:t>
      </w:r>
    </w:p>
    <w:p>
      <w:pPr>
        <w:spacing w:after="0" w:line="193" w:lineRule="exact"/>
        <w:rPr>
          <w:rFonts w:ascii="Arial" w:cs="Arial" w:eastAsia="Arial" w:hAnsi="Arial"/>
          <w:sz w:val="16"/>
          <w:szCs w:val="16"/>
          <w:color w:val="auto"/>
        </w:rPr>
      </w:pPr>
    </w:p>
    <w:p>
      <w:pPr>
        <w:ind w:left="1080" w:right="8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patient with gastroesophageal carcinoma experienced a RECIST response after two cycles of CDX-1140 0.36 mg/kg plus CDX-301 that included 41% shrinkage of liver and lymph node target lesions, with near complete resolution of the liver lesion. This response was durable for four months.</w:t>
      </w:r>
    </w:p>
    <w:p>
      <w:pPr>
        <w:spacing w:after="0" w:line="207"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Six patients experienced stable disease (n=4 CDX-1140 monotherapy; n=2 CDX-1140/CDX-301 combination) with a duration of 1.8 months to 5.4 months.</w:t>
      </w:r>
    </w:p>
    <w:p>
      <w:pPr>
        <w:spacing w:after="0" w:line="199"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One patient experienced immune unconfirmed progressive disease on their first scan and continued on treatment for 10+ months without confirmation of progressive disease at CDX-1140 0.09 mg/kg plus CDX-301.</w:t>
      </w:r>
    </w:p>
    <w:p>
      <w:pPr>
        <w:spacing w:after="0" w:line="186"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Potent pharmacological effects associated with immune activation were also observed, including transient induction of inflammatory cytokines and chemokines associated with dendritic cell and T cell activation at higher dose levels. Similar activation was observed with each cycle of therapy. Peripheral blood immune cells had upregulated immune activation markers and CDX-301 markedly increased the number of dendritic cells and was associated with higher IL-12p40 induction, a key molecule for inducing anti-tumor T cell responses.</w:t>
      </w:r>
    </w:p>
    <w:p>
      <w:pPr>
        <w:spacing w:after="0" w:line="197"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color w:val="auto"/>
        </w:rPr>
        <w:t>CDX-1140 monotherapy expansion cohorts in HNSCC, renal cell carcinoma and gastroesophageal adenocarcinoma have been added to the study, along with a combination cohort of CDX-1140 and CDX-301 in HNSCC. In addition, we have amended the ongoing Phase 1 study to evaluate CDX-1140 in combination with KEYTRUDA® (pembrolizumab), Merck's anti-PD-1 therapy, under a clinical trial collaboration agreement with Merck (known as MSD outside of the U.S. and Canada). The cohort is designed to characterize the safety, pharmacodynamics and activity of CDX-1140 in combination with pembrolizumab in patients refractory to PD1/PDL1 treatment. Enrollment is ongoing. The Company is exploring additional combination cohorts with mechanisms that we believe could be complementary or synergistic with CDX-1140.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CDX-3379</w:t>
      </w:r>
    </w:p>
    <w:p>
      <w:pPr>
        <w:spacing w:after="0" w:line="225" w:lineRule="exact"/>
        <w:rPr>
          <w:sz w:val="20"/>
          <w:szCs w:val="20"/>
          <w:color w:val="auto"/>
        </w:rPr>
      </w:pPr>
    </w:p>
    <w:p>
      <w:pPr>
        <w:ind w:right="140" w:firstLine="351"/>
        <w:spacing w:after="0" w:line="288" w:lineRule="auto"/>
        <w:rPr>
          <w:sz w:val="20"/>
          <w:szCs w:val="20"/>
          <w:color w:val="auto"/>
        </w:rPr>
      </w:pPr>
      <w:r>
        <w:rPr>
          <w:rFonts w:ascii="Arial" w:cs="Arial" w:eastAsia="Arial" w:hAnsi="Arial"/>
          <w:sz w:val="16"/>
          <w:szCs w:val="16"/>
          <w:color w:val="auto"/>
        </w:rPr>
        <w:t>CDX-3379 is a human monoclonal antibody with half-life extension designed to block the activity of ErbB3 (HER3). We believe ErbB3 may be an important receptor regulating cancer cell growth and survival as well as resistance to targeted therapies. ErbB3 is expressed in many cancers, including head and neck, thyroid, breast, lung and gastric cancers, as well as melanoma. We believe the proposed mechanism of action for CDX-3379 sets it apart from other drugs in development in this class due to its ability to block both ligand-independent and ligand-dependent ErbB3 signaling by binding to a unique epitope. It has a favorable pharmacologic profile, including a longer half-life and slower clearance relative to other drug candidates in this class. We believe CDX-3379 also has potential to enhance anti-tumor activity and/or overcome resistance in combination with other targeted and cytotoxic therapies to directly kill tumor cells. Tumor cell death and the ensuing release of new tumor antigens has the potential to serve as a focus for combination therapy with immuno-oncology approaches, even in refractory patients. CDX-3379 has been evaluated in three Phase 1 studies for the treatment of multiple solid tumors that express ErbB3 and is currently being evaluated in a Phase 2 study.</w:t>
      </w:r>
    </w:p>
    <w:p>
      <w:pPr>
        <w:spacing w:after="0" w:line="173"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Enrollment opened in November 2017 to an open-label Phase 2 study in combination with Erbitux in patients with human papillomavirus (HPV) negative, Erbitux-resistant, advanced HNSCC who have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314" w:lineRule="auto"/>
        <w:rPr>
          <w:sz w:val="20"/>
          <w:szCs w:val="20"/>
          <w:color w:val="auto"/>
        </w:rPr>
      </w:pPr>
      <w:r>
        <w:rPr>
          <w:rFonts w:ascii="Arial" w:cs="Arial" w:eastAsia="Arial" w:hAnsi="Arial"/>
          <w:sz w:val="15"/>
          <w:szCs w:val="15"/>
          <w:color w:val="auto"/>
        </w:rPr>
        <w:t>previously been treated with an anti-PD1 checkpoint inhibitor, a population with limited options and a particularly poor prognosis. The study was initially designed as a Simon two-stage design with an interim futility analysis following enrollment of the first 13 patients. According to the study design, if at least one patient achieved an objective response in the first stage, enrollment could progress to the second stage. The primary endpoint of the study is objective response rate (ORR). Secondary endpoints include assessments of clinical benefit response (CBR), duration of response (DOR), progression-free survival (PFS), overall survival (OS), and safety and pharmacokinetics associated with the combination. Enrollment to the first stage of the Phase 2 study (n=15) is complete and interim data from the study were presented at the 2019 ASCO Annual Meeting in June that support the continued development of CDX-3379.</w:t>
      </w:r>
    </w:p>
    <w:p>
      <w:pPr>
        <w:spacing w:after="0" w:line="158"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Patients had a median of 3 (range of 2-6) prior cancer therapy treatments. All patients had received prior checkpoint inhibitor treatment and 14 of 15 patients were cetuximab refractory. Notable clinical activity was observed in this refractory patient population. A durable confirmed complete response (11+ months) was observed. An unconfirmed partial response (uPR) in a patient that had not received cetuximab was also observed. 7 patients experienced stable disease (47%; includes uPR). A clinical benefit rate of 29% was achieved (objective response or stable disease greater than or equal to 12 weeks). CDX-3379 in combination with cetuximab was generally associated with the expected target-mediated adverse events of diarrhea and rash.</w:t>
      </w:r>
    </w:p>
    <w:p>
      <w:pPr>
        <w:spacing w:after="0" w:line="169"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Emerging data from the Phase 2 study and earlier studies of CDX-3379 suggest that antitumor activity may be associated with somatic mutations in certain genes. Based on these observations, next-generation sequencing was performed on tumor samples from 18 patients with HNSCC treated with CDX-3379 across three clinical studies of CDX-3379 that have enrolled patients with HNSCC. This data set included four patients with clinical responses, eight patients with stable disease and/or tumor shrinkage, and six patients with progressive disease. Key findings are outlined below.</w:t>
      </w:r>
    </w:p>
    <w:p>
      <w:pPr>
        <w:spacing w:after="0" w:line="180"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four clinical responses occurred in patients with mutations in the FAT1 gene.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four clinical responses occurred in patients with a primary tumor site of oral cavity.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Three of the four clinical responses occurred in patients who also had mutations in NOTCH1, NOTCH2 or NOTCH3 genes.</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Also, of note, all patients (n=7 of 18) who experienced clinical benefit (objective response or stable disease greater than or equal to 12 weeks) had FAT1 and/or NOTCH1-3 mutations.</w:t>
      </w:r>
    </w:p>
    <w:p>
      <w:pPr>
        <w:spacing w:after="0" w:line="212" w:lineRule="exact"/>
        <w:rPr>
          <w:rFonts w:ascii="Arial" w:cs="Arial" w:eastAsia="Arial" w:hAnsi="Arial"/>
          <w:sz w:val="18"/>
          <w:szCs w:val="18"/>
          <w:color w:val="auto"/>
        </w:rPr>
      </w:pPr>
    </w:p>
    <w:p>
      <w:pPr>
        <w:ind w:left="1080" w:right="160" w:hanging="532"/>
        <w:spacing w:after="0" w:line="306"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FAT1 and NOTCH genes are associated with tumor suppression. Inactivating mutations in the FAT1 and NOTCH genes occur in sizeable subsets of HPV negative HNSCC tumors, having been identified in 32% (FAT1) and 26% (NOTCH) of these tumors, respectively. Preclinical studies investigating the association of CDX-3379 sensitivity and inactivating mutations of FAT1 and other genes are ongoing.</w:t>
      </w:r>
    </w:p>
    <w:p>
      <w:pPr>
        <w:spacing w:after="0" w:line="160"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Based on these biomarker observations and the notable clinical activity observed in this refractory patient population, the study has been expanded (n= ~45 patients, including at least 15 patients with FAT1 mutations) to allow for an evaluation of the utility of biomarkers for future patient selection. Enrollment is ongoing.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CDX-0159</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CDX-0159 is a humanized monoclonal antibody that specifically binds the receptor tyrosine kinase KIT and potently inhibits its activity. KIT is expressed in a variety of cells, including mast cells, and its activation by its ligand SCF regulates mast cell growth, differentiation, survival, chemotaxis and degranulation. In certain inflammatory diseases, such as chronic spontaneous urticaria (CSU), also known as chronic idiopathic urticaria (CIU), and chronic inducible urticarias (CINDUs), mast cell degranulation plays a central role in the onset and progression of the disease.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331" w:lineRule="auto"/>
        <w:rPr>
          <w:sz w:val="20"/>
          <w:szCs w:val="20"/>
          <w:color w:val="auto"/>
        </w:rPr>
      </w:pPr>
      <w:r>
        <w:rPr>
          <w:rFonts w:ascii="Arial" w:cs="Arial" w:eastAsia="Arial" w:hAnsi="Arial"/>
          <w:sz w:val="16"/>
          <w:szCs w:val="16"/>
          <w:color w:val="auto"/>
        </w:rPr>
        <w:t>CDX-0159 is designed to block KIT activation by disrupting both SCF binding and KIT dimerization. Celldex believes that by targeting KIT, CDX-0159 may be able to inhibit mast cell activity and decrease mast cell numbers to provide potential clinical benefit in mast cell related diseases.</w:t>
      </w:r>
    </w:p>
    <w:p>
      <w:pPr>
        <w:spacing w:after="0" w:line="141"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initiated a Phase 1a study of CDX-0159 in November 2019. The study is designed to evaluate the safety profile, pharmacokinetics and pharmacodynamics of single ascending doses of CDX-0159 in healthy subjects. Following completion of this study, we plan to iniate studies of CDX-0159 in CSU and CINDU, both mast cell-related diseases, by year-end 2020. CSU presents as itchy hives, angioedema or both for at least six weeks without a specific trigger; multiple episodes can play out over years or even decades. About 50% of patients with CSU achieve symptomatic control with antihistamines or leukotriene receptor antagonists. Omalizumab, an IgE inhibitor, provides relief for roughly half of the remaining antihistamine/leukotriene refractory patients. Consequently, there is a need for more effective later line therapies. CINDUs are forms of urticaria that have an attributable cause or trigger associated with them, typically resulting in hives or wheals. We are exploring cold-induced and dermographism-induced (scratching the skin) urticarias.</w:t>
      </w:r>
    </w:p>
    <w:p>
      <w:pPr>
        <w:spacing w:after="0" w:line="172"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 review of the CDX-0159 early development program was presented at American College of Allergy, Asthma &amp; Immunology Annual Scientific Meeting in November 2019.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CDX-527</w:t>
      </w:r>
    </w:p>
    <w:p>
      <w:pPr>
        <w:spacing w:after="0" w:line="225"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CDX-527 is the first candidate from Celldex's bispecific antibody platform. Bispecifics provide opportunities to engage two independent pathways involved in controlling immune responses to tumors. CDX-527 uses Celldex's proprietary highly active anti-PD-L1 and CD27 human antibodies to couple CD27 co-stimulation with blockade of the PD-L1/PD-1 pathway to help prime and activate anti-tumor T cell responses through CD27 costimulation, while preventing PD-1 inhibitory signals that subvert the immune response.</w:t>
      </w:r>
    </w:p>
    <w:p>
      <w:pPr>
        <w:spacing w:after="0" w:line="197"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Celldex's prior clinical experience with combining CD27 activation and PD-1 blockade provide the rationale for linking these two pathways into one molecule. Preclinical data presented at the SITC 34th Annual Meeting in November 2019 demonstrated that CDX-527 is more potent at T cell activation and anti-tumor immunity than the combination of parental monoclonal antibodies.</w:t>
      </w:r>
    </w:p>
    <w:p>
      <w:pPr>
        <w:spacing w:after="0" w:line="19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Celldex plans to initiate a Phase 1 dose-escalation study in up to 90 patients with advanced or metastatic solid tumors that have progressed during or after standard of care therapy in the second half of 2020, followed by tumor-specific expansion cohorts to further evaluate the tolerability, biologic and anti-tumor effects of selected dose level(s) of CDX-527 in specific tumor types.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Partnerships</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may enter into co-development and commercialization partnerships for any of our programs where appropriate. In the past, we have entered into collaborative partnership agreements with pharmaceutical and other companies and organizations that provided financial and other resources, including capabilities in research, development, manufacturing, and sales and marketing, to support our research and development programs and may enter into more of them in the future.</w:t>
      </w:r>
    </w:p>
    <w:p>
      <w:pPr>
        <w:spacing w:after="0" w:line="197"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Partnership agreements may terminate without benefit to us if the underlying products are not fully developed. If we fail to meet our obligations under these agreements, they could terminate, and we might need to enter into relationships with other collaborators and to spend additional time, money and other valuable resources in the process. We cannot predict whether our collaborators will continue their development efforts or, if they do, whether their efforts will achieve success. Many of our collaborators face the same kinds of risks and uncertainties in their businesses that we face. A delay or setback to a partner will, at a minimum, delay the commercialization of any affected drug candidates, and may ultimately prevent it. Moreover, any partner could breach its agreement with us or otherwise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not use best efforts to promote our products. A partner may choose to pursue alternative technologies or products that compete with our technologies or drug candidates. In either case, if a partner failed to successfully develop one of our drug candidates, we would need to find another partner. Our ability to do so would depend upon our legal right to do so at the time and whether the product remained commercially viable.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Collaboration and License Agreements</w:t>
      </w:r>
    </w:p>
    <w:p>
      <w:pPr>
        <w:spacing w:after="0" w:line="231" w:lineRule="exact"/>
        <w:rPr>
          <w:sz w:val="20"/>
          <w:szCs w:val="20"/>
          <w:color w:val="auto"/>
        </w:rPr>
      </w:pPr>
    </w:p>
    <w:p>
      <w:pPr>
        <w:ind w:right="20" w:firstLine="348"/>
        <w:spacing w:after="0" w:line="323" w:lineRule="auto"/>
        <w:rPr>
          <w:sz w:val="20"/>
          <w:szCs w:val="20"/>
          <w:color w:val="auto"/>
        </w:rPr>
      </w:pPr>
      <w:r>
        <w:rPr>
          <w:rFonts w:ascii="Arial" w:cs="Arial" w:eastAsia="Arial" w:hAnsi="Arial"/>
          <w:sz w:val="15"/>
          <w:szCs w:val="15"/>
          <w:color w:val="auto"/>
        </w:rPr>
        <w:t>We have entered into license agreements whereby we have received licenses or options to license technology, specified patents and/or patent applications. These license and collaboration agreements generally provide for royalty payments equal to specified percentages of product sales, annual license maintenance fees, continuing patent prosecution costs and potential future milestone payments to third parties upon the achievement of certain development, regulatory and/or commercial milestones. Summarized below are our significant research collaboration and license agreements for our later-stage drug candidates.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University of Southampton, UK (Southampton)</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Under a license agreement with Southampton, we acquired the rights to develop human antibodies towards CD27, a potentially important target for immunotherapy of various cancers. We may be required to pay Southampton milestones of up to approximately $1.0 million upon obtaining first approval for commercial sale in a first indication and royalty payments in the low-single digits on any net product sales with respect to development and commercialization of CDX-527.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Inc. (Amgen)</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Under a license agreement with Amgen, we acquired the exclusive rights to CDX-301 and CD40 ligand, or CD40L. CDX-301 and CD40L are immune modulating molecules that increase the numbers and activity of immune cells that control immune responses. We may be required to pay Amgen milestones of up to $0.9 million upon obtaining first approval for commercial sale in a first indication and royalty payments in the low-single digits on any net product sales with respect to development and commercialization of the technology licensed from Amgen, including CDX-301.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Yale University (Yale)</w:t>
      </w:r>
    </w:p>
    <w:p>
      <w:pPr>
        <w:spacing w:after="0" w:line="225" w:lineRule="exact"/>
        <w:rPr>
          <w:sz w:val="20"/>
          <w:szCs w:val="20"/>
          <w:color w:val="auto"/>
        </w:rPr>
      </w:pPr>
    </w:p>
    <w:p>
      <w:pPr>
        <w:ind w:right="280" w:firstLine="351"/>
        <w:spacing w:after="0" w:line="254" w:lineRule="auto"/>
        <w:rPr>
          <w:sz w:val="20"/>
          <w:szCs w:val="20"/>
          <w:color w:val="auto"/>
        </w:rPr>
      </w:pPr>
      <w:r>
        <w:rPr>
          <w:rFonts w:ascii="Arial" w:cs="Arial" w:eastAsia="Arial" w:hAnsi="Arial"/>
          <w:sz w:val="18"/>
          <w:szCs w:val="18"/>
          <w:color w:val="auto"/>
        </w:rPr>
        <w:t>Under a license agreement with Yale, we may be required to make a one-time payment to Yale of $3.0 million with respect to each therapeutic or prophylactic receptor tyrosine kinase (RTK) royalty-bearing product, including CDX-3379, that achieves a specified commercial milestone. In addition, we may be required to pay a low single-digit royalty on annual worldwide net sales of each RTK royalty-bearing product, including CDX-3379. Unless earlier terminated by us or Yale, the Yale license agreement is due to expire no later than May 2038 but may expire earlier on a country-by-country basis under specified circumstances.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MedImmune, LLC (MedImmune)</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Under a license agreement with MedImmune, we acquired exclusive rights to specified patent rights and know-how that are controlled by MedImmune and relate to the research, development, manufacture and commercialization of CDX-3379. We may be required to pay Medimmune up to $45.0 million upon obtaining specified regulatory and development milestones in the first indication of CDX-3379. In addition, we may be required to pay MedImmune one-time milestone payments of up to $125.0 million if specified annual net sale thresholds are met related to the first indication of CDX-3379. We may also be required to pay MedImmune a tiered royalty on annual net sales of CDX-3379 at rates ranging from high single-digit to low teens percentages. These royalties may be</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reduced in specified circumstances and are payable on a product-by-product and country-by-country basis until the later to occur of ten years after the first commercial sale of the product in that country and the expiration of MedImmune's patent rights that cover the sale of the product in that country. We may also be required to pay specified royalties on annual net sales of CDX-3379 at a rate in the low single digits to certain other third parties from whom MedImmune licensed certain intellectual property.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biotechnology and pharmaceutical industry is intensely competitive and subject to rapid and significant technological change. Many of the products that we are attempting to develop and commercialize will be competing with existing therapies. Other companies are pursuing the development of new therapies that target the same diseases and conditions that we are targeting and may compete directly with our drug candidates. We face competition from companies, major universities and research institutions in the United States and abroad, including a number of large pharmaceutical companies, as well as firms specialized in the development and production of vaccines, adjuvants, targeted therapies and immune modulators. Some of our competitors possess substantially greater financial, technical and human resources than we do.</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competitors may utilize discovery technologies and techniques or partner with collaborators in order to develop products more rapidly or successfully than us or our collaborators are able to. In addition, some competitors have significantly greater experience than we have in conducting preclinical and nonclinical testing and human clinical trials of drug candidates, scaling up manufacturing operations and obtaining regulatory approvals of drugs and manufacturing facilities. Accordingly, our competitors may succeed in obtaining regulatory approval for drugs more rapidly than we do. If we obtain regulatory approval and commence commercial sales of our drug candidates, we also will compete with respect to manufacturing efficiency and sales and marketing capabilities, areas in which we currently have limited experience.</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addition, academic institutions, government agencies and other public and private organizations conducting research may seek patent protection with respect to potentially competitive products or technologies and may establish exclusive collaborative or licensing relationships with our competitors. Moreover, technology controlled by third parties that may be advantageous to our business may be acquired or licensed by our competitors, thereby preventing us from obtaining technology on commercially reasonable terms, if at all. We will also compete for the services of third parties that may have already developed or acquired internal biotechnology capabilities or made commercial arrangements with other biopharmaceutical companies to target the diseases on which we have focused both in the U.S. and outside of the U.S.</w:t>
      </w:r>
    </w:p>
    <w:p>
      <w:pPr>
        <w:spacing w:after="0" w:line="174"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We also face competition in recruiting and retaining highly qualified scientific personnel and consultants and in the development and acquisition of technologies.</w:t>
      </w:r>
    </w:p>
    <w:p>
      <w:pPr>
        <w:spacing w:after="0" w:line="186"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Our competitive position will depend upon our ability to attract and retain qualified personnel, obtain patent protection or otherwise develop proprietary products or processes and secure sufficient capital resources for the often lengthy period between technological conception and commercial sales. We will require substantial capital resources to complete development of some or all of our drug candidates, obtain the necessary regulatory approvals and successfully manufacture and market our drug candidates. In order to secure capital resources, we anticipate having to sell additional capital stock, which would dilute existing stockholders. We may also attempt to obtain funds through research grants and agreements with commercial collaborators. However, these types of funding are uncertain because they are at the discretion of the organizations and companies that control the funds. As a result, we may not receive any funds from grants or collaborations. Alternatively, we may borrow funds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from commercial lenders, likely at high interest rates, which would increase the risk of any investment in us.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1"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We are a research and development company and have limited experience in commercial manufacturing. Our ability to conduct late-stage clinical trials, as well as manufacture and commercialize our drug candidates, depends on the ability of Contract Manufacturing Organizations (CMOs) to manufacture our drug candidates on a large scale at a competitive cost and in accordance with current Good Manufacturing Practices (cGMP) and U.S. and foreign regulatory requirements, as applicable. We also rely on CMOs for manufacturing, packaging, labeling, storing and shipping our drug products. In order for us to establish our own commercial manufacturing facility, we would require substantial additional funds and would need to hire and retain significant additional personnel and comply with cGMP regulations applicable to such a facility. The commercial manufacturing facility would also need to be licensed for the production of our drug candidates by the FDA. We therefore work with CMOs under established manufacturing arrangements that comply with the FDA's requirements and other regulatory standards, although there is no assurance that the manufacturing will be successful.</w:t>
      </w:r>
    </w:p>
    <w:p>
      <w:pPr>
        <w:spacing w:after="0" w:line="178"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We operate our own cGMP manufacturing facility in Fall River, Massachusetts, to produce drug substance for our current and planned early-stage clinical trials. Our Fall River manufacturing facility has 250L and 1000L bioreactor capacity and is able to manufacture in compliance with FDA regulations, allowing us to distribute drug candidates to clinical sites in the U.S. for early-stage clinical trials. We currently manufacture CDX-1140, CDX-301, CDX-527 and CDX-0159 drug substance in our Fall River facility for our current and planned Phase 1 and Phase 2 clinical trials. We expect that our existing clinical supplies of CDX-3379 will be sufficient to carry out our current planned clinical development. Additional manufacturing options are under review and may involve utilization of the Fall River facility and/or a CMO. All products are then filled and packaged at CMOs. Any manufacturing failures or compliance issues at contract manufacturers could cause delays in our Phase 1 and Phase 2 clinical studies for these drug candidates.</w:t>
      </w:r>
    </w:p>
    <w:p>
      <w:pPr>
        <w:spacing w:after="0" w:line="172"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manufacturing processes for our drug candidates and immunotherapeutic delivery systems utilize known technologies. We believe that the drug candidates we currently have under development can be scaled up to permit manufacture in commercial quantities. However, there can be no assurance that we will not encounter difficulties in scaling up the manufacturing processes.</w:t>
      </w:r>
    </w:p>
    <w:p>
      <w:pPr>
        <w:spacing w:after="0" w:line="194"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While we believe that there is currently sufficient capacity worldwide for the production of our potential products through CMOs, establishing long-term relationships with contract manufacturers and securing multiple sources for the necessary quantities of clinical and commercial materials required can be a challenge due to increasing industry demand for CMO services. Qualifying the initial source of clinical and ultimately commercial material is a time consuming and expensive process due to the highly regulated nature of the pharmaceutical/biotech industry. These costs may be mitigated by the economies of scale realized in commercial manufacture and product sales. The key difficulty in qualifying more than one source for each product is the duplicated time and expense in doing so without the potential to mitigate these costs if the secondary source is never utilized.</w:t>
      </w:r>
    </w:p>
    <w:p>
      <w:pPr>
        <w:spacing w:after="0" w:line="17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Use of third-party manufacturers limits our control over and ability to monitor the manufacturing process. As a result, we may not be able to detect a variety of problems that may arise and may face additional costs in the process of interfacing with and monitoring the progress of our contract manufacturers. If third-party manufacturers fail to meet our manufacturing needs in an acceptable manner, we would face delays and additional costs while we develop internal manufacturing capabilities or find alternate third-party manufacturers. It may not be possible to have multiple third-party manufacturers ready to supply us with needed material at all or without incurring significant costs.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Organization</w:t>
      </w:r>
    </w:p>
    <w:p>
      <w:pPr>
        <w:spacing w:after="0" w:line="231"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We have limited commercial experience in marketing, sales, distribution and product reimbursement. We have the capability to provide current and future market insights to our research and development organization regarding our potential drug candidates. In the future, we may choose to expand our commercial team and build a full-scale commercial organization which we believe could provide us the opportunity to retain marketing rights to our drug candidates and commercialize such products ourselves where we deem appropriate or pursue strategic partnerships to develop, sell, market and distribute our drug candidates where we deem appropriate.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Licenses and Proprietary Rights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general, our intellectual property strategy is to protect our technology by filing patent applications and obtaining patent rights covering our own technology, both in the United States and in foreign countries that we consider important to our business. In addition, we have acquired and will seek to acquire as needed or desired, exclusive rights of others through assignment or license to complement our portfolio of patent rights. We also rely on trade secrets, unpatented know-how and technological expertise and innovation to develop and maintain our competitive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successful development and marketing of products by us will depend in part on our ability to create and maintain intellectual property, including patent rights. We are the owner or exclusive licensee to proprietary patent positions in the areas of immunotherapy technologies, vaccine technologies and antibody technologies. Although we continue to pursue patent protection for our products, no assurance can be given that any pending application will issue as a patent, that any issued patent will have a scope that will be of commercial benefit or that we will be able to successfully enforce our patent position against infringers. We routinely review our patent portfolio and adjust our strategies for prosecution and maintenance of individual cases according to a number of factors, including program priorities, stage of development and patent term.</w:t>
      </w:r>
    </w:p>
    <w:p>
      <w:pPr>
        <w:spacing w:after="0" w:line="174"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We own or license rights under more than 100 granted patents and national and regional patent applications in the U.S. and in major international territories covering inventions relating to our business. The key patents and patent applications owned by us or licensed to us that we consider important to our business include the following (the indicated and estimated patent expiry dates are the estimated normal expirations if all maintenance fees and annuities are paid when due, and do not include any possible additional terms for Patent Term Extensions (PTEs) or Supplementary Protection Certificates (SPCs), if these may be secured in due course):</w:t>
      </w:r>
    </w:p>
    <w:p>
      <w:pPr>
        <w:spacing w:after="0" w:line="214" w:lineRule="exact"/>
        <w:rPr>
          <w:sz w:val="20"/>
          <w:szCs w:val="20"/>
          <w:color w:val="auto"/>
        </w:rPr>
      </w:pPr>
    </w:p>
    <w:p>
      <w:pPr>
        <w:ind w:left="1080" w:right="20" w:hanging="532"/>
        <w:spacing w:after="0" w:line="254"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own a portfolio of patent applications directed to CDX-1140 and certain other anti-CD40 antibodies. These patent applications include claims directed to particular anti-CD40 antibody compositions of matter, including CDX-1140 compositions of matter, and methods of using such antibodies. Patent applications in this portfolio are pending in the U.S., Europe, Japan, Australia, Canada, China, India, New Zealand, Republic of Korea, Russian Federation and certain other countries. If and when issued the foregoing would have estimated normal patent expiry dates in 2037.</w:t>
      </w:r>
    </w:p>
    <w:p>
      <w:pPr>
        <w:spacing w:after="0" w:line="227" w:lineRule="exact"/>
        <w:rPr>
          <w:rFonts w:ascii="Arial" w:cs="Arial" w:eastAsia="Arial" w:hAnsi="Arial"/>
          <w:sz w:val="18"/>
          <w:szCs w:val="18"/>
          <w:color w:val="auto"/>
        </w:rPr>
      </w:pPr>
    </w:p>
    <w:p>
      <w:pPr>
        <w:ind w:left="1080" w:right="140" w:hanging="532"/>
        <w:spacing w:after="0" w:line="254"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exclusively licensed a portfolio of patents and patent applications relating to particular ErbB3 inhibitors from MedImmune. These patents and patent applications include claims directed to particular anti-ErbB3 antibody compositions of matter, including CDX-3379 compositions of matter, and methods of using such antibodies. Patents have been issued in the U.S., Europe, Japan, Australia, China, New Zealand and the Russian Federation which have estimated normal patent expiry dates in 2032. Patent applications in this portfolio are pending in</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60"/>
        <w:spacing w:after="0" w:line="268" w:lineRule="auto"/>
        <w:rPr>
          <w:sz w:val="20"/>
          <w:szCs w:val="20"/>
          <w:color w:val="auto"/>
        </w:rPr>
      </w:pPr>
      <w:r>
        <w:rPr>
          <w:rFonts w:ascii="Arial" w:cs="Arial" w:eastAsia="Arial" w:hAnsi="Arial"/>
          <w:sz w:val="18"/>
          <w:szCs w:val="18"/>
          <w:color w:val="auto"/>
        </w:rPr>
        <w:t>Canada, India, Republic of Korea and certain other countries, and any patents that may issue from these applications would also have estimated normal patent expiry dates in 2032.</w:t>
      </w:r>
    </w:p>
    <w:p>
      <w:pPr>
        <w:spacing w:after="0" w:line="199" w:lineRule="exact"/>
        <w:rPr>
          <w:sz w:val="20"/>
          <w:szCs w:val="20"/>
          <w:color w:val="auto"/>
        </w:rPr>
      </w:pPr>
    </w:p>
    <w:p>
      <w:pPr>
        <w:ind w:left="1080" w:right="180" w:hanging="532"/>
        <w:spacing w:after="0" w:line="291"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own a portfolio of patents and patent applications directed to CDX-0159 and other anti-KIT receptor antibodies. These patents and patent applications include claims directed to particular anti-KIT antibody compositions of matter, including CDX-0159 compositions of matter, and methods of using such antibodies. A patent has been issued in the U.S. which would have an estimated normal patent expiry date in 2034 (including additional term due to Patent Term Adjustment). Patents have also been issued in Europe, Japan, China, Australia, the Russian Federation and Singapore, and foreign counterparts are pending in Canada, India, Republic of Korea and certain other countries. If and where issued the foregoing would have estimated normal patent expiry dates ranging from 2032 to 2033.</w:t>
      </w:r>
    </w:p>
    <w:p>
      <w:pPr>
        <w:spacing w:after="0" w:line="200" w:lineRule="exact"/>
        <w:rPr>
          <w:rFonts w:ascii="Arial" w:cs="Arial" w:eastAsia="Arial" w:hAnsi="Arial"/>
          <w:sz w:val="16"/>
          <w:szCs w:val="16"/>
          <w:color w:val="auto"/>
        </w:rPr>
      </w:pPr>
    </w:p>
    <w:p>
      <w:pPr>
        <w:ind w:left="1080" w:hanging="532"/>
        <w:spacing w:after="0" w:line="288"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own a pending international (PCT) patent application directed to antibody sequences used in CDX-527. This international patent application includes claims directed to particular compositions of matter, including CDX-527 compositions of matter, and methods of use thereof. If continued in the national and regional phases in due course any resulting national and regional patents would have estimated normal patent expiry dates in 2039. We have licensed rights from the University of Southampton under issued U.S., European and Japanese patents and under a pending patent application in Canada relating to uses of certain anti-CD27 antibodies for the treatment of cancer. If and where issued and maintained to full term in due course, these would have estimated normal patent expiry dates in 2027. In September 2014, two European patent oppositions were filed against the University of Southampton European patent, and at a hearing on November 23, 2016 the European Patent Office (EPO) revoked the European patent on the ground of lack of inventive step. The University of Southampton has filed an appeal against this decision. This EPO decision does not affect the later filed Celldex international (PCT) patent application relating to CDX-527.</w:t>
      </w:r>
    </w:p>
    <w:p>
      <w:pPr>
        <w:spacing w:after="0" w:line="186" w:lineRule="exact"/>
        <w:rPr>
          <w:rFonts w:ascii="Arial" w:cs="Arial" w:eastAsia="Arial" w:hAnsi="Arial"/>
          <w:sz w:val="16"/>
          <w:szCs w:val="16"/>
          <w:color w:val="auto"/>
        </w:rPr>
      </w:pPr>
    </w:p>
    <w:p>
      <w:pPr>
        <w:ind w:left="1080" w:right="20" w:hanging="532"/>
        <w:spacing w:after="0" w:line="291"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acquired rights to a portfolio of patents and patent applications related to the "TAM family" of RTKs (comprised of Tyro3 AXL and MerTK) receptors which are in-licensed from, or co-owned with, the Salk Institute for Biological Studies. For example, we have an exclusive license to two issued U.S. patents directed to TAM receptor inhibition to treat infections and to a U.S. patent application directed to methods for the modulation of the immune response via targeting TAM receptors. If maintained to full term, these would have estimated normal patent expiry dates between 2028 and 2029 (including additional term due to Patent Term Adjustment). Further international (PCT) and provisional patent applications have also recently been filed in respect of particular antibodies targeting particular TAM receptors.</w:t>
      </w:r>
    </w:p>
    <w:p>
      <w:pPr>
        <w:spacing w:after="0" w:line="174"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There can be no assurance that patent applications owned by or licensed to us will result in granted patents or that, if granted, the resultant patents will afford protection against competitors with similar technology. It is also possible that third parties may obtain patents or other proprietary rights that may be necessary or useful to us. In cases where third parties are first to invent a particular product or technology, it is possible that those parties will obtain patents that will be sufficiently broad to prevent us from using important technology or from further developing or commercializing important drug candidates and immunotherapeutic systems. If licenses from third parties are necessary but cannot be obtained, commercialization of the covered products might be delayed or prevented. Even if these licenses can be obtained, they would probably require us to pay ongoing royalties and other costs, which could be substantial.</w:t>
      </w:r>
    </w:p>
    <w:p>
      <w:pPr>
        <w:spacing w:after="0" w:line="174" w:lineRule="exact"/>
        <w:rPr>
          <w:sz w:val="20"/>
          <w:szCs w:val="20"/>
          <w:color w:val="auto"/>
        </w:rPr>
      </w:pPr>
    </w:p>
    <w:p>
      <w:pPr>
        <w:ind w:right="340" w:firstLine="341"/>
        <w:spacing w:after="0" w:line="306" w:lineRule="auto"/>
        <w:rPr>
          <w:sz w:val="20"/>
          <w:szCs w:val="20"/>
          <w:color w:val="auto"/>
        </w:rPr>
      </w:pPr>
      <w:r>
        <w:rPr>
          <w:rFonts w:ascii="Arial" w:cs="Arial" w:eastAsia="Arial" w:hAnsi="Arial"/>
          <w:sz w:val="16"/>
          <w:szCs w:val="16"/>
          <w:color w:val="auto"/>
        </w:rPr>
        <w:t>Although a patent has a statutory presumption of validity in the United States, the issuance of a patent is not conclusive as to validity or as to the enforceable scope of the patent claims. The validity or enforceability of a patent after its issuance by the Patent and Trademark Office can be challenged in litigation. As a business that uses a substantial amount of intellectual property, we face a heightened</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risk of intellectual property litigation. If the outcome of the litigation is adverse to the owner of the patent, third parties may then be able to use the invention covered by the patent without authorization or payment. There can be no assurance that our issued patents or any patents subsequently issued to or licensed by us will not be successfully challenged in the future. In addition, there can be no assurance that our patents will not be infringed or that the coverage of our patents will not be successfully avoided by competitors through design innovation.</w:t>
      </w:r>
    </w:p>
    <w:p>
      <w:pPr>
        <w:spacing w:after="0" w:line="16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are aware that others, including universities and companies, have filed patent applications and have been granted patents in the United States and other countries which claim subject matter potentially useful or necessary to the commercialization of our products. The ultimate scope and validity of existing or future patents which have been or may be granted to third parties, and the availability and cost of acquiring rights in those patents necessary to the manufacture, use or sale of our products presently cannot be determined by us.</w:t>
      </w:r>
    </w:p>
    <w:p>
      <w:pPr>
        <w:spacing w:after="0" w:line="197" w:lineRule="exact"/>
        <w:rPr>
          <w:sz w:val="20"/>
          <w:szCs w:val="20"/>
          <w:color w:val="auto"/>
        </w:rPr>
      </w:pPr>
    </w:p>
    <w:p>
      <w:pPr>
        <w:ind w:right="760" w:firstLine="348"/>
        <w:spacing w:after="0" w:line="268" w:lineRule="auto"/>
        <w:rPr>
          <w:sz w:val="20"/>
          <w:szCs w:val="20"/>
          <w:color w:val="auto"/>
        </w:rPr>
      </w:pPr>
      <w:r>
        <w:rPr>
          <w:rFonts w:ascii="Arial" w:cs="Arial" w:eastAsia="Arial" w:hAnsi="Arial"/>
          <w:sz w:val="18"/>
          <w:szCs w:val="18"/>
          <w:color w:val="auto"/>
        </w:rPr>
        <w:t>Third parties may have or may obtain valid and enforceable patents or proprietary rights that could block us from developing products using our technology, including:</w:t>
      </w:r>
    </w:p>
    <w:p>
      <w:pPr>
        <w:spacing w:after="0" w:line="199" w:lineRule="exact"/>
        <w:rPr>
          <w:sz w:val="20"/>
          <w:szCs w:val="20"/>
          <w:color w:val="auto"/>
        </w:rPr>
      </w:pPr>
    </w:p>
    <w:p>
      <w:pPr>
        <w:ind w:left="1080" w:right="8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patents and pending patent applications in the United States and foreign countries relating to particular receptors, antigens and antigenic fragments targeted by our current drug candidates;</w:t>
      </w:r>
    </w:p>
    <w:p>
      <w:pPr>
        <w:spacing w:after="0" w:line="21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patents and pending patent applications related to particular receptors and other molecules on T-cells, dendritic cells and macrophages that may be useful for generating monoclonal antibodies;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patents held by third parties relating to antibody expression in particular types of host cells; and</w:t>
      </w:r>
    </w:p>
    <w:p>
      <w:pPr>
        <w:spacing w:after="0" w:line="238"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patents and pending patent applications in the United States and foreign countries relating to anti-CD27 antibodies, anti-PD-L1 antibodies and certain other antibodies and their sequences and uses.</w:t>
      </w:r>
    </w:p>
    <w:p>
      <w:pPr>
        <w:spacing w:after="0" w:line="212" w:lineRule="exact"/>
        <w:rPr>
          <w:rFonts w:ascii="Arial" w:cs="Arial" w:eastAsia="Arial" w:hAnsi="Arial"/>
          <w:sz w:val="18"/>
          <w:szCs w:val="18"/>
          <w:color w:val="auto"/>
        </w:rPr>
      </w:pPr>
    </w:p>
    <w:p>
      <w:pPr>
        <w:ind w:left="1080" w:right="80" w:hanging="532"/>
        <w:spacing w:after="0" w:line="298"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are also aware of a third-party European patent that relates to use of ErbB3 antibodies for treatment of hyperproliferative disorders, including cancer. Counterparts of this patent have also issued in Australia and Japan. As a result of an opposition proceeding, the European patent was revoked in its entirety. The owner of the European patent appealed the decision in the opposition proceeding but the appeal has been rejected so that the decision to revoke the European patent stands. We continue to monitor counterparts in other jurisdictions.</w:t>
      </w:r>
    </w:p>
    <w:p>
      <w:pPr>
        <w:spacing w:after="0" w:line="166"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In addition to the patents referred to in the previous paragraphs, there may be other patent applications and issued patents belonging to competitors that may require us to alter our drug candidates and immunotherapeutic delivery systems, pay licensing fees or cease some of our activities. If our drug candidates conflict with patents that have been or may be granted to competitors, universities or others, the patent owners could bring legal action against us claiming damages and seeking to enjoin manufacturing and marketing of the patented products. If any of these actions is successful, in addition to any potential liability for damages, we could be required to obtain a license in order to continue to manufacture or market the affected products. There can be no assurance that we would prevail in any such action or that any license required under any such third-party patent would be made available on acceptable terms or at all. We believe that there may be significant litigation in the biotechnology industry regarding patent and other intellectual property rights. If we become involved in that litigation, we could consume substantial resources.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Licenses</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have entered into several significant license agreements relating to technologies that are being developed by us. In general, these institutions have granted us an exclusive worldwide license (with right to sublicense) to make, use and sell products embodying the licensed technology, subject to the reservation by the licensor of a non-exclusive right to use the technologies for non-commercial research purposes. Generally, the term of each license is through the expiration of the last of the patents issued with respect to the technologies covered by the license and/or a specified period from first commercial sale on a territory-by-territory basis. We have generally agreed to use reasonable efforts to develop and commercialize licensed products and to achieve specified milestones and pay license fees, milestone payments and royalties based on the net sales of the licensed products or to pay a percentage of sublicense income. If we breach our obligations, the licensor has the right to terminate the license, and, in some cases, convert the license to a non-exclusive license. Generally, we control and are responsible for the cost of defending the patent rights of the technologies that we license.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Proprietary Rights</w:t>
      </w:r>
    </w:p>
    <w:p>
      <w:pPr>
        <w:spacing w:after="0" w:line="225"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also rely on unpatented technology, trade secrets and confidential information, and no assurance can be given that others will not independently develop substantially equivalent information and techniques or otherwise gain access to our know-how and information, or that we can meaningfully protect our rights in such unpatented technology, trade secrets and information. We require each of our employees, consultants and advisors to execute a confidentiality agreement at the commencement of an employment or consulting relationship with us. The agreements generally provide that all inventions conceived by the individual in the course of employment or in providing services to us and all confidential information developed by, or made known to, the individual during the term of the relationship shall be the exclusive property of us and shall be kept confidential and not disclosed to third parties except in limited specified circumstances. There can be no assurance, however, that these agreements will provide meaningful protection for our information in the event of unauthorized use or disclosure of such confidential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activities and products are significantly regulated by a number of governmental entities, including the U.S. Food and Drug Administration, or FDA, in the United States and by comparable authorities in other countries. These entities regulate, among other things, the manufacture, testing, safety, effectiveness, labeling, documentation, advertising and sale of our products. We must obtain regulatory approval from the FDA and comparable authorities in other countries, as applicable, for our drug candidates before we can commercialize such drugs in the U.S. and foreign jurisdictions. Product development within this regulatory framework takes a number of years and involves the expenditure of substantial resources. Many drug candidates that initially appear promising ultimately do not reach the market because they are found to be unsafe or ineffective when tested. Our inability to commercialize a product would impair our ability to earn future revenues.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Approval Process</w:t>
      </w:r>
    </w:p>
    <w:p>
      <w:pPr>
        <w:spacing w:after="0" w:line="225" w:lineRule="exact"/>
        <w:rPr>
          <w:sz w:val="20"/>
          <w:szCs w:val="20"/>
          <w:color w:val="auto"/>
        </w:rPr>
      </w:pPr>
    </w:p>
    <w:p>
      <w:pPr>
        <w:ind w:right="180" w:firstLine="351"/>
        <w:spacing w:after="0" w:line="254" w:lineRule="auto"/>
        <w:rPr>
          <w:sz w:val="20"/>
          <w:szCs w:val="20"/>
          <w:color w:val="auto"/>
        </w:rPr>
      </w:pPr>
      <w:r>
        <w:rPr>
          <w:rFonts w:ascii="Arial" w:cs="Arial" w:eastAsia="Arial" w:hAnsi="Arial"/>
          <w:sz w:val="18"/>
          <w:szCs w:val="18"/>
          <w:color w:val="auto"/>
        </w:rPr>
        <w:t>In the United States, the FDA regulates drugs and biological products under the Federal Food, Drug, and Cosmetic Act, or FDCA, the Public Health Service Act, or PHSA, and implementing regulations. The process of obtaining regulatory approvals and the subsequent compliance with appropriate federal, state, local and foreign statutes and regulations requires the expenditure of substantial time and financial resources. Failure to comply with the applicable United States requirements at any time during the product development process, approval process or after approval may subject an applicant to a variety of administrative or judicial sanctions, such as the FDA's refusal to approve pending applications, withdrawal of an approval, imposition of a clinical hold, issuance of</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untitled or warning letters, product recalls, product seizures, total or partial suspension of production or distribution injunctions, fines, refusals of government contracts, restitution, disgorgement of profits, civil penalties and criminal prosecution.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process required by the FDA before a drug or biological product may be marketed in the United States generally involves the following:</w:t>
      </w:r>
    </w:p>
    <w:p>
      <w:pPr>
        <w:spacing w:after="0" w:line="262" w:lineRule="exact"/>
        <w:rPr>
          <w:sz w:val="20"/>
          <w:szCs w:val="20"/>
          <w:color w:val="auto"/>
        </w:rPr>
      </w:pPr>
    </w:p>
    <w:p>
      <w:pPr>
        <w:ind w:left="1080" w:right="32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good laboratory practice, or GLP, regulations;</w:t>
      </w:r>
    </w:p>
    <w:p>
      <w:pPr>
        <w:spacing w:after="0" w:line="212"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or IND, application which must become effective before human clinical trials may begin;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at each clinical site before each trial may be initiated;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practices, or GCP, to establish the safety and efficacy of the proposed drug or biological product for each indication;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submission to the FDA of a new drug application, or NDA, or a biologics license application, or BLA, as applicable;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38"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product is produced to assess compliance with cGMP requirements and to assure that the facilities, methods and controls are adequate to preserve the drug's identity, strength, quality and purity; and</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FDA review and approval of the NDA or BLA.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expect that all of our clinical drug candidates will be subject to review as biological products under BLA standards.</w:t>
      </w:r>
    </w:p>
    <w:p>
      <w:pPr>
        <w:spacing w:after="0" w:line="225"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Data obtained at any stage of testing is susceptible to varying interpretations, which could delay, limit or prevent regulatory approval. Moreover, during the regulatory process, new or changed drug approval policies may cause unanticipated delays or rejection of our product. We may not obtain necessary regulatory approvals within a reasonable period of time, if at all, or avoid delays or other problems in testing our products. Moreover, even if we received regulatory approval for a product, the approval may require limitations on use, which could restrict the size of the potential market for the product.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w:t>
      </w:r>
    </w:p>
    <w:p>
      <w:pPr>
        <w:spacing w:after="0" w:line="225"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FDA provides that human clinical trials may begin 30 days after receipt and review of an IND application, unless the FDA requests additional information or changes to the study protocol within that period. An IND must be sponsored and filed for each of our proposed drug candidates. Authorization to conduct clinical trials in no way assures that the FDA will ultimately approve the product. Clinical trials are generally conducted in three sequential phases. In a Phase 1 trial, the product is given to a small number of patients to test for safety (adverse effects), determine a recommended Phase 2 dose(s) and evaluate any signals of efficacy. Phase 2 trials are conducted on a limited group of the target patient population; safety, optimal dosage and efficacy are studied. A Phase 3 trial is performed in a large patient population, generally over a wide geographic area to provide evidence for the safety and efficacy of the product. The FDA maintains and exercises oversight authority throughout the clinical trial process.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1"/>
        <w:spacing w:after="0" w:line="288" w:lineRule="auto"/>
        <w:rPr>
          <w:sz w:val="20"/>
          <w:szCs w:val="20"/>
          <w:color w:val="auto"/>
        </w:rPr>
      </w:pPr>
      <w:r>
        <w:rPr>
          <w:rFonts w:ascii="Arial" w:cs="Arial" w:eastAsia="Arial" w:hAnsi="Arial"/>
          <w:sz w:val="16"/>
          <w:szCs w:val="16"/>
          <w:color w:val="auto"/>
        </w:rPr>
        <w:t>A product's safety and effectiveness in one clinical trial is not necessarily indicative of its safety and effectiveness in another clinical trial. Moreover, we may not discover all potential problems with a product even after completing clinical trials on it. Some of our products and technologies have undergone only preclinical testing. As a result, we do not know whether they are safe or effective for humans. Also, regulatory authorities may decide, contrary to our findings, that a product is unsafe or not as effective in actual use as its clinical trial results indicated. This could prevent the product's widespread use, require its withdrawal from the market or expose us to liability. The FDA or the sponsor may suspend or terminate a clinical trial at any time on various grounds, including a finding that the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Any such action could materially harm us. Clinical trials are critical to the success of our products but are subject to unforeseen and uncontrollable delay, including delay in enrollment of patients. Any delay in clinical trials could delay our commercialization of a product.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Approval</w:t>
      </w:r>
    </w:p>
    <w:p>
      <w:pPr>
        <w:spacing w:after="0" w:line="225"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Assuming successful completion of the required clinical testing, the results of the preclinical and clinical studies, together with detailed information relating to the product's pharmacology, chemistry, manufacture, controls and proposed labeling, among other things, are submitted to the FDA as part of an NDA or BLA requesting approval to market the product for one or more indications. FDA approval of the NDA or BLA is required before marketing of the product may begin in the United States. Under federal law, the submission of most NDAs and BLAs is additionally subject to a substantial application user fee and the sponsor of an approved NDA or BLA is also subject to annual prescription drug program fees.</w:t>
      </w:r>
    </w:p>
    <w:p>
      <w:pPr>
        <w:spacing w:after="0" w:line="169"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FDA conducts a preliminary review of all NDAs and BLAs within the first 60 days after receipt before accepting them for filing based on the agency's threshold determination that they are sufficiently complete to permit substantive review. The FDA may request additional information rather than accept an NDA or BLA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of NDAs and BLAs. Most such applications for non-priority products are reviewed within ten to twelve months after filing, and most applications for priority review products, that is, drugs and biologics that the FDA determines represent a significant improvement over existing therapy, are reviewed in six to eight months after filing. The review process may be extended by the FDA for three additional months to consider certain late-submitted information or clarification regarding information already provided in the submission. The FDA may also refer applications for novel drugs or biological products or products that present difficult questions of safety or efficacy to an advisory committee, typically a panel that includes clinicians and other experts, for review, evaluation and a recommendation as to whether the application should be approved. The FDA is not bound by the recommendations of an advisory committee, but it considers such recommendations carefully when making decisions.</w:t>
      </w:r>
    </w:p>
    <w:p>
      <w:pPr>
        <w:spacing w:after="0" w:line="18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Before approving an NDA or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In addition, before approving an NDA or BLA, the FDA will typically inspect one or more clinical sites to assure compliance with GCP and integrity of the clinical data submitted.</w:t>
      </w:r>
    </w:p>
    <w:p>
      <w:pPr>
        <w:spacing w:after="0" w:line="197"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testing and approval processes require substantial time, effort and financial resources, and each may take many years to complete. Data obtained from clinical activities are not always conclusive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and may be susceptible to varying interpretations that could delay, limit or prevent regulatory approval. The FDA may not grant approval on a timely basis, or at all. We may encounter difficulties or unanticipated costs in our efforts to develop our drug candidates and secure necessary governmental approvals, which could delay or preclude us from marketing our products.</w:t>
      </w:r>
    </w:p>
    <w:p>
      <w:pPr>
        <w:spacing w:after="0" w:line="194"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After the FDA's evaluation of the NDA or BLA and inspection of the manufacturing facilities, the FDA may issue an approval letter or a complete response letter. An approval letter authorizes commercial marketing of the drug or biological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or BLA, the FDA will resume review and may subsequently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172"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Even if the FDA approves a product, it may limit the approved indications for use for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restrictions or other risk management mechanisms, which can materially affect the potential market and profitability of the product. The FDA may prevent or limit further marketing of a product based on the results of post-market studies or surveillance programs. After approval, many types of changes to the approved product, such as changes in indications, manufacturing changes and labeling, are subject to further testing requirements and FDA review and approval.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Regulatory Procedures</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Fast track designation</w:t>
      </w:r>
      <w:r>
        <w:rPr>
          <w:rFonts w:ascii="Arial" w:cs="Arial" w:eastAsia="Arial" w:hAnsi="Arial"/>
          <w:sz w:val="16"/>
          <w:szCs w:val="16"/>
          <w:color w:val="auto"/>
        </w:rPr>
        <w:t>—The FDA is required to facilitate the development and expedite the review of drugs and biologics that are intended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treatment of a serious or life-threatening disease or condition and that demonstrate the potential to address unmet medical needs. Under the fast track program, the sponsor of a new drug or biologic candidate may request the FDA to designate the product for a specific indication as a fast track product, concurrent with or after the filing of the IND for the drug candidate. A drug that receives fast track designation is eligible for some or all of the following: (i) more frequent meetings with the FDA to discuss the drug's development plan and ensure collection of appropriate data needed to support drug approval; (ii) more frequent written communication from the FDA about such things as the design of the proposed clinical trials and use of biomarkers; (iii) eligibility for accelerated approval and priority review, if relevant criteria are met; and (iv) Rolling Review, which means that a drug company can submit completed sections of its BLA or NDA for review by the FDA, rather than waiting until every section of the NDA or BLA is completed before the entire application can be reviewed. This rolling review is available if the applicant provides and the FDA approves a schedule for the submission of the remaining information and the applicant pays applicable user fees. However, the FDA's time period goal for reviewing a fast track application does not begin until the last section of the NDA or BLA is submitted. In addition, the fast track designation may be withdrawn by the FDA if it believes that the designation is no longer supported by data emerging in the clinical trial process.</w:t>
      </w:r>
    </w:p>
    <w:p>
      <w:pPr>
        <w:spacing w:after="0" w:line="177" w:lineRule="exact"/>
        <w:rPr>
          <w:sz w:val="20"/>
          <w:szCs w:val="20"/>
          <w:color w:val="auto"/>
        </w:rPr>
      </w:pPr>
    </w:p>
    <w:p>
      <w:pPr>
        <w:jc w:val="both"/>
        <w:ind w:right="40" w:firstLine="351"/>
        <w:spacing w:after="0" w:line="256" w:lineRule="auto"/>
        <w:rPr>
          <w:sz w:val="20"/>
          <w:szCs w:val="20"/>
          <w:color w:val="auto"/>
        </w:rPr>
      </w:pPr>
      <w:r>
        <w:rPr>
          <w:rFonts w:ascii="Arial" w:cs="Arial" w:eastAsia="Arial" w:hAnsi="Arial"/>
          <w:sz w:val="18"/>
          <w:szCs w:val="18"/>
          <w:i w:val="1"/>
          <w:iCs w:val="1"/>
          <w:color w:val="auto"/>
        </w:rPr>
        <w:t>Priority review</w:t>
      </w:r>
      <w:r>
        <w:rPr>
          <w:rFonts w:ascii="Arial" w:cs="Arial" w:eastAsia="Arial" w:hAnsi="Arial"/>
          <w:sz w:val="18"/>
          <w:szCs w:val="18"/>
          <w:color w:val="auto"/>
        </w:rPr>
        <w:t>—Under FDA policies, a drug candidate may be eligible for priority review. The priority review program provides for expedited review or</w:t>
      </w:r>
      <w:r>
        <w:rPr>
          <w:rFonts w:ascii="Arial" w:cs="Arial" w:eastAsia="Arial" w:hAnsi="Arial"/>
          <w:sz w:val="18"/>
          <w:szCs w:val="18"/>
          <w:i w:val="1"/>
          <w:iCs w:val="1"/>
          <w:color w:val="auto"/>
        </w:rPr>
        <w:t xml:space="preserve"> </w:t>
      </w:r>
      <w:r>
        <w:rPr>
          <w:rFonts w:ascii="Arial" w:cs="Arial" w:eastAsia="Arial" w:hAnsi="Arial"/>
          <w:sz w:val="18"/>
          <w:szCs w:val="18"/>
          <w:color w:val="auto"/>
        </w:rPr>
        <w:t>an NDA or BLA, typically within a six to eight month time frame from the time a complete application is accepted for filing. Products regulated by the FDA's Center for Drug Evaluation and Research, or CDER, are eligible for priority review if they provide a significant improvement compared to marketed products in the treatment, diagnosis or</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prevention of a disease. Products regulated by the FDA's Center for Biologics Evaluation and Research, or CBER, are eligible for priority review if they provide a significant improvement in the safety or effectiveness of the treatment, diagnosis or prevention of a serious or life-threatening disease. A fast track designated drug candidate could be eligible for priority review if supported by clinical data at the time of the BLA or NDA submission.</w:t>
      </w:r>
    </w:p>
    <w:p>
      <w:pPr>
        <w:spacing w:after="0" w:line="160"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i w:val="1"/>
          <w:iCs w:val="1"/>
          <w:color w:val="auto"/>
        </w:rPr>
        <w:t>Accelerated approval</w:t>
      </w:r>
      <w:r>
        <w:rPr>
          <w:rFonts w:ascii="Arial" w:cs="Arial" w:eastAsia="Arial" w:hAnsi="Arial"/>
          <w:sz w:val="16"/>
          <w:szCs w:val="16"/>
          <w:color w:val="auto"/>
        </w:rPr>
        <w:t>—Under the law and the FDA's accelerated approval regulations, the FDA may approve a drug or biologic for a serious or life-threatening illness that provides meaningful therapeutic benefit to patients over existing treatments based on a surrogate endpoint that is reasonably likely to predict clinical benefit. Surrogate endpoints can often be measured more easily or more rapidly than clinical endpoints. A drug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withdraw the drug from the market on an expedited basis. All promotional materials for drug candidates approved under accelerated regulations are subject to prior review by the FDA.</w:t>
      </w:r>
    </w:p>
    <w:p>
      <w:pPr>
        <w:spacing w:after="0" w:line="172"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i w:val="1"/>
          <w:iCs w:val="1"/>
          <w:color w:val="auto"/>
        </w:rPr>
        <w:t>Breakthrough therapy designation</w:t>
      </w:r>
      <w:r>
        <w:rPr>
          <w:rFonts w:ascii="Arial" w:cs="Arial" w:eastAsia="Arial" w:hAnsi="Arial"/>
          <w:sz w:val="18"/>
          <w:szCs w:val="18"/>
          <w:color w:val="auto"/>
        </w:rPr>
        <w:t>—The FDA is also required to expedite the development and review of the application for approval of drugs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intended to treat a serious or life-threatening disease or condition where preliminary clinical evidence indicates that the drug candidate may demonstrate substantial improvement over existing therapies on one or more clinically significant endpoints. Under the breakthrough therapy program, the sponsor of a new drug candidate may request that the FDA designate the drug candidate for a specific indication as a breakthrough therapy concurrent with, or after, the filing of the IND for the drug candidate.</w:t>
      </w:r>
    </w:p>
    <w:p>
      <w:pPr>
        <w:spacing w:after="0" w:line="20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i w:val="1"/>
          <w:iCs w:val="1"/>
          <w:color w:val="auto"/>
        </w:rPr>
        <w:t>Orphan drug designation</w:t>
      </w:r>
      <w:r>
        <w:rPr>
          <w:rFonts w:ascii="Arial" w:cs="Arial" w:eastAsia="Arial" w:hAnsi="Arial"/>
          <w:sz w:val="16"/>
          <w:szCs w:val="16"/>
          <w:color w:val="auto"/>
        </w:rPr>
        <w:t>—Under the Orphan Drug Act, the FDA may grant orphan drug designation to a drug or biologic intended to treat a rare disease</w:t>
      </w:r>
      <w:r>
        <w:rPr>
          <w:rFonts w:ascii="Arial" w:cs="Arial" w:eastAsia="Arial" w:hAnsi="Arial"/>
          <w:sz w:val="16"/>
          <w:szCs w:val="16"/>
          <w:i w:val="1"/>
          <w:iCs w:val="1"/>
          <w:color w:val="auto"/>
        </w:rPr>
        <w:t xml:space="preserve"> </w:t>
      </w:r>
      <w:r>
        <w:rPr>
          <w:rFonts w:ascii="Arial" w:cs="Arial" w:eastAsia="Arial" w:hAnsi="Arial"/>
          <w:sz w:val="16"/>
          <w:szCs w:val="16"/>
          <w:color w:val="auto"/>
        </w:rPr>
        <w:t>or condition, which is generally defined as a disease or condition that affects fewer than 200,000 individuals in the United States. Orphan drug designation does not convey any advantage in, or shorten the duration of, the regulatory review and approval process. The first NDA or BLA applicant to receive FDA approval for a particular active ingredient to treat a particular disease with FDA orphan drug designation is entitled to a seven-year exclusive marketing period in the United States for that product, for that indication. During the seven-year exclusivity period, the FDA may not approve any other applications to market the same drug or biologic for the same orphan indication, except in limited circumstances. Among the other benefits of orphan drug designation are tax credits for certain research and a waiver of the NDA or BLA application user fee.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Information</w:t>
      </w:r>
    </w:p>
    <w:p>
      <w:pPr>
        <w:spacing w:after="0" w:line="225"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Under the Pediatric Research Equity Act of 2003, an NDA, BLA or supplement to an NDA or BLA must contain data that are adequate to assess the safety and effectiveness of the drug or biological product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 Under the Food and Drug Administration Safety and Innovation Act, or FDASIA, the FDA has additional authority to take action against manufacturers not adhering to pediatric study requirements. Unless otherwise required by regulation, the pediatric data requirements do not apply to products with orphan drug designation.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 Approval</w:t>
      </w:r>
    </w:p>
    <w:p>
      <w:pPr>
        <w:spacing w:after="0" w:line="225" w:lineRule="exact"/>
        <w:rPr>
          <w:sz w:val="20"/>
          <w:szCs w:val="20"/>
          <w:color w:val="auto"/>
        </w:rPr>
      </w:pPr>
    </w:p>
    <w:p>
      <w:pPr>
        <w:ind w:right="100" w:firstLine="341"/>
        <w:spacing w:after="0" w:line="256" w:lineRule="auto"/>
        <w:rPr>
          <w:sz w:val="20"/>
          <w:szCs w:val="20"/>
          <w:color w:val="auto"/>
        </w:rPr>
      </w:pPr>
      <w:r>
        <w:rPr>
          <w:rFonts w:ascii="Arial" w:cs="Arial" w:eastAsia="Arial" w:hAnsi="Arial"/>
          <w:sz w:val="18"/>
          <w:szCs w:val="18"/>
          <w:color w:val="auto"/>
        </w:rPr>
        <w:t>Any drug or biological products manufactured or distributed by us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w:t>
      </w:r>
    </w:p>
    <w:p>
      <w:pPr>
        <w:spacing w:after="0" w:line="197"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FDA may impose a number of post-approval requirements as a condition of approval of an NDA or BLA. For example, the FDA may require post-marketing testing, including Phase 4 clinical trials, and surveillance to further assess and monitor the product's safety and effectiveness after commercialization. Regulatory approval of oncology products often requires that patients in clinical trials be followed for long periods to determine the overall survival benefit of the drug or biologic.</w:t>
      </w:r>
    </w:p>
    <w:p>
      <w:pPr>
        <w:spacing w:after="0" w:line="19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addition, drug and biologic manufacturers and other entities involved in the manufacture and distribution of approved drugs and biological products are required to register their establishments with the FDA and state agencies and are subject to periodic unannounced inspections by the FDA and these state agencies for compliance with cGMP requirements. The FDA was also granted new inspection authorities under FDASIA. Changes to the manufacturing process are strictly regulated and often require prior FDA approval before being implemented. FDA regulations also require investigation and correction of any deviations from cGMP and impose reporting and documentation requirements upon us and any third-party manufacturers that we may decide to use. Accordingly, manufacturers must continue to expend time, money and effort in the areas of production and quality control to maintain cGMP compliance.</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Risk Evaluation and Mitigation Strategy program. Other potential consequences include, among other things:</w:t>
      </w:r>
    </w:p>
    <w:p>
      <w:pPr>
        <w:spacing w:after="0" w:line="183"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the product, complete withdrawal of the product from the market or product recalls;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fines, untitled and warning letters or holds on post-approval clinical trials;</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consent decrees, injunctions or the imposition of civil or criminal prosecution.</w:t>
      </w:r>
    </w:p>
    <w:p>
      <w:pPr>
        <w:spacing w:after="0" w:line="225" w:lineRule="exact"/>
        <w:rPr>
          <w:sz w:val="20"/>
          <w:szCs w:val="20"/>
          <w:color w:val="auto"/>
        </w:rPr>
      </w:pPr>
    </w:p>
    <w:p>
      <w:pPr>
        <w:ind w:right="360" w:firstLine="348"/>
        <w:spacing w:after="0" w:line="298"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Drugs and biologics may be promoted only for the approved indications and in accordance with the provisions of the approved label. The FDA, the Office of the Inspector General of Health and Human Services and other agencies actively enforce the laws and regulations prohibiting the promotion of off label uses, and a company that is found to have improperly promoted off label uses may be subject to significant liability.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Biosimilars Law</w:t>
      </w:r>
    </w:p>
    <w:p>
      <w:pPr>
        <w:spacing w:after="0" w:line="225" w:lineRule="exact"/>
        <w:rPr>
          <w:sz w:val="20"/>
          <w:szCs w:val="20"/>
          <w:color w:val="auto"/>
        </w:rPr>
      </w:pPr>
    </w:p>
    <w:p>
      <w:pPr>
        <w:ind w:right="40" w:firstLine="348"/>
        <w:spacing w:after="0" w:line="287" w:lineRule="auto"/>
        <w:rPr>
          <w:sz w:val="20"/>
          <w:szCs w:val="20"/>
          <w:color w:val="auto"/>
        </w:rPr>
      </w:pPr>
      <w:r>
        <w:rPr>
          <w:rFonts w:ascii="Arial" w:cs="Arial" w:eastAsia="Arial" w:hAnsi="Arial"/>
          <w:sz w:val="16"/>
          <w:szCs w:val="16"/>
          <w:color w:val="auto"/>
        </w:rPr>
        <w:t>The Biologics Price Competition and Innovation Act of 2009, or BPCIA, amended the PHSA to provide for an abbreviated approval pathway for biological products that demonstrate biosimilarity to a previously-approved biological product. The BPCIA establishes criteria for determining that a product is biosimilar to an already-licensed biologic, or reference product, and establishes a process by which an abbreviated BLA for a biosimilar product is submitted, reviewed and approved. The BPCIA provides periods of exclusivity that protect a reference product from biosimilars competition. Under the BPCIA, the FDA may not accept a biosimilar application for review until four years after the date of first licensure of the reference product, and the biosimilar may not be licensed until 12 years after the reference product's approval. Additionally, the BPCIA establishes procedures by which the biosimilar applicant may provide information about its application and product to the reference product sponsor, and by which information about potentially relevant patents is shared and litigation over patents may proceed in advance of approval. The BPCIA also provides a period of exclusivity for the first biosimilar to be determined by the FDA to be interchangeable with the reference product. The BPCIA applies to our drug candidates and could be applied to allow approval of biosimilars to our products.</w:t>
      </w:r>
    </w:p>
    <w:p>
      <w:pPr>
        <w:spacing w:after="0" w:line="396"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Because the BPCIA is a relatively new law, we anticipate that its contours will be defined as the statute is implemented over a period of years. This likely will be accomplished by a variety of means, including FDA issuance of guidance documents, proposed regulations, lawsuits and the FDA's decisions in the course of considering specific applications. Such evolution may significantly affect the impact of the BPCIA on both reference product and biosimilar sponsors.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21st Century Cures Act</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On December 13, 2016, Congress passed the 21st Century Cures Act, or the Cures Act. The Cures Act is designed to modernize and personalize health care, spur innovation and research, and streamline the discovery and development of new therapies through increased federal funding of particular programs. It authorizes increased funding for the FDA to spend on innovation projects, including for certain oncology-directed research. The new law also amends the Public Health Service Act to reauthorize and expand funding for the National Institutes of Health.</w:t>
      </w:r>
    </w:p>
    <w:p>
      <w:pPr>
        <w:spacing w:after="0" w:line="16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Because the Cures Act has only recently been enacted, its potential effect on our business remains unclear with the exception of a provision requiring that we post our policies on the availability of expanded access programs for individuals. In addition, the Cures Act includes provisions that may be beneficial to us in the future, including a requirement that the FDA assess and publish guidance on the use of novel clinical trial designs, the use of real world evidence in applications, the availability of summary level review for supplemental applications for certain indications and the qualification of drug development tools. Because these provisions allow the FDA several years to develop these policies, their effects on us, if any, could be delayed.</w:t>
      </w:r>
    </w:p>
    <w:p>
      <w:pPr>
        <w:spacing w:after="0" w:line="169"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Cures Act also authorizes funding for the "Cancer Moonshot" initiative. The Cancer Moonshot initiative's strategic goals encourage inter-agency cooperation and fund research and innovation to catalyze new scientific breakthroughs, bring new therapies to patients and strengthen prevention and diagnosis. This initiative aims to stimulate drug development through the creation of a public-private partnership with 20 to 30 pharmaceutical and biotechnology companies to expedite cancer researchers' access to investigational agents and approved drugs. This partnership is designed to permit researchers to obtain drugs and other technologies from a preapproved "formulary" list without having to negotiate with each company for individual research projects. We will continue to monitor these developments to assess their potential impacts on our business.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Companion Diagnostic Review and Approval</w:t>
      </w:r>
    </w:p>
    <w:p>
      <w:pPr>
        <w:spacing w:after="0" w:line="225"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 xml:space="preserve">Our drug candidates may rely on the use of a companion diagnostic. Companion diagnostics are subject to regulation by the FDA and comparable foreign regulatory authorities as medical devices and require separate clearance or approval prior to their commercialization. Based on recent FDA guidance documents and the FDA's past treatment of companion diagnostics, we believe that the FDA will likely require one or more of our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diagnostics to obtain Premarket Approval Application, or PMA, in conjunction with approval of the related drug candidate. The receipt and timing of PMA approval may have a significant effect on the receipt and timing of commercial approval for such drug candidates. Currently we rely on third-party collaborators to develop companion diagnostics for our drug candidates.</w:t>
      </w:r>
    </w:p>
    <w:p>
      <w:pPr>
        <w:spacing w:after="0" w:line="198"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PMA process is similar to the NDA and BLA processes and is costly, lengthy and uncertain. PMA applications must be supported by valid scientific evidence, which typically requires extensive data, including technical, preclinical, clinical and manufacturing data, to demonstrate to the FDA's satisfaction the safety and effectiveness of the device. For diagnostic tests, a PMA application typically includes data regarding analytical and clinical validation studies. As part of its review of the PMA, the FDA will conduct a pre-approval inspection of the manufacturing facility or facilities to ensure compliance with the Quality System Regulation, or QSR, which requires manufacturers to follow design, testing, control, documentation and other quality assurance procedures. If the FDA evaluations of both the PMA application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while the trials are conducted and then the data submitted in an amendment to the PMA.</w:t>
      </w:r>
    </w:p>
    <w:p>
      <w:pPr>
        <w:spacing w:after="0" w:line="180"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Furthermore, even after PMA approval is obtained, numerous regulatory requirements apply to the manufacturer of the companion diagnostic. The FDA enforces these requirements by inspection and market surveillance. These requirements include: the QSR, labeling regulations, the FDA's general prohibition against promoting products for unapproved or "off label" uses, the medical device reporting regulation, and the reports of corrections and removals regulation. If the FDA finds a violation, it can institute a wide variety of enforcement actions, ranging from a public warning letter to more severe sanctions such as: fines, injunctions and civil penalties; recall or seizure of products; operating restrictions, partial suspension or total shutdown of production; refusing requests for PMA of new products; and withdrawing PMAs already granted.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and State Fraud and Abuse, Data Privacy and Security and Transparency Laws</w:t>
      </w:r>
    </w:p>
    <w:p>
      <w:pPr>
        <w:spacing w:after="0" w:line="225"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In addition to FDA restrictions on marketing and promotion of pharmaceutical products, several other types of federal and state laws have been applied to restrict certain marketing business practices in the biopharmaceutical and medical device industries in recent years. These laws include, without limitation, state and federal anti-kickback statutes and false claims statutes and false claims laws, data privacy and security laws, as well as transparency laws regarding payments or other items of value provided to health care providers. Applicable state law may be broader in scope than federal law and may apply regardless of payor, in addition to items and services reimbursed under Medicaid and other state programs. If our operations are found to be in violation of any of the health regulatory laws described above or any other laws that apply to us, we may be subject to penalties, including potentially significant criminal and civil and/or administrative penalties, damages, fines, disgorgement, imprisonment, exclusion from participation in government health care programs, contractual damages, reputational harm, administrative burdens, diminished profits and future earnings, and the curtailment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or restructuring of our operations, any of which could adversely affect our ability to operate our business and our results of operations. To the extent that any of our products are sold in a foreign country, we may be subject to similar foreign laws, which may include, for instance, applicable post-marketing requirements, including safety surveillance, anti-fraud and abuse laws and implementation of corporate compliance programs and reporting of payments or transfers of value to health care professionals.</w:t>
      </w:r>
    </w:p>
    <w:p>
      <w:pPr>
        <w:spacing w:after="0" w:line="197" w:lineRule="exact"/>
        <w:rPr>
          <w:sz w:val="20"/>
          <w:szCs w:val="20"/>
          <w:color w:val="auto"/>
        </w:rPr>
      </w:pPr>
    </w:p>
    <w:p>
      <w:pPr>
        <w:jc w:val="both"/>
        <w:ind w:right="40" w:firstLine="351"/>
        <w:spacing w:after="0" w:line="254" w:lineRule="auto"/>
        <w:rPr>
          <w:sz w:val="20"/>
          <w:szCs w:val="20"/>
          <w:color w:val="auto"/>
        </w:rPr>
      </w:pPr>
      <w:r>
        <w:rPr>
          <w:rFonts w:ascii="Arial" w:cs="Arial" w:eastAsia="Arial" w:hAnsi="Arial"/>
          <w:sz w:val="18"/>
          <w:szCs w:val="18"/>
          <w:color w:val="auto"/>
        </w:rPr>
        <w:t>In addition, the United States Foreign Corrupt Practices Act, or FCPA, prohibits corporations and individuals from engaging in certain activities to obtain or retain business or to influence a person working in an official capacity. It is illegal to pay, offer to pay or authorize the payment of anything of value to any official of another country, government staff member, political party or political candidate in an attempt to obtain or retain business or to otherwise influence a person working in that capacity. In many countries, the health care professionals we may interact with may meet the FCPA's definition of a foreign government official.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Regulation</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order to market any therapeutic or diagnostic product outside of the United States, we need to comply with numerous and varying regulatory requirements of other countries regarding safety and efficacy and governing, among other things, clinical trials, marketing authorization, commercial sales and distribution of our products. Whether or not we obtain FDA approval for a product, we need to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w:t>
      </w:r>
    </w:p>
    <w:p>
      <w:pPr>
        <w:spacing w:after="0" w:line="172"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Under the EU regulatory system, we will submit most of our marketing authorization applications under the centralized procedure. The centralized procedure is compulsory for medicines produced by biotechnology, or are for the treatment of cancer, or officially designated as 'orphan medicines.' The centralized procedure provides for the grant of a single marketing authorization that is valid for all EU member states. As in the United States, we may apply for designation of a drug candidate as an orphan drug for the treatment of a specific indication in the EU before the application for marketing authorization is made. The EMA grants orphan medicinal product designation to promote the development of products that may offer therapeutic benefits for life-threatening or chronically debilitating conditions affecting not more than five in 10,000 people in the EU. Orphan drugs in Europe enjoy economic and marketing benefits, including a 10-year market exclusivity period for the approved indication, but not for the same product, unless another applicant can show that its product is safer, more effective or otherwise clinically superior to the orphan-designated product.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Regulatory Processes</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From time to time, legislation is drafted, introduced and passed in Congress that could significantly change the statutory provisions governing the testing, approval, manufacturing and marketing of products regulated by the FDA.</w:t>
      </w:r>
    </w:p>
    <w:p>
      <w:pPr>
        <w:spacing w:after="0" w:line="186"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In addition to new legislation, FDA regulations and policies are often revised or interpreted by the agency in ways that may significantly affect our business and our products. It is impossible to predict whether further legislative changes will be enacted or whether FDA regulations, guidance, policies or interpretations will change or what the effect of such changes, if any, may be.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Payor Coverage and Reimbursement</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Significant uncertainty exists as to the coverage and reimbursement status of any drug products for which we obtain regulatory approval. Sales of any of our drug candidates, if approved, will depend, in part, on the extent to which the costs of the drugs will be covered by third-party payors, including government health programs such as Medicare and Medicaid, as well as commercial health insurers, such as managed care organizations. The process for determining reimbursement rates is separate from the payor coverage decision. Therefore, despite obtaining coverage, reimbursement rates may be lower than expected, which can result in larger out-of-pocket payments for the patient.</w:t>
      </w:r>
    </w:p>
    <w:p>
      <w:pPr>
        <w:spacing w:after="0" w:line="16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order to secure coverage and reimbursement for any drug that might be approved for sale, we need to conduct analyses and pharmaco-economic studies in order to demonstrate the incremental medical benefit over and above the generally-accepted standard of care and cost-effectiveness of the drug. Our drug candidates may not be considered medically necessary, provide insufficient incremental medical benefit, or may not be deemed cost-effective. A payor's decision to provide coverage for a drug product does not imply that an adequate reimbursement rate will be approved.</w:t>
      </w:r>
    </w:p>
    <w:p>
      <w:pPr>
        <w:spacing w:after="0" w:line="166" w:lineRule="exact"/>
        <w:rPr>
          <w:sz w:val="20"/>
          <w:szCs w:val="20"/>
          <w:color w:val="auto"/>
        </w:rPr>
      </w:pPr>
    </w:p>
    <w:p>
      <w:pPr>
        <w:ind w:right="60" w:firstLine="348"/>
        <w:spacing w:after="0" w:line="253" w:lineRule="auto"/>
        <w:rPr>
          <w:sz w:val="20"/>
          <w:szCs w:val="20"/>
          <w:color w:val="auto"/>
        </w:rPr>
      </w:pPr>
      <w:r>
        <w:rPr>
          <w:rFonts w:ascii="Arial" w:cs="Arial" w:eastAsia="Arial" w:hAnsi="Arial"/>
          <w:sz w:val="18"/>
          <w:szCs w:val="18"/>
          <w:color w:val="auto"/>
        </w:rPr>
        <w:t>The containment of health care costs has become a priority of federal, state and foreign governments, and the prices of drugs have been a focus in this effort. Third-party payors are increasingly challenging the prices charged for medical products and services and examining the medical necessity and cost-effectiveness of medical products and services, in addition to their safety and efficacy. If these third-party payors do not consider our drugs to be cost-effective compared to other available therapies, they may not cover our drugs after approval as a benefit under their plans or, if they do, the level of reimbursement and/or restrictions in formulary placement may be such that they would significantly limit projected sales volumes. In addition to third-party payors, we will also need to negotiate formulary placement with hospitals, health systems and certain independent delivery networks. Such negotiations may be more protracted than anticipated and may be compromised because of similar considerations, relating to insufficient incremental medical benefit and/or cost-effectiveness.</w:t>
      </w:r>
    </w:p>
    <w:p>
      <w:pPr>
        <w:spacing w:after="0" w:line="198" w:lineRule="exact"/>
        <w:rPr>
          <w:sz w:val="20"/>
          <w:szCs w:val="20"/>
          <w:color w:val="auto"/>
        </w:rPr>
      </w:pPr>
    </w:p>
    <w:p>
      <w:pPr>
        <w:ind w:right="180" w:firstLine="351"/>
        <w:spacing w:after="0" w:line="288" w:lineRule="auto"/>
        <w:rPr>
          <w:sz w:val="20"/>
          <w:szCs w:val="20"/>
          <w:color w:val="auto"/>
        </w:rPr>
      </w:pPr>
      <w:r>
        <w:rPr>
          <w:rFonts w:ascii="Arial" w:cs="Arial" w:eastAsia="Arial" w:hAnsi="Arial"/>
          <w:sz w:val="16"/>
          <w:szCs w:val="16"/>
          <w:color w:val="auto"/>
        </w:rPr>
        <w:t>Pricing and reimbursement schemes vary widely from country to country. For example, certain EU member states may approve a specific price and volume for a drug product after which incremental revenues or profits need to be paid back by way of rebates. They may also institutionalize utilization restrictions, curb physicians' drug budgets, provide conditional reimbursement schemes that require additional evidence to be generated post-marketing authorization, etc. The downward pressure on health care costs in general, including prescription drugs, has been evident in EU markets for some time and is now a major focus of federal and state governments in the U.S. As a result, increasingly high barriers are being erected to the pricing and reimbursement of new drugs, despite regulatory efforts to bring drugs to market sooner. Cross-border trade has existed for some time in the EU, allowing pharmacies in one country to import, at a lower price, drug from another country, further exerting pricing pressures across the EU. A proposal to allow importation of less expensive drugs from Canada to the U.S. is under consideration in U.S. Congress. There can be no assurance that any country that has price controls or reimbursement limitations for drug products will allow favorable reimbursement and pricing arrangements for any of our drugs.</w:t>
      </w:r>
    </w:p>
    <w:p>
      <w:pPr>
        <w:spacing w:after="0" w:line="173"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marketability of any drugs for which we receive regulatory approval for commercial sale may suffer if third-party payors and/or hospital administrators fail to provide adequate coverage, reimbursement or formulary placement. Coverage policies, third-party reimbursement rates and drug pricing regulations may change in the future. In particular, uncertainty over the long term regarding the Patient Protection and Affordable Care Act, or its replacement in the U.S., may mean that coverage, reimbursement and pricing structures available today may be different in the future. In addition, the States may continue to consider legislation of their own which could further restrict the ability to freely price drugs and/or curb utilization in the U.S. Even if favorable coverage and reimbursement status is attained for one or more drugs for which we receive regulatory approval, less favorable coverage policies and reimbursement rates may be implemented in the future.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As of December 31, 2019, we employed 130 employees (127 full-time and 3 part-time), 16 of whom have Ph.D. and/or M.D. degrees. Of these employees, 108 were engaged in or directly support research and development activities. We believe that our employee relations are good. We believe that our future success will depend in large part on our ability to attract and retain experienced and skilled employees.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have dedicated a significant portion of our resources to our efforts to develop our drug candidates. We incurred research and development expenses of $42.7 million, $66.4 million and $96.2 million during the years ended December 31, 2019, 2018 and 2017, respectively. We anticipate that a significant portion of our operating expenses will continue to be related to research and development in 2020 as we continue to advance our drug candidates through clinical development.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Available Information</w:t>
      </w:r>
    </w:p>
    <w:p>
      <w:pPr>
        <w:spacing w:after="0" w:line="231"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 xml:space="preserve">We are incorporated in Delaware. Our website is located at </w:t>
      </w:r>
      <w:r>
        <w:rPr>
          <w:rFonts w:ascii="Arial" w:cs="Arial" w:eastAsia="Arial" w:hAnsi="Arial"/>
          <w:sz w:val="16"/>
          <w:szCs w:val="16"/>
          <w:i w:val="1"/>
          <w:iCs w:val="1"/>
          <w:color w:val="auto"/>
        </w:rPr>
        <w:t>http://www.celldex.com.</w:t>
      </w:r>
      <w:r>
        <w:rPr>
          <w:rFonts w:ascii="Arial" w:cs="Arial" w:eastAsia="Arial" w:hAnsi="Arial"/>
          <w:sz w:val="16"/>
          <w:szCs w:val="16"/>
          <w:color w:val="auto"/>
        </w:rPr>
        <w:t xml:space="preserve"> On our website, investors can obtain, free of charge, a copy of our Annual Report on Form 10-K, Quarterly Reports on Form 10-Q, Current Reports on Form 8-K, other reports and any amendments thereto filed or furnished pursuant to Section 13(a) or 15(d) of the Exchange Act of 1934, as amended, as soon as reasonably practicable after we file such material electronically with, or furnish it to, the Securities and Exchange Commission, or SEC. None of the information posted on our website is incorporated by reference into this Annual Report. The SEC also maintains a website at http://www.sec.gov that contains reports, proxy and information statements and other information regarding us and other companies that file materials with the SEC electronically.</w:t>
      </w:r>
    </w:p>
    <w:p>
      <w:pPr>
        <w:spacing w:after="0" w:line="16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31" w:lineRule="exact"/>
        <w:rPr>
          <w:sz w:val="20"/>
          <w:szCs w:val="20"/>
          <w:color w:val="auto"/>
        </w:rPr>
      </w:pPr>
    </w:p>
    <w:p>
      <w:pPr>
        <w:ind w:right="620" w:firstLine="344"/>
        <w:spacing w:after="0" w:line="331" w:lineRule="auto"/>
        <w:rPr>
          <w:sz w:val="20"/>
          <w:szCs w:val="20"/>
          <w:color w:val="auto"/>
        </w:rPr>
      </w:pPr>
      <w:r>
        <w:rPr>
          <w:rFonts w:ascii="Arial" w:cs="Arial" w:eastAsia="Arial" w:hAnsi="Arial"/>
          <w:sz w:val="16"/>
          <w:szCs w:val="16"/>
          <w:color w:val="auto"/>
        </w:rPr>
        <w:t>You should consider carefully these risk factors together with all of the information included or incorporated by reference in this Annual Report in addition to our financial statements and the notes to our financial statements. This section includes forward-looking statements.</w:t>
      </w:r>
    </w:p>
    <w:p>
      <w:pPr>
        <w:spacing w:after="0" w:line="14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following is a discussion of the risk factors that we believe are material to us at this time. These risks and uncertainties are not the only ones facing us, and there may be additional matters that we are unaware of or that we currently consider immaterial. All of these could adversely affect our business, results of operations, financial condition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There is substantial doubt about our ability to continue as a going concern, which may affect our ability to obtain future financing and may require us to curtail our operations.</w:t>
      </w:r>
    </w:p>
    <w:p>
      <w:pPr>
        <w:spacing w:after="0" w:line="186" w:lineRule="exact"/>
        <w:rPr>
          <w:sz w:val="20"/>
          <w:szCs w:val="20"/>
          <w:color w:val="auto"/>
        </w:rPr>
      </w:pPr>
    </w:p>
    <w:p>
      <w:pPr>
        <w:ind w:right="60" w:firstLine="341"/>
        <w:spacing w:after="0" w:line="290" w:lineRule="auto"/>
        <w:rPr>
          <w:sz w:val="20"/>
          <w:szCs w:val="20"/>
          <w:color w:val="auto"/>
        </w:rPr>
      </w:pPr>
      <w:r>
        <w:rPr>
          <w:rFonts w:ascii="Arial" w:cs="Arial" w:eastAsia="Arial" w:hAnsi="Arial"/>
          <w:sz w:val="16"/>
          <w:szCs w:val="16"/>
          <w:color w:val="auto"/>
        </w:rPr>
        <w:t>As of December 31, 2019, we had $64.4 million in existing cash, cash equivalents and marketable securities. We expect these available cash resources to fund our operating expenses and capital expenditure requirements into the first quarter of 2021. In accordance with U.S. GAAP, we have determined that there is substantial doubt about our ability to continue as a going concern. The report from our independent registered public accounting firm for the year ended December 31, 2019 also includes an explanatory paragraph stating that our recurring losses and cash outflows from operations and the need to raise additional capital to finance our future operations raise substantial doubt in our ability to continue as a going concern. Our financial statements do not include any adjustments that might result from the outcome of this uncertainty. Our ability to continue as a going concern depends on our ability to obtain additional equity or debt financing, attain further operating efficiencies, reduce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expenditures, and, ultimately, to generate revenue. We cannot assure you, however, that we will be able to achieve any of the foregoing. If we seek additional financing to fund our business activities and there remains substantial doubt about our ability to continue as a going concern, investors or other financing sources may be unwilling to provide additional funding to us on commercially reasonable terms or at all. If we are unable to obtain sufficient funding, we could be forced to delay, reduce or eliminate all of our research and development programs or other business activities, and our financial condition and results of operations will be materially and adversely affected and we may be unable to continue as a going concern. In the future, reports from our independent registered public accounting firm may also contain statements expressing substantial doubt about our ability to continue as a going concern.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product revenue and will need to raise capital to operate our business.</w:t>
      </w:r>
    </w:p>
    <w:p>
      <w:pPr>
        <w:spacing w:after="0" w:line="225"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To date, we have generated no product revenue and cannot predict when and if we will generate product revenue. We had an accumulated deficit of $1.0 billion as of December 31, 2019. Until, and unless, we complete clinical trials and other development activity, and receive approval from the FDA and other regulatory authorities, for our drug candidates, we cannot sell our drugs and will not have product revenue. We expect to spend substantial funds to continue the research, development and testing of our products that are in the preclinical and clinical testing stages of development and to prepare to commercialize products in anticipation of FDA approval. Therefore, for the foreseeable future, we will have to fund all of our operations and development expenditures from cash on hand, equity or debt financings, licensing fees and grants. Additional financing will be required to meet our liquidity needs. If we do not succeed in raising additional funds on acceptable terms, we might not be able to complete planned preclinical and clinical trials or obtain approval of any drug candidates from the FDA and other regulatory authorities. In addition, we could be forced to discontinue product development, reduce or forego sales and marketing efforts, forego attractive business opportunities or curtail operations. Any additional sources of financing could involve the issuance of our equity securities, which would have a dilutive effect on our stockholders. No assurance can be given that additional financing will be available to us when needed on acceptable terms, or at all.</w:t>
      </w:r>
    </w:p>
    <w:p>
      <w:pPr>
        <w:spacing w:after="0" w:line="180" w:lineRule="exact"/>
        <w:rPr>
          <w:sz w:val="20"/>
          <w:szCs w:val="20"/>
          <w:color w:val="auto"/>
        </w:rPr>
      </w:pPr>
    </w:p>
    <w:p>
      <w:pPr>
        <w:ind w:right="640" w:firstLine="348"/>
        <w:spacing w:after="0" w:line="369" w:lineRule="auto"/>
        <w:rPr>
          <w:sz w:val="20"/>
          <w:szCs w:val="20"/>
          <w:color w:val="auto"/>
        </w:rPr>
      </w:pPr>
      <w:r>
        <w:rPr>
          <w:rFonts w:ascii="Arial" w:cs="Arial" w:eastAsia="Arial" w:hAnsi="Arial"/>
          <w:sz w:val="15"/>
          <w:szCs w:val="15"/>
          <w:color w:val="auto"/>
        </w:rPr>
        <w:t>We cannot be certain that we will achieve or sustain profitability in the future. Failure to achieve profitability could diminish our ability to sustain operations, pay dividends on our common stock, obtain additional required funds and make required payments on our present or future indebtedness.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to incur future losses and we may never become profitable.</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have incurred operating losses of $55.0 million, $156.4 million and $121.5 million during 2019, 2018 and 2017, respectively, and expect to incur an operating loss in 2020 and beyond. We believe that operating losses will continue in 2020 and beyond because we are planning to incur significant costs associated with the development of our drug candidates. During the years ended December 31, 2019, 2018 and 2017, we incurred $4.3 million, $12.4 million and $21.1 million in clinical trial expense and $0.6 million, $4.2 million and $11.4 million in contract manufacturing expense. Our net losses have had and will continue to have an adverse effect on, among other things, our stockholders' equity, total assets and working capital. We expect that losses will fluctuate from quarter to quarter and year to year, and that such fluctuations may be substantial. We cannot predict when we will become profitable, if at all.</w:t>
      </w:r>
    </w:p>
    <w:p>
      <w:pPr>
        <w:spacing w:after="0" w:line="17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We will need additional capital to fund our operations, including the development, manufacture and potential commercialization of our drug candidates. If we do not have or cannot raise additional capital when needed, we may be unable to develop and ultimately commercialize our drug candidates successfully.</w:t>
      </w:r>
    </w:p>
    <w:p>
      <w:pPr>
        <w:spacing w:after="0" w:line="194" w:lineRule="exact"/>
        <w:rPr>
          <w:sz w:val="20"/>
          <w:szCs w:val="20"/>
          <w:color w:val="auto"/>
        </w:rPr>
      </w:pPr>
    </w:p>
    <w:p>
      <w:pPr>
        <w:ind w:right="540" w:firstLine="348"/>
        <w:spacing w:after="0" w:line="369" w:lineRule="auto"/>
        <w:rPr>
          <w:sz w:val="20"/>
          <w:szCs w:val="20"/>
          <w:color w:val="auto"/>
        </w:rPr>
      </w:pPr>
      <w:r>
        <w:rPr>
          <w:rFonts w:ascii="Arial" w:cs="Arial" w:eastAsia="Arial" w:hAnsi="Arial"/>
          <w:sz w:val="15"/>
          <w:szCs w:val="15"/>
          <w:color w:val="auto"/>
        </w:rPr>
        <w:t>We expect to incur significant costs as we develop our drug candidates. The continuing development and commercialization of our drug candidates requires additional capital beyond our current resources. As of December 31, 2019, we had cash, cash equivalents and marketable securities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$64.4 million. During the next twelve months and beyond, we will take further steps to raise additional capital to fund our liquidity needs. Our capital raising activities may include, but may not be limited to, one or more of the following:</w:t>
      </w:r>
    </w:p>
    <w:p>
      <w:pPr>
        <w:spacing w:after="0" w:line="19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licensing of drug candidates with existing or new collaborative partners;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possible business combinations;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issuance of debt;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issuance of common stock or other securities via private placements or public offerings.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While we may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drug candidates under development. If we are unable to raise the funds necessary to meet our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172" w:lineRule="exact"/>
        <w:rPr>
          <w:sz w:val="20"/>
          <w:szCs w:val="20"/>
          <w:color w:val="auto"/>
        </w:rPr>
      </w:pPr>
    </w:p>
    <w:p>
      <w:pPr>
        <w:ind w:right="320"/>
        <w:spacing w:after="0" w:line="331" w:lineRule="auto"/>
        <w:rPr>
          <w:sz w:val="20"/>
          <w:szCs w:val="20"/>
          <w:color w:val="auto"/>
        </w:rPr>
      </w:pPr>
      <w:r>
        <w:rPr>
          <w:rFonts w:ascii="Arial" w:cs="Arial" w:eastAsia="Arial" w:hAnsi="Arial"/>
          <w:sz w:val="16"/>
          <w:szCs w:val="16"/>
          <w:b w:val="1"/>
          <w:bCs w:val="1"/>
          <w:i w:val="1"/>
          <w:iCs w:val="1"/>
          <w:color w:val="auto"/>
        </w:rPr>
        <w:t>Our stockholders may be subject to substantial dilution if we elect to pay future milestone consideration to the former Kolltan stockholders in shares of common stock. If we elect to pay future milestone consideration in cash we would likely need to raise additional capital.</w:t>
      </w:r>
    </w:p>
    <w:p>
      <w:pPr>
        <w:spacing w:after="0" w:line="141" w:lineRule="exact"/>
        <w:rPr>
          <w:sz w:val="20"/>
          <w:szCs w:val="20"/>
          <w:color w:val="auto"/>
        </w:rPr>
      </w:pPr>
    </w:p>
    <w:p>
      <w:pPr>
        <w:ind w:right="40" w:firstLine="348"/>
        <w:spacing w:after="0" w:line="287" w:lineRule="auto"/>
        <w:rPr>
          <w:sz w:val="20"/>
          <w:szCs w:val="20"/>
          <w:color w:val="auto"/>
        </w:rPr>
      </w:pPr>
      <w:r>
        <w:rPr>
          <w:rFonts w:ascii="Arial" w:cs="Arial" w:eastAsia="Arial" w:hAnsi="Arial"/>
          <w:sz w:val="16"/>
          <w:szCs w:val="16"/>
          <w:color w:val="auto"/>
        </w:rPr>
        <w:t>The merger agreement between us and Kolltan ("Merger Agreement") provides that we will be required to pay Kolltan's former stockholders contingent consideration in the form of development, regulatory approval and sales-based milestones ("Kolltan Milestones") of up to $172.5 million. Certain Kolltan Milestones have been abandoned consistent with the provisions of the Merger Agreement and, because of this, as of December 31, 2019, we believe that the adjusted amount we may be required to pay for future consideration is up to $127.5 million contingent upon the achievement of the Kolltan Milestones. We have previously sent an abandonment notice to the representative of Kolltan's former stockholders with respect to certain of those Kolltan Milestones, to which the representative subsequently objected. We disagree with their objection and believe their objection to be without merit. We are, however, discussing potential amendments to the Merger Agreement with respect to the Kolltan Milestones with that stockholder representative. At this time, we are unable to reasonably assess the ultimate outcome of our disagreement with the representative of Kolltan's former stockholders over its objection to our abandonment of certain Kolltan Milestones or determine an estimate of potential losses, if any. We cannot assure you whether any such amendment will be completed on terms acceptable to us, or at all.</w:t>
      </w:r>
    </w:p>
    <w:p>
      <w:pPr>
        <w:spacing w:after="0" w:line="176" w:lineRule="exact"/>
        <w:rPr>
          <w:sz w:val="20"/>
          <w:szCs w:val="20"/>
          <w:color w:val="auto"/>
        </w:rPr>
      </w:pPr>
    </w:p>
    <w:p>
      <w:pPr>
        <w:ind w:right="160" w:firstLine="351"/>
        <w:spacing w:after="0" w:line="323" w:lineRule="auto"/>
        <w:rPr>
          <w:sz w:val="20"/>
          <w:szCs w:val="20"/>
          <w:color w:val="auto"/>
        </w:rPr>
      </w:pPr>
      <w:r>
        <w:rPr>
          <w:rFonts w:ascii="Arial" w:cs="Arial" w:eastAsia="Arial" w:hAnsi="Arial"/>
          <w:sz w:val="15"/>
          <w:szCs w:val="15"/>
          <w:color w:val="auto"/>
        </w:rPr>
        <w:t>Milestone payments under the Merger Agreement may be made, at our sole election, in cash, in shares of our common stock or a combination of both, although we are required to maintain a certain percentage of the overall consideration paid in Celldex common stock to satisfy certain tax requirements under the Merger Agreement. We may require additional capital to fund any milestone payments in cash, depending on the facts and circumstances at the time such payments become due. If we elect to pay the Kolltan Milestones in shares of our common stock, our stockholders would experience substantial dilution.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 reform could adversely affect us.</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On December 22, 2017, the Tax Cuts and Jobs Act ("TCJA") was enacted, leading to significant changes to U.S. tax law. Among other provisions, the TCJA lowered the U.S. federal corporate income tax rate from 35% to 21%, limited the deduction for net operating losses to 80% of taxable income while providing that net operating loss carryovers for years after 2017 will not expire, imposed a mandatory one-time transition tax on previously deferred foreign earnings and eliminated or reduced certain income tax deductions. The Company has completed its accounting for the tax effects of the TCJA. We have revalued our net deferred tax assets and liabilities at the newly enacted U.S. federal rate, and we recognized a tax benefit of $19.1 million during the year ended December 31, 2017 related to the TCJA. We continue to examine the impact this tax reform legislation, as well as any additional regulatory guidance that may be issued, may have on our business.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and Regulatory Approval of Drug Candidates</w:t>
      </w:r>
    </w:p>
    <w:p>
      <w:pPr>
        <w:spacing w:after="0" w:line="2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Our long term success depends heavily on our ability to fund and complete the research and development activities and obtain regulatory approval for our program assets.</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Only a small minority of all research and development programs ultimately result in commercially successful drugs. Clinical failure can occur at any stage of clinical development. Clinical trials may produce negative or inconclusive results, and we may decide, or regulators may require us, to conduct additional clinical or preclinical trials. In addition, data obtained from trials are susceptible to varying interpretations, and regulators may not interpret our data as favorably as we do, which may delay, limit or prevent regulatory approval. Success in preclinical testing and early clinical trials does not ensure that later clinical trials will generate the same results or otherwise provide adequate data to demonstrate the efficacy and safety of a drug candidate.</w:t>
      </w:r>
    </w:p>
    <w:p>
      <w:pPr>
        <w:spacing w:after="0" w:line="169"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We will need substantial additional financing to complete the development of our drug candidates. Further, even if we complete the development of our drug candidates and gain marketing approvals from the FDA and comparable foreign regulatory authorities in a timely manner, we cannot be sure that such drug candidate will be commercially successful in the pharmaceutical market. If the results of clinical trials, the anticipated or actual timing of marketing approvals, or the market acceptance of any of our drug candidates, if approved, do not meet the expectations of investors or public market analysts, the market price of our common stock would likely decline.</w:t>
      </w:r>
    </w:p>
    <w:p>
      <w:pPr>
        <w:spacing w:after="0" w:line="20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face risks related to health epidemics and outbreaks, including the coronavirus, which could significantly disrupt our preclinical studies and clinical trials.</w:t>
      </w:r>
    </w:p>
    <w:p>
      <w:pPr>
        <w:spacing w:after="0" w:line="186"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December 2019, a novel strain of coronavirus (COVID-19) surfaced in Wuhan, China. The duration and the geographic impact of the business disruption and related financial impact resulting from the coronavirus cannot be reasonably estimated at this time and our business could be adversely impacted by the effects. In an effort to halt the outbreak of COVID-19, the United States has placed significant restrictions on travel and many businesses have announced extended closures which could adversely impact our operations. Enrollment of patients in our clinical trials and our planned and ongoing preclinical and clinical trials may be delayed due to the outbreak of COVID-19. In addition, we rely on independent clinical investigators, contract research organizations and other third-party service providers to assist us in managing, monitoring and otherwise carrying out our preclinical studies and clinical trials, and the outbreak may affect their ability to devote sufficient time and resources to our programs. We also rely on third party suppliers and contract manufacturers to produce the drug product we utilize in our clinical trials, and the outbreak may cause delays in delivery of APIs and drug product. Temporary closure of our facilities, or facilities at which our clinical or preclinical trials are conducted, or restrictions on the ability of our employees, clinicians or patients enrolled in our trials to travel could adversely affect our operations and our ability to conduct and complete our preclinical and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clinical trials. As a result of the foregoing factors, the expected timeline for data readouts of our preclinical studies and clinical trials and certain regulatory filings may be negatively impacted, which would adversely affect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drug candidates are subject to extensive regulatory scrutiny.</w:t>
      </w:r>
    </w:p>
    <w:p>
      <w:pPr>
        <w:spacing w:after="0" w:line="225" w:lineRule="exact"/>
        <w:rPr>
          <w:sz w:val="20"/>
          <w:szCs w:val="20"/>
          <w:color w:val="auto"/>
        </w:rPr>
      </w:pPr>
    </w:p>
    <w:p>
      <w:pPr>
        <w:ind w:right="20" w:firstLine="341"/>
        <w:spacing w:after="0" w:line="288" w:lineRule="auto"/>
        <w:rPr>
          <w:sz w:val="20"/>
          <w:szCs w:val="20"/>
          <w:color w:val="auto"/>
        </w:rPr>
      </w:pPr>
      <w:r>
        <w:rPr>
          <w:rFonts w:ascii="Arial" w:cs="Arial" w:eastAsia="Arial" w:hAnsi="Arial"/>
          <w:sz w:val="16"/>
          <w:szCs w:val="16"/>
          <w:color w:val="auto"/>
        </w:rPr>
        <w:t>All of our drug candidates are at various stages of development, and our activities and drug candidates are significantly regulated by a number of governmental entities, including the FDA in the United States and by comparable authorities in other countries. These entities regulate, among other things, the manufacture, testing, safety, effectiveness, labeling, documentation, advertising and sale of drugs and drug candidates. We or our partners must obtain regulatory approval for a drug candidate in all of these areas before we can commercialize any of our drug candidates. Product development within this regulatory framework takes a number of years and involves the expenditure of substantial resources. This process typically requires extensive preclinical and clinical testing, which may take longer or cost more than we anticipate, and may prove unsuccessful due to numerous factors. Many drug candidates that initially appear promising ultimately do not reach the market because they are found to be unsafe or ineffective when tested. Companies in the pharmaceutical, biotechnology and immunotherapeutic drug industries have suffered significant setbacks in advanced clinical trials, even after obtaining promising results in earlier trials. Our inability to commercialize a drug candidate would impair our ability to earn future revenues.</w:t>
      </w:r>
    </w:p>
    <w:p>
      <w:pPr>
        <w:spacing w:after="0" w:line="17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If our drug candidates do not pass required tests for safety and effectiveness, we will not be able to obtain regulatory approval and derive commercial revenue from them.</w:t>
      </w:r>
    </w:p>
    <w:p>
      <w:pPr>
        <w:spacing w:after="0" w:line="186"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In order to succeed, we will need to obtain regulatory approval for our drug candidates. The FDA has not approved any of our drug candidates for sale to date. Our drug candidates are in various stages of preclinical and clinical testing. Preclinical tests are performed at an early stage of a product's development and provide information about a drug candidate's safety and effectiveness on laboratory animals. Preclinical tests can last years. If a product passes its preclinical tests satisfactorily and we determine that further development is warranted, we would file an IND application for the product with the FDA, and if the FDA gives its approval, we would begin Phase 1 clinical tests. Phase 1 testing generally lasts between 6 and 24 months. If Phase 1 test results are satisfactory and the FDA gives its approval, we can begin Phase 2 clinical tests. Phase 2 testing generally lasts between 6 and 36 months. If Phase 2 test results are satisfactory and the FDA gives its approval, we can begin Phase 3 pivotal studies. Phase 3 studies generally last between 12 and 48 months. Once clinical testing is completed and a BLA or NDA is filed with the FDA, it may take more than a year to receive FDA approval.</w:t>
      </w:r>
    </w:p>
    <w:p>
      <w:pPr>
        <w:spacing w:after="0" w:line="178"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all cases we must show that a drug candidate is both safe and effective before the FDA, or drug approval agencies of other countries where we intend to sell the product, will approve it for sale. Our research and testing programs must comply with drug approval requirements both in the United States and in other countries, since we are developing our drug candidates with the intention to, or could later decide to, commercialize them both in the U.S. and abroad. A product may fail for safety or effectiveness at any stage of the testing process. A major risk we face is the possibility that none of our products under development will come through the testing process to final approval for sale, with the result that we cannot derive any commercial revenue from them after investing significant amounts of capital in multiple stages of preclinical and clinical testing.</w:t>
      </w:r>
    </w:p>
    <w:p>
      <w:pPr>
        <w:spacing w:after="0" w:line="174" w:lineRule="exact"/>
        <w:rPr>
          <w:sz w:val="20"/>
          <w:szCs w:val="20"/>
          <w:color w:val="auto"/>
        </w:rPr>
      </w:pPr>
    </w:p>
    <w:p>
      <w:pPr>
        <w:ind w:right="280"/>
        <w:spacing w:after="0" w:line="331" w:lineRule="auto"/>
        <w:rPr>
          <w:sz w:val="20"/>
          <w:szCs w:val="20"/>
          <w:color w:val="auto"/>
        </w:rPr>
      </w:pPr>
      <w:r>
        <w:rPr>
          <w:rFonts w:ascii="Arial" w:cs="Arial" w:eastAsia="Arial" w:hAnsi="Arial"/>
          <w:sz w:val="16"/>
          <w:szCs w:val="16"/>
          <w:b w:val="1"/>
          <w:bCs w:val="1"/>
          <w:i w:val="1"/>
          <w:iCs w:val="1"/>
          <w:color w:val="auto"/>
        </w:rPr>
        <w:t>Success in early clinical trials does not ensure that later clinical trials will be successful, and we cannot assure you that any of the clinical trials that we may conduct will demonstrate consistent or adequate efficacy and safety to obtain regulatory approval.</w:t>
      </w:r>
    </w:p>
    <w:p>
      <w:pPr>
        <w:spacing w:after="0" w:line="141"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results of preclinical studies and early clinical trials may not be predictive of the results of later-stage clinical trials, and interim results of a clinical trial do not necessarily predict final results.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Preclinical and clinical data are susceptible to various interpretations and analyses, and many companies that have believed their drug candidates performed satisfactorily in preclinical studies and early-stage clinical trials have nonetheless failed to replicate such results in later-stage clinical trials and subsequently failed to obtain marketing approval. Drug candidates in later-stage clinical trials may fail to show the desired safety and efficacy despite having progressed through preclinical and initial clinical trials, even if certain analyses of primary or secondary endpoints in those early trials showed trends towards efficacy. Later-stage clinical trials with larger numbers of patients or longer durations of therapy may also reveal safety concerns that were not identified in earlier smaller or shorter trials. Our failure to demonstrate efficacy and safety data sufficient to support marketing approval for any of our other drug candidates would substantially harm our business, prospectus,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testing is critical to the success of our drug candidates but subject to delay or cancellation if we have difficulty enrolling patients.</w:t>
      </w:r>
    </w:p>
    <w:p>
      <w:pPr>
        <w:spacing w:after="0" w:line="248" w:lineRule="exact"/>
        <w:rPr>
          <w:sz w:val="20"/>
          <w:szCs w:val="20"/>
          <w:color w:val="auto"/>
        </w:rPr>
      </w:pPr>
    </w:p>
    <w:p>
      <w:pPr>
        <w:ind w:right="180" w:firstLine="341"/>
        <w:spacing w:after="0" w:line="256" w:lineRule="auto"/>
        <w:rPr>
          <w:sz w:val="20"/>
          <w:szCs w:val="20"/>
          <w:color w:val="auto"/>
        </w:rPr>
      </w:pPr>
      <w:r>
        <w:rPr>
          <w:rFonts w:ascii="Arial" w:cs="Arial" w:eastAsia="Arial" w:hAnsi="Arial"/>
          <w:sz w:val="18"/>
          <w:szCs w:val="18"/>
          <w:color w:val="auto"/>
        </w:rPr>
        <w:t>As our portfolio of drug candidates moves from preclinical testing to clinical testing, and then through progressively larger and more complex clinical trials, we will need to enroll an increasing number of patients with the appropriate characteristics. At times we have experienced difficulty enrolling patients, and we may experience more difficulty as the scale of our clinical testing program increases. The factors that affect our ability to enroll patients are largely uncontrollable and include principally the following:</w:t>
      </w:r>
    </w:p>
    <w:p>
      <w:pPr>
        <w:spacing w:after="0" w:line="210"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nature of the clinical test;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size of the patient population;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patients' willingness to receive a placebo or less effective treatment on the control arm of a clinical study;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distance between patients and clinical test sites;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eligibility criteria for the trial.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we cannot enroll patients as needed, our costs may increase, or we may be forced to delay or terminate testing for a product.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delays in commencing, enrolling and completing our clinical trials, and we may not complete them at all.</w:t>
      </w:r>
    </w:p>
    <w:p>
      <w:pPr>
        <w:spacing w:after="0" w:line="225"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have not completed the clinical trials necessary to obtain FDA approval to market any of our drug candidates in development. Clinical trials for our products in development may be delayed or terminated as a result of many factors, including the following:</w:t>
      </w:r>
    </w:p>
    <w:p>
      <w:pPr>
        <w:spacing w:after="0" w:line="199" w:lineRule="exact"/>
        <w:rPr>
          <w:sz w:val="20"/>
          <w:szCs w:val="20"/>
          <w:color w:val="auto"/>
        </w:rPr>
      </w:pPr>
    </w:p>
    <w:p>
      <w:pPr>
        <w:ind w:left="1080" w:right="24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reach agreements on acceptable terms with prospective contract research organizations (CROs) and trial sites, the terms of which can be subject to extensive negotiation and may vary significantly among different CROs and trial sites;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in enrolling patients in our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inability to maintain necessary supplies of study drug and comparator to maintain predicted enrollment rates at clinical trial sites;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patients failing to complete clinical trials due to dissatisfaction with the treatment, side effects or other reasons;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by regulators to authorize us to commence a clinical trial;</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6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suspension or termination by regulators of clinical research for many reasons, including concerns about patient safety, bias or failure of our contract manufacturers to comply with cGMP requirements;</w:t>
      </w:r>
    </w:p>
    <w:p>
      <w:pPr>
        <w:spacing w:after="0" w:line="212" w:lineRule="exact"/>
        <w:rPr>
          <w:rFonts w:ascii="Arial" w:cs="Arial" w:eastAsia="Arial" w:hAnsi="Arial"/>
          <w:sz w:val="18"/>
          <w:szCs w:val="18"/>
          <w:color w:val="auto"/>
        </w:rPr>
      </w:pPr>
    </w:p>
    <w:p>
      <w:pPr>
        <w:ind w:left="1080" w:right="82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or failure to obtain clinical supply for our products necessary to conduct clinical trials from contract manufacturers, including commercial grade-clinical supply for our Phase 3 clinical trials;</w:t>
      </w:r>
    </w:p>
    <w:p>
      <w:pPr>
        <w:spacing w:after="0" w:line="199"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identify and maintain a sufficient number of trial sites, many of which may already be engaged in other clinical trial programs, including some that may be for the same indication as our product candidates;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drug candidates demonstrating a lack of efficacy during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continue to fund clinical trials or to find a partner to fund the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 with ongoing clinical trials and scheduling conflicts with participating clinicians;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completing data collection and analysis for clinical trials.</w:t>
      </w:r>
    </w:p>
    <w:p>
      <w:pPr>
        <w:spacing w:after="0" w:line="225"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Any delay or failure to commence, enroll or complete clinical trials and obtain FDA approval for our drug candidates could have a material adverse effect on our cost to develop and commercialize, and our ability to generate revenue from, a particular drug candidate.</w:t>
      </w:r>
    </w:p>
    <w:p>
      <w:pPr>
        <w:spacing w:after="0" w:line="186"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b w:val="1"/>
          <w:bCs w:val="1"/>
          <w:i w:val="1"/>
          <w:iCs w:val="1"/>
          <w:color w:val="auto"/>
        </w:rPr>
        <w:t>If serious adverse or unacceptable side effects are identified during the development of our drug candidates, we may need to abandon or limit our development of some of our drug candidates.</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If our drug candidates are associated with serious adverse events or undesirable side effects in clinical trials or have characteristics that are unexpected, we may need to abandon their development or limit development to more narrow uses or subpopulations in which the serious adverse events, undesirable side effects or other characteristics are less prevalent, less severe or more acceptable from a risk-benefit perspective. In pharmaceutical development, many drugs that initially show promise in early-stage testing are later found to cause side effects that prevent further development of the drug. Currently marketed therapies for the treatment of cancer are generally limited to some extent by their toxicity. In addition some of our drug candidates would be chronic therapies or be used in pediatric populations, for which safety concerns may be particularly important. Use of our drug candidates as monotherapies may also result in adverse events consistent in nature with other marketed therapies. In addition, when used in combination with other marketed therapies, our drug candidates may exacerbate adverse events associated with the marketed therapy.</w:t>
      </w:r>
    </w:p>
    <w:p>
      <w:pPr>
        <w:spacing w:after="0" w:line="17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may expend our resources to pursue a particular drug candidate or indication and forgo the opportunity to capitalize on drug candidates or indications that may ultimately be more profitable or for which there is a greater likelihood of success.</w:t>
      </w:r>
    </w:p>
    <w:p>
      <w:pPr>
        <w:spacing w:after="0" w:line="186"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Because we have limited financial and managerial resources, we intend to focus on developing drug candidates for specific indications that we identify as most likely to succeed, in terms of both their potential for regulatory approval and commercialization. As a result, we may forego or delay pursuit of opportunities with other drug candidates or for other indications that may prove to have greater commercial potential.</w:t>
      </w:r>
    </w:p>
    <w:p>
      <w:pPr>
        <w:spacing w:after="0" w:line="160"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 candidates. If we do not accurately evaluate the commercial potential or target market for a particular drug candidate, we may relinquish valuable rights to that drug candidate through collaboration,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licensing or other royalty arrangements in cases in which it would have been more advantageous for us to retain sole development and commercialization rights to the drug candidate.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multiple late-stage clinical trials for a variety of drug candidates simultaneously.</w:t>
      </w:r>
    </w:p>
    <w:p>
      <w:pPr>
        <w:spacing w:after="0" w:line="225" w:lineRule="exact"/>
        <w:rPr>
          <w:sz w:val="20"/>
          <w:szCs w:val="20"/>
          <w:color w:val="auto"/>
        </w:rPr>
      </w:pPr>
    </w:p>
    <w:p>
      <w:pPr>
        <w:ind w:right="60" w:firstLine="341"/>
        <w:spacing w:after="0" w:line="288" w:lineRule="auto"/>
        <w:rPr>
          <w:sz w:val="20"/>
          <w:szCs w:val="20"/>
          <w:color w:val="auto"/>
        </w:rPr>
      </w:pPr>
      <w:r>
        <w:rPr>
          <w:rFonts w:ascii="Arial" w:cs="Arial" w:eastAsia="Arial" w:hAnsi="Arial"/>
          <w:sz w:val="16"/>
          <w:szCs w:val="16"/>
          <w:color w:val="auto"/>
        </w:rPr>
        <w:t>As our current clinical trials progress, we may need to manage multiple late-stage clinical trials simultaneously in order to continue developing all of our current products. The management of late-stage clinical trials is more complex and time consuming than early-stage trials. Typically, early-stage trials involve several hundred patients in no more than 10 to 30 clinical sites. Late-stage (Phase 3) trials may involve up to several thousand patients in up to several hundred clinical sites and may require facilities in several countries. Therefore, the project management required to supervise and control such an extensive program is substantially larger than early-stage programs. As the need for these resources is not known until some months before the trials begin, it is necessary to recruit large numbers of experienced and talented individuals very quickly. If the labor market does not allow this team to be recruited quickly, the sponsor is faced with a decision to delay the program or to initiate it with inadequate management resources. This may result in recruitment of inappropriate patients, inadequate monitoring of clinical investigators and inappropriate handling of data or data analysis. Consequently it is possible that conclusions of efficacy or safety may not be acceptable to permit filing of a BLA or NDA for any one of the above reasons or a combination of several.</w:t>
      </w:r>
    </w:p>
    <w:p>
      <w:pPr>
        <w:spacing w:after="0" w:line="17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Failure to successfully validate, develop and obtain regulatory approval for companion diagnostics for certain of our drug candidates could harm our drug development strategy and operational results.</w:t>
      </w:r>
    </w:p>
    <w:p>
      <w:pPr>
        <w:spacing w:after="0" w:line="186" w:lineRule="exact"/>
        <w:rPr>
          <w:sz w:val="20"/>
          <w:szCs w:val="20"/>
          <w:color w:val="auto"/>
        </w:rPr>
      </w:pPr>
    </w:p>
    <w:p>
      <w:pPr>
        <w:ind w:right="60" w:firstLine="341"/>
        <w:spacing w:after="0" w:line="288" w:lineRule="auto"/>
        <w:rPr>
          <w:sz w:val="20"/>
          <w:szCs w:val="20"/>
          <w:color w:val="auto"/>
        </w:rPr>
      </w:pPr>
      <w:r>
        <w:rPr>
          <w:rFonts w:ascii="Arial" w:cs="Arial" w:eastAsia="Arial" w:hAnsi="Arial"/>
          <w:sz w:val="16"/>
          <w:szCs w:val="16"/>
          <w:color w:val="auto"/>
        </w:rPr>
        <w:t>As an element of our clinical development approach, we may seek to screen and identify subsets of patients that express a certain biomarker or that have a certain genetic alteration who may derive meaningful benefit from our development drug candidates. To achieve this, one or more of our drug development programs may be dependent on the development and commercialization of a companion diagnostic by us or by third-party collaborators. Companion diagnostics are developed in conjunction with clinical programs for the associated drug candidate. Companion diagnostics are subject to regulation as medical devices and must themselves be approved for marketing by the FDA or certain other foreign regulatory agencies before the related drug candidate may be commercialized. The approval of a companion diagnostic as part of the product label will limit the use of the drug candidate to only those patients who express the specific biomarker it was developed to detect. We or our third-party collaborators may also experience delays in developing a sustainable, reproducible and scalable manufacturing process or transferring that process to commercial partners or negotiating insurance reimbursement for such companion diagnostic, all of which may prevent us from completing our clinical trials or commercializing our drugs on a timely or profitable basis, if at all.</w:t>
      </w:r>
    </w:p>
    <w:p>
      <w:pPr>
        <w:spacing w:after="0" w:line="173"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To date, the FDA has required premarket approval of all companion diagnostics for cancer therapies. We and our third-party collaborators may encounter difficulties in developing and obtaining approval for these companion diagnostics. Any delay or failure by us or third-party collaborators to develop or obtain regulatory approval of a companion diagnostic could delay or prevent approval of our related drug candidates or, if regulatory approval is obtained, delay or limit our ability to commercialize our related drug candidates.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delay in obtaining regulatory approval would have an adverse impact on our ability to earn future revenues.</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It is possible that none of the drug candidates that we develop will obtain the regulatory approvals necessary for us to begin commercializing them. The time required to obtain FDA and other approvals is unpredictable but in general takes years following the commencement of clinical trials, depending upon the nature of the drug candidate. Any analysis we perform of data from clinical activities is subject to confirmation and interpretation by regulatory authorities, which could delay, limit or prevent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regulatory approval. Any delay or failure in obtaining required approvals could have a material adverse effect on our ability to generate revenues from the particular drug candidate including, but not limited to, loss of patent term during the approval period. Furthermore, if we, or our partners, do not reach the market with our products before our competitors offer products for the same or similar uses, or if we, or our partners, are not effective in marketing our products, our revenues from product sales, if any, will be reduced.</w:t>
      </w:r>
    </w:p>
    <w:p>
      <w:pPr>
        <w:spacing w:after="0" w:line="197"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face intense competition in our development activities. We face competition from many companies in the United States and abroad, including a number of large pharmaceutical companies, firms specialized in the development and production of vaccines, adjuvants and vaccine and immunotherapeutic delivery systems and major universities and research institutions. Most of our competitors have substantially greater resources, more extensive experience in conducting preclinical studies and clinical testing and obtaining regulatory approvals for their products, greater operating experience, greater research and development and marketing capabilities and greater production capabilities than those of ours. These companies might succeed in obtaining regulatory approval for competitive products more rapidly than we can for our products, especially if we experience any delay in obtaining required regulatory approvals.</w:t>
      </w:r>
    </w:p>
    <w:p>
      <w:pPr>
        <w:spacing w:after="0" w:line="174"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b w:val="1"/>
          <w:bCs w:val="1"/>
          <w:i w:val="1"/>
          <w:iCs w:val="1"/>
          <w:color w:val="auto"/>
        </w:rPr>
        <w:t>We may enter into collaboration agreements for the licensing, development and ultimate commercialization of some of our drug candidates including, where appropriate, for our lead drug candidates. In such cases, we will depend greatly on our third-party collaborators to license, develop and commercialize such drug candidates, and they may not meet our expectations.</w:t>
      </w:r>
    </w:p>
    <w:p>
      <w:pPr>
        <w:spacing w:after="0" w:line="160"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may enter into co-development and commercialization partnerships for our drug candidates where appropriate. The process of identifying collaborators and negotiating collaboration agreements for the licensing, development and ultimate commercialization of some of our drug candidates may cause delays and increased costs. We may not be able to enter into collaboration agreements on terms favorable to us or at all. Furthermore some of those agreements may give substantial responsibility over our drug candidates to the collaborator. Some collaborators may be unable or unwilling to devote sufficient resources to develop our drug candidates as their agreements require. They often face business risks similar to ours, and this could interfere with their efforts. Also, collaborators may choose to devote their resources to products that compete with ours. If a collaborator does not successfully develop any one of our products, we will need to find another collaborator to do so. The success of our search for a new collaborator will depend on our legal right to do so at the time and whether the product remains commercially viable.</w:t>
      </w:r>
    </w:p>
    <w:p>
      <w:pPr>
        <w:spacing w:after="0" w:line="178"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If we enter into collaboration agreements for one or more of our lead drug candidates, the success of such drug candidates will depend in great part upon our and our collaborators' success in promoting them as superior to other treatment alternatives. We believe that our drug candidates can be proven to offer disease treatment with notable advantages over drugs in terms of patient compliance and effectiveness. However, there can be no assurance that we will be able to prove these advantages or that the advantages will be sufficient to support the successful commercialization of our drug candidates.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many competitors in our field, and they may develop technologies that make ours obsolete.</w:t>
      </w:r>
    </w:p>
    <w:p>
      <w:pPr>
        <w:spacing w:after="0" w:line="225" w:lineRule="exact"/>
        <w:rPr>
          <w:sz w:val="20"/>
          <w:szCs w:val="20"/>
          <w:color w:val="auto"/>
        </w:rPr>
      </w:pPr>
    </w:p>
    <w:p>
      <w:pPr>
        <w:jc w:val="both"/>
        <w:ind w:right="80" w:firstLine="351"/>
        <w:spacing w:after="0" w:line="256" w:lineRule="auto"/>
        <w:rPr>
          <w:sz w:val="20"/>
          <w:szCs w:val="20"/>
          <w:color w:val="auto"/>
        </w:rPr>
      </w:pPr>
      <w:r>
        <w:rPr>
          <w:rFonts w:ascii="Arial" w:cs="Arial" w:eastAsia="Arial" w:hAnsi="Arial"/>
          <w:sz w:val="18"/>
          <w:szCs w:val="18"/>
          <w:color w:val="auto"/>
        </w:rPr>
        <w:t>Biotechnology, pharmaceuticals and therapeutics are rapidly evolving fields in which scientific and technological developments are expected to continue at a rapid pace. We have many competitors in the U.S. and abroad. Our success depends upon our ability to develop and maintain a competitive position in the product categories and technologies on which we focus. Many of our competitors have greater capabilities, experience and financial resources than we do. Competition is intense and is expected to</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increase as new products enter the market and new technologies become available. Our competitors may:</w:t>
      </w:r>
    </w:p>
    <w:p>
      <w:pPr>
        <w:spacing w:after="0" w:line="23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technologies and products that are more effective than ours, making ours obsolete or otherwise noncompetitive;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regulatory approval for products more rapidly or effectively than us;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patent protection or other intellectual property rights that would block our ability to develop competitive products.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Drug Candidates</w:t>
      </w:r>
    </w:p>
    <w:p>
      <w:pPr>
        <w:spacing w:after="0" w:line="23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We may face delays, difficulties or unanticipated costs in establishing sales, marketing and distribution capabilities or seeking a partnership for the commercialization of our drug candidates, even if regulatory approval is obtained.</w:t>
      </w:r>
    </w:p>
    <w:p>
      <w:pPr>
        <w:spacing w:after="0" w:line="186"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We may choose to build a commercial organization which we believe could provide us with the strategic options to either retain full economic rights to our drug candidates or seek favorable economic terms through advantageous commercial partnerships. As a result, we may have full responsibility for commercialization of one or more of our drug candidates if and when they are approved for sale. We currently lack sufficient marketing, sales and distribution capabilities to carry out this strategy. If any of our drug candidates are approved by the FDA, we will need a drug sales force with technical expertise prior to the commercialization of any of our drug candidates. We may not succeed in developing such sales and distribution capabilities, the cost of establishing such sales and distribution capabilities may exceed any product revenue, or our direct marketing and sales efforts may be unsuccessful. We may find it necessary to enter into strategic partnerships, co-promotion or other licensing arrangements. To the extent we enter into such strategic partnerships, co-promotion or other licensing arrangements, our product revenues are likely to be lower than if we directly marketed and sold such drugs, and some or all of the revenues we receive will depend upon the efforts of third parties, which may not be successful and may not be within our control. If we are unable to enter into such strategic partnerships, co-promotion or other licensing arrangements on acceptable terms or at all, we may not be able to successfully commercialize our existing and future drug candidates. If we are not successful in commercializing any drug candidates, for which we obtain regulatory approval, either on our own or through collaborations with one or more third parties, our future product revenue will suffer, and we may never achieve profitability or become unable to continue the operation of our business.</w:t>
      </w:r>
    </w:p>
    <w:p>
      <w:pPr>
        <w:spacing w:after="0" w:line="18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If our drug candidates for which we obtain regulatory approval do not achieve broad acceptance from physicians, patients and third-party payors, we may be unable to generate significant revenues, if any.</w:t>
      </w:r>
    </w:p>
    <w:p>
      <w:pPr>
        <w:spacing w:after="0" w:line="186"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Even if we obtain regulatory approval for our drug candidates, our approved drugs may not gain market acceptance among physicians and patients. We believe that effectively marketing our drug candidates, if any of them are approved, will require substantial efforts, both prior to commercial launch and after approval. Physicians may elect not to prescribe our drugs, and patients may elect not to request or take them, for a variety of reasons, including:</w:t>
      </w:r>
    </w:p>
    <w:p>
      <w:pPr>
        <w:spacing w:after="0" w:line="174"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or warnings contained in a drug's FDA-approved labeling;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the standard of care or the availability of alternative drugs for the targeted indications for any of our drug candidates;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in the approved indications for our drug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approval, availability, market acceptance and reimbursement for the companion diagnostic, where applicable;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20"/>
          </w:cols>
          <w:pgMar w:left="320" w:top="131" w:right="4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demonstrated clinical safety and efficacy compared to other drugs;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adverse side effects;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effectiveness of education, sales, marketing and distribution support;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timing of market introduction and perceived effectiveness of competitive drugs;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cost-effectiveness;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publicity about our drug candidates or favorable publicity about competitive drugs;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convenience and ease of administration of our drug candidates;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willingness of third-party payors to reimburse for the cost of our drug candidates.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our future drugs fail to achieve market acceptance, we will not be able to generate significant revenues and may never achieve profitability.</w:t>
      </w:r>
    </w:p>
    <w:p>
      <w:pPr>
        <w:spacing w:after="0" w:line="24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Even if any of our drug candidates receive FDA approval, the terms of the approval may limit such drug's commercial potential. Additionally, even after receipt of FDA approval, such drug would be subject to substantial, ongoing regulatory requirements.</w:t>
      </w:r>
    </w:p>
    <w:p>
      <w:pPr>
        <w:spacing w:after="0" w:line="186"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FDA has complete discretion over the approval of our drug candidates. If the FDA grants approval, the scope of the approval may limit our ability to commercialize such drug, and in turn, limit our ability to generate substantial product revenue. For example, the FDA may grant approval contingent on the performance of costly post-approval clinical trials or subject to warnings or contraindications. Additionally, even after granting approval, the manufacturing processes, labeling, packaging, distribution, adverse event reporting, storage, advertising, promotion and recordkeeping for such drug will be subject to extensive and ongoing regulatory requirements. In addition, manufacturers of our drug candidates are required to comply with cGMP regulations, which include requirements related to quality control and quality assurance as well as the corresponding maintenance of records and documentation. Further, regulatory authorities must inspect and approve these manufacturing facilities before they can be used to manufacture our drug candidates, and these facilities are subject to continual review and periodic inspections by the FDA and other regulatory authorities for compliance with cGMP regulations. If we or a third party discover previously unknown problems with a drug, such as adverse events of unanticipated severity or frequency, or problems with the facility where the drug is manufactured, a regulatory authority may impose restrictions on that product, the manufacturer or us, including requiring withdrawal of the drug from the market or suspension of manufacturing. If we, our drug candidates or the manufacturing facilities for our drug candidates fail to comply with regulatory requirements of the FDA and/or other non-U.S. regulatory authorities, we could be subject to administrative or judicially imposed sanctions, including the following:</w:t>
      </w:r>
    </w:p>
    <w:p>
      <w:pPr>
        <w:spacing w:after="0" w:line="197"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civil or criminal penalties and fines;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consent decrees;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suspension or withdrawal of regulatory approval;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suspension of any ongoing clinical studies;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refusal to accept or approve applications for marketing approval of new drugs;</w:t>
      </w:r>
    </w:p>
    <w:p>
      <w:pPr>
        <w:spacing w:after="0" w:line="238" w:lineRule="exact"/>
        <w:rPr>
          <w:rFonts w:ascii="Arial" w:cs="Arial" w:eastAsia="Arial" w:hAnsi="Arial"/>
          <w:sz w:val="18"/>
          <w:szCs w:val="18"/>
          <w:color w:val="auto"/>
        </w:rPr>
      </w:pPr>
    </w:p>
    <w:p>
      <w:pPr>
        <w:ind w:left="5540" w:right="4540" w:hanging="4992"/>
        <w:spacing w:after="0" w:line="613" w:lineRule="auto"/>
        <w:tabs>
          <w:tab w:leader="none" w:pos="1092"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restrictions on operations, including costly new manufacturing requirements; or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-44450</wp:posOffset>
            </wp:positionV>
            <wp:extent cx="71361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seizure or detention of drugs or import bans.</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regulatory requirements and policies may change, and additional government regulations may be enacted with which we may also be required to comply. We cannot predict the likelihood, nature or extent of government regulation that may arise from future legislation or administrative action, either in the United States or in other countries. If we are not able to maintain regulatory compliance, we may not be permitted to market our future products and our business may suffer.</w:t>
      </w:r>
    </w:p>
    <w:p>
      <w:pPr>
        <w:spacing w:after="0" w:line="19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Reimbursement decisions by third-party payors may have an adverse effect on pricing and market acceptance of any of our drug candidates. If there is not sufficient reimbursement for our future drugs, it is less likely that such drugs will be widely used.</w:t>
      </w:r>
    </w:p>
    <w:p>
      <w:pPr>
        <w:spacing w:after="0" w:line="186"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Market acceptance and sales of any of our drug candidates for which we obtain regulatory approval will depend on reimbursement policies and may be affected by future health care reform measures in both the United States and foreign jurisdictions. Government authorities and third-party payors, such as private health insurers and health maintenance organizations, decide which drugs they will cover and establish payment levels. In addition, government authorities and these third-party payors are increasingly attempting to contain health care costs by demanding price discounts or rebates and limiting both the types and variety of drugs that they will cover and the amounts that they will pay for these drugs. In addition, we might need to conduct post-marketing studies in order to demonstrate the cost-effectiveness of any future drugs to such payors' satisfaction. Such studies might require us to commit a significant amount of management time and financial and other resources.</w:t>
      </w:r>
    </w:p>
    <w:p>
      <w:pPr>
        <w:spacing w:after="0" w:line="172" w:lineRule="exact"/>
        <w:rPr>
          <w:sz w:val="20"/>
          <w:szCs w:val="20"/>
          <w:color w:val="auto"/>
        </w:rPr>
      </w:pPr>
    </w:p>
    <w:p>
      <w:pPr>
        <w:ind w:right="160" w:firstLine="351"/>
        <w:spacing w:after="0" w:line="317" w:lineRule="auto"/>
        <w:rPr>
          <w:sz w:val="20"/>
          <w:szCs w:val="20"/>
          <w:color w:val="auto"/>
        </w:rPr>
      </w:pPr>
      <w:r>
        <w:rPr>
          <w:rFonts w:ascii="Arial" w:cs="Arial" w:eastAsia="Arial" w:hAnsi="Arial"/>
          <w:sz w:val="15"/>
          <w:szCs w:val="15"/>
          <w:color w:val="auto"/>
        </w:rPr>
        <w:t>Reimbursement rates may vary according to the use of the drug and the clinical setting in which it is used, may be based on payments allowed for lower-cost products that are already reimbursed, may be incorporated into existing payments for other products or services and may reflect budgetary constraints and/or imperfections in Medicare or Medicaid data used to calculate these rates. Net prices for drugs may be reduced by mandatory discounts or rebates required by government health care programs. Such programs, or regulatory changes or relaxation of laws that restrict imports of drugs from other countries, could reduce the net price we receive for any future marketed drugs. In addition, our future drugs might not ultimately be considered cost-effective.</w:t>
      </w:r>
    </w:p>
    <w:p>
      <w:pPr>
        <w:spacing w:after="0" w:line="157"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cannot be certain that reimbursement will be available for any drug candidates that we develop. Also, we cannot be certain that reimbursement policies will not reduce the demand for, or the price paid for, any future drugs. If reimbursement is not available or is available on a limited basis, we may not be able to successfully commercialize any drug candidates that we develop.</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factors could affect the demand for and sales and profitability of any drug candidates that we may commercialize in the future.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general, other factors that could affect the demand for and sales and profitability of our future drugs include, but are not limited to:</w:t>
      </w:r>
    </w:p>
    <w:p>
      <w:pPr>
        <w:spacing w:after="0" w:line="252"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regulatory approval, if any, of competitive drugs;</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or any other of our partners' pricing decisions, as applicable, including a decision to increase or decrease the price of a drug, and the pricing decisions of our competitors;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government and third-party payor reimbursement and coverage decisions that affect the utilization of our future drugs and competing drugs;</w:t>
      </w:r>
    </w:p>
    <w:p>
      <w:pPr>
        <w:spacing w:after="0" w:line="275" w:lineRule="exact"/>
        <w:rPr>
          <w:rFonts w:ascii="Arial" w:cs="Arial" w:eastAsia="Arial" w:hAnsi="Arial"/>
          <w:sz w:val="16"/>
          <w:szCs w:val="16"/>
          <w:color w:val="auto"/>
        </w:rPr>
      </w:pPr>
    </w:p>
    <w:p>
      <w:pPr>
        <w:ind w:left="1080" w:right="34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negative safety or efficacy data from new clinical studies conducted either in the U.S. or internationally by any party, which could cause the sales of our future drugs to decrease or a future drug to be recalled;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degree of patent protection afforded our future drugs by patents granted to or licensed by us and by the outcome of litigation involving our or any of our licensor's patents;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marketing exclusivity, if any, awarded by the FDA to our drugs;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outcome of litigation involving patents of other companies concerning our future drugs or processes related to production and formulation of those drugs or uses of those drugs;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increasing use and development of alternate therapies;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rate of market penetration by competing drugs;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termination of, or change in, existing arrangements with our partners.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these factors could have a material adverse effect on the sales of any drug candidates that we may commercialize in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obtain regulatory approvals in foreign jurisdictions will prevent us from marketing our products internationally.</w:t>
      </w:r>
    </w:p>
    <w:p>
      <w:pPr>
        <w:spacing w:after="0" w:line="225" w:lineRule="exact"/>
        <w:rPr>
          <w:sz w:val="20"/>
          <w:szCs w:val="20"/>
          <w:color w:val="auto"/>
        </w:rPr>
      </w:pPr>
    </w:p>
    <w:p>
      <w:pPr>
        <w:jc w:val="both"/>
        <w:ind w:right="180" w:firstLine="348"/>
        <w:spacing w:after="0" w:line="306" w:lineRule="auto"/>
        <w:rPr>
          <w:sz w:val="20"/>
          <w:szCs w:val="20"/>
          <w:color w:val="auto"/>
        </w:rPr>
      </w:pPr>
      <w:r>
        <w:rPr>
          <w:rFonts w:ascii="Arial" w:cs="Arial" w:eastAsia="Arial" w:hAnsi="Arial"/>
          <w:sz w:val="16"/>
          <w:szCs w:val="16"/>
          <w:color w:val="auto"/>
        </w:rPr>
        <w:t>We may seek approval for our drug candidates outside the United States and may market future products in international markets. In order to market our future products in the European Economic Area, or EEA, and many other foreign jurisdictions, we must obtain separate regulatory approvals. Specifically, in the EEA, medicinal products can only be commercialized after obtaining a Marketing Authorization, or MA.</w:t>
      </w:r>
    </w:p>
    <w:p>
      <w:pPr>
        <w:spacing w:after="0" w:line="160" w:lineRule="exact"/>
        <w:rPr>
          <w:sz w:val="20"/>
          <w:szCs w:val="20"/>
          <w:color w:val="auto"/>
        </w:rPr>
      </w:pPr>
    </w:p>
    <w:p>
      <w:pPr>
        <w:jc w:val="both"/>
        <w:ind w:right="200" w:firstLine="351"/>
        <w:spacing w:after="0" w:line="268" w:lineRule="auto"/>
        <w:rPr>
          <w:sz w:val="20"/>
          <w:szCs w:val="20"/>
          <w:color w:val="auto"/>
        </w:rPr>
      </w:pPr>
      <w:r>
        <w:rPr>
          <w:rFonts w:ascii="Arial" w:cs="Arial" w:eastAsia="Arial" w:hAnsi="Arial"/>
          <w:sz w:val="18"/>
          <w:szCs w:val="18"/>
          <w:color w:val="auto"/>
        </w:rPr>
        <w:t>Before granting the MA, the European Medicines Agency or the competent authorities of the member states of the EEA make an assessment of the risk-benefit balance of the product on the basis of scientific criteria concerning its quality, safety and efficacy.</w:t>
      </w:r>
    </w:p>
    <w:p>
      <w:pPr>
        <w:spacing w:after="0" w:line="186"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approval procedures vary among countries and can involve additional clinical testing, and the time required to obtain approval may differ from that required to obtain FDA approval. Clinical studies conducted in one country may not be accepted by regulatory authorities in other countries. Approval by the FDA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obtain foreign regulatory approvals on a timely basis, if at all. We may not be able to file for regulatory approvals, and even if we file we may not receive necessary approvals to commercialize our products in any market.</w:t>
      </w:r>
    </w:p>
    <w:p>
      <w:pPr>
        <w:spacing w:after="0" w:line="17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If we obtain approval to commercialize any approved products outside of the United States, a variety of risks associated with international operations could materially adversely affect our business.</w:t>
      </w:r>
    </w:p>
    <w:p>
      <w:pPr>
        <w:spacing w:after="0" w:line="186"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If our drug candidates are approved for commercialization outside of the United States, we expect that we will be subject to additional risks related to international operations and entering into international business relationships, including:</w:t>
      </w:r>
    </w:p>
    <w:p>
      <w:pPr>
        <w:spacing w:after="0" w:line="19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including trade secret and patent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8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212"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workforce uncertainty in countries where employment regulations are different than, and labor unrest is more common than, in the United States;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hurricanes, floods and fires;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in importing and exporting clinical trial materials and study samples.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231"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We rely on third parties to plan, conduct and monitor our clinical tests, and their failure to perform as required would interfere with our product development.</w:t>
      </w:r>
    </w:p>
    <w:p>
      <w:pPr>
        <w:spacing w:after="0" w:line="186"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rely on third parties to conduct a significant portion of our clinical development activities. These activities include clinical patient recruitment and observation, clinical trial monitoring, clinical data management and analysis, safety monitoring and project management. We conduct project management and medical and safety monitoring in-house for some of our programs and rely on third parties for the remainder of our clinical development activities. If any of these third parties is unable to perform in a quality and timely manner, and at a feasible cost, our clinical studies will face delays. Further, if any of these third parties fails to perform as we expect or if their work fails to meet regulatory standards, our testing could be delayed, cancelled or rendered ineffective.</w:t>
      </w:r>
    </w:p>
    <w:p>
      <w:pPr>
        <w:spacing w:after="0" w:line="169" w:lineRule="exact"/>
        <w:rPr>
          <w:sz w:val="20"/>
          <w:szCs w:val="20"/>
          <w:color w:val="auto"/>
        </w:rPr>
      </w:pPr>
    </w:p>
    <w:p>
      <w:pPr>
        <w:ind w:right="260"/>
        <w:spacing w:after="0" w:line="369" w:lineRule="auto"/>
        <w:rPr>
          <w:sz w:val="20"/>
          <w:szCs w:val="20"/>
          <w:color w:val="auto"/>
        </w:rPr>
      </w:pPr>
      <w:r>
        <w:rPr>
          <w:rFonts w:ascii="Arial" w:cs="Arial" w:eastAsia="Arial" w:hAnsi="Arial"/>
          <w:sz w:val="15"/>
          <w:szCs w:val="15"/>
          <w:b w:val="1"/>
          <w:bCs w:val="1"/>
          <w:i w:val="1"/>
          <w:iCs w:val="1"/>
          <w:color w:val="auto"/>
        </w:rPr>
        <w:t>We rely on contract manufacturers over whom we have limited control. Should the cost, delivery and quality of clinical materials manufactured by us in our Fall River facility or supplied by contract manufacturers vary to our disadvantage, our business operations could suffer significant harm.</w:t>
      </w:r>
    </w:p>
    <w:p>
      <w:pPr>
        <w:spacing w:after="0" w:line="118"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have limited experience in commercial manufacturing. We rely on CMOs to manufacture drug substance and drug product for any late-stage clinical studies of our drug candidates as well as for future commercial supplies. Our ability to conduct late-stage clinical trials, manufacture and commercialize our drug candidates, if regulatory approval is obtained, depends on the ability of such third parties to manufacture our drug candidates on a large scale at a competitive cost and in accordance with cGMP and foreign regulatory requirements, if applicable. We also rely on CMOs for filling, packaging, storage and shipping of drug product. In order for us to establish our own commercial manufacturing facility, we would require substantial additional funds and would need to hire and retain significant additional personnel and comply with extensive cGMP regulations applicable to such a facility. The commercial manufacturing facility would also need to be licensed for the production of our drug candidates by the FDA.</w:t>
      </w:r>
    </w:p>
    <w:p>
      <w:pPr>
        <w:spacing w:after="0" w:line="172"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Prior to approval of any drug candidate, the FDA must review and approve validation studies for drug product. The manufacturing processes for our drug candidates and immunotherapeutic delivery systems utilize known technologies. We believe that the products we currently have under development can be scaled up to permit manufacture in commercial quantities. However, there can be no assurance that we will not encounter difficulties in scaling up the manufacturing processes. Significant scale-up of manufacturing may result in unanticipated technical challenges and may require additional validation studies that the FDA must review and approve. CMOs may encounter difficulties in scaling up production, including problems involving raw material suppliers, production yields, technical difficulties, scaled-up product characteristics, quality control and assurance, shortage of qualified personnel, capacity constraints, changing priorities within the CMOs, compliance with FDA and foreign regulations, environmental compliance, production costs and development of advanced manufacturing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techniques and process controls. Any of these difficulties, if they occur and are not overcome to the satisfaction of the FDA or other regulatory agency, could lead to significant delays and possibly the termination of the development program for such drug candidate. These risks become more acute as we scale up for commercial quantities, where a reliable source of drug product becomes critical to commercial success. The commercial viability of any of our drug candidates, if approved, will depend on the ability of our contract manufacturers to produce drug product on a large scale. Failure to achieve this level of supply can jeopardize and prevent the successful commercialization of the drug.</w:t>
      </w:r>
    </w:p>
    <w:p>
      <w:pPr>
        <w:spacing w:after="0" w:line="169"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operate our own cGMP manufacturing facility in Fall River, Massachusetts, to produce drug substance for our current and planned early-stage clinical trials. Our Fall River manufacturing facility has 250L and 1000L bioreactor capacity and is able to manufacture in compliance with FDA regulations, allowing us to distribute potential products to clinical sites in the U.S. for early-stage clinical trials. We currently manufacture CDX-1140, CDX-301, CDX-527 and CDX-0159 drug substance in our Fall River facility for our current and planned Phase 1 and Phase 2 clinical trials. We expect that our existing clinical supplies of CDX-3379 will be sufficient to carry out our current planned clinical development. Additional manufacturing options are under review and may involve utilization of the Fall River facility and/or a CMO. All products are then filled and packaged at contract manufacturers. Any manufacturing failures or compliance issues at contract manufacturers could cause delays in our Phase 1 and Phase 2 clinical studies for these drug candidates.</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leading drug candidates require specialized manufacturing capabilities and processes. We may face difficulty in securing commitments from U.S. and foreign contract manufacturers as these manufacturers could be unwilling or unable to accommodate our needs. Relying on foreign manufacturers involves peculiar and increased risks, including the risk relating to the difficulty foreign manufacturers may face in complying with cGMP requirements as a result of language barriers, lack of familiarity with cGMP or the FDA regulatory process or other causes, economic or political instability in or affecting the home countries of our foreign manufacturers, shipping delays, potential changes in foreign regulatory laws governing the sales of our product supplies, fluctuations in foreign currency exchange rates and the imposition or application of trade restrictions.</w:t>
      </w:r>
    </w:p>
    <w:p>
      <w:pPr>
        <w:spacing w:after="0" w:line="174"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There can be no assurances that contract manufacturers will be able to meet our timetable and requirements. Further, contract manufacturers must operate in compliance with cGMP and failure to do so could result in, among other things, the disruption of product supplies. As noted above, non-U.S. contract manufacturers may face special challenges in complying with cGMP requirements, and although we are not currently dependent on non-U.S. collaborators or contract manufacturers, we may choose or be required to rely on non-U.S. sources in the future as we seek to develop stable supplies of increasing quantities of materials for ongoing clinical trials of larger scale. Our dependence upon third parties for the manufacture of our products may adversely affect our profit margins and our ability to develop, manufacture, sell and deliver products on a timely and competitive basis.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currently rely on third-party collaborators to develop and commercialize companion diagnostic tests for certain of our drug candidates.</w:t>
      </w:r>
    </w:p>
    <w:p>
      <w:pPr>
        <w:spacing w:after="0" w:line="248"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We do not have experience or capabilities in developing, administering, obtaining regulatory approval for, or commercializing companion diagnostic tests and will need to rely in large part on third-party collaborators to perform these functions. Companion diagnostic tests are subject to regulation by the FDA and similar regulatory authorities outside of the United States as medical devices and require separate regulatory approval prior to commercialization. We are dependent on such third-party collaborators to obtain regulatory approval and commercialize such companion diagnostic tests. Such third-party collaborators:</w:t>
      </w:r>
    </w:p>
    <w:p>
      <w:pPr>
        <w:spacing w:after="0" w:line="180" w:lineRule="exact"/>
        <w:rPr>
          <w:sz w:val="20"/>
          <w:szCs w:val="20"/>
          <w:color w:val="auto"/>
        </w:rPr>
      </w:pPr>
    </w:p>
    <w:p>
      <w:pPr>
        <w:ind w:left="5540" w:right="3560" w:hanging="4992"/>
        <w:spacing w:after="0" w:line="518" w:lineRule="auto"/>
        <w:tabs>
          <w:tab w:leader="none" w:pos="1092"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not perform its obligations as expected or as required under our collaboration agreement;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613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may encounter production difficulties that could constrain the supply of the companion diagnostic test;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may have difficulties gaining acceptance of the use of the companion diagnostic test in the clinical community;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may not pursue commercialization of the companion diagnostic test even if they receive any required regulatory approvals;</w:t>
      </w:r>
    </w:p>
    <w:p>
      <w:pPr>
        <w:spacing w:after="0" w:line="238" w:lineRule="exact"/>
        <w:rPr>
          <w:rFonts w:ascii="Arial" w:cs="Arial" w:eastAsia="Arial" w:hAnsi="Arial"/>
          <w:sz w:val="18"/>
          <w:szCs w:val="18"/>
          <w:color w:val="auto"/>
        </w:rPr>
      </w:pPr>
    </w:p>
    <w:p>
      <w:pPr>
        <w:ind w:left="1080" w:hanging="532"/>
        <w:spacing w:after="0" w:line="331"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may elect not to continue the development or commercialization of the companion diagnostic test based on changes in the third parties' strategic focus or available funding, or external factors such as an acquisition, that divert resources or create competing priorities;</w:t>
      </w:r>
    </w:p>
    <w:p>
      <w:pPr>
        <w:spacing w:after="0" w:line="167"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may not commit sufficient resources to the marketing and distribution of the companion diagnostic test;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may terminate their relationship with us.</w:t>
      </w:r>
    </w:p>
    <w:p>
      <w:pPr>
        <w:spacing w:after="0" w:line="225"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If such third-party collaborators fail to develop, obtain regulatory approval or commercialize the companion diagnostic test, we may not be able to enter into arrangements with another diagnostic company to obtain supplies of an alternative diagnostic test for use in connection with the development and commercialization of our drug candidates or do so on commercially reasonable terms, which could adversely affect and/or delay the development or commercialization of our drug candidates.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reliance on third parties requires us to share our trade secrets, which increases the possibility that a competitor will discover them.</w:t>
      </w:r>
    </w:p>
    <w:p>
      <w:pPr>
        <w:spacing w:after="0" w:line="248" w:lineRule="exact"/>
        <w:rPr>
          <w:sz w:val="20"/>
          <w:szCs w:val="20"/>
          <w:color w:val="auto"/>
        </w:rPr>
      </w:pPr>
    </w:p>
    <w:p>
      <w:pPr>
        <w:ind w:firstLine="351"/>
        <w:spacing w:after="0" w:line="308" w:lineRule="auto"/>
        <w:rPr>
          <w:sz w:val="20"/>
          <w:szCs w:val="20"/>
          <w:color w:val="auto"/>
        </w:rPr>
      </w:pPr>
      <w:r>
        <w:rPr>
          <w:rFonts w:ascii="Arial" w:cs="Arial" w:eastAsia="Arial" w:hAnsi="Arial"/>
          <w:sz w:val="15"/>
          <w:szCs w:val="15"/>
          <w:color w:val="auto"/>
        </w:rPr>
        <w:t>Because we rely on third parties to develop our drug candidates, we must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We also conduct joint research and development programs which may require us to share trade secrets under the terms of research and development partnership or similar agreements.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w:t>
      </w:r>
    </w:p>
    <w:p>
      <w:pPr>
        <w:spacing w:after="0" w:line="16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86"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Events outside of our control, including natural disasters and public health emergencies, could severely disrupt our operations and have a material adverse effect on our business, results of operations, financial condition and prospects. If a natural disaster, or public health emergency such as the novel coronavirus, power outage or other event occurred that prevented us from using all or a significant portion of our manufacturing and lab facilities, that damaged critical infrastructure, such as third-party manufacturing facilities, or that otherwise disrupted operations and travel, it may be difficult or, in certain cases, impossible for us to continue our business for a substantial period of time. The disaster recovery and business continuity plans we have in place may prove inadequate in the event of a</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serious disaster or similar event. We may incur substantial expenses as a result of the limited nature of our disaster recovery and business continuity plans, which could have a material adverse effect on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Business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engage in strategic transactions that could impact our liquidity, increase our expenses and present significant distractions to our management.</w:t>
      </w:r>
    </w:p>
    <w:p>
      <w:pPr>
        <w:spacing w:after="0" w:line="260"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From time to time we may consider strategic transactions, including acquisitions of companies, such as our acquisition of Kolltan in the fourth quarter of 2016, asset purchases and out-licensing or in-licensing of products, drug candidates or technologies. Additional potential transactions that we may consider include a variety of different business arrangements, including spin-offs, strategic partnerships, joint ventures, restructurings, divestitures, business combinations, acquisitions of assets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187"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25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in order to develop acquired products, drug candidates or technologies;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 to pay for acquisitions;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write-downs of assets or goodwill or impairment charges;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difficulty and cost in combining the operations and personnel of any acquired businesses with our operations and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impairment of relationships with key suppliers or customers of any acquired businesses due to changes in management and ownership;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225" w:lineRule="exact"/>
        <w:rPr>
          <w:sz w:val="20"/>
          <w:szCs w:val="20"/>
          <w:color w:val="auto"/>
        </w:rPr>
      </w:pPr>
    </w:p>
    <w:p>
      <w:pPr>
        <w:ind w:right="380" w:firstLine="341"/>
        <w:spacing w:after="0" w:line="331" w:lineRule="auto"/>
        <w:rPr>
          <w:sz w:val="20"/>
          <w:szCs w:val="20"/>
          <w:color w:val="auto"/>
        </w:rPr>
      </w:pPr>
      <w:r>
        <w:rPr>
          <w:rFonts w:ascii="Arial" w:cs="Arial" w:eastAsia="Arial" w:hAnsi="Arial"/>
          <w:sz w:val="16"/>
          <w:szCs w:val="16"/>
          <w:color w:val="auto"/>
        </w:rPr>
        <w:t>Accordingly, although there can be no assurance that we will undertake or successfully complete any transactions of the nature described above, any transactions that we do complete could have a material adverse effect on our business, results of operations, financial condition and prospects.</w:t>
      </w:r>
    </w:p>
    <w:p>
      <w:pPr>
        <w:spacing w:after="0" w:line="14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depend greatly on the intellectual capabilities and experience of our key executives and scientists, and the loss of any of them could affect our ability to develop our products.</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loss of any of our executive officers could harm us. We entered into employment agreements with each of our executive officers, although an employment agreement as a practical matter does not guarantee retention of an employee. We also depend on our scientific and clinical collaborators and advisors, all of whom have outside commitments that may limit their availability to us. In addition, we believe that our future success will depend in large part upon our ability to attract and retain highly skilled scientific, managerial and marketing personnel, particularly as we expand our activities in clinical trials, the regulatory approval process and sales and manufacturing. We routinely enter into consulting agreements with our scientific and clinical collaborators and advisors, key opinion leaders and heads of academic departments in the ordinary course of our business. We also enter into contractual agreements with physicians and institutions who recruit patients into our clinical trials on our behalf in</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ordinary course of our business. Notwithstanding these arrangements, we face significant competition for this type of personnel from other companies, research and academic institutions, government entities and other organizations. We cannot predict our success in hiring or retaining the personnel we require for continued growth.</w:t>
      </w:r>
    </w:p>
    <w:p>
      <w:pPr>
        <w:spacing w:after="0" w:line="19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We may expand our clinical development, regulatory and sales and marketing capabilities, and as a result, we may encounter difficulties in managing our growth, which could disrupt our operations.</w:t>
      </w:r>
    </w:p>
    <w:p>
      <w:pPr>
        <w:spacing w:after="0" w:line="186" w:lineRule="exact"/>
        <w:rPr>
          <w:sz w:val="20"/>
          <w:szCs w:val="20"/>
          <w:color w:val="auto"/>
        </w:rPr>
      </w:pPr>
    </w:p>
    <w:p>
      <w:pPr>
        <w:ind w:right="100" w:firstLine="348"/>
        <w:spacing w:after="0" w:line="288" w:lineRule="auto"/>
        <w:rPr>
          <w:sz w:val="20"/>
          <w:szCs w:val="20"/>
          <w:color w:val="auto"/>
        </w:rPr>
      </w:pPr>
      <w:r>
        <w:rPr>
          <w:rFonts w:ascii="Arial" w:cs="Arial" w:eastAsia="Arial" w:hAnsi="Arial"/>
          <w:sz w:val="16"/>
          <w:szCs w:val="16"/>
          <w:color w:val="auto"/>
        </w:rPr>
        <w:t>We expect that if our drug candidates continue to progress in development, we may require significant additional investment in personnel, management systems and resources, particularly in the build out of our commercial capabilities. To date we have hired a core commercial team to plan for potential commercial launches if any of our drug candidates are approved. Over the next several years, we may experience significant growth in the number of our employees and the scope of our operations, particularly in the areas of drug development, regulatory affairs and sales and marketing. To manage this potential future growth, we may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physical expansion of our operations may lead to significant costs and may divert our management and business development resources. Any inability to manage growth could delay the execution of our business plans or disrupt our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anticipated benefits of our acquisition of Kolltan.</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success of the Kolltan merger will depend on, among other things, the successful development of the preclinical and clinical programs acquired from Kolltan. The time periods to receive approvals from the FDA and other regulatory agencies are subject to uncertainty and therefore we will continue to evaluate the development progress for these preclinical and clinical programs and monitor the remaining intangible assets for further impairment. If we experience further delays or do not successfully develop the preclinical and clinical programs acquired from Kolltan, we may incur further impairment charges and may not realize the anticipated benefits of the Kolltan acquisition, which would have an adverse effect on our business prospects and results of operations.</w:t>
      </w:r>
    </w:p>
    <w:p>
      <w:pPr>
        <w:spacing w:after="0" w:line="16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which could have a material adverse effect on our business.</w:t>
      </w:r>
    </w:p>
    <w:p>
      <w:pPr>
        <w:spacing w:after="0" w:line="186"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intentional failures to comply with FDA regulations, provide accurate information to the FDA, comply with applicable privacy laws, comply with manufacturing standards we have established, comply with federal and state health care fraud and abuse laws and regulations, report financial information or data accurately or disclose unauthorized activities to us. In particular, sales, marketing and business arrangements in the health 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Business Conduct and Ethics and launched a Health Care Compliance program,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be in compliance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31" w:lineRule="auto"/>
        <w:rPr>
          <w:sz w:val="20"/>
          <w:szCs w:val="20"/>
          <w:color w:val="auto"/>
        </w:rPr>
      </w:pPr>
      <w:r>
        <w:rPr>
          <w:rFonts w:ascii="Arial" w:cs="Arial" w:eastAsia="Arial" w:hAnsi="Arial"/>
          <w:sz w:val="16"/>
          <w:szCs w:val="16"/>
          <w:color w:val="auto"/>
        </w:rPr>
        <w:t>with such laws or regulations. If any such actions are instituted against us and we are not successful in defending ourselves or asserting our rights, those actions could have a significant effect on our business and results of operations, including the imposition of significant fines or other sanctions.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successfully integrate our existing technology or to modify our technologies to create new immunotherapeutic drugs.</w:t>
      </w:r>
    </w:p>
    <w:p>
      <w:pPr>
        <w:spacing w:after="0" w:line="248" w:lineRule="exact"/>
        <w:rPr>
          <w:sz w:val="20"/>
          <w:szCs w:val="20"/>
          <w:color w:val="auto"/>
        </w:rPr>
      </w:pPr>
    </w:p>
    <w:p>
      <w:pPr>
        <w:ind w:right="240" w:firstLine="351"/>
        <w:spacing w:after="0" w:line="254" w:lineRule="auto"/>
        <w:rPr>
          <w:sz w:val="20"/>
          <w:szCs w:val="20"/>
          <w:color w:val="auto"/>
        </w:rPr>
      </w:pPr>
      <w:r>
        <w:rPr>
          <w:rFonts w:ascii="Arial" w:cs="Arial" w:eastAsia="Arial" w:hAnsi="Arial"/>
          <w:sz w:val="18"/>
          <w:szCs w:val="18"/>
          <w:color w:val="auto"/>
        </w:rPr>
        <w:t>If we are able to integrate our acquired assets and licensed assets with our immunotherapy technologies, we believe these assets will give our immunotherapeutic drugs a competitive advantage. However, if we are unable to successfully integrate licensed assets, or other technologies which we have acquired or may acquire in the future, with our existing technologies and potential products currently under development, we may be unable to realize any benefit from our acquisition of these assets, or other technologies which we have acquired or may acquire in the future, and we may face the loss of our investment of financial resources and time in the integration process.</w:t>
      </w:r>
    </w:p>
    <w:p>
      <w:pPr>
        <w:spacing w:after="0" w:line="201" w:lineRule="exact"/>
        <w:rPr>
          <w:sz w:val="20"/>
          <w:szCs w:val="20"/>
          <w:color w:val="auto"/>
        </w:rPr>
      </w:pPr>
    </w:p>
    <w:p>
      <w:pPr>
        <w:jc w:val="both"/>
        <w:ind w:right="160" w:firstLine="348"/>
        <w:spacing w:after="0" w:line="256" w:lineRule="auto"/>
        <w:rPr>
          <w:sz w:val="20"/>
          <w:szCs w:val="20"/>
          <w:color w:val="auto"/>
        </w:rPr>
      </w:pPr>
      <w:r>
        <w:rPr>
          <w:rFonts w:ascii="Arial" w:cs="Arial" w:eastAsia="Arial" w:hAnsi="Arial"/>
          <w:sz w:val="18"/>
          <w:szCs w:val="18"/>
          <w:color w:val="auto"/>
        </w:rPr>
        <w:t>We believe that our immunotherapy technology portfolio may offer opportunities to develop immunotherapeutic drugs that treat a variety of cancers and inflammatory and infectious diseases by stimulating a patient's immune system against those diseases. If our immunotherapy technology portfolio cannot be used to create effective immunotherapeutic drugs against a variety of diseases, we may lose all or portions of our investment in development efforts for new drug candidates.</w:t>
      </w:r>
    </w:p>
    <w:p>
      <w:pPr>
        <w:spacing w:after="0" w:line="19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Our internal computer systems, or those of our CROs, CMOs, or other contractors or consultants, may fail or suffer security breaches, which could result in a material disruption of our drug development programs.</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Despite the implementation of security measures, our internal computer systems and those of our CROs, CMOs, and other contractors and consultants are vulnerable to damage from cyberattacks, malicious intrusion, computer viruses, unauthorized access, loss of data privacy, natural disasters, terrorism, war and telecommunication, electrical failures or other significant disruption. If such an event were to occur and cause interruptions in our operations, it could result in a material disruption of our drug development programs and commercialization efforts. For example, the loss of clinical study data from completed or ongoing clinical studies for any of our drug candidates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development or commercialization of our drug candidates could be delayed.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requires us to use hazardous materials, which increases our exposure to dangerous and costly accidents.</w:t>
      </w:r>
    </w:p>
    <w:p>
      <w:pPr>
        <w:spacing w:after="0" w:line="225"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Our research and development activities involve the use of hazardous chemicals, biological materials and radioactive compounds. Although we believe that our safety procedures for handling and disposing of hazardous materials comply with the standards prescribed by applicable laws and regulations, we cannot completely eliminate the risk of accidental contamination or injury from these materials. In the event of an accident, an injured party will likely sue us for any resulting damages with potentially significant liability. The ongoing cost of complying with environmental laws and regulations is significant and may increase in the future.</w:t>
      </w:r>
    </w:p>
    <w:p>
      <w:pPr>
        <w:spacing w:after="0" w:line="201"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We face the risk of product liability claims, which could exceed our insurance coverage, and product recalls, each of which could deplete our cash resources.</w:t>
      </w:r>
    </w:p>
    <w:p>
      <w:pPr>
        <w:spacing w:after="0" w:line="186" w:lineRule="exact"/>
        <w:rPr>
          <w:sz w:val="20"/>
          <w:szCs w:val="20"/>
          <w:color w:val="auto"/>
        </w:rPr>
      </w:pPr>
    </w:p>
    <w:p>
      <w:pPr>
        <w:ind w:right="540" w:firstLine="341"/>
        <w:spacing w:after="0" w:line="268" w:lineRule="auto"/>
        <w:rPr>
          <w:sz w:val="20"/>
          <w:szCs w:val="20"/>
          <w:color w:val="auto"/>
        </w:rPr>
      </w:pPr>
      <w:r>
        <w:rPr>
          <w:rFonts w:ascii="Arial" w:cs="Arial" w:eastAsia="Arial" w:hAnsi="Arial"/>
          <w:sz w:val="18"/>
          <w:szCs w:val="18"/>
          <w:color w:val="auto"/>
        </w:rPr>
        <w:t>As a participant in the pharmaceutical, biotechnology and immunotherapeutic drug industries, we are exposed to the risk of product liability claims alleging that use of our drug candidates caused an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injury or harm. These claims can arise at any point in the development, testing, manufacture, marketing or sale of our drug candidates and may be made directly by patients involved in clinical trials of our products, by consumers or health care providers or by individuals, organizations or companies selling our products. Product liability claims can be expensive to defend, even if the drug or drug candidate did not actually cause the alleged injury or harm.</w:t>
      </w:r>
    </w:p>
    <w:p>
      <w:pPr>
        <w:spacing w:after="0" w:line="160"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Insurance covering product liability claims becomes increasingly expensive as a drug candidate moves through the development pipeline to commercialization. Under our license agreements, we are required to maintain clinical trial liability insurance coverage up to $15 million. However, there can be no assurance that such insurance coverage is or will continue to be adequate or available to us at a cost acceptable to us or at all. We may choose or find it necessary under our collaborative agreements to increase our insurance coverage in the future. We may not be able to secure greater or broader product liability insurance coverage on acceptable terms or at reasonable costs when needed. Any liability for damages resulting from a product liability claim could exceed the amount of our coverage, require us to pay a substantial monetary award from our own cash resources and have a material adverse effect on our business, financial condition and results of operations. Moreover, a product recall, if required, could generate substantial negative publicity about our products and business and inhibit or prevent development of our drug candidates and, if approval is obtained, commercialization of our future drugs.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3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b w:val="1"/>
          <w:bCs w:val="1"/>
          <w:i w:val="1"/>
          <w:iCs w:val="1"/>
          <w:color w:val="auto"/>
        </w:rPr>
        <w:t>We license technology from other companies to develop products, and those companies could influence research and development or restrict our use of it. In addition, if we fail to comply with our obligations in our intellectual property licenses with third parties, we could lose license rights that are important to our business.</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Companies that license technologies to us that we use in our research and development programs may require us to achieve milestones or devote minimum amounts of resources to develop products using those technologies. They may also require us to make significant royalty and milestone payments, including a percentage of any sublicensing income, as well as payments to reimburse them for patent costs. The number and variety of our research and development programs require us to establish priorities and to allocate available resources among competing programs. From time to time we may choose to slow down or cease our efforts on particular products. If in doing so we fail to fully perform our obligations under a license, the licensor can terminate the license or permit our competitors to use the technology. Termination of these licenses or reduction or elimination of our licensed rights may result in our having to negotiate new or reinstated licenses with less favorable terms. Moreover, we may lose our right to market and sell any products based on the licensed technology. The occurrence of such events could materially harm our business.</w:t>
      </w:r>
    </w:p>
    <w:p>
      <w:pPr>
        <w:spacing w:after="0" w:line="178" w:lineRule="exact"/>
        <w:rPr>
          <w:sz w:val="20"/>
          <w:szCs w:val="20"/>
          <w:color w:val="auto"/>
        </w:rPr>
      </w:pPr>
    </w:p>
    <w:p>
      <w:pPr>
        <w:ind w:right="260"/>
        <w:spacing w:after="0" w:line="331" w:lineRule="auto"/>
        <w:rPr>
          <w:sz w:val="20"/>
          <w:szCs w:val="20"/>
          <w:color w:val="auto"/>
        </w:rPr>
      </w:pPr>
      <w:r>
        <w:rPr>
          <w:rFonts w:ascii="Arial" w:cs="Arial" w:eastAsia="Arial" w:hAnsi="Arial"/>
          <w:sz w:val="16"/>
          <w:szCs w:val="16"/>
          <w:b w:val="1"/>
          <w:bCs w:val="1"/>
          <w:i w:val="1"/>
          <w:iCs w:val="1"/>
          <w:color w:val="auto"/>
        </w:rPr>
        <w:t>Our ability to successfully develop and, if regulatory approval is obtained, commercialize our drug candidates may be materially adversely affected if we are unable to obtain and maintain effective intellectual property rights for our drug candidates and technologies.</w:t>
      </w:r>
    </w:p>
    <w:p>
      <w:pPr>
        <w:spacing w:after="0" w:line="141"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Our success depends in part on our ability to obtain and maintain patent protection and other intellectual property protection for our drug candidates and proprietary technology. We have sought to protect our proprietary position by filing patent applications in the United States and abroad related to our drug candidates and technology that are important to our business. This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Our existing patents and any future patents we obtain may not be sufficiently broad to prevent others from using our technologies or from developing competing drugs and technologies.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Biotechnology patents involve complex legal, scientific and factual questions and are highly uncertain. To date, there is no consistent policy regarding the breadth of claims allowed in biotechnology patents, particularly in regard to patents for technologies for human uses like those we use in our business. We cannot predict whether the patents we or our licensors seek will issue. If such patents are issued, a competitor may challenge them and limit their scope. Moreover, our patents may not afford effective protection against competitors with similar technology. A successful challenge to any one of our patents could result in a third party's ability to use the technology covered by the patent. We also face the risk that others will infringe, avoid or circumvent our patents. Technology that we license from others is subject to similar risks and this could harm our ability to use that technology. If we, or a company that licenses technology to us, were not the first creator of an invention that we use, our use of the underlying product or technology will face restrictions, including elimination.</w:t>
      </w:r>
    </w:p>
    <w:p>
      <w:pPr>
        <w:spacing w:after="0" w:line="19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If we must defend against suits brought against us or prosecute suits against others involving intellectual property rights, we will incur substantial costs. In addition to any potential liability for significant monetary damages, a decision against us may require us to obtain licenses to patents or other intellectual property rights of others on potentially unfavorable terms. If those licenses from third parties are necessary but we cannot acquire them, we would attempt to design around the relevant technology, which would cause higher development costs and delays and may ultimately prove impracticable.</w:t>
      </w:r>
    </w:p>
    <w:p>
      <w:pPr>
        <w:spacing w:after="0" w:line="16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186" w:lineRule="exact"/>
        <w:rPr>
          <w:sz w:val="20"/>
          <w:szCs w:val="20"/>
          <w:color w:val="auto"/>
        </w:rPr>
      </w:pPr>
    </w:p>
    <w:p>
      <w:pPr>
        <w:ind w:right="140" w:firstLine="341"/>
        <w:spacing w:after="0" w:line="298" w:lineRule="auto"/>
        <w:rPr>
          <w:sz w:val="20"/>
          <w:szCs w:val="20"/>
          <w:color w:val="auto"/>
        </w:rPr>
      </w:pPr>
      <w:r>
        <w:rPr>
          <w:rFonts w:ascii="Arial" w:cs="Arial" w:eastAsia="Arial" w:hAnsi="Arial"/>
          <w:sz w:val="16"/>
          <w:szCs w:val="16"/>
          <w:color w:val="auto"/>
        </w:rPr>
        <w:t>A third party may hold intellectual property, including patent rights, that are important or necessary to the development of our drug candidates. It may be necessary for us to use the patented or proprietary technology of a third party to commercialize our own technology or drug candidates, in which case we would be required to obtain a license from such third party. A license to such intellectual property may not be available or may not be available on commercially reasonable terms, which could have a material adverse effect on our business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protect the confidentiality of our trade secrets, thus harming our business and competitive position.</w:t>
      </w:r>
    </w:p>
    <w:p>
      <w:pPr>
        <w:spacing w:after="0" w:line="225"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We rely upon trade secrets, including unpatented know-how, technology and other proprietary information to develop and maintain our competitive position, which we seek to protect, in part, by confidentiality agreements with our employees and our collaborators and consultants. We also have agreements with our employees that obligate them to assign their inventions to us. However, it is possible that technology relevant to our business will be independently developed by a person that is not a party to such an agreement. Furthermore, if the employees, consultants or collaborators that are parties to these agreements breach or violate the terms of these agreements, we may not have adequate remedies for any such breach or violation, and we could lose our trade secrets through such breaches or violations. Further, our trade secrets could be disclosed, misappropriated or otherwise become known or be independently discovered by our competitors. In addition, intellectual property laws in foreign countries may not protect our intellectual property to the same extent as the laws of the United States. If our trade secrets are disclosed or misappropriated, it would harm our ability to protect our rights and have a material adverse effect on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become involved in lawsuits to protect or enforce our patents, which could be expensive, time-consuming and unsuccessful.</w:t>
      </w:r>
    </w:p>
    <w:p>
      <w:pPr>
        <w:spacing w:after="0" w:line="248" w:lineRule="exact"/>
        <w:rPr>
          <w:sz w:val="20"/>
          <w:szCs w:val="20"/>
          <w:color w:val="auto"/>
        </w:rPr>
      </w:pPr>
    </w:p>
    <w:p>
      <w:pPr>
        <w:ind w:right="600" w:firstLine="351"/>
        <w:spacing w:after="0" w:line="331" w:lineRule="auto"/>
        <w:rPr>
          <w:sz w:val="20"/>
          <w:szCs w:val="20"/>
          <w:color w:val="auto"/>
        </w:rPr>
      </w:pPr>
      <w:r>
        <w:rPr>
          <w:rFonts w:ascii="Arial" w:cs="Arial" w:eastAsia="Arial" w:hAnsi="Arial"/>
          <w:sz w:val="16"/>
          <w:szCs w:val="16"/>
          <w:color w:val="auto"/>
        </w:rPr>
        <w:t>Competitors may infringe our patents. To counter infringement or unauthorized use, we may be required to file infringement claims, which can be expensive and time-consuming. In addition, in an infringement proceeding, a court may decide that a patent of ours is invalid or unenforceable or may</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86"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Our commercial success depends upon our ability and the ability of our collaborators to develop, manufacture, market and sell our drug candidates and use our proprietary technologies without infringing, misappropriating or otherwise violating the proprietary rights or intellectual property of third parties. We may become party to, or be threatened with, future adversarial proceedings or litigation regarding intellectual property rights with respect to our drug candidates and technology. Third parties may assert infringement claims against us based on existing patents or patents that may be granted in the future. If we are found to infringe a third-party's intellectual property rights, we could be required to obtain a license from such third-party to continue developing our drug candidates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developing the infringing technology or product. In addition, we could be found liable for monetary damages. Claims that we have misappropriated the confidential information or trade secrets of third parties can have a similar negative impact on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Third parties may assert that our employees or consultants have wrongfully used or disclosed confidential information or misappropriated trade secrets.</w:t>
      </w:r>
    </w:p>
    <w:p>
      <w:pPr>
        <w:spacing w:after="0" w:line="260"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employ individuals who were previously employed at universities or other diagnostic or biopharmaceutical companies,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and other employees.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Risks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or maintain orphan drug designation or exclusivity for our product candidates.</w:t>
      </w:r>
    </w:p>
    <w:p>
      <w:pPr>
        <w:spacing w:after="0" w:line="225"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may seek orphan drug designation for some of our product candidates in the United States. 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in the United States.</w:t>
      </w:r>
    </w:p>
    <w:p>
      <w:pPr>
        <w:spacing w:after="0" w:line="197"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Generally, if a product with an orphan drug designation subsequently receives the first marketing approval for the indication for which it has such designation, the product is entitled to a period of</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marketing exclusivity, which precludes the FDA or the EMA from approving another marketing application for the same indication for that drug during that time period. The applicable period is seven years in the United States and ten years in Europe. The European exclusivity period can be reduced to six years if a drug no longer meets the criteria for orphan drug designation or if the drug is sufficiently profitable so that market exclusivity is no longer justified. Orphan drug exclusivity may be lost if the FDA or the EMA determines that the request for designation was materially defective or if the manufacturer is unable to assure sufficient quantity of the drug to meet the needs of patients with the rare disease or condition.</w:t>
      </w:r>
    </w:p>
    <w:p>
      <w:pPr>
        <w:spacing w:after="0" w:line="169"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cannot assure you that any future application for orphan drug designation with respect to any product candidate will be granted. If we are unable to obtain orphan drug designation in the United States, we will not be eligible to obtain the period of market exclusivity that could result from orphan drug designation or be afforded the financial incentives associated with orphan drug designation. Even if we obtain orphan drug exclusivity for a product,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74"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b w:val="1"/>
          <w:bCs w:val="1"/>
          <w:i w:val="1"/>
          <w:iCs w:val="1"/>
          <w:color w:val="auto"/>
        </w:rPr>
        <w:t>Any fast track designation or grant of priority review status by the FDA may not actually lead to a faster development or regulatory review or approval process, nor will it assure FDA approval of our product candidates. Additionally, our product candidates may treat indications that do not qualify for priority review vouchers.</w:t>
      </w:r>
    </w:p>
    <w:p>
      <w:pPr>
        <w:spacing w:after="0" w:line="194"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We may seek fast track designation for some of our product candidates or priority review of applications for approval of our product candidates. If a drug is intended for the treatment of a serious or life-threatening condition and the drug demonstrates the potential to address unmet medical needs for this condition, the drug sponsor may apply for FDA fast track designation. If a product candidate offers major advances in treatment, the FDA may designate it eligible for priority review. The FDA has broad discretion whether or not to grant these designations, so even if we believe a particular product candidate is eligible for these designations, we cannot assure you that the FDA would decide to grant them. Even if we do receive fast track designation or priority review,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72" w:lineRule="exact"/>
        <w:rPr>
          <w:sz w:val="20"/>
          <w:szCs w:val="20"/>
          <w:color w:val="auto"/>
        </w:rPr>
      </w:pPr>
    </w:p>
    <w:p>
      <w:pPr>
        <w:ind w:right="580"/>
        <w:spacing w:after="0" w:line="331" w:lineRule="auto"/>
        <w:rPr>
          <w:sz w:val="20"/>
          <w:szCs w:val="20"/>
          <w:color w:val="auto"/>
        </w:rPr>
      </w:pPr>
      <w:r>
        <w:rPr>
          <w:rFonts w:ascii="Arial" w:cs="Arial" w:eastAsia="Arial" w:hAnsi="Arial"/>
          <w:sz w:val="16"/>
          <w:szCs w:val="16"/>
          <w:b w:val="1"/>
          <w:bCs w:val="1"/>
          <w:i w:val="1"/>
          <w:iCs w:val="1"/>
          <w:color w:val="auto"/>
        </w:rPr>
        <w:t>Any breakthrough therapy designation granted by the FDA for our product candidates may not lead to a faster development or regulatory review or approval process, and it does not increase the likelihood that our product candidates will receive marketing approval.</w:t>
      </w:r>
    </w:p>
    <w:p>
      <w:pPr>
        <w:spacing w:after="0" w:line="141" w:lineRule="exact"/>
        <w:rPr>
          <w:sz w:val="20"/>
          <w:szCs w:val="20"/>
          <w:color w:val="auto"/>
        </w:rPr>
      </w:pPr>
    </w:p>
    <w:p>
      <w:pPr>
        <w:ind w:right="160" w:firstLine="348"/>
        <w:spacing w:after="0" w:line="253" w:lineRule="auto"/>
        <w:rPr>
          <w:sz w:val="20"/>
          <w:szCs w:val="20"/>
          <w:color w:val="auto"/>
        </w:rPr>
      </w:pPr>
      <w:r>
        <w:rPr>
          <w:rFonts w:ascii="Arial" w:cs="Arial" w:eastAsia="Arial" w:hAnsi="Arial"/>
          <w:sz w:val="18"/>
          <w:szCs w:val="18"/>
          <w:color w:val="auto"/>
        </w:rPr>
        <w:t>We may seek a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and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accelerated approval if the relevant criteria are met.</w:t>
      </w:r>
    </w:p>
    <w:p>
      <w:pPr>
        <w:spacing w:after="0" w:line="201"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product candidates meets the criteria for designation as a breakthrough therapy,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or decide that the time period for FDA review or approval will not be shortened.</w:t>
      </w:r>
    </w:p>
    <w:p>
      <w:pPr>
        <w:spacing w:after="0" w:line="16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If our processes and systems are not compliant with regulatory requirements, we could be subject to delays in submitting BLAs, NDAs or restrictions on marketing of drugs after they have been approved.</w:t>
      </w:r>
    </w:p>
    <w:p>
      <w:pPr>
        <w:spacing w:after="0" w:line="186" w:lineRule="exact"/>
        <w:rPr>
          <w:sz w:val="20"/>
          <w:szCs w:val="20"/>
          <w:color w:val="auto"/>
        </w:rPr>
      </w:pPr>
    </w:p>
    <w:p>
      <w:pPr>
        <w:ind w:right="40" w:firstLine="348"/>
        <w:spacing w:after="0" w:line="285" w:lineRule="auto"/>
        <w:rPr>
          <w:sz w:val="20"/>
          <w:szCs w:val="20"/>
          <w:color w:val="auto"/>
        </w:rPr>
      </w:pPr>
      <w:r>
        <w:rPr>
          <w:rFonts w:ascii="Arial" w:cs="Arial" w:eastAsia="Arial" w:hAnsi="Arial"/>
          <w:sz w:val="16"/>
          <w:szCs w:val="16"/>
          <w:color w:val="auto"/>
        </w:rPr>
        <w:t>We currently are developing drug candidates for regulatory approval and are in the process of implementing regulated processes and systems required to obtain and maintain regulatory approval for our drug candidates. Certain of these processes and systems for conducting clinical trials and manufacturing material must be compliant with regulatory requirements before we can apply for regulatory approval for our drug candidates. These processes and systems will be subject to continual review and periodic inspection by the FDA and other regulatory bodies. If we are unable to achieve compliance in a timely fashion or if compliance issues are identified at any point in the development and approval process, we may experience delays in filing for regulatory approval for our drug candidates or delays in obtaining regulatory approval after filing. In addition, any later discovery of previously unknown problems or safety issues with approved drugs or manufacturing processes, or failure to comply with regulatory requirements may result in restrictions on such drugs or manufacturing processes, withdrawal of drugs from the market, the imposition of civil or criminal penalties or a refusal by the FDA and/or other regulatory bodies to approve pending applications for marketing approval of new drugs or supplements to approved applications, any of which could have a material adverse effect on our business. In addition, we are a party to agreements that transfer responsibility for complying with specified regulatory requirements, such as filing and maintenance of marketing authorizations and safety reporting or compliance with manufacturing requirements, to our collaborators and third-party manufacturers. If our collaborators or third-party manufacturers do not fulfill these regulatory obligations, any drugs for which we or they obtain approval may be subject to later restrictions on manufacturing or sale or may even risk withdrawal, which could have a material adverse effect on our business.</w:t>
      </w:r>
    </w:p>
    <w:p>
      <w:pPr>
        <w:spacing w:after="0" w:line="184" w:lineRule="exact"/>
        <w:rPr>
          <w:sz w:val="20"/>
          <w:szCs w:val="20"/>
          <w:color w:val="auto"/>
        </w:rPr>
      </w:pPr>
    </w:p>
    <w:p>
      <w:pPr>
        <w:ind w:right="200"/>
        <w:spacing w:after="0" w:line="369" w:lineRule="auto"/>
        <w:rPr>
          <w:sz w:val="20"/>
          <w:szCs w:val="20"/>
          <w:color w:val="auto"/>
        </w:rPr>
      </w:pPr>
      <w:r>
        <w:rPr>
          <w:rFonts w:ascii="Arial" w:cs="Arial" w:eastAsia="Arial" w:hAnsi="Arial"/>
          <w:sz w:val="15"/>
          <w:szCs w:val="15"/>
          <w:b w:val="1"/>
          <w:bCs w:val="1"/>
          <w:i w:val="1"/>
          <w:iCs w:val="1"/>
          <w:color w:val="auto"/>
        </w:rPr>
        <w:t>Even if we receive regulatory approval for a drug candidate, we will be subject to ongoing regulatory obligations and continued regulatory review, which may result in significant additional expense and subject us to penalties if we fail to comply with applicable regulatory requirements.</w:t>
      </w:r>
    </w:p>
    <w:p>
      <w:pPr>
        <w:spacing w:after="0" w:line="118"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Once regulatory approval has been granted, the approved product and its manufacturer are subject to continual review by the FDA and/or non-U.S. regulatory authorities. Any regulatory approval that we or our collaboration partners receive for our drug candidates may be subject to limitations on the indicated uses for which the product may be marketed or contain requirements for potentially costly post-marketing follow-up studies to monitor the safety and efficacy of the product. In addition, if the FDA and/or non-U.S. regulatory authorities approve any of our drug candidates, we will be subject to extensive and ongoing regulatory requirements by the FDA and other regulatory authorities with regard to the labeling, packaging, adverse event reporting, storage, advertising, promotion and recordkeeping for our products. In addition, manufacturers of our drug products are required to comply with cGMP regulations, which include requirements related to quality control and quality assurance as well as the corresponding maintenance of records and documentation. Further, regulatory authorities must inspect and approve these manufacturing facilities before they can be used to manufacture our drug products, and these facilities are subject to continual review and periodic inspections by the FDA and other regulatory authorities for compliance with cGMP regulations. If we or a third party discover previously unknown problems with a product, such as adverse events of unanticipated severity or frequency or</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problems with the facility where the product is manufactured, a regulatory authority may impose restrictions on that product, the manufacturer or us, including requiring withdrawal of the product from the market or suspension of manufacturing. If we, our drug candidates or the manufacturing facilities for our drug candidates fail to comply with regulatory requirements of the FDA and/or other non-U.S. regulatory authorities, we could be subject to administrative or judicially imposed sanctions, including the following:</w:t>
      </w:r>
    </w:p>
    <w:p>
      <w:pPr>
        <w:spacing w:after="0" w:line="210"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civil or criminal penalties and fines;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consent decrees;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suspension or withdrawal of regulatory approval;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suspension of any ongoing clinical studies;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refusal to accept or approve applications for marketing approval of new drugs;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operations, including costly new manufacturing requirements;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seizure or detention of drugs or import bans.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regulatory requirements and policies may change and additional government regulations may be enacted with which we may also be required to comply. We cannot predict the likelihood, nature or extent of government regulation that may arise from future legislation or administrative action, either in the United States or in other countries. If we are not able to maintain regulatory compliance, we may not be permitted to market our future products, and our business may suffer.</w:t>
      </w:r>
    </w:p>
    <w:p>
      <w:pPr>
        <w:spacing w:after="0" w:line="197" w:lineRule="exact"/>
        <w:rPr>
          <w:sz w:val="20"/>
          <w:szCs w:val="20"/>
          <w:color w:val="auto"/>
        </w:rPr>
      </w:pPr>
    </w:p>
    <w:p>
      <w:pPr>
        <w:ind w:right="480"/>
        <w:spacing w:after="0" w:line="331" w:lineRule="auto"/>
        <w:rPr>
          <w:sz w:val="20"/>
          <w:szCs w:val="20"/>
          <w:color w:val="auto"/>
        </w:rPr>
      </w:pPr>
      <w:r>
        <w:rPr>
          <w:rFonts w:ascii="Arial" w:cs="Arial" w:eastAsia="Arial" w:hAnsi="Arial"/>
          <w:sz w:val="16"/>
          <w:szCs w:val="16"/>
          <w:b w:val="1"/>
          <w:bCs w:val="1"/>
          <w:i w:val="1"/>
          <w:iCs w:val="1"/>
          <w:color w:val="auto"/>
        </w:rPr>
        <w:t>We may be subject, directly or indirectly, to federal and state health care fraud and abuse laws, false claims laws and health information privacy and security laws. If we are unable to comply, or have not fully complied, with such laws, we could face substantial penalties.</w:t>
      </w:r>
    </w:p>
    <w:p>
      <w:pPr>
        <w:spacing w:after="0" w:line="141"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If we obtain FDA approval for any of our drug candidates and begin commercializing those products in the United States, our operations will be directly, or indirectly through our customers, subject to various federal and state fraud and abuse laws, including, without limitation, the federal Anti-Kickback Statute and the federal False Claims Act. These laws may affect,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228" w:lineRule="exact"/>
        <w:rPr>
          <w:sz w:val="20"/>
          <w:szCs w:val="20"/>
          <w:color w:val="auto"/>
        </w:rPr>
      </w:pPr>
    </w:p>
    <w:p>
      <w:pPr>
        <w:ind w:left="108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 care program, such as the Medicare and Medicaid programs;</w:t>
      </w:r>
    </w:p>
    <w:p>
      <w:pPr>
        <w:spacing w:after="0" w:line="207" w:lineRule="exact"/>
        <w:rPr>
          <w:rFonts w:ascii="Arial" w:cs="Arial" w:eastAsia="Arial" w:hAnsi="Arial"/>
          <w:sz w:val="18"/>
          <w:szCs w:val="18"/>
          <w:color w:val="auto"/>
        </w:rPr>
      </w:pPr>
    </w:p>
    <w:p>
      <w:pPr>
        <w:ind w:left="1080" w:right="26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207"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as amended by the Health Information Technology for Economic and Clinical Health Act of 2009, 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40"/>
        <w:spacing w:after="0" w:line="268" w:lineRule="auto"/>
        <w:rPr>
          <w:sz w:val="20"/>
          <w:szCs w:val="20"/>
          <w:color w:val="auto"/>
        </w:rPr>
      </w:pPr>
      <w:r>
        <w:rPr>
          <w:rFonts w:ascii="Arial" w:cs="Arial" w:eastAsia="Arial" w:hAnsi="Arial"/>
          <w:sz w:val="18"/>
          <w:szCs w:val="18"/>
          <w:color w:val="auto"/>
        </w:rPr>
        <w:t>HITECH, and its implementing regulations, which impose certain requirements relating to the privacy, security and transmission of individually identifiable health information;</w:t>
      </w:r>
    </w:p>
    <w:p>
      <w:pPr>
        <w:spacing w:after="0" w:line="199" w:lineRule="exact"/>
        <w:rPr>
          <w:sz w:val="20"/>
          <w:szCs w:val="20"/>
          <w:color w:val="auto"/>
        </w:rPr>
      </w:pPr>
    </w:p>
    <w:p>
      <w:pPr>
        <w:ind w:left="1080" w:right="140" w:hanging="532"/>
        <w:spacing w:after="0" w:line="259"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transparency requirements under the Patient Protection and Affordable Care Act of 2010 requires manufacturers of drugs, devices, biologics and medical supplies to report to the Department of Health and Human Services information related to physician payments and other transfers of value and physician ownership and investment interests; and</w:t>
      </w:r>
    </w:p>
    <w:p>
      <w:pPr>
        <w:spacing w:after="0" w:line="220" w:lineRule="exact"/>
        <w:rPr>
          <w:rFonts w:ascii="Arial" w:cs="Arial" w:eastAsia="Arial" w:hAnsi="Arial"/>
          <w:sz w:val="18"/>
          <w:szCs w:val="18"/>
          <w:color w:val="auto"/>
        </w:rPr>
      </w:pPr>
    </w:p>
    <w:p>
      <w:pPr>
        <w:ind w:left="1080" w:right="180" w:hanging="532"/>
        <w:spacing w:after="0" w:line="256"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state law and foreign law equivalents of each of the above federal laws, such as anti-kickback and false claims laws which may apply to items or services reimbursed by any third-party payor, including commercial insurers, and state laws governing the privacy and security of health information in certain circumstances, many of which differ from each other in significant ways and may not have the same effect, thus complicating compliance efforts.</w:t>
      </w:r>
    </w:p>
    <w:p>
      <w:pPr>
        <w:spacing w:after="0" w:line="197" w:lineRule="exact"/>
        <w:rPr>
          <w:sz w:val="20"/>
          <w:szCs w:val="20"/>
          <w:color w:val="auto"/>
        </w:rPr>
      </w:pPr>
    </w:p>
    <w:p>
      <w:pPr>
        <w:ind w:right="140" w:firstLine="341"/>
        <w:spacing w:after="0" w:line="294" w:lineRule="auto"/>
        <w:rPr>
          <w:sz w:val="20"/>
          <w:szCs w:val="20"/>
          <w:color w:val="auto"/>
        </w:rPr>
      </w:pPr>
      <w:r>
        <w:rPr>
          <w:rFonts w:ascii="Arial" w:cs="Arial" w:eastAsia="Arial" w:hAnsi="Arial"/>
          <w:sz w:val="16"/>
          <w:szCs w:val="16"/>
          <w:color w:val="auto"/>
        </w:rPr>
        <w:t>Although compliance programs can mitigate the risk of investigation and prosecution for violations of these laws, the risks cannot be entirely eliminated. If our operations are found to be in violation of any of the laws described above or any other governmental regulations that apply to us, we may be subject to penalties, including exclusion from payment by federal health care programs, civil and criminal penalties, damages, fines and the curtailment or restructuring of our operations, any of which could adversely affect our ability to operate our business and our results of operations. Moreover, achieving and sustaining compliance with applicable federal and state privacy, security and fraud laws may prove costly.</w:t>
      </w:r>
    </w:p>
    <w:p>
      <w:pPr>
        <w:spacing w:after="0" w:line="169"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Compliance with laws and regulations pertaining to the privacy and security of health information may be time consuming, difficult and costly, particularly in light of increased focus on privacy issues in countries around the world, including the U.S. and the EU.</w:t>
      </w:r>
    </w:p>
    <w:p>
      <w:pPr>
        <w:spacing w:after="0" w:line="186"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We are subject to various domestic and international privacy and security regulations. The confidentiality, collection, use and disclosure of personal data, including clinical trial patient-specific information, are subject to governmental regulation generally in the country that the personal data were collected or used. In the United States we are subject to various state and federal privacy and data security regulations, including but not limited to HIPAA and as amended in 2014 by the HITECH Act. HIPAA mandates, among other things, the adoption of uniform standards for the electronic exchange of information in common health care transactions, as well as standards relating to the privacy and security of individually identifiable health information, which require the adoption of administrative, physical and technical safeguards to protect such information. In the EU personal data includes any information that relates to an identified or identifiable natural person with health information carrying additional obligations, including obtaining the explicit consent from the individual for collection, use or disclosure of the information. We are also subject to the EU General Data Protection Regulation 2016/679 ("GDPR") which came into effect on May 25, 2018. Furthermore, the legislative and regulatory landscape for privacy and data protection continues to evolve, and there has been an increasing amount of focus on privacy and data protection issues. The United States and the EU and its member states continue to issue new privacy and data protection rules and regulations that relate to personal data and health information.</w:t>
      </w:r>
    </w:p>
    <w:p>
      <w:pPr>
        <w:spacing w:after="0" w:line="180"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Compliance with these laws may be time consuming, difficult and costly. If we fail to comply with applicable laws, regulations or duties relating to the use, privacy or security of personal data we could be subject to the imposition of significant civil and criminal penalties, be forced to alter our business practices and suffer reputational harm.</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Changes in health care law and implementing regulations, including government restrictions on pricing and reimbursement, as well as health care policy and other health care payor cost-containment initiatives, may have a material adverse effect on us.</w:t>
      </w:r>
    </w:p>
    <w:p>
      <w:pPr>
        <w:spacing w:after="0" w:line="186" w:lineRule="exact"/>
        <w:rPr>
          <w:sz w:val="20"/>
          <w:szCs w:val="20"/>
          <w:color w:val="auto"/>
        </w:rPr>
      </w:pPr>
    </w:p>
    <w:p>
      <w:pPr>
        <w:ind w:right="140" w:firstLine="351"/>
        <w:spacing w:after="0" w:line="335" w:lineRule="auto"/>
        <w:rPr>
          <w:sz w:val="20"/>
          <w:szCs w:val="20"/>
          <w:color w:val="auto"/>
        </w:rPr>
      </w:pPr>
      <w:r>
        <w:rPr>
          <w:rFonts w:ascii="Arial" w:cs="Arial" w:eastAsia="Arial" w:hAnsi="Arial"/>
          <w:sz w:val="15"/>
          <w:szCs w:val="15"/>
          <w:color w:val="auto"/>
        </w:rPr>
        <w:t>In the United States and some foreign jurisdictions, there have been a number of legislative and regulatory changes and proposed changes regarding the health care system and efforts to control health care costs, including drug prices, that could have a significant negative impact on our business, including preventing, limiting or delay regulatory approval of our drug candidates and reducing the sales and profits derived from our products once they are approved.</w:t>
      </w:r>
    </w:p>
    <w:p>
      <w:pPr>
        <w:spacing w:after="0" w:line="142"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For example, in the United States, the Patient Protection and Affordable Care Act of 2010 ("ACA") substantially changed the way health care is financed by both governmental and private insurers and significantly affects the pharmaceutical industry. Many provisions of ACA impact the biopharmaceutical industry, including that in order for a biopharmaceutical product to receive federal reimbursement under the Medicare Part B and Medicaid programs or to be sold directly to U.S. government agencies, the manufacturer must extend discounts to entities eligible to participate in the drug pricing program under the Public Health Services Act, or PHS. Since its enactment, there have been judicial and Congressional challenges and amendments to certain aspects of ACA. There is continued uncertainty about the implementation of ACA, including the potential for further amendments to the ACA and legal challenges to or efforts to repeal the ACA.</w:t>
      </w:r>
    </w:p>
    <w:p>
      <w:pPr>
        <w:spacing w:after="0" w:line="201" w:lineRule="exact"/>
        <w:rPr>
          <w:sz w:val="20"/>
          <w:szCs w:val="20"/>
          <w:color w:val="auto"/>
        </w:rPr>
      </w:pPr>
    </w:p>
    <w:p>
      <w:pPr>
        <w:ind w:firstLine="348"/>
        <w:spacing w:after="0" w:line="369" w:lineRule="auto"/>
        <w:rPr>
          <w:sz w:val="20"/>
          <w:szCs w:val="20"/>
          <w:color w:val="auto"/>
        </w:rPr>
      </w:pPr>
      <w:r>
        <w:rPr>
          <w:rFonts w:ascii="Arial" w:cs="Arial" w:eastAsia="Arial" w:hAnsi="Arial"/>
          <w:sz w:val="15"/>
          <w:szCs w:val="15"/>
          <w:color w:val="auto"/>
        </w:rPr>
        <w:t>We cannot be sure whether additional legislative changes will be enacted, or whether government regulations, guidance or interpretations will be changed, or what the impact of such changes would be on the marketing approvals, sales, pricing, or reimbursement of our drug candidates or products, if any, may be.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Capital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history of losses and uncertainty of future profitability make our common stock a highly speculative investment.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had no commercial revenue to date from sales of our drug candidates. We had an accumulated deficit of $1.0 billion as of December 31, 2019.</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expect to spend substantial funds to continue the research and development testing of our drug candidates.</w:t>
      </w:r>
    </w:p>
    <w:p>
      <w:pPr>
        <w:spacing w:after="0" w:line="219"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 anticipation of FDA approval of these products, we will need to make substantial investments to establish sales, marketing, quality control, regulatory compliance capabilities and commercial manufacturing alliances. These investments will increase if and when any of these drug candidates receive FDA approval. We cannot predict how quickly our lead drug candidates will progress through the regulatory approval process. As a result, we may continue to lose money for several years.</w:t>
      </w:r>
    </w:p>
    <w:p>
      <w:pPr>
        <w:spacing w:after="0" w:line="197" w:lineRule="exact"/>
        <w:rPr>
          <w:sz w:val="20"/>
          <w:szCs w:val="20"/>
          <w:color w:val="auto"/>
        </w:rPr>
      </w:pPr>
    </w:p>
    <w:p>
      <w:pPr>
        <w:ind w:right="620" w:firstLine="348"/>
        <w:spacing w:after="0" w:line="369" w:lineRule="auto"/>
        <w:rPr>
          <w:sz w:val="20"/>
          <w:szCs w:val="20"/>
          <w:color w:val="auto"/>
        </w:rPr>
      </w:pPr>
      <w:r>
        <w:rPr>
          <w:rFonts w:ascii="Arial" w:cs="Arial" w:eastAsia="Arial" w:hAnsi="Arial"/>
          <w:sz w:val="15"/>
          <w:szCs w:val="15"/>
          <w:color w:val="auto"/>
        </w:rPr>
        <w:t>We cannot be certain that we will achieve or sustain profitability in the future. Failure to achieve profitability could diminish our ability to sustain operations, pay dividends on our common stock, obtain additional required funds and make required payments on our present or future indebtedness.</w:t>
      </w:r>
    </w:p>
    <w:p>
      <w:pPr>
        <w:spacing w:after="0" w:line="11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We completed the reverse stock split in order to regain compliance with the listing requirements of NASDAQ. However, the reverse stock split may not result in our stock price remaining compliant with the minimum price requirements of NASDAQ.</w:t>
      </w:r>
    </w:p>
    <w:p>
      <w:pPr>
        <w:spacing w:after="0" w:line="186"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Our common stock is listed on the NASDAQ Capital Market. In order to maintain that listing, we must satisfy minimum financial and other requirements including, without limitation, a requirement that our closing bid price be at least $1.00 per share. At our annual meeting of stockholders in June 2018, our stockholders approved a proposal to grant discretionary authority to our Board of Directors to amend our certificate of incorporation to effect a reverse stock split of our outstanding shares of common stock within a range of one share of common stock for every ten shares of common stock to</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one share of common stock for every fifteen shares of common stock, with the exact reverse stock split ratio to be decided by the Board of Directors. On February 8, 2019 we announced that our Board of Directors had approved a one for fifteen reverse stock split of our issued and outstanding shares of common stock. On February 11, 2019, our common stock began trading on a split-adjusted basis on the NASDAQ Capital Market.</w:t>
      </w:r>
    </w:p>
    <w:p>
      <w:pPr>
        <w:spacing w:after="0" w:line="160"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There can be no assurance that in the future we will be able to maintain compliance with the minimum bid price requirement or we will otherwise be in compliance with other NASDAQ listing criteria. If we fail to maintain compliance with the minimum bid requirement or to meet the other applicable continued listing requirements for the NASDAQ Capital Market in the future and NASDAQ determines to delist our common stock, the delisting could adversely affect the market price and liquidity of our common stock and reduce our ability to raise additional capital. In addition, if our common stock is delisted from NASDAQ and the trading price remains below $5.00 per share, trading in our common stock might also become subject to the requirements of certain rules promulgated under the Exchange Act, which require additional disclosure by broker-dealers in connection with any trade involving a stock defined as a "penny stock" (generally, any equity security not listed on a national securities exchange or quoted on NASDAQ that has a market price of less than $5.00 per share, subject to certain exceptions).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has been and could remain volatile.</w:t>
      </w:r>
    </w:p>
    <w:p>
      <w:pPr>
        <w:spacing w:after="0" w:line="22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market price of our common stock has historically experienced and may continue to experience significant volatility. From January 2019 through December 2019, the market price of our common stock has fluctuated from a high of $11.62 per share in the first quarter of 2019, to a low of $2.01 per share in the third quarter of 2019 (giving retroactive effect to our recently completed one for fifteen reverse stock split). Our progress in developing and commercializing our products, the impact of government regulations on our products and industry, the potential sale of a large volume of our common stock by stockholders, our quarterly operating results, changes in general conditions in the economy or the financial markets and other developments affecting us or our competitors could cause the market price of our common stock to fluctuate substantially with significant market losses. If our stockholders sell a substantial number of shares of common stock, especially if those sales are made during a short period of time, those sales could adversely affect the market price of our common stock and could impair our ability to raise capital. In addition, in recent years, the stock market has experienced significant price and volume fluctuations. This volatility has affected the market prices of securities issued by many companies for reasons unrelated to their operating performance and may adversely affect the price of our common stock. In addition, we could be subject to a securities class action litigation as a result of volatility in the price of our stock, which could result in substantial costs and diversion of management's attention and resources and could harm our stock price, business, prospects, results of operations and financial condition.</w:t>
      </w:r>
    </w:p>
    <w:p>
      <w:pPr>
        <w:spacing w:after="0" w:line="17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We completed the reverse stock split of our shares of common stock, which may reduce and may limit the market trading liquidity of the shares due to the reduced number of shares outstanding, and may potentially have an anti-takeover effect.</w:t>
      </w:r>
    </w:p>
    <w:p>
      <w:pPr>
        <w:spacing w:after="0" w:line="186"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completed the reverse stock split of our common stock by a ratio of one for fifteen effective February 8, 2019. The liquidity of our common stock may be adversely affected by the reverse stock split as a result of the reduced number of shares outstanding following the reverse stock split. In addition, the reverse stock split may increase the number of stockholders who own odd lots of our common stock, creating the potential for such stockholders to experience an increase in the cost of selling their shares and greater difficulty affecting such sales. Reducing the number of outstanding shares of our common stock through the reverse stock split is intended, absent other factors, to increase the per share market price of our common stock. However, other factors, such as our financial</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results, market conditions and the market perception of our business may adversely affect the market price of our common stock. As a result, there can be no assurance that the reverse stock split will result in the intended benefits, that the market price of our common stock will remain higher following the reverse stock split or that the market price of our common stock will not decrease in the future. Further, since the reverse stock split was not accompanied by a corresponding decrease in the number of shares authorized for issuance under our Third Restated Certificate of Incorporation, the relative increase in the number of shares authorized for issuance could, under certain circumstances, have an anti-takeover effect by enabling our Board of Directors to issue additional shares of common stock in a transaction making it more difficult for a party to obtain control of us by tender offer or other means.</w:t>
      </w:r>
    </w:p>
    <w:p>
      <w:pPr>
        <w:spacing w:after="0" w:line="17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If certain preclinical and clinical milestones are achieved, our stockholders may experience significant dilution as a result of milestone payments to former Kolltan stockholders.</w:t>
      </w:r>
    </w:p>
    <w:p>
      <w:pPr>
        <w:spacing w:after="0" w:line="186"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Merger Agreement pursuant to which we acquired Kolltan provides that, in the event that certain specified preclinical and clinical development milestones related to Kolltan's development programs and/or Celldex's development programs and certain commercial milestones related to Kolltan's drug candidates are achieved, we will be required to pay Kolltan's stockholders milestone payments of up to $172.5 million. Certain Kolltan Milestones have been abandoned consistent with the provisions of the Merger Agreement and, because of this, as of December 31, 2019, we believe that the adjusted amount we may be required to pay for future consideration is up to $127.5 million contingent upon the achievement of the Kolltan Milestones. We have previously sent an abandonment notice to the representative of Kolltan's former stockholders with respect to certain of those milestone payments, to which the representative subsequently objected. We disagree with their objection and believe their objection to be without merit. We are, however, discussing potential amendments to the milestone payments with that stockholder representative. We cannot assure you whether any such amendment will be completed on terms acceptable to us, or at all.</w:t>
      </w:r>
    </w:p>
    <w:p>
      <w:pPr>
        <w:spacing w:after="0" w:line="173"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Milestone payments under the Merger Agreement may be made, at our sole election, in cash, in shares of our common stock or a combination of both, subject to the provisions of the Merger Agreement. The number of shares of our common stock issuable in connection with a milestone payment, if any, will be determined based on the average closing price per share of our common stock for the five trading day period ending three calendar days prior to the achievement of such milestone. If we elect to issue additional shares of our common stock, in lieu of paying cash, for such milestone payments, our stockholders may experience significant dilution.</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use our net operating loss carryforwards will be subject to limitation and, under certain circumstances, may be eliminated.</w:t>
      </w:r>
    </w:p>
    <w:p>
      <w:pPr>
        <w:spacing w:after="0" w:line="248" w:lineRule="exact"/>
        <w:rPr>
          <w:sz w:val="20"/>
          <w:szCs w:val="20"/>
          <w:color w:val="auto"/>
        </w:rPr>
      </w:pPr>
    </w:p>
    <w:p>
      <w:pPr>
        <w:ind w:right="180" w:firstLine="351"/>
        <w:spacing w:after="0" w:line="304" w:lineRule="auto"/>
        <w:rPr>
          <w:sz w:val="20"/>
          <w:szCs w:val="20"/>
          <w:color w:val="auto"/>
        </w:rPr>
      </w:pPr>
      <w:r>
        <w:rPr>
          <w:rFonts w:ascii="Arial" w:cs="Arial" w:eastAsia="Arial" w:hAnsi="Arial"/>
          <w:sz w:val="15"/>
          <w:szCs w:val="15"/>
          <w:color w:val="auto"/>
        </w:rPr>
        <w:t>Utilization of our net operating loss and research and development credit carryforwards may be subject to substantial annual limitation due to ownership change limitations that have occurred previously or that could occur in the future provided by Section 382 of the Internal Revenue Code of 1986, or</w:t>
      </w:r>
    </w:p>
    <w:p>
      <w:pPr>
        <w:spacing w:after="0" w:line="1"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Section 382, as well as similar state provisions. In general, an ownership change, as defined by Section 382, results from transactions increasing the ownership of certain shareholders or public groups in the stock of a corporation by more than 50 percentage points over a three-year period.</w:t>
      </w:r>
    </w:p>
    <w:p>
      <w:pPr>
        <w:spacing w:after="0" w:line="146"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In October 2007, June 2009, December 2009 and December 2013, we experienced a change in ownership as defined by Section 382 of the Internal Revenue Code. Historically, we have raised capital through the issuance of capital stock on several occasions which, combined with shareholders' subsequent disposition of those shares, has resulted in three changes of control, as defined by Section 382. As a result of these ownership changes, utilization of our Federal net operating loss carryforwards is subject to an annual limitation. Any unused annual limitation may be carried over to later years, and the amount of the limitation may, under certain circumstances, be subject to adjustment if the fair value of our net assets is determined to be below or in excess of the tax basis of</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such assets at the time of the ownership change, and such unrealized loss or gain is recognized during the five-year period after the ownership change. Subsequent ownership changes, as defined in Section 382, could further limit the amount of net operating loss carryforwards and research and development credits that can be utilized annually to offset future taxable income. Additionally, as provided above, the Tax Cuts and Jobs Act limited the deduction for net operating losses to 80% of taxable income while providing that net operating loss carryovers for years after 2017 will not expire.</w:t>
      </w:r>
    </w:p>
    <w:p>
      <w:pPr>
        <w:spacing w:after="0" w:line="16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have not undertaken a study to assess whether an ownership change or multiple ownership changes has occurred for (i) acquired businesses prior to the acquisition, (ii) the Company on the state level, (iii) the Company since March 2015 or (iv) research and development credits. If, based on such a study, we were to determine that there has been an ownership change at any time since its formation, utilization of net operating loss or tax credit carryforwards would be subject to an annual limitation under Section 382.</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Refer to Note 15, "Income Taxes," in the accompanying notes to the financial statements for additional discussion on income taxes.</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February 29, 2020, our significant leased properties are described below.</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1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Approximate</w:t>
            </w:r>
          </w:p>
        </w:tc>
        <w:tc>
          <w:tcPr>
            <w:tcW w:w="2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61"/>
        </w:trPr>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3"/>
              </w:rPr>
              <w:t>Property Location</w:t>
            </w:r>
          </w:p>
        </w:tc>
        <w:tc>
          <w:tcPr>
            <w:tcW w:w="2520" w:type="dxa"/>
            <w:vAlign w:val="bottom"/>
            <w:gridSpan w:val="2"/>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Square Feet</w:t>
            </w:r>
          </w:p>
        </w:tc>
        <w:tc>
          <w:tcPr>
            <w:tcW w:w="160" w:type="dxa"/>
            <w:vAlign w:val="bottom"/>
          </w:tcPr>
          <w:p>
            <w:pPr>
              <w:spacing w:after="0"/>
              <w:rPr>
                <w:sz w:val="14"/>
                <w:szCs w:val="14"/>
                <w:color w:val="auto"/>
              </w:rPr>
            </w:pPr>
          </w:p>
        </w:tc>
        <w:tc>
          <w:tcPr>
            <w:tcW w:w="2840" w:type="dxa"/>
            <w:vAlign w:val="bottom"/>
            <w:tcBorders>
              <w:bottom w:val="single" w:sz="8" w:color="auto"/>
            </w:tcBorders>
          </w:tcPr>
          <w:p>
            <w:pPr>
              <w:ind w:left="1320"/>
              <w:spacing w:after="0"/>
              <w:rPr>
                <w:sz w:val="20"/>
                <w:szCs w:val="20"/>
                <w:color w:val="auto"/>
              </w:rPr>
            </w:pPr>
            <w:r>
              <w:rPr>
                <w:rFonts w:ascii="Arial" w:cs="Arial" w:eastAsia="Arial" w:hAnsi="Arial"/>
                <w:sz w:val="13"/>
                <w:szCs w:val="13"/>
                <w:b w:val="1"/>
                <w:bCs w:val="1"/>
                <w:color w:val="auto"/>
              </w:rPr>
              <w:t>Use</w:t>
            </w:r>
          </w:p>
        </w:tc>
        <w:tc>
          <w:tcPr>
            <w:tcW w:w="160" w:type="dxa"/>
            <w:vAlign w:val="bottom"/>
          </w:tcPr>
          <w:p>
            <w:pPr>
              <w:spacing w:after="0"/>
              <w:rPr>
                <w:sz w:val="14"/>
                <w:szCs w:val="14"/>
                <w:color w:val="auto"/>
              </w:rPr>
            </w:pPr>
          </w:p>
        </w:tc>
        <w:tc>
          <w:tcPr>
            <w:tcW w:w="14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7"/>
              </w:rPr>
              <w:t>Lease Expiration Date</w:t>
            </w:r>
          </w:p>
        </w:tc>
      </w:tr>
      <w:tr>
        <w:trPr>
          <w:trHeight w:val="209"/>
        </w:trPr>
        <w:tc>
          <w:tcPr>
            <w:tcW w:w="3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Hampton, New Jersey</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33,400</w:t>
            </w: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w w:val="96"/>
              </w:rPr>
              <w:t>Headquarters, Office and Laboratory</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July 2025(1)</w:t>
            </w:r>
          </w:p>
        </w:tc>
      </w:tr>
      <w:tr>
        <w:trPr>
          <w:trHeight w:val="216"/>
        </w:trPr>
        <w:tc>
          <w:tcPr>
            <w:tcW w:w="3600" w:type="dxa"/>
            <w:vAlign w:val="bottom"/>
            <w:gridSpan w:val="3"/>
          </w:tcPr>
          <w:p>
            <w:pPr>
              <w:ind w:left="20"/>
              <w:spacing w:after="0"/>
              <w:rPr>
                <w:sz w:val="20"/>
                <w:szCs w:val="20"/>
                <w:color w:val="auto"/>
              </w:rPr>
            </w:pPr>
            <w:r>
              <w:rPr>
                <w:rFonts w:ascii="Arial" w:cs="Arial" w:eastAsia="Arial" w:hAnsi="Arial"/>
                <w:sz w:val="18"/>
                <w:szCs w:val="18"/>
                <w:color w:val="auto"/>
              </w:rPr>
              <w:t>Needham, Massachusetts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46,700</w:t>
            </w:r>
          </w:p>
        </w:tc>
        <w:tc>
          <w:tcPr>
            <w:tcW w:w="2840" w:type="dxa"/>
            <w:vAlign w:val="bottom"/>
          </w:tcPr>
          <w:p>
            <w:pPr>
              <w:spacing w:after="0"/>
              <w:rPr>
                <w:sz w:val="20"/>
                <w:szCs w:val="20"/>
                <w:color w:val="auto"/>
              </w:rPr>
            </w:pPr>
            <w:r>
              <w:rPr>
                <w:rFonts w:ascii="Arial" w:cs="Arial" w:eastAsia="Arial" w:hAnsi="Arial"/>
                <w:sz w:val="18"/>
                <w:szCs w:val="18"/>
                <w:color w:val="auto"/>
              </w:rPr>
              <w:t>Office and Laboratory</w:t>
            </w:r>
          </w:p>
        </w:tc>
        <w:tc>
          <w:tcPr>
            <w:tcW w:w="16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July 2020</w:t>
            </w:r>
          </w:p>
        </w:tc>
      </w:tr>
      <w:tr>
        <w:trPr>
          <w:trHeight w:val="216"/>
        </w:trPr>
        <w:tc>
          <w:tcPr>
            <w:tcW w:w="3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Fall River, Massachusetts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33,900</w:t>
            </w: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Manufacturing Facility</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July 2021(2)</w:t>
            </w:r>
          </w:p>
        </w:tc>
      </w:tr>
      <w:tr>
        <w:trPr>
          <w:trHeight w:val="222"/>
        </w:trPr>
        <w:tc>
          <w:tcPr>
            <w:tcW w:w="3600" w:type="dxa"/>
            <w:vAlign w:val="bottom"/>
            <w:gridSpan w:val="3"/>
          </w:tcPr>
          <w:p>
            <w:pPr>
              <w:ind w:left="20"/>
              <w:spacing w:after="0"/>
              <w:rPr>
                <w:sz w:val="20"/>
                <w:szCs w:val="20"/>
                <w:color w:val="auto"/>
              </w:rPr>
            </w:pPr>
            <w:r>
              <w:rPr>
                <w:rFonts w:ascii="Arial" w:cs="Arial" w:eastAsia="Arial" w:hAnsi="Arial"/>
                <w:sz w:val="18"/>
                <w:szCs w:val="18"/>
                <w:color w:val="auto"/>
              </w:rPr>
              <w:t>New Haven, Connecticut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17,700</w:t>
            </w:r>
          </w:p>
        </w:tc>
        <w:tc>
          <w:tcPr>
            <w:tcW w:w="2840" w:type="dxa"/>
            <w:vAlign w:val="bottom"/>
          </w:tcPr>
          <w:p>
            <w:pPr>
              <w:spacing w:after="0"/>
              <w:rPr>
                <w:sz w:val="20"/>
                <w:szCs w:val="20"/>
                <w:color w:val="auto"/>
              </w:rPr>
            </w:pPr>
            <w:r>
              <w:rPr>
                <w:rFonts w:ascii="Arial" w:cs="Arial" w:eastAsia="Arial" w:hAnsi="Arial"/>
                <w:sz w:val="18"/>
                <w:szCs w:val="18"/>
                <w:color w:val="auto"/>
              </w:rPr>
              <w:t>Office and Laboratory</w:t>
            </w:r>
          </w:p>
        </w:tc>
        <w:tc>
          <w:tcPr>
            <w:tcW w:w="16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April 2022</w:t>
            </w:r>
          </w:p>
        </w:tc>
      </w:tr>
      <w:tr>
        <w:trPr>
          <w:trHeight w:val="102"/>
        </w:trPr>
        <w:tc>
          <w:tcPr>
            <w:tcW w:w="10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0" w:type="dxa"/>
            <w:vAlign w:val="bottom"/>
          </w:tcPr>
          <w:p>
            <w:pPr>
              <w:spacing w:after="0"/>
              <w:rPr>
                <w:sz w:val="8"/>
                <w:szCs w:val="8"/>
                <w:color w:val="auto"/>
              </w:rPr>
            </w:pPr>
          </w:p>
        </w:tc>
      </w:tr>
    </w:tbl>
    <w:p>
      <w:pPr>
        <w:spacing w:after="0" w:line="221" w:lineRule="exact"/>
        <w:rPr>
          <w:sz w:val="20"/>
          <w:szCs w:val="20"/>
          <w:color w:val="auto"/>
        </w:rPr>
      </w:pPr>
    </w:p>
    <w:p>
      <w:pPr>
        <w:ind w:left="1680" w:hanging="549"/>
        <w:spacing w:after="0"/>
        <w:tabs>
          <w:tab w:leader="none" w:pos="1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Lease includes an early termination option and one renewal option of five years.</w:t>
      </w:r>
    </w:p>
    <w:p>
      <w:pPr>
        <w:spacing w:after="0" w:line="252" w:lineRule="exact"/>
        <w:rPr>
          <w:rFonts w:ascii="Arial" w:cs="Arial" w:eastAsia="Arial" w:hAnsi="Arial"/>
          <w:sz w:val="18"/>
          <w:szCs w:val="18"/>
          <w:color w:val="auto"/>
        </w:rPr>
      </w:pPr>
    </w:p>
    <w:p>
      <w:pPr>
        <w:ind w:left="1680" w:hanging="549"/>
        <w:spacing w:after="0"/>
        <w:tabs>
          <w:tab w:leader="none" w:pos="1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Lease includes two renewal options of two years each followed by one renewal option of five years.</w:t>
      </w: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0"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Our common stock currently trades on the Nasdaq Capital Market (NASDAQ) under the symbol "CLDX." On February 8, 2019, we effected a one for fifteen reverse stock split of our common stock. As of March 13, 2020, there were approximately 176 shareholders of record of our common stock. On March 13, 2020 the closing price of our common stock, as reported by NASDAQ, was $1.87 per share. We have not paid any dividends on our common stock since our inception and do not intend to pay any dividends in the foreseeable future.</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CELLDEX THERAPEUTICS, INC., NASDAQ MARKET INDEX—U.S.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PEER GROUP INDICES</w:t>
      </w:r>
    </w:p>
    <w:p>
      <w:pPr>
        <w:spacing w:after="0" w:line="21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graph below compares the cumulative total stockholder return on the common stock for the period from December 31, 2014 through December 31, 2019, with the cumulative return on (i) NASDAQ U.S. Benchmark TR Index and (ii) NASDAQ Pharmaceutical (Subsector) Index. The comparison assumes investment of $100 on December 31, 2014 in our common stock and in each of the indices and, in each case, assumes reinvestment of all dividends. The points on the graph are as of December 31 of the year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130175</wp:posOffset>
            </wp:positionV>
            <wp:extent cx="4243070" cy="28289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243070"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9"/>
              </w:rPr>
              <w:t>2014</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9"/>
              </w:rPr>
              <w:t>2015</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6"/>
              </w:rPr>
              <w:t>2016</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6"/>
              </w:rPr>
              <w:t>2017</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9"/>
              </w:rPr>
              <w:t>2018</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9"/>
              </w:rPr>
              <w:t>2019</w:t>
            </w:r>
          </w:p>
        </w:tc>
        <w:tc>
          <w:tcPr>
            <w:tcW w:w="160" w:type="dxa"/>
            <w:vAlign w:val="bottom"/>
          </w:tcPr>
          <w:p>
            <w:pPr>
              <w:spacing w:after="0"/>
              <w:rPr>
                <w:sz w:val="14"/>
                <w:szCs w:val="14"/>
                <w:color w:val="auto"/>
              </w:rPr>
            </w:pPr>
          </w:p>
        </w:tc>
      </w:tr>
      <w:tr>
        <w:trPr>
          <w:trHeight w:val="21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Celldex Therapeutics,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NASDAQ U.S. Benchmark TR Index</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138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171</w:t>
            </w: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NASDAQ Pharmaceutical (Subsector) Index</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w:t>
            </w:r>
          </w:p>
        </w:tc>
      </w:tr>
    </w:tbl>
    <w:p>
      <w:pPr>
        <w:spacing w:after="0" w:line="20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31" w:lineRule="exact"/>
        <w:rPr>
          <w:sz w:val="20"/>
          <w:szCs w:val="20"/>
          <w:color w:val="auto"/>
        </w:rPr>
      </w:pPr>
    </w:p>
    <w:p>
      <w:pPr>
        <w:ind w:right="320" w:firstLine="348"/>
        <w:spacing w:after="0" w:line="306" w:lineRule="auto"/>
        <w:rPr>
          <w:sz w:val="20"/>
          <w:szCs w:val="20"/>
          <w:color w:val="auto"/>
        </w:rPr>
      </w:pPr>
      <w:r>
        <w:rPr>
          <w:rFonts w:ascii="Arial" w:cs="Arial" w:eastAsia="Arial" w:hAnsi="Arial"/>
          <w:sz w:val="16"/>
          <w:szCs w:val="16"/>
          <w:color w:val="auto"/>
        </w:rPr>
        <w:t>The following selected financial data are derived from our audited financial statements. The statement of operations data for the years ended December 31, 2019, 2018 and 2017 and the balance sheet data as of December 31, 2019 and 2018 have been derived from our audited financial statements included in Item 8 of this Annual Report on Form 10-K. This data should be read in conjunction with</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our audited financial statements and related notes which are included elsewhere in this Annual Report on Form 10-K, and "Management's Discussion and Analysis of Financial Condition and Results of Operations" included in Item 7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OPERATIONS DATA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68"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8"/>
                <w:szCs w:val="18"/>
                <w:color w:val="auto"/>
              </w:rPr>
              <w:t>Product Development and Licensing Agreements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78"/>
              <w:spacing w:after="0"/>
              <w:rPr>
                <w:sz w:val="20"/>
                <w:szCs w:val="20"/>
                <w:color w:val="auto"/>
              </w:rPr>
            </w:pPr>
            <w:r>
              <w:rPr>
                <w:rFonts w:ascii="Arial" w:cs="Arial" w:eastAsia="Arial" w:hAnsi="Arial"/>
                <w:sz w:val="18"/>
                <w:szCs w:val="18"/>
                <w:color w:val="auto"/>
              </w:rPr>
              <w:t>473</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78"/>
              <w:spacing w:after="0"/>
              <w:rPr>
                <w:sz w:val="20"/>
                <w:szCs w:val="20"/>
                <w:color w:val="auto"/>
              </w:rPr>
            </w:pPr>
            <w:r>
              <w:rPr>
                <w:rFonts w:ascii="Arial" w:cs="Arial" w:eastAsia="Arial" w:hAnsi="Arial"/>
                <w:sz w:val="18"/>
                <w:szCs w:val="18"/>
                <w:color w:val="auto"/>
              </w:rPr>
              <w:t>3,341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78"/>
              <w:spacing w:after="0"/>
              <w:rPr>
                <w:sz w:val="20"/>
                <w:szCs w:val="20"/>
                <w:color w:val="auto"/>
              </w:rPr>
            </w:pPr>
            <w:r>
              <w:rPr>
                <w:rFonts w:ascii="Arial" w:cs="Arial" w:eastAsia="Arial" w:hAnsi="Arial"/>
                <w:sz w:val="18"/>
                <w:szCs w:val="18"/>
                <w:color w:val="auto"/>
              </w:rPr>
              <w:t>3,153</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78"/>
              <w:spacing w:after="0"/>
              <w:rPr>
                <w:sz w:val="20"/>
                <w:szCs w:val="20"/>
                <w:color w:val="auto"/>
              </w:rPr>
            </w:pPr>
            <w:r>
              <w:rPr>
                <w:rFonts w:ascii="Arial" w:cs="Arial" w:eastAsia="Arial" w:hAnsi="Arial"/>
                <w:sz w:val="18"/>
                <w:szCs w:val="18"/>
                <w:color w:val="auto"/>
              </w:rPr>
              <w:t>2,174</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78"/>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Contracts and Grants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3,100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6,197</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9,590</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4,612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4,038</w:t>
            </w:r>
          </w:p>
        </w:tc>
        <w:tc>
          <w:tcPr>
            <w:tcW w:w="0" w:type="dxa"/>
            <w:vAlign w:val="bottom"/>
          </w:tcPr>
          <w:p>
            <w:pPr>
              <w:spacing w:after="0"/>
              <w:rPr>
                <w:sz w:val="1"/>
                <w:szCs w:val="1"/>
                <w:color w:val="auto"/>
              </w:rPr>
            </w:pPr>
          </w:p>
        </w:tc>
      </w:tr>
      <w:tr>
        <w:trPr>
          <w:trHeight w:val="210"/>
        </w:trPr>
        <w:tc>
          <w:tcPr>
            <w:tcW w:w="4040" w:type="dxa"/>
            <w:vAlign w:val="bottom"/>
          </w:tcPr>
          <w:p>
            <w:pPr>
              <w:ind w:left="20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3,573</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9,538</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12,743</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6,786</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780" w:type="dxa"/>
            <w:vAlign w:val="bottom"/>
            <w:gridSpan w:val="2"/>
          </w:tcPr>
          <w:p>
            <w:pPr>
              <w:jc w:val="right"/>
              <w:ind w:right="78"/>
              <w:spacing w:after="0"/>
              <w:rPr>
                <w:sz w:val="20"/>
                <w:szCs w:val="20"/>
                <w:color w:val="auto"/>
              </w:rPr>
            </w:pPr>
            <w:r>
              <w:rPr>
                <w:rFonts w:ascii="Arial" w:cs="Arial" w:eastAsia="Arial" w:hAnsi="Arial"/>
                <w:sz w:val="18"/>
                <w:szCs w:val="18"/>
                <w:color w:val="auto"/>
              </w:rPr>
              <w:t>42,672</w:t>
            </w:r>
          </w:p>
        </w:tc>
        <w:tc>
          <w:tcPr>
            <w:tcW w:w="160" w:type="dxa"/>
            <w:vAlign w:val="bottom"/>
          </w:tcPr>
          <w:p>
            <w:pPr>
              <w:spacing w:after="0"/>
              <w:rPr>
                <w:sz w:val="18"/>
                <w:szCs w:val="18"/>
                <w:color w:val="auto"/>
              </w:rPr>
            </w:pPr>
          </w:p>
        </w:tc>
        <w:tc>
          <w:tcPr>
            <w:tcW w:w="840" w:type="dxa"/>
            <w:vAlign w:val="bottom"/>
            <w:gridSpan w:val="2"/>
          </w:tcPr>
          <w:p>
            <w:pPr>
              <w:jc w:val="right"/>
              <w:ind w:right="78"/>
              <w:spacing w:after="0"/>
              <w:rPr>
                <w:sz w:val="20"/>
                <w:szCs w:val="20"/>
                <w:color w:val="auto"/>
              </w:rPr>
            </w:pPr>
            <w:r>
              <w:rPr>
                <w:rFonts w:ascii="Arial" w:cs="Arial" w:eastAsia="Arial" w:hAnsi="Arial"/>
                <w:sz w:val="18"/>
                <w:szCs w:val="18"/>
                <w:color w:val="auto"/>
              </w:rPr>
              <w:t>66,449</w:t>
            </w:r>
          </w:p>
        </w:tc>
        <w:tc>
          <w:tcPr>
            <w:tcW w:w="160" w:type="dxa"/>
            <w:vAlign w:val="bottom"/>
          </w:tcPr>
          <w:p>
            <w:pPr>
              <w:spacing w:after="0"/>
              <w:rPr>
                <w:sz w:val="18"/>
                <w:szCs w:val="18"/>
                <w:color w:val="auto"/>
              </w:rPr>
            </w:pPr>
          </w:p>
        </w:tc>
        <w:tc>
          <w:tcPr>
            <w:tcW w:w="860" w:type="dxa"/>
            <w:vAlign w:val="bottom"/>
            <w:gridSpan w:val="2"/>
          </w:tcPr>
          <w:p>
            <w:pPr>
              <w:jc w:val="right"/>
              <w:ind w:right="78"/>
              <w:spacing w:after="0"/>
              <w:rPr>
                <w:sz w:val="20"/>
                <w:szCs w:val="20"/>
                <w:color w:val="auto"/>
              </w:rPr>
            </w:pPr>
            <w:r>
              <w:rPr>
                <w:rFonts w:ascii="Arial" w:cs="Arial" w:eastAsia="Arial" w:hAnsi="Arial"/>
                <w:sz w:val="18"/>
                <w:szCs w:val="18"/>
                <w:color w:val="auto"/>
              </w:rPr>
              <w:t>96,171</w:t>
            </w:r>
          </w:p>
        </w:tc>
        <w:tc>
          <w:tcPr>
            <w:tcW w:w="220" w:type="dxa"/>
            <w:vAlign w:val="bottom"/>
          </w:tcPr>
          <w:p>
            <w:pPr>
              <w:spacing w:after="0"/>
              <w:rPr>
                <w:sz w:val="18"/>
                <w:szCs w:val="18"/>
                <w:color w:val="auto"/>
              </w:rPr>
            </w:pPr>
          </w:p>
        </w:tc>
        <w:tc>
          <w:tcPr>
            <w:tcW w:w="800" w:type="dxa"/>
            <w:vAlign w:val="bottom"/>
            <w:gridSpan w:val="2"/>
          </w:tcPr>
          <w:p>
            <w:pPr>
              <w:jc w:val="right"/>
              <w:ind w:right="78"/>
              <w:spacing w:after="0"/>
              <w:rPr>
                <w:sz w:val="20"/>
                <w:szCs w:val="20"/>
                <w:color w:val="auto"/>
              </w:rPr>
            </w:pPr>
            <w:r>
              <w:rPr>
                <w:rFonts w:ascii="Arial" w:cs="Arial" w:eastAsia="Arial" w:hAnsi="Arial"/>
                <w:sz w:val="18"/>
                <w:szCs w:val="18"/>
                <w:color w:val="auto"/>
                <w:w w:val="95"/>
              </w:rPr>
              <w:t>102,726</w:t>
            </w:r>
          </w:p>
        </w:tc>
        <w:tc>
          <w:tcPr>
            <w:tcW w:w="160" w:type="dxa"/>
            <w:vAlign w:val="bottom"/>
          </w:tcPr>
          <w:p>
            <w:pPr>
              <w:spacing w:after="0"/>
              <w:rPr>
                <w:sz w:val="18"/>
                <w:szCs w:val="18"/>
                <w:color w:val="auto"/>
              </w:rPr>
            </w:pPr>
          </w:p>
        </w:tc>
        <w:tc>
          <w:tcPr>
            <w:tcW w:w="840" w:type="dxa"/>
            <w:vAlign w:val="bottom"/>
            <w:gridSpan w:val="2"/>
          </w:tcPr>
          <w:p>
            <w:pPr>
              <w:jc w:val="right"/>
              <w:ind w:right="78"/>
              <w:spacing w:after="0"/>
              <w:rPr>
                <w:sz w:val="20"/>
                <w:szCs w:val="20"/>
                <w:color w:val="auto"/>
              </w:rPr>
            </w:pPr>
            <w:r>
              <w:rPr>
                <w:rFonts w:ascii="Arial" w:cs="Arial" w:eastAsia="Arial" w:hAnsi="Arial"/>
                <w:sz w:val="18"/>
                <w:szCs w:val="18"/>
                <w:color w:val="auto"/>
              </w:rPr>
              <w:t>100,171</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Expense</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15,932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99,525</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38,099</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36,976</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34,850</w:t>
            </w:r>
          </w:p>
        </w:tc>
        <w:tc>
          <w:tcPr>
            <w:tcW w:w="0" w:type="dxa"/>
            <w:vAlign w:val="bottom"/>
          </w:tcPr>
          <w:p>
            <w:pPr>
              <w:spacing w:after="0"/>
              <w:rPr>
                <w:sz w:val="1"/>
                <w:szCs w:val="1"/>
                <w:color w:val="auto"/>
              </w:rPr>
            </w:pPr>
          </w:p>
        </w:tc>
      </w:tr>
      <w:tr>
        <w:trPr>
          <w:trHeight w:val="210"/>
        </w:trPr>
        <w:tc>
          <w:tcPr>
            <w:tcW w:w="4040" w:type="dxa"/>
            <w:vAlign w:val="bottom"/>
          </w:tcPr>
          <w:p>
            <w:pPr>
              <w:ind w:left="200"/>
              <w:spacing w:after="0"/>
              <w:rPr>
                <w:sz w:val="20"/>
                <w:szCs w:val="20"/>
                <w:color w:val="auto"/>
              </w:rPr>
            </w:pPr>
            <w:r>
              <w:rPr>
                <w:rFonts w:ascii="Arial" w:cs="Arial" w:eastAsia="Arial" w:hAnsi="Arial"/>
                <w:sz w:val="18"/>
                <w:szCs w:val="18"/>
                <w:color w:val="auto"/>
              </w:rPr>
              <w:t>Total Operating Expense</w:t>
            </w: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58,604</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165,974</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134,270</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139,702</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8"/>
              </w:rPr>
              <w:t>(55,031)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3"/>
              </w:rPr>
              <w:t>(156,436)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5"/>
              </w:rPr>
              <w:t>(121,527)</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88"/>
              </w:rPr>
              <w:t>(132,916)</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3"/>
              </w:rPr>
              <w:t>(129,541)</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8"/>
                <w:szCs w:val="18"/>
                <w:color w:val="auto"/>
              </w:rPr>
              <w:t>Investment and Other Income, Net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4,153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78"/>
              <w:spacing w:after="0"/>
              <w:rPr>
                <w:sz w:val="20"/>
                <w:szCs w:val="20"/>
                <w:color w:val="auto"/>
              </w:rPr>
            </w:pPr>
            <w:r>
              <w:rPr>
                <w:rFonts w:ascii="Arial" w:cs="Arial" w:eastAsia="Arial" w:hAnsi="Arial"/>
                <w:sz w:val="18"/>
                <w:szCs w:val="18"/>
                <w:color w:val="auto"/>
              </w:rPr>
              <w:t>4,487</w:t>
            </w:r>
          </w:p>
        </w:tc>
        <w:tc>
          <w:tcPr>
            <w:tcW w:w="160" w:type="dxa"/>
            <w:vAlign w:val="bottom"/>
          </w:tcPr>
          <w:p>
            <w:pPr>
              <w:spacing w:after="0"/>
              <w:rPr>
                <w:sz w:val="18"/>
                <w:szCs w:val="18"/>
                <w:color w:val="auto"/>
              </w:rPr>
            </w:pPr>
          </w:p>
        </w:tc>
        <w:tc>
          <w:tcPr>
            <w:tcW w:w="860" w:type="dxa"/>
            <w:vAlign w:val="bottom"/>
            <w:gridSpan w:val="2"/>
          </w:tcPr>
          <w:p>
            <w:pPr>
              <w:jc w:val="right"/>
              <w:ind w:right="78"/>
              <w:spacing w:after="0"/>
              <w:rPr>
                <w:sz w:val="20"/>
                <w:szCs w:val="20"/>
                <w:color w:val="auto"/>
              </w:rPr>
            </w:pPr>
            <w:r>
              <w:rPr>
                <w:rFonts w:ascii="Arial" w:cs="Arial" w:eastAsia="Arial" w:hAnsi="Arial"/>
                <w:sz w:val="18"/>
                <w:szCs w:val="18"/>
                <w:color w:val="auto"/>
              </w:rPr>
              <w:t>4,214</w:t>
            </w:r>
          </w:p>
        </w:tc>
        <w:tc>
          <w:tcPr>
            <w:tcW w:w="220" w:type="dxa"/>
            <w:vAlign w:val="bottom"/>
          </w:tcPr>
          <w:p>
            <w:pPr>
              <w:spacing w:after="0"/>
              <w:rPr>
                <w:sz w:val="18"/>
                <w:szCs w:val="18"/>
                <w:color w:val="auto"/>
              </w:rPr>
            </w:pPr>
          </w:p>
        </w:tc>
        <w:tc>
          <w:tcPr>
            <w:tcW w:w="800" w:type="dxa"/>
            <w:vAlign w:val="bottom"/>
            <w:gridSpan w:val="2"/>
          </w:tcPr>
          <w:p>
            <w:pPr>
              <w:jc w:val="right"/>
              <w:ind w:right="78"/>
              <w:spacing w:after="0"/>
              <w:rPr>
                <w:sz w:val="20"/>
                <w:szCs w:val="20"/>
                <w:color w:val="auto"/>
              </w:rPr>
            </w:pPr>
            <w:r>
              <w:rPr>
                <w:rFonts w:ascii="Arial" w:cs="Arial" w:eastAsia="Arial" w:hAnsi="Arial"/>
                <w:sz w:val="18"/>
                <w:szCs w:val="18"/>
                <w:color w:val="auto"/>
              </w:rPr>
              <w:t>4,386</w:t>
            </w:r>
          </w:p>
        </w:tc>
        <w:tc>
          <w:tcPr>
            <w:tcW w:w="160" w:type="dxa"/>
            <w:vAlign w:val="bottom"/>
          </w:tcPr>
          <w:p>
            <w:pPr>
              <w:spacing w:after="0"/>
              <w:rPr>
                <w:sz w:val="18"/>
                <w:szCs w:val="18"/>
                <w:color w:val="auto"/>
              </w:rPr>
            </w:pPr>
          </w:p>
        </w:tc>
        <w:tc>
          <w:tcPr>
            <w:tcW w:w="840" w:type="dxa"/>
            <w:vAlign w:val="bottom"/>
            <w:gridSpan w:val="2"/>
          </w:tcPr>
          <w:p>
            <w:pPr>
              <w:jc w:val="right"/>
              <w:ind w:right="78"/>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 Before Income Tax Benefit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8"/>
              </w:rPr>
              <w:t>(50,878)</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3"/>
              </w:rPr>
              <w:t>(151,949)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5"/>
              </w:rPr>
              <w:t>(117,313)</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88"/>
              </w:rPr>
              <w:t>(128,530)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3"/>
              </w:rPr>
              <w:t>(127,197)</w:t>
            </w:r>
          </w:p>
        </w:tc>
        <w:tc>
          <w:tcPr>
            <w:tcW w:w="0" w:type="dxa"/>
            <w:vAlign w:val="bottom"/>
          </w:tcPr>
          <w:p>
            <w:pPr>
              <w:spacing w:after="0"/>
              <w:rPr>
                <w:sz w:val="1"/>
                <w:szCs w:val="1"/>
                <w:color w:val="auto"/>
              </w:rPr>
            </w:pPr>
          </w:p>
        </w:tc>
      </w:tr>
      <w:tr>
        <w:trPr>
          <w:trHeight w:val="209"/>
        </w:trPr>
        <w:tc>
          <w:tcPr>
            <w:tcW w:w="404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24,282</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8"/>
              </w:rPr>
              <w:t>(50,878)</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3"/>
              </w:rPr>
              <w:t>(151,184)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(93,031)</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88"/>
              </w:rPr>
              <w:t>(128,530)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3"/>
              </w:rPr>
              <w:t>(127,197)</w:t>
            </w:r>
          </w:p>
        </w:tc>
        <w:tc>
          <w:tcPr>
            <w:tcW w:w="0" w:type="dxa"/>
            <w:vAlign w:val="bottom"/>
          </w:tcPr>
          <w:p>
            <w:pPr>
              <w:spacing w:after="0"/>
              <w:rPr>
                <w:sz w:val="1"/>
                <w:szCs w:val="1"/>
                <w:color w:val="auto"/>
              </w:rPr>
            </w:pPr>
          </w:p>
        </w:tc>
      </w:tr>
      <w:tr>
        <w:trPr>
          <w:trHeight w:val="20"/>
        </w:trPr>
        <w:tc>
          <w:tcPr>
            <w:tcW w:w="4040" w:type="dxa"/>
            <w:vAlign w:val="bottom"/>
            <w:vMerge w:val="restart"/>
          </w:tcPr>
          <w:p>
            <w:pPr>
              <w:ind w:left="20"/>
              <w:spacing w:after="0"/>
              <w:rPr>
                <w:sz w:val="20"/>
                <w:szCs w:val="20"/>
                <w:color w:val="auto"/>
              </w:rPr>
            </w:pPr>
            <w:r>
              <w:rPr>
                <w:rFonts w:ascii="Arial" w:cs="Arial" w:eastAsia="Arial" w:hAnsi="Arial"/>
                <w:sz w:val="18"/>
                <w:szCs w:val="18"/>
                <w:color w:val="auto"/>
              </w:rPr>
              <w:t>Basic and Diluted Net Loss Per Common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4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(3.51</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(14.48</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(10.86</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(18.99</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(19.66</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Shares Used in Calculating Basic and Diluted Net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Per Common Share</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14,507</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10,442</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8,570</w:t>
            </w:r>
          </w:p>
        </w:tc>
        <w:tc>
          <w:tcPr>
            <w:tcW w:w="2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6,769</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6,470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(Reflects one for fifteen reverse stock split effective February 8, 2019)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DATA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3"/>
                <w:szCs w:val="13"/>
                <w:b w:val="1"/>
                <w:bCs w:val="1"/>
                <w:color w:val="auto"/>
                <w:w w:val="94"/>
              </w:rPr>
              <w:t>December 31,</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2"/>
        </w:trPr>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10"/>
        </w:trPr>
        <w:tc>
          <w:tcPr>
            <w:tcW w:w="1120" w:type="dxa"/>
            <w:vAlign w:val="bottom"/>
          </w:tcPr>
          <w:p>
            <w:pPr>
              <w:spacing w:after="0"/>
              <w:rPr>
                <w:sz w:val="18"/>
                <w:szCs w:val="18"/>
                <w:color w:val="auto"/>
              </w:rPr>
            </w:pPr>
          </w:p>
        </w:tc>
        <w:tc>
          <w:tcPr>
            <w:tcW w:w="3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55,055</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86,477</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117,020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160,346</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264,696</w:t>
            </w:r>
          </w:p>
        </w:tc>
        <w:tc>
          <w:tcPr>
            <w:tcW w:w="1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40" w:type="dxa"/>
            <w:vAlign w:val="bottom"/>
            <w:gridSpan w:val="3"/>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122,933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155,809</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315,624</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383,358</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337,584</w:t>
            </w:r>
          </w:p>
        </w:tc>
        <w:tc>
          <w:tcPr>
            <w:tcW w:w="1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Long-Term Liabilities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17,264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19,147</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51,519</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82,704</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17,239</w:t>
            </w:r>
          </w:p>
        </w:tc>
        <w:tc>
          <w:tcPr>
            <w:tcW w:w="1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40" w:type="dxa"/>
            <w:vAlign w:val="bottom"/>
            <w:gridSpan w:val="3"/>
          </w:tcPr>
          <w:p>
            <w:pPr>
              <w:ind w:left="2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(1,013,316)</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(962,438)</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(812,517)</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(719,486)</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(590,956)</w:t>
            </w:r>
          </w:p>
        </w:tc>
        <w:tc>
          <w:tcPr>
            <w:tcW w:w="1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94,026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124,060</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236,369</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265,431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290,105</w:t>
            </w:r>
          </w:p>
        </w:tc>
        <w:tc>
          <w:tcPr>
            <w:tcW w:w="1100" w:type="dxa"/>
            <w:vAlign w:val="bottom"/>
          </w:tcPr>
          <w:p>
            <w:pPr>
              <w:spacing w:after="0"/>
              <w:rPr>
                <w:sz w:val="18"/>
                <w:szCs w:val="18"/>
                <w:color w:val="auto"/>
              </w:rPr>
            </w:pPr>
          </w:p>
        </w:tc>
      </w:tr>
      <w:tr>
        <w:trPr>
          <w:trHeight w:val="108"/>
        </w:trPr>
        <w:tc>
          <w:tcPr>
            <w:tcW w:w="11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437"/>
        </w:trPr>
        <w:tc>
          <w:tcPr>
            <w:tcW w:w="14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3520" w:type="dxa"/>
            <w:vAlign w:val="bottom"/>
            <w:gridSpan w:val="2"/>
          </w:tcPr>
          <w:p>
            <w:pPr>
              <w:ind w:left="240"/>
              <w:spacing w:after="0"/>
              <w:rPr>
                <w:sz w:val="20"/>
                <w:szCs w:val="20"/>
                <w:color w:val="auto"/>
              </w:rPr>
            </w:pPr>
            <w:r>
              <w:rPr>
                <w:rFonts w:ascii="Arial" w:cs="Arial" w:eastAsia="Arial" w:hAnsi="Arial"/>
                <w:sz w:val="18"/>
                <w:szCs w:val="18"/>
                <w:color w:val="auto"/>
                <w:w w:val="88"/>
              </w:rPr>
              <w:t>Total current assets less total current liabilities</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135"/>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31"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On February 8, 2019 we announced that our Board of Directors had approved a one for fifteen reverse stock split of our issued and outstanding shares of common stock, effective February 8, 2019. On February 11, 2019, our common stock began trading on a split-adjusted basis on the NASDAQ Capital Market. The number of authorized shares of the Company remain unchanged. Stockholders who would have otherwise been entitled to fractional shares as a result of the reverse stock split received a cash payment in lieu of receiving fractional shares. All share and per share amounts in this Annual Report are shown on a post-split basis.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We are a biopharmaceutical company focused on the development and commercialization of immunotherapies and other targeted biologics. Our drug candidates are derived from a broad set of human and bispecific antibodies which have the ability to engage the human immune system and/or directly inhibit tumors to treat specific types of cancer or other diseases. They are aimed at addressing market opportunities for which we believe current therapies are inadequate or non-existent.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focusing our efforts and resources on the continued research and development of:</w:t>
      </w:r>
    </w:p>
    <w:p>
      <w:pPr>
        <w:spacing w:after="0" w:line="239" w:lineRule="exact"/>
        <w:rPr>
          <w:sz w:val="20"/>
          <w:szCs w:val="20"/>
          <w:color w:val="auto"/>
        </w:rPr>
      </w:pPr>
    </w:p>
    <w:p>
      <w:pPr>
        <w:ind w:left="1080" w:right="280" w:hanging="532"/>
        <w:spacing w:after="0" w:line="254"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CDX-1140, an agonist monoclonal antibody targeted to CD40, a key activator of immune response, currently being studied as a single-agent and in combination with CDX-301, a dendritic cell growth factor. Dose escalation was recently completed in a Phase 1 study in solid tumors and lymphoma and the recommended dose for further study was determined to be 1.5 mg/kg for both CDX-1140 monotherapy and in combination with CDX-301. Celldex has initiated multiple expansion cohorts within the study, including a combination cohort with KEYTRUDA® (pembrolizumab). The Company is exploring additional combination cohorts with mechanisms that we believe could be complementary or synergistic with CDX-1140.</w:t>
      </w:r>
    </w:p>
    <w:p>
      <w:pPr>
        <w:spacing w:after="0" w:line="224"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CDX-3379, a monoclonal antibody designed to block the activity of ErbB3 (HER3), currently in an early Phase 2 study in advanced head and neck squamous cell cancer in combination with Erbitux®;</w:t>
      </w:r>
    </w:p>
    <w:p>
      <w:pPr>
        <w:spacing w:after="0" w:line="199" w:lineRule="exact"/>
        <w:rPr>
          <w:rFonts w:ascii="Arial" w:cs="Arial" w:eastAsia="Arial" w:hAnsi="Arial"/>
          <w:sz w:val="18"/>
          <w:szCs w:val="18"/>
          <w:color w:val="auto"/>
        </w:rPr>
      </w:pPr>
    </w:p>
    <w:p>
      <w:pPr>
        <w:jc w:val="both"/>
        <w:ind w:left="1080" w:right="260" w:hanging="532"/>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CDX-0159, a monoclonal antibody that specifically binds the KIT receptor and potently inhibits its activity, which is currently completing a Phase 1 study in healthy subjects. We plan to study CDX-0159 in mast cell driven diseases, including, initially, chronic spontaneous urticaria (CSU) and chronic inducible urticarias (CINDUs); and,</w:t>
      </w:r>
    </w:p>
    <w:p>
      <w:pPr>
        <w:spacing w:after="0" w:line="207" w:lineRule="exact"/>
        <w:rPr>
          <w:rFonts w:ascii="Arial" w:cs="Arial" w:eastAsia="Arial" w:hAnsi="Arial"/>
          <w:sz w:val="18"/>
          <w:szCs w:val="18"/>
          <w:color w:val="auto"/>
        </w:rPr>
      </w:pPr>
    </w:p>
    <w:p>
      <w:pPr>
        <w:ind w:left="1080" w:right="100" w:hanging="532"/>
        <w:spacing w:after="0" w:line="331"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CDX-527, a bispecific antibody that uses our proprietary highly active anti-PD-L1 and CD27 human antibodies to couple CD27 co-stimulation with blockade of the PD-L1/PD-1 pathway, for which we are planning a Phase 1 study in advanced solid tumors.</w:t>
      </w:r>
    </w:p>
    <w:p>
      <w:pPr>
        <w:spacing w:after="0" w:line="141"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We routinely work with external parties to collaboratively advance our drug candidates. In addition to Celldex-led studies, we also have an Investigator Initiated Research (IIR) program with multiple studies ongoing with our drug candidates.</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goal is to build a fully integrated, commercial-stage biopharmaceutical company that develops important therapies for patients with unmet medical needs. We believe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 Currently, all programs are fully owned by Celldex.</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estimate that clinical trials of the type we generally conduct are typically completed over the following timelines: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120" w:type="dxa"/>
            <w:vAlign w:val="bottom"/>
            <w:gridSpan w:val="2"/>
          </w:tcPr>
          <w:p>
            <w:pPr>
              <w:ind w:left="180"/>
              <w:spacing w:after="0"/>
              <w:rPr>
                <w:sz w:val="20"/>
                <w:szCs w:val="20"/>
                <w:color w:val="auto"/>
              </w:rPr>
            </w:pPr>
            <w:r>
              <w:rPr>
                <w:rFonts w:ascii="Arial" w:cs="Arial" w:eastAsia="Arial" w:hAnsi="Arial"/>
                <w:sz w:val="13"/>
                <w:szCs w:val="13"/>
                <w:b w:val="1"/>
                <w:bCs w:val="1"/>
                <w:color w:val="auto"/>
              </w:rPr>
              <w:t>Estimated</w:t>
            </w:r>
          </w:p>
        </w:tc>
      </w:tr>
      <w:tr>
        <w:trPr>
          <w:trHeight w:val="148"/>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120" w:type="dxa"/>
            <w:vAlign w:val="bottom"/>
            <w:gridSpan w:val="2"/>
          </w:tcPr>
          <w:p>
            <w:pPr>
              <w:ind w:left="140"/>
              <w:spacing w:after="0"/>
              <w:rPr>
                <w:sz w:val="20"/>
                <w:szCs w:val="20"/>
                <w:color w:val="auto"/>
              </w:rPr>
            </w:pPr>
            <w:r>
              <w:rPr>
                <w:rFonts w:ascii="Arial" w:cs="Arial" w:eastAsia="Arial" w:hAnsi="Arial"/>
                <w:sz w:val="13"/>
                <w:szCs w:val="13"/>
                <w:b w:val="1"/>
                <w:bCs w:val="1"/>
                <w:color w:val="auto"/>
              </w:rPr>
              <w:t>Completion</w:t>
            </w:r>
          </w:p>
        </w:tc>
      </w:tr>
      <w:tr>
        <w:trPr>
          <w:trHeight w:val="161"/>
        </w:trPr>
        <w:tc>
          <w:tcPr>
            <w:tcW w:w="6740" w:type="dxa"/>
            <w:vAlign w:val="bottom"/>
            <w:gridSpan w:val="3"/>
          </w:tcPr>
          <w:p>
            <w:pPr>
              <w:spacing w:after="0"/>
              <w:rPr>
                <w:sz w:val="20"/>
                <w:szCs w:val="20"/>
                <w:color w:val="auto"/>
              </w:rPr>
            </w:pPr>
            <w:r>
              <w:rPr>
                <w:rFonts w:ascii="Arial" w:cs="Arial" w:eastAsia="Arial" w:hAnsi="Arial"/>
                <w:sz w:val="13"/>
                <w:szCs w:val="13"/>
                <w:b w:val="1"/>
                <w:bCs w:val="1"/>
                <w:color w:val="auto"/>
              </w:rPr>
              <w:t>Clinical Phase</w:t>
            </w:r>
          </w:p>
        </w:tc>
        <w:tc>
          <w:tcPr>
            <w:tcW w:w="1120" w:type="dxa"/>
            <w:vAlign w:val="bottom"/>
            <w:gridSpan w:val="2"/>
          </w:tcPr>
          <w:p>
            <w:pPr>
              <w:ind w:left="280"/>
              <w:spacing w:after="0"/>
              <w:rPr>
                <w:sz w:val="20"/>
                <w:szCs w:val="20"/>
                <w:color w:val="auto"/>
              </w:rPr>
            </w:pPr>
            <w:r>
              <w:rPr>
                <w:rFonts w:ascii="Arial" w:cs="Arial" w:eastAsia="Arial" w:hAnsi="Arial"/>
                <w:sz w:val="13"/>
                <w:szCs w:val="13"/>
                <w:b w:val="1"/>
                <w:bCs w:val="1"/>
                <w:color w:val="auto"/>
              </w:rPr>
              <w:t>Period</w:t>
            </w:r>
          </w:p>
        </w:tc>
      </w:tr>
      <w:tr>
        <w:trPr>
          <w:trHeight w:val="209"/>
        </w:trPr>
        <w:tc>
          <w:tcPr>
            <w:tcW w:w="20" w:type="dxa"/>
            <w:vAlign w:val="bottom"/>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Phase 1</w:t>
            </w:r>
          </w:p>
        </w:tc>
        <w:tc>
          <w:tcPr>
            <w:tcW w:w="59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3"/>
              </w:rPr>
              <w:t>1 - 2 Years</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Phase 2</w:t>
            </w:r>
          </w:p>
        </w:tc>
        <w:tc>
          <w:tcPr>
            <w:tcW w:w="1120" w:type="dxa"/>
            <w:vAlign w:val="bottom"/>
            <w:gridSpan w:val="2"/>
          </w:tcPr>
          <w:p>
            <w:pPr>
              <w:ind w:left="200"/>
              <w:spacing w:after="0"/>
              <w:rPr>
                <w:sz w:val="20"/>
                <w:szCs w:val="20"/>
                <w:color w:val="auto"/>
              </w:rPr>
            </w:pPr>
            <w:r>
              <w:rPr>
                <w:rFonts w:ascii="Arial" w:cs="Arial" w:eastAsia="Arial" w:hAnsi="Arial"/>
                <w:sz w:val="18"/>
                <w:szCs w:val="18"/>
                <w:color w:val="auto"/>
              </w:rPr>
              <w:t>1 - 5 Years</w:t>
            </w: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3</w:t>
            </w:r>
          </w:p>
        </w:tc>
        <w:tc>
          <w:tcPr>
            <w:tcW w:w="1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1 - 5 Years</w:t>
            </w: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9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efficacy and safety profile of the drug candidate.</w:t>
      </w:r>
    </w:p>
    <w:p>
      <w:pPr>
        <w:spacing w:after="0" w:line="225"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test potential drug candidates in numerous preclinical studies for safety, toxicology and immunogenicity. We may then conduct multiple clinical trials for each drug candidate. As we obtain results from trials, we may elect to discontinue or delay clinical trials for certain drug candidates in order to focus our resources on more promising drug candidates.</w:t>
      </w:r>
    </w:p>
    <w:p>
      <w:pPr>
        <w:spacing w:after="0" w:line="194" w:lineRule="exact"/>
        <w:rPr>
          <w:sz w:val="20"/>
          <w:szCs w:val="20"/>
          <w:color w:val="auto"/>
        </w:rPr>
      </w:pPr>
    </w:p>
    <w:p>
      <w:pPr>
        <w:jc w:val="both"/>
        <w:ind w:right="40" w:firstLine="341"/>
        <w:spacing w:after="0" w:line="259" w:lineRule="auto"/>
        <w:rPr>
          <w:sz w:val="20"/>
          <w:szCs w:val="20"/>
          <w:color w:val="auto"/>
        </w:rPr>
      </w:pPr>
      <w:r>
        <w:rPr>
          <w:rFonts w:ascii="Arial" w:cs="Arial" w:eastAsia="Arial" w:hAnsi="Arial"/>
          <w:sz w:val="18"/>
          <w:szCs w:val="18"/>
          <w:color w:val="auto"/>
        </w:rPr>
        <w:t>An element of our business strategy is to pursue the discovery, research and development of a broad portfolio of drug candidates. This is intended to allow us to diversify the risks associated with our research and development expenditures. To the extent we are unable to maintain a broad range of drug candidates, our dependence on the success of one or a few drug candidates increases.</w:t>
      </w:r>
    </w:p>
    <w:p>
      <w:pPr>
        <w:spacing w:after="0" w:line="194"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color w:val="auto"/>
        </w:rPr>
        <w:t>Regulatory approval is required before we can market our drug candidates as therapeutic products. In order to proceed to subsequent clinical trial stages and to ultimately achieve regulatory approval, the regulatory agency must conclude that our clinical data demonstrate that our product candidates are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spacing w:after="0" w:line="201"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Furthermore, our business strategy includes the option of entering into collaborative arrangements with third parties to complete the development and commercialization of our drug candidates. In the event that third parties take over the clinical trial process for one of our drug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98" w:lineRule="exact"/>
        <w:rPr>
          <w:sz w:val="20"/>
          <w:szCs w:val="20"/>
          <w:color w:val="auto"/>
        </w:rPr>
      </w:pPr>
    </w:p>
    <w:p>
      <w:pPr>
        <w:ind w:right="100" w:firstLine="341"/>
        <w:spacing w:after="0" w:line="294" w:lineRule="auto"/>
        <w:rPr>
          <w:sz w:val="20"/>
          <w:szCs w:val="20"/>
          <w:color w:val="auto"/>
        </w:rPr>
      </w:pPr>
      <w:r>
        <w:rPr>
          <w:rFonts w:ascii="Arial" w:cs="Arial" w:eastAsia="Arial" w:hAnsi="Arial"/>
          <w:sz w:val="16"/>
          <w:szCs w:val="16"/>
          <w:color w:val="auto"/>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raise additional capital, or to do so on terms reasonably acceptable to us, would jeopardize the future success of our business.</w:t>
      </w:r>
    </w:p>
    <w:p>
      <w:pPr>
        <w:spacing w:after="0" w:line="225" w:lineRule="exact"/>
        <w:rPr>
          <w:sz w:val="20"/>
          <w:szCs w:val="20"/>
          <w:color w:val="auto"/>
        </w:rPr>
      </w:pPr>
    </w:p>
    <w:p>
      <w:pPr>
        <w:jc w:val="both"/>
        <w:ind w:right="60" w:firstLine="351"/>
        <w:spacing w:after="0" w:line="298" w:lineRule="auto"/>
        <w:rPr>
          <w:sz w:val="20"/>
          <w:szCs w:val="20"/>
          <w:color w:val="auto"/>
        </w:rPr>
      </w:pPr>
      <w:r>
        <w:rPr>
          <w:rFonts w:ascii="Arial" w:cs="Arial" w:eastAsia="Arial" w:hAnsi="Arial"/>
          <w:sz w:val="16"/>
          <w:szCs w:val="16"/>
          <w:color w:val="auto"/>
        </w:rPr>
        <w:t>During the past five years through December 31, 2019, we incurred an aggregate of $408.2 million in research and development expenses. The following table indicates the amount incurred for each of our significant research programs and for other identified research and development activities during the years ended December 31, 2019, 2018 and 2017. The amounts disclosed in the following table reflect direct research and development costs, license fees associated with the underlying technology and an allocation of indirect research and development costs to each program.</w:t>
      </w:r>
    </w:p>
    <w:p>
      <w:pPr>
        <w:spacing w:after="0" w:line="161"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ind w:right="217"/>
              <w:spacing w:after="0"/>
              <w:rPr>
                <w:sz w:val="20"/>
                <w:szCs w:val="20"/>
                <w:color w:val="auto"/>
              </w:rPr>
            </w:pPr>
            <w:r>
              <w:rPr>
                <w:rFonts w:ascii="Arial" w:cs="Arial" w:eastAsia="Arial" w:hAnsi="Arial"/>
                <w:sz w:val="13"/>
                <w:szCs w:val="13"/>
                <w:b w:val="1"/>
                <w:bCs w:val="1"/>
                <w:color w:val="auto"/>
              </w:rPr>
              <w:t>Year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center"/>
              <w:ind w:right="18"/>
              <w:spacing w:after="0"/>
              <w:rPr>
                <w:sz w:val="20"/>
                <w:szCs w:val="20"/>
                <w:color w:val="auto"/>
              </w:rPr>
            </w:pPr>
            <w:r>
              <w:rPr>
                <w:rFonts w:ascii="Arial" w:cs="Arial" w:eastAsia="Arial" w:hAnsi="Arial"/>
                <w:sz w:val="13"/>
                <w:szCs w:val="13"/>
                <w:b w:val="1"/>
                <w:bCs w:val="1"/>
                <w:color w:val="auto"/>
                <w:w w:val="95"/>
              </w:rPr>
              <w:t>Year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Year Ended</w:t>
            </w:r>
          </w:p>
        </w:tc>
      </w:tr>
      <w:tr>
        <w:trPr>
          <w:trHeight w:val="161"/>
        </w:trPr>
        <w:tc>
          <w:tcPr>
            <w:tcW w:w="2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17"/>
              <w:spacing w:after="0"/>
              <w:rPr>
                <w:sz w:val="20"/>
                <w:szCs w:val="20"/>
                <w:color w:val="auto"/>
              </w:rPr>
            </w:pPr>
            <w:r>
              <w:rPr>
                <w:rFonts w:ascii="Arial" w:cs="Arial" w:eastAsia="Arial" w:hAnsi="Arial"/>
                <w:sz w:val="13"/>
                <w:szCs w:val="13"/>
                <w:b w:val="1"/>
                <w:bCs w:val="1"/>
                <w:color w:val="auto"/>
                <w:w w:val="90"/>
              </w:rPr>
              <w:t>December 31, 2019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ind w:right="18"/>
              <w:spacing w:after="0"/>
              <w:rPr>
                <w:sz w:val="20"/>
                <w:szCs w:val="20"/>
                <w:color w:val="auto"/>
              </w:rPr>
            </w:pPr>
            <w:r>
              <w:rPr>
                <w:rFonts w:ascii="Arial" w:cs="Arial" w:eastAsia="Arial" w:hAnsi="Arial"/>
                <w:sz w:val="13"/>
                <w:szCs w:val="13"/>
                <w:b w:val="1"/>
                <w:bCs w:val="1"/>
                <w:color w:val="auto"/>
                <w:w w:val="92"/>
              </w:rPr>
              <w:t>December 31, 2018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December 31, 2017</w:t>
            </w:r>
          </w:p>
        </w:tc>
      </w:tr>
      <w:tr>
        <w:trPr>
          <w:trHeight w:val="142"/>
        </w:trPr>
        <w:tc>
          <w:tcPr>
            <w:tcW w:w="2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18"/>
              <w:spacing w:after="0" w:line="142" w:lineRule="exact"/>
              <w:rPr>
                <w:sz w:val="20"/>
                <w:szCs w:val="20"/>
                <w:color w:val="auto"/>
              </w:rPr>
            </w:pPr>
            <w:r>
              <w:rPr>
                <w:rFonts w:ascii="Arial" w:cs="Arial" w:eastAsia="Arial" w:hAnsi="Arial"/>
                <w:sz w:val="13"/>
                <w:szCs w:val="13"/>
                <w:b w:val="1"/>
                <w:bCs w:val="1"/>
                <w:color w:val="auto"/>
                <w:w w:val="93"/>
              </w:rPr>
              <w:t>(In thousands)</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CDX-1140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6,909</w:t>
            </w:r>
          </w:p>
        </w:tc>
        <w:tc>
          <w:tcPr>
            <w:tcW w:w="160" w:type="dxa"/>
            <w:vAlign w:val="bottom"/>
            <w:shd w:val="clear" w:color="auto" w:fill="CCEEFF"/>
          </w:tcPr>
          <w:p>
            <w:pPr>
              <w:spacing w:after="0"/>
              <w:rPr>
                <w:sz w:val="18"/>
                <w:szCs w:val="18"/>
                <w:color w:val="auto"/>
              </w:rPr>
            </w:pPr>
          </w:p>
        </w:tc>
      </w:tr>
      <w:tr>
        <w:trPr>
          <w:trHeight w:val="216"/>
        </w:trPr>
        <w:tc>
          <w:tcPr>
            <w:tcW w:w="2920" w:type="dxa"/>
            <w:vAlign w:val="bottom"/>
          </w:tcPr>
          <w:p>
            <w:pPr>
              <w:ind w:left="180"/>
              <w:spacing w:after="0"/>
              <w:rPr>
                <w:sz w:val="20"/>
                <w:szCs w:val="20"/>
                <w:color w:val="auto"/>
              </w:rPr>
            </w:pPr>
            <w:r>
              <w:rPr>
                <w:rFonts w:ascii="Arial" w:cs="Arial" w:eastAsia="Arial" w:hAnsi="Arial"/>
                <w:sz w:val="18"/>
                <w:szCs w:val="18"/>
                <w:color w:val="auto"/>
              </w:rPr>
              <w:t>CDX-3379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4,167</w:t>
            </w:r>
          </w:p>
        </w:tc>
        <w:tc>
          <w:tcPr>
            <w:tcW w:w="160" w:type="dxa"/>
            <w:vAlign w:val="bottom"/>
          </w:tcPr>
          <w:p>
            <w:pPr>
              <w:spacing w:after="0"/>
              <w:rPr>
                <w:sz w:val="18"/>
                <w:szCs w:val="18"/>
                <w:color w:val="auto"/>
              </w:rPr>
            </w:pPr>
          </w:p>
        </w:tc>
      </w:tr>
      <w:tr>
        <w:trPr>
          <w:trHeight w:val="216"/>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CDX-0159/Anti-KIT Program</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4,156</w:t>
            </w:r>
          </w:p>
        </w:tc>
        <w:tc>
          <w:tcPr>
            <w:tcW w:w="160" w:type="dxa"/>
            <w:vAlign w:val="bottom"/>
            <w:shd w:val="clear" w:color="auto" w:fill="CCEEFF"/>
          </w:tcPr>
          <w:p>
            <w:pPr>
              <w:spacing w:after="0"/>
              <w:rPr>
                <w:sz w:val="18"/>
                <w:szCs w:val="18"/>
                <w:color w:val="auto"/>
              </w:rPr>
            </w:pPr>
          </w:p>
        </w:tc>
      </w:tr>
      <w:tr>
        <w:trPr>
          <w:trHeight w:val="216"/>
        </w:trPr>
        <w:tc>
          <w:tcPr>
            <w:tcW w:w="2920" w:type="dxa"/>
            <w:vAlign w:val="bottom"/>
          </w:tcPr>
          <w:p>
            <w:pPr>
              <w:ind w:left="180"/>
              <w:spacing w:after="0"/>
              <w:rPr>
                <w:sz w:val="20"/>
                <w:szCs w:val="20"/>
                <w:color w:val="auto"/>
              </w:rPr>
            </w:pPr>
            <w:r>
              <w:rPr>
                <w:rFonts w:ascii="Arial" w:cs="Arial" w:eastAsia="Arial" w:hAnsi="Arial"/>
                <w:sz w:val="18"/>
                <w:szCs w:val="18"/>
                <w:color w:val="auto"/>
              </w:rPr>
              <w:t>CDX-527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TAM</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5,512</w:t>
            </w:r>
          </w:p>
        </w:tc>
        <w:tc>
          <w:tcPr>
            <w:tcW w:w="160" w:type="dxa"/>
            <w:vAlign w:val="bottom"/>
            <w:shd w:val="clear" w:color="auto" w:fill="CCEEFF"/>
          </w:tcPr>
          <w:p>
            <w:pPr>
              <w:spacing w:after="0"/>
              <w:rPr>
                <w:sz w:val="18"/>
                <w:szCs w:val="18"/>
                <w:color w:val="auto"/>
              </w:rPr>
            </w:pPr>
          </w:p>
        </w:tc>
      </w:tr>
      <w:tr>
        <w:trPr>
          <w:trHeight w:val="216"/>
        </w:trPr>
        <w:tc>
          <w:tcPr>
            <w:tcW w:w="2920" w:type="dxa"/>
            <w:vAlign w:val="bottom"/>
          </w:tcPr>
          <w:p>
            <w:pPr>
              <w:ind w:left="180"/>
              <w:spacing w:after="0"/>
              <w:rPr>
                <w:sz w:val="20"/>
                <w:szCs w:val="20"/>
                <w:color w:val="auto"/>
              </w:rPr>
            </w:pPr>
            <w:r>
              <w:rPr>
                <w:rFonts w:ascii="Arial" w:cs="Arial" w:eastAsia="Arial" w:hAnsi="Arial"/>
                <w:sz w:val="18"/>
                <w:szCs w:val="18"/>
                <w:color w:val="auto"/>
              </w:rPr>
              <w:t>Other Programs</w:t>
            </w: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13,083</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42,816</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75,427</w:t>
            </w:r>
          </w:p>
        </w:tc>
        <w:tc>
          <w:tcPr>
            <w:tcW w:w="160" w:type="dxa"/>
            <w:vAlign w:val="bottom"/>
          </w:tcPr>
          <w:p>
            <w:pPr>
              <w:spacing w:after="0"/>
              <w:rPr>
                <w:sz w:val="18"/>
                <w:szCs w:val="18"/>
                <w:color w:val="auto"/>
              </w:rPr>
            </w:pPr>
          </w:p>
        </w:tc>
      </w:tr>
      <w:tr>
        <w:trPr>
          <w:trHeight w:val="210"/>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Total R&amp;D Expense</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66,449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96,171</w:t>
            </w:r>
          </w:p>
        </w:tc>
        <w:tc>
          <w:tcPr>
            <w:tcW w:w="160" w:type="dxa"/>
            <w:vAlign w:val="bottom"/>
            <w:shd w:val="clear" w:color="auto" w:fill="CCEEFF"/>
          </w:tcPr>
          <w:p>
            <w:pPr>
              <w:spacing w:after="0"/>
              <w:rPr>
                <w:sz w:val="18"/>
                <w:szCs w:val="18"/>
                <w:color w:val="auto"/>
              </w:rPr>
            </w:pPr>
          </w:p>
        </w:tc>
      </w:tr>
      <w:tr>
        <w:trPr>
          <w:trHeight w:val="20"/>
        </w:trPr>
        <w:tc>
          <w:tcPr>
            <w:tcW w:w="2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CDX-1140</w:t>
      </w:r>
    </w:p>
    <w:p>
      <w:pPr>
        <w:spacing w:after="0" w:line="225"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CDX-1140 is a fully human agonist monoclonal antibody targeted to CD40, a key activator of immune response, which is found on dendritic cells, macrophages and B cells and is also expressed on many cancer cells. Potent CD40 agonist antibodies have shown encouraging results in early clinical studies; however, systemic toxicity associated with broad CD40 activation has limited their dosing. CDX-1140 has unique properties relative to other CD40 agonist antibodies: potent agonist activity is independent of Fc receptor interaction, contributing to more consistent, controlled immune activation; CD40L binding is not blocked, leading to potential synergistic effects of agonist activity near activated T cells in lymph nodes and tumors; and the antibody does not promote cytokine production in whole blood assays. CDX-1140 has shown direct anti-tumor activity in preclinical models of lymphoma. Preclinical studies of CDX-1140 clearly demonstrate strong immune activation effects and low systemic toxicity and support the design of the Phase 1 study to identify the dose for characterizing single-agent and combination activity.</w:t>
      </w:r>
    </w:p>
    <w:p>
      <w:pPr>
        <w:spacing w:after="0" w:line="178"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initiated a Phase 1 study of CDX-1140 in November 2017. This study is expected to enroll up to approximately 220 patients with recurrent, locally advanced or metastatic solid tumors and B cell lymphomas. The study is designed to determine the maximum tolerated dose, or MTD, during a dose-escalation phase (0.01 to 3.0 mg/kg once every four weeks until confirmed progression or intolerance) and to recommend a dose level for further study in a subsequent expansion phase. The expansion is designed to further evaluate the tolerability and biologic effects of selected dose(s) of CDX-1140 in specific tumor types. Secondary objectives include assessments of safety and tolerability, pharmacodynamics, pharmacokinetics, immunogenicity and additional measures of anti-tumor activity, including clinical benefit rate. We believe that the potential for CDX-1140 will be best defined in combination studies with other immunotherapies or conventional cancer treatments.</w:t>
      </w:r>
    </w:p>
    <w:p>
      <w:pPr>
        <w:spacing w:after="0" w:line="172"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In support of this, the Phase 1 study protocol also allows for the exploration of CDX-1140 in combination with CDX-301 at a fixed dose of CDX-301 and escalating doses of CDX-1140. Dendritic cells, which express CD40, are often rare or missing from the tumor microenvironment and are critical for initiating anti-tumor immunity. CDX-301, a recombinant FMS-like tyrosine kinase 3 ligand, or</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color w:val="auto"/>
        </w:rPr>
        <w:t>Flt3L, is a hematopoietic cytokine that uniquely expands dendritic cells and hematopoietic stem cells, and in combination with other agents may potentiate anti-tumor responses. CDX-301 is being utilized as a priming agent in this study to increase the number of dendritic cells in blood and tissue available for CDX-1140 activation. CDX-1140 should, in turn, activate and mature the dendritic cells, an important step for enhancing anti-tumor immune responses.</w:t>
      </w:r>
    </w:p>
    <w:p>
      <w:pPr>
        <w:spacing w:after="0" w:line="16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Interim data from this ongoing study were presented at the Society for Immunotherapy of Cancer's (SITC) 34th Annual Meeting in November 2019. CDX-1140 monotherapy dose escalation in the study is complete and the maximum tolerated dose and recommended Phase 2 dose was defined as 1.5 mg/kg every four weeks. CDX-1140 monotherapy and combination with CDX-301 was generally well tolerated, with mostly grade 1 or grade 2 drug related adverse events reported. Two patients out of six experienced pneumonitis as dose limiting toxicities (DLTs) in the CDX-1140 3.0 mg/kg monotherapy cohort. There were no dose DLTs observed in the CDX-301 combination cohorts up to 0.72 mg/kg CDX-1140. A cohort of CDX-1140 at 1.5 mg/kg plus CDX-301, which was ongoing at the time of data release, has subsequently completed dose escalation with no DLTs observed; therefore, the recommended dose of CDX-1140 in combination with CDX-301 is 1.5mg/kg.</w:t>
      </w:r>
    </w:p>
    <w:p>
      <w:pPr>
        <w:spacing w:after="0" w:line="172" w:lineRule="exact"/>
        <w:rPr>
          <w:sz w:val="20"/>
          <w:szCs w:val="20"/>
          <w:color w:val="auto"/>
        </w:rPr>
      </w:pPr>
    </w:p>
    <w:p>
      <w:pPr>
        <w:jc w:val="both"/>
        <w:ind w:right="160" w:firstLine="341"/>
        <w:spacing w:after="0" w:line="306" w:lineRule="auto"/>
        <w:rPr>
          <w:sz w:val="20"/>
          <w:szCs w:val="20"/>
          <w:color w:val="auto"/>
        </w:rPr>
      </w:pPr>
      <w:r>
        <w:rPr>
          <w:rFonts w:ascii="Arial" w:cs="Arial" w:eastAsia="Arial" w:hAnsi="Arial"/>
          <w:sz w:val="16"/>
          <w:szCs w:val="16"/>
          <w:color w:val="auto"/>
        </w:rPr>
        <w:t>As of the cut-off date for data reporting for SITC, 62 patients with advanced refractory solid tumors or lymphoma were enrolled and 38 patients had pre-and post-treatment scans available. Patients were heavily pretreated (median of 4 prior therapies) and per protocol were required to have received all standard of care treatments prior to study entry. CDX-1140 demonstrated clinical and biological activity in the study.</w:t>
      </w:r>
    </w:p>
    <w:p>
      <w:pPr>
        <w:spacing w:after="0" w:line="174" w:lineRule="exact"/>
        <w:rPr>
          <w:sz w:val="20"/>
          <w:szCs w:val="20"/>
          <w:color w:val="auto"/>
        </w:rPr>
      </w:pPr>
    </w:p>
    <w:p>
      <w:pPr>
        <w:ind w:left="1080" w:right="40" w:hanging="532"/>
        <w:spacing w:after="0" w:line="298"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Two of five patients with head and neck squamous cell carcinoma (HNSCC) treated with CDX-1140 doses of 0.72 mg/kg or higher experienced clinical activity. The first patient experienced dramatic shrinkage of a large, protruding neck mass on physical exam after two doses of CDX-1140 at 1.5 mg/kg with documented evidence of tumor necrosis/cavitation on CT scan. This patient also reported decreased tumor pain. A second patient experienced cavitation of greater than 50% of lung metastases on CT scan after one dose of CDX-1140 3 mg/kg.</w:t>
      </w:r>
    </w:p>
    <w:p>
      <w:pPr>
        <w:spacing w:after="0" w:line="193"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patient with gastroesophageal carcinoma experienced a RECIST response after two cycles of CDX-1140 0.36 mg/kg plus CDX-301 that included 41% shrinkage of liver and lymph node target lesions, with near complete resolution of the liver lesion. This response was durable for four months.</w:t>
      </w:r>
    </w:p>
    <w:p>
      <w:pPr>
        <w:spacing w:after="0" w:line="207"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Six patients experienced stable disease (n=4 CDX-1140 monotherapy; n=2 CDX-1140/CDX-301 combination) with a duration of 1.8 months to 5.4 months.</w:t>
      </w:r>
    </w:p>
    <w:p>
      <w:pPr>
        <w:spacing w:after="0" w:line="199"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One patient experienced immune unconfirmed progressive disease on their first scan and continued on treatment for 10+ months without confirmation of progressive disease at CDX-1140 0.09 mg/kg plus CDX-301.</w:t>
      </w:r>
    </w:p>
    <w:p>
      <w:pPr>
        <w:spacing w:after="0" w:line="186"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color w:val="auto"/>
        </w:rPr>
        <w:t>Potent pharmacological effects associated with immune activation were also observed, including transient induction of inflammatory cytokines and chemokines associated with dendritic cell and T cell activation at higher dose levels. Similar activation was observed with each cycle of therapy. Peripheral blood immune cells had upregulated immune activation markers and CDX-301 markedly increased the number of dendritic cells and was associated with higher IL-12p40 induction, a key molecule for inducing anti-tumor T cell responses.</w:t>
      </w:r>
    </w:p>
    <w:p>
      <w:pPr>
        <w:spacing w:after="0" w:line="197"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CDX-1140 monotherapy expansion cohorts in HNSCC, renal cell carcinoma and gastroesophageal adenocarcinoma have been added to the study, along with a combination cohort of CDX-1140 and CDX-301 in HNSCC. In addition, we have amended the ongoing Phase 1 study to evaluate CDX-1140 in combination with KEYTRUDA® (pembrolizumab), Merck's anti-PD-1 therapy, under a clinical trial collaboration agreement with Merck (known as MSD outside of the U.S. and Canada). The cohort is designed to characterize the safety, pharmacodynamics and activity of CDX-1140 in combination with</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pembrolizumab in patients refractory to PD1/PDL1 treatment. Enrollment is ongoing. The Company is exploring additional combination cohorts with mechanisms that we believe could be complementary or synergistic with CDX-1140.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CDX-3379</w:t>
      </w:r>
    </w:p>
    <w:p>
      <w:pPr>
        <w:spacing w:after="0" w:line="225" w:lineRule="exact"/>
        <w:rPr>
          <w:sz w:val="20"/>
          <w:szCs w:val="20"/>
          <w:color w:val="auto"/>
        </w:rPr>
      </w:pPr>
    </w:p>
    <w:p>
      <w:pPr>
        <w:ind w:right="140" w:firstLine="351"/>
        <w:spacing w:after="0" w:line="288" w:lineRule="auto"/>
        <w:rPr>
          <w:sz w:val="20"/>
          <w:szCs w:val="20"/>
          <w:color w:val="auto"/>
        </w:rPr>
      </w:pPr>
      <w:r>
        <w:rPr>
          <w:rFonts w:ascii="Arial" w:cs="Arial" w:eastAsia="Arial" w:hAnsi="Arial"/>
          <w:sz w:val="16"/>
          <w:szCs w:val="16"/>
          <w:color w:val="auto"/>
        </w:rPr>
        <w:t>CDX-3379 is a human monoclonal antibody with half-life extension designed to block the activity of ErbB3 (HER3). We believe ErbB3 may be an important receptor regulating cancer cell growth and survival as well as resistance to targeted therapies. ErbB3 is expressed in many cancers, including head and neck, thyroid, breast, lung and gastric cancers, as well as melanoma. We believe the proposed mechanism of action for CDX-3379 sets it apart from other drugs in development in this class due to its ability to block both ligand-independent and ligand-dependent ErbB3 signaling by binding to a unique epitope. It has a favorable pharmacologic profile, including a longer half-life and slower clearance relative to other drug candidates in this class. We believe CDX-3379 also has potential to enhance anti-tumor activity and/or overcome resistance in combination with other targeted and cytotoxic therapies to directly kill tumor cells. Tumor cell death and the ensuing release of new tumor antigens has the potential to serve as a focus for combination therapy with immuno-oncology approaches, even in refractory patients. CDX-3379 has been evaluated in three Phase 1 studies for the treatment of multiple solid tumors that express ErbB3 and is currently being evaluated in a Phase 2 study.</w:t>
      </w:r>
    </w:p>
    <w:p>
      <w:pPr>
        <w:spacing w:after="0" w:line="173"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Enrollment opened in November 2017 to an open-label Phase 2 study in combination with Erbitux in patients with human papillomavirus (HPV) negative, Erbitux-resistant, advanced HNSCC who have previously been treated with an anti-PD1 checkpoint inhibitor, a population with limited options and a particularly poor prognosis. The study was initially designed as a Simon two-stage design with an interim futility analysis following enrollment of the first 13 patients. According to the study design, if at least one patient achieved an objective response in the first stage, enrollment could progress to the second stage. The primary endpoint of the study is objective response rate (ORR). Secondary endpoints include assessments of clinical benefit response (CBR), duration of response (DOR), progression-free survival (PFS), overall survival (OS), and safety and pharmacokinetics associated with the combination. Enrollment to the first stage of the Phase 2 study (n=15) is complete and interim data from the study were presented at the 2019 ASCO Annual Meeting in June that support the continued development of CDX-3379.</w:t>
      </w:r>
    </w:p>
    <w:p>
      <w:pPr>
        <w:spacing w:after="0" w:line="178"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Patients had a median of 3 (range of 2-6) prior cancer therapy treatments. All patients had received prior checkpoint inhibitor treatment and 14 of 15 patients were cetuximab refractory. Notable clinical activity was observed in this refractory patient population. A durable confirmed complete response (11+ months) was observed. An unconfirmed partial response (uPR) in a patient that had not received cetuximab was also observed. 7 patients experienced stable disease (47%; includes uPR). A clinical benefit rate of 29% was achieved (objective response or stable disease greater than or equal to 12 weeks). CDX-3379 in combination with cetuximab was generally associated with the expected target-mediated adverse events of diarrhea and rash.</w:t>
      </w:r>
    </w:p>
    <w:p>
      <w:pPr>
        <w:spacing w:after="0" w:line="169"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color w:val="auto"/>
        </w:rPr>
        <w:t>Emerging data from the Phase 2 study and earlier studies of CDX-3379 suggest that antitumor activity may be associated with somatic mutations in certain genes. Based on these observations, next-generation sequencing was performed on tumor samples from 18 patients with HNSCC treated with CDX-3379 across three clinical studies of CDX-3379 that have enrolled patients with HNSCC. This data set included four patients with clinical responses, eight patients with stable disease and/or tumor shrinkage, and six patients with progressive disease. Key findings are outlined below.</w:t>
      </w:r>
    </w:p>
    <w:p>
      <w:pPr>
        <w:spacing w:after="0" w:line="180"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four clinical responses occurred in patients with mutations in the FAT1 gene.</w:t>
      </w:r>
    </w:p>
    <w:p>
      <w:pPr>
        <w:spacing w:after="0" w:line="252" w:lineRule="exact"/>
        <w:rPr>
          <w:rFonts w:ascii="Arial" w:cs="Arial" w:eastAsia="Arial" w:hAnsi="Arial"/>
          <w:sz w:val="18"/>
          <w:szCs w:val="18"/>
          <w:color w:val="auto"/>
        </w:rPr>
      </w:pPr>
    </w:p>
    <w:p>
      <w:pPr>
        <w:ind w:left="5540" w:right="4020" w:hanging="4992"/>
        <w:spacing w:after="0" w:line="518" w:lineRule="auto"/>
        <w:tabs>
          <w:tab w:leader="none" w:pos="1092"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four clinical responses occurred in patients with a primary tumor site of oral cavity.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613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Three of the four clinical responses occurred in patients who also had mutations in NOTCH1, NOTCH2 or NOTCH3 genes.</w:t>
      </w:r>
    </w:p>
    <w:p>
      <w:pPr>
        <w:spacing w:after="0" w:line="25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Also, of note, all patients (n=7 of 18) who experienced clinical benefit (objective response or stable disease greater than or equal to 12 weeks) had FAT1 and/or NOTCH1-3 mutations.</w:t>
      </w:r>
    </w:p>
    <w:p>
      <w:pPr>
        <w:spacing w:after="0" w:line="199" w:lineRule="exact"/>
        <w:rPr>
          <w:rFonts w:ascii="Arial" w:cs="Arial" w:eastAsia="Arial" w:hAnsi="Arial"/>
          <w:sz w:val="18"/>
          <w:szCs w:val="18"/>
          <w:color w:val="auto"/>
        </w:rPr>
      </w:pPr>
    </w:p>
    <w:p>
      <w:pPr>
        <w:ind w:left="1080" w:right="160" w:hanging="532"/>
        <w:spacing w:after="0" w:line="306"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FAT1 and NOTCH genes are associated with tumor suppression. Inactivating mutations in the FAT1 and NOTCH genes occur in sizeable subsets of HPV negative HNSCC tumors, having been identified in 32% (FAT1) and 26% (NOTCH) of these tumors, respectively. Preclinical studies investigating the association of CDX-3379 sensitivity and inactivating mutations of FAT1 and other genes are ongoing.</w:t>
      </w:r>
    </w:p>
    <w:p>
      <w:pPr>
        <w:spacing w:after="0" w:line="160"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Based on these biomarker observations and the notable clinical activity observed in this refractory patient population, the study has been expanded (n= ~45 patients, including at least 15 patients with FAT1 mutations) to allow for an evaluation of the utility of biomarkers for future patient selection. Enrollment is ongoing.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CDX-0159</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CDX-0159 is a humanized monoclonal antibody that specifically binds the receptor tyrosine kinase KIT and potently inhibits its activity. KIT is expressed in a variety of cells, including mast cells, and its activation by its ligand SCF regulates mast cell growth, differentiation, survival, chemotaxis and degranulation. In certain inflammatory diseases, such as chronic spontaneous urticaria (CSU), also known as chronic idiopathic urticaria (CIU) and chronic inducible urticarias (CINDUs), mast cell degranulation plays a central role in the onset and progression of the disease.</w:t>
      </w:r>
    </w:p>
    <w:p>
      <w:pPr>
        <w:spacing w:after="0" w:line="166" w:lineRule="exact"/>
        <w:rPr>
          <w:sz w:val="20"/>
          <w:szCs w:val="20"/>
          <w:color w:val="auto"/>
        </w:rPr>
      </w:pPr>
    </w:p>
    <w:p>
      <w:pPr>
        <w:ind w:right="80" w:firstLine="351"/>
        <w:spacing w:after="0" w:line="331" w:lineRule="auto"/>
        <w:rPr>
          <w:sz w:val="20"/>
          <w:szCs w:val="20"/>
          <w:color w:val="auto"/>
        </w:rPr>
      </w:pPr>
      <w:r>
        <w:rPr>
          <w:rFonts w:ascii="Arial" w:cs="Arial" w:eastAsia="Arial" w:hAnsi="Arial"/>
          <w:sz w:val="16"/>
          <w:szCs w:val="16"/>
          <w:color w:val="auto"/>
        </w:rPr>
        <w:t>CDX-0159 is designed to block KIT activation by disrupting both SCF binding and KIT dimerization. Celldex believes that by targeting KIT, CDX-0159 may be able to inhibit mast cell activity and decrease mast cell numbers to provide potential clinical benefit in mast cell related diseases.</w:t>
      </w:r>
    </w:p>
    <w:p>
      <w:pPr>
        <w:spacing w:after="0" w:line="141"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initiated a Phase 1a study of CDX-0159 in November 2019. The study is designed to evaluate the safety profile, pharmacokinetics and pharmacodynamics of single ascending doses of CDX-0159 in healthy subjects. Following completion of this study, we plan to iniate studies of CDX-0159 in CSU and CINDU, both mast cell-related diseases, by year-end 2020. CSU presents as itchy hives, angioedema or both for at least six weeks without a specific trigger; multiple episodes can play out over years or even decades. About 50% of patients with CSU achieve symptomatic control with antihistamines or leukotriene receptor antagonists. Omalizumab, an IgE inhibitor, provides relief for roughly half of the remaining antihistamine/leukotriene refractory patients. Consequently, there is a need for more effective later line therapies. CINDUs are forms of urticaria that have an attributable cause or trigger associated with them, typically resulting in hives or wheals. We are exploring cold-induced and dermographism-induced (scratching the skin) urticarias.</w:t>
      </w:r>
    </w:p>
    <w:p>
      <w:pPr>
        <w:spacing w:after="0" w:line="172"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 review of the CDX-0159 early development program was presented at American College of Allergy, Asthma &amp; Immunology Annual Scientific Meeting in November 2019.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CDX-527</w:t>
      </w:r>
    </w:p>
    <w:p>
      <w:pPr>
        <w:spacing w:after="0" w:line="225"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CDX-527 is the first candidate from Celldex's bispecific antibody platform. Bispecifics provide opportunities to engage two independent pathways involved in controlling immune responses to tumors. CDX-527 uses Celldex's proprietary highly active anti-PD-L1 and CD27 human antibodies to couple CD27 co-stimulation with blockade of the PD-L1/PD-1 pathway to help prime and activate anti-tumor T cell responses through CD27 costimulation, while preventing PD-1 inhibitory signals that subvert the immune response.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Celldex's prior clinical experience with combining CD27 activation and PD-1 blockade provide the rationale for linking these two pathways into one molecule. Preclinical data presented at the SITC 34th Annual Meeting in November 2019 demonstrated that CDX-527 is more potent at T cell activation and anti-tumor immunity than the combination of parental monoclonal antibodies.</w:t>
      </w:r>
    </w:p>
    <w:p>
      <w:pPr>
        <w:spacing w:after="0" w:line="19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Celldex plans to initiate a Phase 1 dose-escalation study in up to 90 patients with advanced or metastatic solid tumors that have progressed during or after standard of care therapy in the second half of 2020, followed by tumor-specific expansion cohorts to further evaluate the tolerability, biologic and anti-tumor effects of selected dose level(s) of CDX-527 in specific tumor types.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Our significant accounting policies are described in Note 2 to the financial statements included in Item 8 of this Form 10-K. We believe our most critical accounting policies include accounting for contingent consideration, revenue recognition, intangible and long-lived assets, research and development expenses and stock-based compensation expense.</w:t>
      </w:r>
    </w:p>
    <w:p>
      <w:pPr>
        <w:spacing w:after="0" w:line="19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methods, estimates and judgments we use in applying our most critical accounting policies have a significant impact on the results we report in our financial statements. We evaluate our estimates and judgments on an ongoing basis. We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materially change our reported results. We believe the following accounting policies are the most critical to us in that they are important to the portrayal of our financial statements and they require our most difficult, subjective or complex judgments in the preparation of our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We record contingent consideration resulting from a business combination at its fair value on the acquisition date. We determine the fair value of the contingent consideration based primarily on the following factors:</w:t>
      </w:r>
    </w:p>
    <w:p>
      <w:pPr>
        <w:spacing w:after="0" w:line="19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timing and probability of success of clinical events or regulatory approvals;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timing and probability of success of meeting clinical and commercial milestones;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discount rates.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contingent consideration liabilities arose in connection with our acquisition of Kolltan. On a quarterly basis, we revalue these obligations and record increases or decreases in their fair value as an adjustment to operating earnings. Changes to contingent consideration obligations can result from adjustments to discount rates, accretion of the discount rates due to the passage of time, changes in our estimates of the likelihood or timing of achieving development or commercial milestones, changes in the probability of certain clinical events or changes in the assumed probability associated with regulatory approval.</w:t>
      </w:r>
    </w:p>
    <w:p>
      <w:pPr>
        <w:spacing w:after="0" w:line="166" w:lineRule="exact"/>
        <w:rPr>
          <w:sz w:val="20"/>
          <w:szCs w:val="20"/>
          <w:color w:val="auto"/>
        </w:rPr>
      </w:pPr>
    </w:p>
    <w:p>
      <w:pPr>
        <w:ind w:firstLine="348"/>
        <w:spacing w:after="0" w:line="331" w:lineRule="auto"/>
        <w:rPr>
          <w:sz w:val="20"/>
          <w:szCs w:val="20"/>
          <w:color w:val="auto"/>
        </w:rPr>
      </w:pPr>
      <w:r>
        <w:rPr>
          <w:rFonts w:ascii="Arial" w:cs="Arial" w:eastAsia="Arial" w:hAnsi="Arial"/>
          <w:sz w:val="16"/>
          <w:szCs w:val="16"/>
          <w:color w:val="auto"/>
        </w:rPr>
        <w:t>The assumptions related to determining the value of contingent consideration include a significant amount of judgment, and any changes in the underlying estimates could have a material impact on the amount of contingent consideration expense recorded in any given period.</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Revenues are recognized when performance obligations under agreements or contracts are satisfied, in an amount that reflects the consideration the Company expects to be entitled to in exchange for those services.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239"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25" w:lineRule="exact"/>
        <w:rPr>
          <w:sz w:val="20"/>
          <w:szCs w:val="20"/>
          <w:color w:val="auto"/>
        </w:rPr>
      </w:pPr>
    </w:p>
    <w:p>
      <w:pPr>
        <w:jc w:val="both"/>
        <w:ind w:right="380" w:firstLine="351"/>
        <w:spacing w:after="0" w:line="294" w:lineRule="auto"/>
        <w:rPr>
          <w:sz w:val="20"/>
          <w:szCs w:val="20"/>
          <w:color w:val="auto"/>
        </w:rPr>
      </w:pPr>
      <w:r>
        <w:rPr>
          <w:rFonts w:ascii="Arial" w:cs="Arial" w:eastAsia="Arial" w:hAnsi="Arial"/>
          <w:sz w:val="16"/>
          <w:szCs w:val="16"/>
          <w:color w:val="auto"/>
        </w:rPr>
        <w:t>Revenue for the Company has historically been derived from biopharmaceutical product development agreements with collaborative partners for the research and development of therapeutic drug candidates. The terms of the agreements may include nonrefundable signing and licensing fees, funding for research, development and manufacturing, milestone payments and royalties on any product sales derived from collaborations. The Company assesses the multiple obligations typically within product development contracts to determine the distinct performance obligations and how to allocate the arrangement consideration to each distinct performance obligation.</w:t>
      </w:r>
    </w:p>
    <w:p>
      <w:pPr>
        <w:spacing w:after="0" w:line="16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Under product development agreements, revenue is generally recognized using a cost-to-cost measure of progress. Revenue is recognized based on the costs incurred to date as a percentage of the total estimated costs to fulfill the contract. Incurred cost represents work performed, which corresponds with, and thereby best depicts, the transfer of control to the customer. Due to the nature of the work performed in these arrangements, the estimation of cost at completion is complex, subject to many variables, such as expected clinical trial costs, and requires significant judgements. Circumstances can arise that change original estimates of costs or progress toward completion. Any revisions to estimates are reflected in revenue on a cumulative catch-up basis in the period in which the change in circumstances became known.</w:t>
      </w:r>
    </w:p>
    <w:p>
      <w:pPr>
        <w:spacing w:after="0" w:line="174"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Revenue for the Company is also derived from manufacturing and research and development arrangements. The Company owns and operates a cGMP manufacturing facility in Fall River, Massachusetts, to produce drug substance for its current and planned early-stage clinical trials. In order to utilize excess capacity, the Company has, from time to time, entered into contract manufacturing and research and development arrangements in which services are provided on a time-and-material basis or at a negotiated fixed-price. Revenue from time-and-material contracts is generally recognized on an output basis as labor hours and/or direct expenses are incurred. Under fixed-price contracts, revenue is generally recognized on an output basis as progress is made toward completion of the performance obligations using surveys of performance completed to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and Long-Lived Assets</w:t>
      </w:r>
    </w:p>
    <w:p>
      <w:pPr>
        <w:spacing w:after="0" w:line="225" w:lineRule="exact"/>
        <w:rPr>
          <w:sz w:val="20"/>
          <w:szCs w:val="20"/>
          <w:color w:val="auto"/>
        </w:rPr>
      </w:pPr>
    </w:p>
    <w:p>
      <w:pPr>
        <w:jc w:val="both"/>
        <w:ind w:right="120" w:firstLine="348"/>
        <w:spacing w:after="0" w:line="256" w:lineRule="auto"/>
        <w:rPr>
          <w:sz w:val="20"/>
          <w:szCs w:val="20"/>
          <w:color w:val="auto"/>
        </w:rPr>
      </w:pPr>
      <w:r>
        <w:rPr>
          <w:rFonts w:ascii="Arial" w:cs="Arial" w:eastAsia="Arial" w:hAnsi="Arial"/>
          <w:sz w:val="18"/>
          <w:szCs w:val="18"/>
          <w:color w:val="auto"/>
        </w:rPr>
        <w:t>We evaluate the recoverability of our long-lived assets, including property and equipment, and finite-lived intangible assets when circumstances indicate that an event of impairment may have occurred.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estimated fair values.</w:t>
      </w:r>
    </w:p>
    <w:p>
      <w:pPr>
        <w:spacing w:after="0" w:line="197"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IPR&amp;D assets acquired in a business combination initially are recorded at fair value and accounted for as indefinite-lived intangible assets. These assets are capitalized on our balance sheets until either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project underlying them is completed or the assets become impaired. If a project is completed, the carrying value of the related intangible asset is amortized over the remaining estimated life of the asset beginning in the period in which the project is completed. If a project becomes impaired or is abandoned, the carrying value of the related intangible asset is written down to its fair value and an impairment charge is taken in the period in which the impairment occurs. Discounted cash flow models are typically used in these tests, and the models require the use of significant estimates and assumptions including but not limited to:</w:t>
      </w:r>
    </w:p>
    <w:p>
      <w:pPr>
        <w:spacing w:after="0" w:line="214"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timing and costs to complete the in-process projects;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timing and probability of success of clinical events or regulatory approvals;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estimated future cash flows from product sales resulting from completed products and in-process projects;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discount rates</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Each IPR&amp;D asset is assessed for impairment at least annually or when impairment indicators are present. We performed an annual impairment test of the IPR&amp;D assets during the fourth quarter of 2019 and concluded that the IPR&amp;D assets were not impaired.</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Intangible assets acquired in a business combination with a finite life are recorded at fair value and amortized over the greater of economic consumption or on a straight-line basis over their estimated useful life.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Research and development costs, including internal and contract research costs, are expensed as incurred. Research and development expenses consist mainly of clinical trial costs, manufacturing of clinical material, toxicology and other preclinical studies, personnel costs, depreciation, license fees and funding of outside contracted research.</w:t>
      </w:r>
    </w:p>
    <w:p>
      <w:pPr>
        <w:spacing w:after="0" w:line="19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Clinical trial expenses include expenses associated with clinical research organization, or CRO, services. Contract manufacturing expenses include expenses associated with contract manufacturing organization, or CMO, services. The invoicing from CROs and CMOs for services rendered can lag several months. We accrue the cost of services rendered in connection with CRO and CMO activities based on our estimate of costs incurred. We maintain regular communication with our CROs and CMOs to assess the reasonableness of our estimates. Differences between actual expenses and estimated expenses recorded have not been material and are adjusted for in the period in which they become known.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record stock-based compensation expense for all stock-based awards made to employees, directors and non-employees based on the estimated fair values of the stock-based awards expected to vest at the grant date and adjust, if necessary, to reflect actual forfeitures. Our estimates of employee stock option values rely on estimates of future uncertain events. Significant assumptions include the use of historical volatility to estimate the expected stock price volatility. We also estimate expected term based on historical exercise patterns. For non-employee grants, we may elect to use the contractual term as the expected term in the option-pricing model. Actual volatility and lives of options may be significantly different from our estimates. Compensation expense for all stock-based awards to employees and directors is recognized using the straight-line method over the term of vesting or performance.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2019 compared with Year Ended December 31, 2018</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5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gridSpan w:val="6"/>
          </w:tcPr>
          <w:p>
            <w:pPr>
              <w:jc w:val="right"/>
              <w:ind w:right="622"/>
              <w:spacing w:after="0"/>
              <w:rPr>
                <w:sz w:val="20"/>
                <w:szCs w:val="20"/>
                <w:color w:val="auto"/>
              </w:rPr>
            </w:pPr>
            <w:r>
              <w:rPr>
                <w:rFonts w:ascii="Arial" w:cs="Arial" w:eastAsia="Arial" w:hAnsi="Arial"/>
                <w:sz w:val="13"/>
                <w:szCs w:val="13"/>
                <w:b w:val="1"/>
                <w:bCs w:val="1"/>
                <w:color w:val="auto"/>
              </w:rPr>
              <w:t>Year Ended</w:t>
            </w:r>
          </w:p>
        </w:tc>
        <w:tc>
          <w:tcPr>
            <w:tcW w:w="120" w:type="dxa"/>
            <w:vAlign w:val="bottom"/>
          </w:tcPr>
          <w:p>
            <w:pPr>
              <w:spacing w:after="0"/>
              <w:rPr>
                <w:sz w:val="13"/>
                <w:szCs w:val="13"/>
                <w:color w:val="auto"/>
              </w:rPr>
            </w:pPr>
          </w:p>
        </w:tc>
        <w:tc>
          <w:tcPr>
            <w:tcW w:w="900" w:type="dxa"/>
            <w:vAlign w:val="bottom"/>
            <w:gridSpan w:val="2"/>
          </w:tcPr>
          <w:p>
            <w:pPr>
              <w:jc w:val="center"/>
              <w:ind w:right="178"/>
              <w:spacing w:after="0"/>
              <w:rPr>
                <w:sz w:val="20"/>
                <w:szCs w:val="20"/>
                <w:color w:val="auto"/>
              </w:rPr>
            </w:pPr>
            <w:r>
              <w:rPr>
                <w:rFonts w:ascii="Arial" w:cs="Arial" w:eastAsia="Arial" w:hAnsi="Arial"/>
                <w:sz w:val="13"/>
                <w:szCs w:val="13"/>
                <w:b w:val="1"/>
                <w:bCs w:val="1"/>
                <w:color w:val="auto"/>
                <w:w w:val="92"/>
              </w:rPr>
              <w:t>Increase/</w:t>
            </w: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Increase/</w:t>
            </w:r>
          </w:p>
        </w:tc>
      </w:tr>
      <w:tr>
        <w:trPr>
          <w:trHeight w:val="161"/>
        </w:trPr>
        <w:tc>
          <w:tcPr>
            <w:tcW w:w="5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6"/>
          </w:tcPr>
          <w:p>
            <w:pPr>
              <w:jc w:val="right"/>
              <w:ind w:right="582"/>
              <w:spacing w:after="0"/>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4"/>
                <w:szCs w:val="14"/>
                <w:color w:val="auto"/>
              </w:rPr>
            </w:pPr>
          </w:p>
        </w:tc>
        <w:tc>
          <w:tcPr>
            <w:tcW w:w="900" w:type="dxa"/>
            <w:vAlign w:val="bottom"/>
            <w:gridSpan w:val="2"/>
          </w:tcPr>
          <w:p>
            <w:pPr>
              <w:jc w:val="center"/>
              <w:ind w:right="178"/>
              <w:spacing w:after="0"/>
              <w:rPr>
                <w:sz w:val="20"/>
                <w:szCs w:val="20"/>
                <w:color w:val="auto"/>
              </w:rPr>
            </w:pPr>
            <w:r>
              <w:rPr>
                <w:rFonts w:ascii="Arial" w:cs="Arial" w:eastAsia="Arial" w:hAnsi="Arial"/>
                <w:sz w:val="13"/>
                <w:szCs w:val="13"/>
                <w:b w:val="1"/>
                <w:bCs w:val="1"/>
                <w:color w:val="auto"/>
                <w:w w:val="90"/>
              </w:rPr>
              <w:t>(Decrease)</w:t>
            </w: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(Decrease)</w:t>
            </w:r>
          </w:p>
        </w:tc>
      </w:tr>
      <w:tr>
        <w:trPr>
          <w:trHeight w:val="142"/>
        </w:trPr>
        <w:tc>
          <w:tcPr>
            <w:tcW w:w="50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3"/>
                <w:szCs w:val="13"/>
                <w:b w:val="1"/>
                <w:bCs w:val="1"/>
                <w:color w:val="auto"/>
              </w:rPr>
              <w:t>2019</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ind w:right="35"/>
              <w:spacing w:after="0" w:line="142" w:lineRule="exact"/>
              <w:rPr>
                <w:sz w:val="20"/>
                <w:szCs w:val="20"/>
                <w:color w:val="auto"/>
              </w:rPr>
            </w:pPr>
            <w:r>
              <w:rPr>
                <w:rFonts w:ascii="Arial" w:cs="Arial" w:eastAsia="Arial" w:hAnsi="Arial"/>
                <w:sz w:val="13"/>
                <w:szCs w:val="13"/>
                <w:b w:val="1"/>
                <w:bCs w:val="1"/>
                <w:color w:val="auto"/>
                <w:w w:val="82"/>
              </w:rPr>
              <w:t>$</w:t>
            </w: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2"/>
                <w:szCs w:val="12"/>
                <w:color w:val="auto"/>
              </w:rPr>
            </w:pPr>
          </w:p>
        </w:tc>
      </w:tr>
      <w:tr>
        <w:trPr>
          <w:trHeight w:val="142"/>
        </w:trPr>
        <w:tc>
          <w:tcPr>
            <w:tcW w:w="5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75"/>
              <w:spacing w:after="0" w:line="142" w:lineRule="exact"/>
              <w:rPr>
                <w:sz w:val="20"/>
                <w:szCs w:val="20"/>
                <w:color w:val="auto"/>
              </w:rPr>
            </w:pPr>
            <w:r>
              <w:rPr>
                <w:rFonts w:ascii="Arial" w:cs="Arial" w:eastAsia="Arial" w:hAnsi="Arial"/>
                <w:sz w:val="13"/>
                <w:szCs w:val="13"/>
                <w:b w:val="1"/>
                <w:bCs w:val="1"/>
                <w:color w:val="auto"/>
              </w:rPr>
              <w:t>(In</w:t>
            </w:r>
          </w:p>
        </w:tc>
        <w:tc>
          <w:tcPr>
            <w:tcW w:w="1020" w:type="dxa"/>
            <w:vAlign w:val="bottom"/>
            <w:gridSpan w:val="3"/>
          </w:tcPr>
          <w:p>
            <w:pPr>
              <w:spacing w:after="0" w:line="142" w:lineRule="exact"/>
              <w:rPr>
                <w:sz w:val="20"/>
                <w:szCs w:val="20"/>
                <w:color w:val="auto"/>
              </w:rPr>
            </w:pPr>
            <w:r>
              <w:rPr>
                <w:rFonts w:ascii="Arial" w:cs="Arial" w:eastAsia="Arial" w:hAnsi="Arial"/>
                <w:sz w:val="13"/>
                <w:szCs w:val="13"/>
                <w:b w:val="1"/>
                <w:bCs w:val="1"/>
                <w:color w:val="auto"/>
              </w:rPr>
              <w:t>thousands)</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020" w:type="dxa"/>
            <w:vAlign w:val="bottom"/>
          </w:tcPr>
          <w:p>
            <w:pPr>
              <w:ind w:left="200"/>
              <w:spacing w:after="0"/>
              <w:rPr>
                <w:sz w:val="20"/>
                <w:szCs w:val="20"/>
                <w:color w:val="auto"/>
              </w:rPr>
            </w:pPr>
            <w:r>
              <w:rPr>
                <w:rFonts w:ascii="Arial" w:cs="Arial" w:eastAsia="Arial" w:hAnsi="Arial"/>
                <w:sz w:val="18"/>
                <w:szCs w:val="18"/>
                <w:color w:val="auto"/>
              </w:rPr>
              <w:t>Product Development and Licensing Agreements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473</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2"/>
              <w:spacing w:after="0"/>
              <w:rPr>
                <w:sz w:val="20"/>
                <w:szCs w:val="20"/>
                <w:color w:val="auto"/>
              </w:rPr>
            </w:pPr>
            <w:r>
              <w:rPr>
                <w:rFonts w:ascii="Arial" w:cs="Arial" w:eastAsia="Arial" w:hAnsi="Arial"/>
                <w:sz w:val="18"/>
                <w:szCs w:val="18"/>
                <w:color w:val="auto"/>
              </w:rPr>
              <w:t>3,341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
              <w:spacing w:after="0"/>
              <w:rPr>
                <w:sz w:val="20"/>
                <w:szCs w:val="20"/>
                <w:color w:val="auto"/>
              </w:rPr>
            </w:pPr>
            <w:r>
              <w:rPr>
                <w:rFonts w:ascii="Arial" w:cs="Arial" w:eastAsia="Arial" w:hAnsi="Arial"/>
                <w:sz w:val="18"/>
                <w:szCs w:val="18"/>
                <w:color w:val="auto"/>
              </w:rPr>
              <w:t>(2,868)</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r>
      <w:tr>
        <w:trPr>
          <w:trHeight w:val="216"/>
        </w:trPr>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Contracts and Grants</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6,197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(3,097)</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r>
      <w:tr>
        <w:trPr>
          <w:trHeight w:val="209"/>
        </w:trPr>
        <w:tc>
          <w:tcPr>
            <w:tcW w:w="50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9,538</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(5,965</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r>
      <w:tr>
        <w:trPr>
          <w:trHeight w:val="20"/>
        </w:trPr>
        <w:tc>
          <w:tcPr>
            <w:tcW w:w="5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5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50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42,672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2"/>
              <w:spacing w:after="0"/>
              <w:rPr>
                <w:sz w:val="20"/>
                <w:szCs w:val="20"/>
                <w:color w:val="auto"/>
              </w:rPr>
            </w:pPr>
            <w:r>
              <w:rPr>
                <w:rFonts w:ascii="Arial" w:cs="Arial" w:eastAsia="Arial" w:hAnsi="Arial"/>
                <w:sz w:val="18"/>
                <w:szCs w:val="18"/>
                <w:color w:val="auto"/>
              </w:rPr>
              <w:t>66,449</w:t>
            </w:r>
          </w:p>
        </w:tc>
        <w:tc>
          <w:tcPr>
            <w:tcW w:w="120" w:type="dxa"/>
            <w:vAlign w:val="bottom"/>
          </w:tcPr>
          <w:p>
            <w:pPr>
              <w:spacing w:after="0"/>
              <w:rPr>
                <w:sz w:val="18"/>
                <w:szCs w:val="18"/>
                <w:color w:val="auto"/>
              </w:rPr>
            </w:pPr>
          </w:p>
        </w:tc>
        <w:tc>
          <w:tcPr>
            <w:tcW w:w="900" w:type="dxa"/>
            <w:vAlign w:val="bottom"/>
            <w:gridSpan w:val="2"/>
          </w:tcPr>
          <w:p>
            <w:pPr>
              <w:jc w:val="right"/>
              <w:ind w:right="18"/>
              <w:spacing w:after="0"/>
              <w:rPr>
                <w:sz w:val="20"/>
                <w:szCs w:val="20"/>
                <w:color w:val="auto"/>
              </w:rPr>
            </w:pPr>
            <w:r>
              <w:rPr>
                <w:rFonts w:ascii="Arial" w:cs="Arial" w:eastAsia="Arial" w:hAnsi="Arial"/>
                <w:sz w:val="18"/>
                <w:szCs w:val="18"/>
                <w:color w:val="auto"/>
              </w:rPr>
              <w:t>(23,777)</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r>
        <w:trPr>
          <w:trHeight w:val="216"/>
        </w:trPr>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15,426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19,269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(3,843)</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5020" w:type="dxa"/>
            <w:vAlign w:val="bottom"/>
          </w:tcPr>
          <w:p>
            <w:pPr>
              <w:ind w:left="200"/>
              <w:spacing w:after="0"/>
              <w:rPr>
                <w:sz w:val="20"/>
                <w:szCs w:val="20"/>
                <w:color w:val="auto"/>
              </w:rPr>
            </w:pPr>
            <w:r>
              <w:rPr>
                <w:rFonts w:ascii="Arial" w:cs="Arial" w:eastAsia="Arial" w:hAnsi="Arial"/>
                <w:sz w:val="18"/>
                <w:szCs w:val="18"/>
                <w:color w:val="auto"/>
              </w:rPr>
              <w:t>Goodwill Impairment</w:t>
            </w:r>
          </w:p>
        </w:tc>
        <w:tc>
          <w:tcPr>
            <w:tcW w:w="16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82"/>
              <w:spacing w:after="0"/>
              <w:rPr>
                <w:sz w:val="20"/>
                <w:szCs w:val="20"/>
                <w:color w:val="auto"/>
              </w:rPr>
            </w:pPr>
            <w:r>
              <w:rPr>
                <w:rFonts w:ascii="Arial" w:cs="Arial" w:eastAsia="Arial" w:hAnsi="Arial"/>
                <w:sz w:val="18"/>
                <w:szCs w:val="18"/>
                <w:color w:val="auto"/>
              </w:rPr>
              <w:t>90,976</w:t>
            </w:r>
          </w:p>
        </w:tc>
        <w:tc>
          <w:tcPr>
            <w:tcW w:w="120" w:type="dxa"/>
            <w:vAlign w:val="bottom"/>
          </w:tcPr>
          <w:p>
            <w:pPr>
              <w:spacing w:after="0"/>
              <w:rPr>
                <w:sz w:val="18"/>
                <w:szCs w:val="18"/>
                <w:color w:val="auto"/>
              </w:rPr>
            </w:pPr>
          </w:p>
        </w:tc>
        <w:tc>
          <w:tcPr>
            <w:tcW w:w="900" w:type="dxa"/>
            <w:vAlign w:val="bottom"/>
            <w:gridSpan w:val="2"/>
          </w:tcPr>
          <w:p>
            <w:pPr>
              <w:jc w:val="right"/>
              <w:ind w:right="18"/>
              <w:spacing w:after="0"/>
              <w:rPr>
                <w:sz w:val="20"/>
                <w:szCs w:val="20"/>
                <w:color w:val="auto"/>
              </w:rPr>
            </w:pPr>
            <w:r>
              <w:rPr>
                <w:rFonts w:ascii="Arial" w:cs="Arial" w:eastAsia="Arial" w:hAnsi="Arial"/>
                <w:sz w:val="18"/>
                <w:szCs w:val="18"/>
                <w:color w:val="auto"/>
              </w:rPr>
              <w:t>(90,976)</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 Impairment</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18,677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(18,677)</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5020" w:type="dxa"/>
            <w:vAlign w:val="bottom"/>
          </w:tcPr>
          <w:p>
            <w:pPr>
              <w:ind w:left="200"/>
              <w:spacing w:after="0"/>
              <w:rPr>
                <w:sz w:val="20"/>
                <w:szCs w:val="20"/>
                <w:color w:val="auto"/>
              </w:rPr>
            </w:pPr>
            <w:r>
              <w:rPr>
                <w:rFonts w:ascii="Arial" w:cs="Arial" w:eastAsia="Arial" w:hAnsi="Arial"/>
                <w:sz w:val="18"/>
                <w:szCs w:val="18"/>
                <w:color w:val="auto"/>
              </w:rPr>
              <w:t>Other Asset Impairment</w:t>
            </w: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1,800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78"/>
              <w:spacing w:after="0"/>
              <w:rPr>
                <w:sz w:val="20"/>
                <w:szCs w:val="20"/>
                <w:color w:val="auto"/>
              </w:rPr>
            </w:pPr>
            <w:r>
              <w:rPr>
                <w:rFonts w:ascii="Arial" w:cs="Arial" w:eastAsia="Arial" w:hAnsi="Arial"/>
                <w:sz w:val="18"/>
                <w:szCs w:val="18"/>
                <w:color w:val="auto"/>
              </w:rPr>
              <w:t>1,800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r>
      <w:tr>
        <w:trPr>
          <w:trHeight w:val="216"/>
        </w:trPr>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Gain on Fair Value Remeasurement of Contingent Consideration</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(1,294)</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(29,621)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(28,327)</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Amortization of Acquired Intangible Assets</w:t>
            </w:r>
          </w:p>
        </w:tc>
        <w:tc>
          <w:tcPr>
            <w:tcW w:w="16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82"/>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8"/>
                <w:szCs w:val="18"/>
                <w:color w:val="auto"/>
              </w:rPr>
            </w:pPr>
          </w:p>
        </w:tc>
        <w:tc>
          <w:tcPr>
            <w:tcW w:w="900" w:type="dxa"/>
            <w:vAlign w:val="bottom"/>
            <w:gridSpan w:val="2"/>
          </w:tcPr>
          <w:p>
            <w:pPr>
              <w:jc w:val="right"/>
              <w:ind w:right="18"/>
              <w:spacing w:after="0"/>
              <w:rPr>
                <w:sz w:val="20"/>
                <w:szCs w:val="20"/>
                <w:color w:val="auto"/>
              </w:rPr>
            </w:pPr>
            <w:r>
              <w:rPr>
                <w:rFonts w:ascii="Arial" w:cs="Arial" w:eastAsia="Arial" w:hAnsi="Arial"/>
                <w:sz w:val="18"/>
                <w:szCs w:val="18"/>
                <w:color w:val="auto"/>
              </w:rPr>
              <w:t>(224)</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5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58,604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165,974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(107,370)</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r>
      <w:tr>
        <w:trPr>
          <w:trHeight w:val="209"/>
        </w:trPr>
        <w:tc>
          <w:tcPr>
            <w:tcW w:w="502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(55,031)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(156,436)</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(101,405)</w:t>
            </w: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and Other Income, Net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4,487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(334)</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r>
      <w:tr>
        <w:trPr>
          <w:trHeight w:val="210"/>
        </w:trPr>
        <w:tc>
          <w:tcPr>
            <w:tcW w:w="5020" w:type="dxa"/>
            <w:vAlign w:val="bottom"/>
          </w:tcPr>
          <w:p>
            <w:pPr>
              <w:ind w:left="20"/>
              <w:spacing w:after="0"/>
              <w:rPr>
                <w:sz w:val="20"/>
                <w:szCs w:val="20"/>
                <w:color w:val="auto"/>
              </w:rPr>
            </w:pPr>
            <w:r>
              <w:rPr>
                <w:rFonts w:ascii="Arial" w:cs="Arial" w:eastAsia="Arial" w:hAnsi="Arial"/>
                <w:sz w:val="18"/>
                <w:szCs w:val="18"/>
                <w:color w:val="auto"/>
              </w:rPr>
              <w:t>Net Loss Before Income Tax Benefit</w:t>
            </w: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(50,878)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(151,949)</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(101,071)</w:t>
            </w: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765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(765)</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09"/>
        </w:trPr>
        <w:tc>
          <w:tcPr>
            <w:tcW w:w="5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(50,878</w:t>
            </w:r>
          </w:p>
        </w:tc>
        <w:tc>
          <w:tcPr>
            <w:tcW w:w="16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(151,184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(100,306</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r>
      <w:tr>
        <w:trPr>
          <w:trHeight w:val="20"/>
        </w:trPr>
        <w:tc>
          <w:tcPr>
            <w:tcW w:w="5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$100.3 million decrease in net loss for the year ended December 31, 2019, as compared to the year ended December 31, 2018, was primarily the result of a decrease in non-cash goodwill and intangible asset impairment expense and a decrease in research and development expenses, partially offset by the decrease in gain on fair value remeasurement of contingent consideration.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color w:val="auto"/>
        </w:rPr>
        <w:t>The $2.9 million decrease in product development and licensing agreements revenue for the year ended December 31, 2019, as compared to the year ended December 31, 2018, was primarily due to a decrease in revenue related to our BMS agreement as a result of the completion of our combination clinical study. The $3.1 million decrease in contracts and grants revenue for the year ended December 31, 2019, as compared to the year ended December 31, 2018, was primarily related to a decrease in services performed under our contract manufacturing and research and development agreements with Rockefeller University and the International AIDS Vaccine Initiative. We expect revenue to decrease over the next twelve months, although there may be fluctuations on a quarterly basis.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560" w:firstLine="351"/>
        <w:spacing w:after="0" w:line="331" w:lineRule="auto"/>
        <w:rPr>
          <w:sz w:val="20"/>
          <w:szCs w:val="20"/>
          <w:color w:val="auto"/>
        </w:rPr>
      </w:pPr>
      <w:r>
        <w:rPr>
          <w:rFonts w:ascii="Arial" w:cs="Arial" w:eastAsia="Arial" w:hAnsi="Arial"/>
          <w:sz w:val="16"/>
          <w:szCs w:val="16"/>
          <w:color w:val="auto"/>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spacing w:after="0" w:line="135"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8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560" w:type="dxa"/>
            <w:vAlign w:val="bottom"/>
            <w:gridSpan w:val="3"/>
          </w:tcPr>
          <w:p>
            <w:pPr>
              <w:jc w:val="right"/>
              <w:ind w:right="373"/>
              <w:spacing w:after="0"/>
              <w:rPr>
                <w:sz w:val="20"/>
                <w:szCs w:val="20"/>
                <w:color w:val="auto"/>
              </w:rPr>
            </w:pPr>
            <w:r>
              <w:rPr>
                <w:rFonts w:ascii="Arial" w:cs="Arial" w:eastAsia="Arial" w:hAnsi="Arial"/>
                <w:sz w:val="13"/>
                <w:szCs w:val="13"/>
                <w:b w:val="1"/>
                <w:bCs w:val="1"/>
                <w:color w:val="auto"/>
              </w:rPr>
              <w:t>Year Ended</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ind w:left="240"/>
              <w:spacing w:after="0"/>
              <w:rPr>
                <w:sz w:val="20"/>
                <w:szCs w:val="20"/>
                <w:color w:val="auto"/>
              </w:rPr>
            </w:pPr>
            <w:r>
              <w:rPr>
                <w:rFonts w:ascii="Arial" w:cs="Arial" w:eastAsia="Arial" w:hAnsi="Arial"/>
                <w:sz w:val="13"/>
                <w:szCs w:val="13"/>
                <w:b w:val="1"/>
                <w:bCs w:val="1"/>
                <w:color w:val="auto"/>
              </w:rPr>
              <w:t>Increase/</w:t>
            </w: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61"/>
        </w:trPr>
        <w:tc>
          <w:tcPr>
            <w:tcW w:w="2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60" w:type="dxa"/>
            <w:vAlign w:val="bottom"/>
            <w:tcBorders>
              <w:bottom w:val="single" w:sz="8" w:color="auto"/>
            </w:tcBorders>
            <w:gridSpan w:val="3"/>
          </w:tcPr>
          <w:p>
            <w:pPr>
              <w:jc w:val="right"/>
              <w:ind w:right="333"/>
              <w:spacing w:after="0"/>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ind w:left="200"/>
              <w:spacing w:after="0"/>
              <w:rPr>
                <w:sz w:val="20"/>
                <w:szCs w:val="20"/>
                <w:color w:val="auto"/>
              </w:rPr>
            </w:pPr>
            <w:r>
              <w:rPr>
                <w:rFonts w:ascii="Arial" w:cs="Arial" w:eastAsia="Arial" w:hAnsi="Arial"/>
                <w:sz w:val="13"/>
                <w:szCs w:val="13"/>
                <w:b w:val="1"/>
                <w:bCs w:val="1"/>
                <w:color w:val="auto"/>
                <w:w w:val="93"/>
              </w:rPr>
              <w:t>(Decrease)</w:t>
            </w:r>
          </w:p>
        </w:tc>
        <w:tc>
          <w:tcPr>
            <w:tcW w:w="32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r>
      <w:tr>
        <w:trPr>
          <w:trHeight w:val="142"/>
        </w:trPr>
        <w:tc>
          <w:tcPr>
            <w:tcW w:w="28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0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3"/>
                <w:szCs w:val="13"/>
                <w:b w:val="1"/>
                <w:bCs w:val="1"/>
                <w:color w:val="auto"/>
              </w:rPr>
              <w:t>%</w:t>
            </w:r>
          </w:p>
        </w:tc>
        <w:tc>
          <w:tcPr>
            <w:tcW w:w="580" w:type="dxa"/>
            <w:vAlign w:val="bottom"/>
          </w:tcPr>
          <w:p>
            <w:pPr>
              <w:spacing w:after="0"/>
              <w:rPr>
                <w:sz w:val="12"/>
                <w:szCs w:val="12"/>
                <w:color w:val="auto"/>
              </w:rPr>
            </w:pPr>
          </w:p>
        </w:tc>
      </w:tr>
      <w:tr>
        <w:trPr>
          <w:trHeight w:val="142"/>
        </w:trPr>
        <w:tc>
          <w:tcPr>
            <w:tcW w:w="28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00" w:type="dxa"/>
            <w:vAlign w:val="bottom"/>
          </w:tcPr>
          <w:p>
            <w:pPr>
              <w:jc w:val="right"/>
              <w:ind w:right="93"/>
              <w:spacing w:after="0" w:line="142" w:lineRule="exact"/>
              <w:rPr>
                <w:sz w:val="20"/>
                <w:szCs w:val="20"/>
                <w:color w:val="auto"/>
              </w:rPr>
            </w:pPr>
            <w:r>
              <w:rPr>
                <w:rFonts w:ascii="Arial" w:cs="Arial" w:eastAsia="Arial" w:hAnsi="Arial"/>
                <w:sz w:val="13"/>
                <w:szCs w:val="13"/>
                <w:b w:val="1"/>
                <w:bCs w:val="1"/>
                <w:color w:val="auto"/>
              </w:rPr>
              <w:t>(In</w:t>
            </w:r>
          </w:p>
        </w:tc>
        <w:tc>
          <w:tcPr>
            <w:tcW w:w="860" w:type="dxa"/>
            <w:vAlign w:val="bottom"/>
            <w:gridSpan w:val="2"/>
          </w:tcPr>
          <w:p>
            <w:pPr>
              <w:jc w:val="right"/>
              <w:ind w:right="293"/>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21,410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28,045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(6,635)</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Laboratory Supplies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4,249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4,176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2%</w:t>
            </w: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6,790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r>
      <w:tr>
        <w:trPr>
          <w:trHeight w:val="222"/>
        </w:trPr>
        <w:tc>
          <w:tcPr>
            <w:tcW w:w="2880" w:type="dxa"/>
            <w:vAlign w:val="bottom"/>
          </w:tcPr>
          <w:p>
            <w:pPr>
              <w:spacing w:after="0"/>
              <w:rPr>
                <w:sz w:val="20"/>
                <w:szCs w:val="20"/>
                <w:color w:val="auto"/>
              </w:rPr>
            </w:pPr>
            <w:r>
              <w:rPr>
                <w:rFonts w:ascii="Arial" w:cs="Arial" w:eastAsia="Arial" w:hAnsi="Arial"/>
                <w:sz w:val="18"/>
                <w:szCs w:val="18"/>
                <w:color w:val="auto"/>
              </w:rPr>
              <w:t>Product Development</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6,136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18,540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(12,404)</w:t>
            </w:r>
          </w:p>
        </w:tc>
        <w:tc>
          <w:tcPr>
            <w:tcW w:w="6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(67)%</w:t>
            </w:r>
          </w:p>
        </w:tc>
      </w:tr>
    </w:tbl>
    <w:p>
      <w:pPr>
        <w:spacing w:after="0" w:line="201" w:lineRule="exact"/>
        <w:rPr>
          <w:sz w:val="20"/>
          <w:szCs w:val="20"/>
          <w:color w:val="auto"/>
        </w:rPr>
      </w:pPr>
    </w:p>
    <w:p>
      <w:pPr>
        <w:ind w:right="220" w:firstLine="351"/>
        <w:spacing w:after="0" w:line="254" w:lineRule="auto"/>
        <w:rPr>
          <w:sz w:val="20"/>
          <w:szCs w:val="20"/>
          <w:color w:val="auto"/>
        </w:rPr>
      </w:pPr>
      <w:r>
        <w:rPr>
          <w:rFonts w:ascii="Arial" w:cs="Arial" w:eastAsia="Arial" w:hAnsi="Arial"/>
          <w:sz w:val="18"/>
          <w:szCs w:val="18"/>
          <w:color w:val="auto"/>
        </w:rPr>
        <w:t>Personnel expenses primarily include salary, benefits, stock-based compensation and payroll taxes. The $6.6 million decrease in personnel expenses for the year ended December 31, 2019, as compared to the year ended December 31, 2018, was primarily due to a decrease in headcount, lower stock-based compensation expense and lower severance expense related to the workforce reduction that occurred in the second quarter of 2018 as a result of the discontinuation of the Glemba program. We expect personnel expenses to remain relatively consistent over the next twelve months, although there may be fluctuations on a quarterly basis.</w:t>
      </w:r>
    </w:p>
    <w:p>
      <w:pPr>
        <w:spacing w:after="0" w:line="20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Laboratory supplies expenses include laboratory materials and supplies, services, and other related expenses incurred in the development of our technology. The $0.1 million increase in laboratory supply expenses for the year ended December 31, 2019, as compared to the year ended December 31, 2018, was primarily due to higher laboratory materials and supplies purchases. We expect laboratory supplies expenses to remain relatively consistent over the next twelve months, although there may be fluctuations on a quarterly basis.</w:t>
      </w:r>
    </w:p>
    <w:p>
      <w:pPr>
        <w:spacing w:after="0" w:line="166" w:lineRule="exact"/>
        <w:rPr>
          <w:sz w:val="20"/>
          <w:szCs w:val="20"/>
          <w:color w:val="auto"/>
        </w:rPr>
      </w:pPr>
    </w:p>
    <w:p>
      <w:pPr>
        <w:ind w:right="260" w:firstLine="351"/>
        <w:spacing w:after="0" w:line="294" w:lineRule="auto"/>
        <w:rPr>
          <w:sz w:val="20"/>
          <w:szCs w:val="20"/>
          <w:color w:val="auto"/>
        </w:rPr>
      </w:pPr>
      <w:r>
        <w:rPr>
          <w:rFonts w:ascii="Arial" w:cs="Arial" w:eastAsia="Arial" w:hAnsi="Arial"/>
          <w:sz w:val="16"/>
          <w:szCs w:val="16"/>
          <w:color w:val="auto"/>
        </w:rPr>
        <w:t>Facility expenses include depreciation, amortization, utilities, rent, maintenance and other related expenses incurred at our facilities. The $0.7 million decrease in facility expenses for the year ended December 31, 2019, as compared to the year ended December 31, 2018, was primarily due to lower depreciation expense. We expect facility expenses to decrease over the next twelve months as a result of the reduction in leased space in our Hampton, New Jersey facility and our decision to consolidate our Massachusetts lab and manufacturing facilities. The lease in Needham, MA will not be renewed and most functions and employees will be integrated into our Fall River, MA facility during the second quarter of 2020.</w:t>
      </w:r>
    </w:p>
    <w:p>
      <w:pPr>
        <w:spacing w:after="0" w:line="169"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Product development expenses include clinical investigator site fees, external trial monitoring costs, data accumulation costs, contracted research and outside clinical drug product manufacturing. The $12.4 million decrease in product development expenses for the year ended December 31, 2019, as compared to the year ended December 31, 2018, was primarily due to a decrease in clinical trial expenses of $8.1 million and a decrease in contract manufacturing expenses of $3.6 million. We expect product development expenses to remain relatively consistent over the next twelve months, although there may be fluctuations on a quarterly basis.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The $3.8 million decrease in general and administrative expenses for the year ended December 31, 2019, as compared to the year ended December 31, 2018, was primarily due to a decrease in stock-based compensation expense, lower commercial planning costs and lower lease restructuring expense. We expect general and administrative expenses to remain relatively consistent over the next twelve months, although there may be fluctuations on a quarterly basis.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recorded a non-cash goodwill impairment charge of $91.0 million during the year ended December 31, 2018 as a result of the discontinuation of the Glemba program.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Impairment</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recorded a non-cash intangible asset impairment charge of $18.7 million on the Glemba program intangible assets during the year ended December 31, 2018 as a result of the discontinuation of the Glemba program. Due to the nature of IPR&amp;D projects, the Company may experience future delays or failures to obtain regulatory approvals to conduct clinical trials, failures of such clinical trials or other failures to achieve a commercially viable product, and as a result, may recognize further impairment losses in the future.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 Impairment</w:t>
      </w:r>
    </w:p>
    <w:p>
      <w:pPr>
        <w:spacing w:after="0" w:line="225"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We concluded that the Company's investment in an undisclosed private company was impaired as a result of a deterioration in the private company's financial condition and recorded a non-cash impairment charge of $1.8 million during the first quarter of 2019.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Fair Value Remeasurement of Contingent Consideration</w:t>
      </w:r>
    </w:p>
    <w:p>
      <w:pPr>
        <w:spacing w:after="0" w:line="225"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$1.3 million gain on fair value remeasurement of contingent consideration for the year ended December 31, 2019 was primarily due to changes in discount rates, the passage of time and updated assumptions for the varlilumab program.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right="40" w:firstLine="348"/>
        <w:spacing w:after="0" w:line="369" w:lineRule="auto"/>
        <w:rPr>
          <w:sz w:val="20"/>
          <w:szCs w:val="20"/>
          <w:color w:val="auto"/>
        </w:rPr>
      </w:pPr>
      <w:r>
        <w:rPr>
          <w:rFonts w:ascii="Arial" w:cs="Arial" w:eastAsia="Arial" w:hAnsi="Arial"/>
          <w:sz w:val="15"/>
          <w:szCs w:val="15"/>
          <w:color w:val="auto"/>
        </w:rPr>
        <w:t>The $0.2 million decrease in amortization expenses for the year ended December 31, 2019, as compared to the year ended December 31, 2018, was due to the full impairment of intangible assets subject to amortization recorded in the first quarter of 2018 as a result of the discontinuation of the Glemba program.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$0.3 million decrease in investment and other income, net for the year ended December 31, 2019, as compared to the year ended December 31, 2018, was primarily due to lower levels of cash and investment balances. We anticipate investment income to decrease over the next twelve months due to lower levels of cash and investment balances.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recorded a non-cash income tax benefit of $0.8 million related to the impairment of the Glemba IPR&amp;D assets during the year ended December 31, 2018.</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 compared with Year Ended December 31, 2017</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5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gridSpan w:val="5"/>
          </w:tcPr>
          <w:p>
            <w:pPr>
              <w:jc w:val="right"/>
              <w:ind w:right="740"/>
              <w:spacing w:after="0"/>
              <w:rPr>
                <w:sz w:val="20"/>
                <w:szCs w:val="20"/>
                <w:color w:val="auto"/>
              </w:rPr>
            </w:pPr>
            <w:r>
              <w:rPr>
                <w:rFonts w:ascii="Arial" w:cs="Arial" w:eastAsia="Arial" w:hAnsi="Arial"/>
                <w:sz w:val="13"/>
                <w:szCs w:val="13"/>
                <w:b w:val="1"/>
                <w:bCs w:val="1"/>
                <w:color w:val="auto"/>
              </w:rPr>
              <w:t>Year Ended</w:t>
            </w:r>
          </w:p>
        </w:tc>
        <w:tc>
          <w:tcPr>
            <w:tcW w:w="100" w:type="dxa"/>
            <w:vAlign w:val="bottom"/>
          </w:tcPr>
          <w:p>
            <w:pPr>
              <w:spacing w:after="0"/>
              <w:rPr>
                <w:sz w:val="13"/>
                <w:szCs w:val="13"/>
                <w:color w:val="auto"/>
              </w:rPr>
            </w:pPr>
          </w:p>
        </w:tc>
        <w:tc>
          <w:tcPr>
            <w:tcW w:w="860" w:type="dxa"/>
            <w:vAlign w:val="bottom"/>
            <w:gridSpan w:val="2"/>
          </w:tcPr>
          <w:p>
            <w:pPr>
              <w:jc w:val="center"/>
              <w:ind w:right="178"/>
              <w:spacing w:after="0"/>
              <w:rPr>
                <w:sz w:val="20"/>
                <w:szCs w:val="20"/>
                <w:color w:val="auto"/>
              </w:rPr>
            </w:pPr>
            <w:r>
              <w:rPr>
                <w:rFonts w:ascii="Arial" w:cs="Arial" w:eastAsia="Arial" w:hAnsi="Arial"/>
                <w:sz w:val="13"/>
                <w:szCs w:val="13"/>
                <w:b w:val="1"/>
                <w:bCs w:val="1"/>
                <w:color w:val="auto"/>
                <w:w w:val="92"/>
              </w:rPr>
              <w:t>Increase/</w:t>
            </w: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Increase/</w:t>
            </w:r>
          </w:p>
        </w:tc>
      </w:tr>
      <w:tr>
        <w:trPr>
          <w:trHeight w:val="161"/>
        </w:trPr>
        <w:tc>
          <w:tcPr>
            <w:tcW w:w="5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5"/>
          </w:tcPr>
          <w:p>
            <w:pPr>
              <w:jc w:val="right"/>
              <w:ind w:right="680"/>
              <w:spacing w:after="0"/>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4"/>
                <w:szCs w:val="14"/>
                <w:color w:val="auto"/>
              </w:rPr>
            </w:pPr>
          </w:p>
        </w:tc>
        <w:tc>
          <w:tcPr>
            <w:tcW w:w="860" w:type="dxa"/>
            <w:vAlign w:val="bottom"/>
            <w:gridSpan w:val="2"/>
          </w:tcPr>
          <w:p>
            <w:pPr>
              <w:jc w:val="center"/>
              <w:ind w:right="178"/>
              <w:spacing w:after="0"/>
              <w:rPr>
                <w:sz w:val="20"/>
                <w:szCs w:val="20"/>
                <w:color w:val="auto"/>
              </w:rPr>
            </w:pPr>
            <w:r>
              <w:rPr>
                <w:rFonts w:ascii="Arial" w:cs="Arial" w:eastAsia="Arial" w:hAnsi="Arial"/>
                <w:sz w:val="13"/>
                <w:szCs w:val="13"/>
                <w:b w:val="1"/>
                <w:bCs w:val="1"/>
                <w:color w:val="auto"/>
                <w:w w:val="90"/>
              </w:rPr>
              <w:t>(Decrease)</w:t>
            </w: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(Decrease)</w:t>
            </w:r>
          </w:p>
        </w:tc>
      </w:tr>
      <w:tr>
        <w:trPr>
          <w:trHeight w:val="142"/>
        </w:trPr>
        <w:tc>
          <w:tcPr>
            <w:tcW w:w="50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82"/>
              </w:rPr>
              <w:t>$</w:t>
            </w: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2"/>
                <w:szCs w:val="12"/>
                <w:color w:val="auto"/>
              </w:rPr>
            </w:pPr>
          </w:p>
        </w:tc>
      </w:tr>
      <w:tr>
        <w:trPr>
          <w:trHeight w:val="142"/>
        </w:trPr>
        <w:tc>
          <w:tcPr>
            <w:tcW w:w="5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5"/>
          </w:tcPr>
          <w:p>
            <w:pPr>
              <w:jc w:val="right"/>
              <w:ind w:right="598"/>
              <w:spacing w:after="0" w:line="142" w:lineRule="exact"/>
              <w:rPr>
                <w:sz w:val="20"/>
                <w:szCs w:val="20"/>
                <w:color w:val="auto"/>
              </w:rPr>
            </w:pPr>
            <w:r>
              <w:rPr>
                <w:rFonts w:ascii="Arial" w:cs="Arial" w:eastAsia="Arial" w:hAnsi="Arial"/>
                <w:sz w:val="13"/>
                <w:szCs w:val="13"/>
                <w:b w:val="1"/>
                <w:bCs w:val="1"/>
                <w:color w:val="auto"/>
              </w:rPr>
              <w:t>(In thousands)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000" w:type="dxa"/>
            <w:vAlign w:val="bottom"/>
          </w:tcPr>
          <w:p>
            <w:pPr>
              <w:ind w:left="200"/>
              <w:spacing w:after="0"/>
              <w:rPr>
                <w:sz w:val="20"/>
                <w:szCs w:val="20"/>
                <w:color w:val="auto"/>
              </w:rPr>
            </w:pPr>
            <w:r>
              <w:rPr>
                <w:rFonts w:ascii="Arial" w:cs="Arial" w:eastAsia="Arial" w:hAnsi="Arial"/>
                <w:sz w:val="18"/>
                <w:szCs w:val="18"/>
                <w:color w:val="auto"/>
              </w:rPr>
              <w:t>Product Development and Licensing Agreements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3,341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3,153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78"/>
              <w:spacing w:after="0"/>
              <w:rPr>
                <w:sz w:val="20"/>
                <w:szCs w:val="20"/>
                <w:color w:val="auto"/>
              </w:rPr>
            </w:pPr>
            <w:r>
              <w:rPr>
                <w:rFonts w:ascii="Arial" w:cs="Arial" w:eastAsia="Arial" w:hAnsi="Arial"/>
                <w:sz w:val="18"/>
                <w:szCs w:val="18"/>
                <w:color w:val="auto"/>
              </w:rPr>
              <w:t>188</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r>
      <w:tr>
        <w:trPr>
          <w:trHeight w:val="216"/>
        </w:trPr>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Contracts and Grants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6,197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9,590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(3,393)</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r>
      <w:tr>
        <w:trPr>
          <w:trHeight w:val="209"/>
        </w:trPr>
        <w:tc>
          <w:tcPr>
            <w:tcW w:w="50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9,538</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12,743</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(3,205</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20"/>
        </w:trPr>
        <w:tc>
          <w:tcPr>
            <w:tcW w:w="5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50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50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66,449</w:t>
            </w: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96,171</w:t>
            </w:r>
          </w:p>
        </w:tc>
        <w:tc>
          <w:tcPr>
            <w:tcW w:w="100" w:type="dxa"/>
            <w:vAlign w:val="bottom"/>
          </w:tcPr>
          <w:p>
            <w:pPr>
              <w:spacing w:after="0"/>
              <w:rPr>
                <w:sz w:val="18"/>
                <w:szCs w:val="18"/>
                <w:color w:val="auto"/>
              </w:rPr>
            </w:pPr>
          </w:p>
        </w:tc>
        <w:tc>
          <w:tcPr>
            <w:tcW w:w="860" w:type="dxa"/>
            <w:vAlign w:val="bottom"/>
            <w:gridSpan w:val="2"/>
          </w:tcPr>
          <w:p>
            <w:pPr>
              <w:jc w:val="right"/>
              <w:ind w:right="18"/>
              <w:spacing w:after="0"/>
              <w:rPr>
                <w:sz w:val="20"/>
                <w:szCs w:val="20"/>
                <w:color w:val="auto"/>
              </w:rPr>
            </w:pPr>
            <w:r>
              <w:rPr>
                <w:rFonts w:ascii="Arial" w:cs="Arial" w:eastAsia="Arial" w:hAnsi="Arial"/>
                <w:sz w:val="18"/>
                <w:szCs w:val="18"/>
                <w:color w:val="auto"/>
              </w:rPr>
              <w:t>(29,722)</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216"/>
        </w:trPr>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19,269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(5,734)</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r>
      <w:tr>
        <w:trPr>
          <w:trHeight w:val="216"/>
        </w:trPr>
        <w:tc>
          <w:tcPr>
            <w:tcW w:w="5000" w:type="dxa"/>
            <w:vAlign w:val="bottom"/>
          </w:tcPr>
          <w:p>
            <w:pPr>
              <w:ind w:left="200"/>
              <w:spacing w:after="0"/>
              <w:rPr>
                <w:sz w:val="20"/>
                <w:szCs w:val="20"/>
                <w:color w:val="auto"/>
              </w:rPr>
            </w:pPr>
            <w:r>
              <w:rPr>
                <w:rFonts w:ascii="Arial" w:cs="Arial" w:eastAsia="Arial" w:hAnsi="Arial"/>
                <w:sz w:val="18"/>
                <w:szCs w:val="18"/>
                <w:color w:val="auto"/>
              </w:rPr>
              <w:t>Goodwill Impairment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90,976</w:t>
            </w: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78"/>
              <w:spacing w:after="0"/>
              <w:rPr>
                <w:sz w:val="20"/>
                <w:szCs w:val="20"/>
                <w:color w:val="auto"/>
              </w:rPr>
            </w:pPr>
            <w:r>
              <w:rPr>
                <w:rFonts w:ascii="Arial" w:cs="Arial" w:eastAsia="Arial" w:hAnsi="Arial"/>
                <w:sz w:val="18"/>
                <w:szCs w:val="18"/>
                <w:color w:val="auto"/>
              </w:rPr>
              <w:t>90,976</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r>
      <w:tr>
        <w:trPr>
          <w:trHeight w:val="216"/>
        </w:trPr>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 Impairment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18,677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13,000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5,677</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r>
      <w:tr>
        <w:trPr>
          <w:trHeight w:val="216"/>
        </w:trPr>
        <w:tc>
          <w:tcPr>
            <w:tcW w:w="5000" w:type="dxa"/>
            <w:vAlign w:val="bottom"/>
          </w:tcPr>
          <w:p>
            <w:pPr>
              <w:ind w:left="200"/>
              <w:spacing w:after="0"/>
              <w:rPr>
                <w:sz w:val="20"/>
                <w:szCs w:val="20"/>
                <w:color w:val="auto"/>
              </w:rPr>
            </w:pPr>
            <w:r>
              <w:rPr>
                <w:rFonts w:ascii="Arial" w:cs="Arial" w:eastAsia="Arial" w:hAnsi="Arial"/>
                <w:sz w:val="18"/>
                <w:szCs w:val="18"/>
                <w:color w:val="auto"/>
                <w:w w:val="92"/>
              </w:rPr>
              <w:t>Gain on Fair Value Remeasurement of Contingent Consideration</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(29,621)</w:t>
            </w: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8"/>
                <w:szCs w:val="18"/>
                <w:color w:val="auto"/>
              </w:rPr>
            </w:pPr>
          </w:p>
        </w:tc>
        <w:tc>
          <w:tcPr>
            <w:tcW w:w="860" w:type="dxa"/>
            <w:vAlign w:val="bottom"/>
            <w:gridSpan w:val="2"/>
          </w:tcPr>
          <w:p>
            <w:pPr>
              <w:jc w:val="right"/>
              <w:ind w:right="78"/>
              <w:spacing w:after="0"/>
              <w:rPr>
                <w:sz w:val="20"/>
                <w:szCs w:val="20"/>
                <w:color w:val="auto"/>
              </w:rPr>
            </w:pPr>
            <w:r>
              <w:rPr>
                <w:rFonts w:ascii="Arial" w:cs="Arial" w:eastAsia="Arial" w:hAnsi="Arial"/>
                <w:sz w:val="18"/>
                <w:szCs w:val="18"/>
                <w:color w:val="auto"/>
              </w:rPr>
              <w:t>28,821</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3,603%</w:t>
            </w: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Acquired Intangible Assets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(672)</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r>
      <w:tr>
        <w:trPr>
          <w:trHeight w:val="209"/>
        </w:trPr>
        <w:tc>
          <w:tcPr>
            <w:tcW w:w="5000" w:type="dxa"/>
            <w:vAlign w:val="bottom"/>
          </w:tcPr>
          <w:p>
            <w:pPr>
              <w:ind w:left="20"/>
              <w:spacing w:after="0"/>
              <w:rPr>
                <w:sz w:val="20"/>
                <w:szCs w:val="20"/>
                <w:color w:val="auto"/>
              </w:rPr>
            </w:pPr>
            <w:r>
              <w:rPr>
                <w:rFonts w:ascii="Arial" w:cs="Arial" w:eastAsia="Arial" w:hAnsi="Arial"/>
                <w:sz w:val="18"/>
                <w:szCs w:val="18"/>
                <w:color w:val="auto"/>
              </w:rPr>
              <w:t>Total Operating Expense</w:t>
            </w: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165,974</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134,270</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31,704</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r>
      <w:tr>
        <w:trPr>
          <w:trHeight w:val="21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(156,436)</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(121,527)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34,909</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color w:val="auto"/>
              </w:rPr>
              <w:t>Investment and Other Income, Net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4,487</w:t>
            </w: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4,214</w:t>
            </w:r>
          </w:p>
        </w:tc>
        <w:tc>
          <w:tcPr>
            <w:tcW w:w="100" w:type="dxa"/>
            <w:vAlign w:val="bottom"/>
          </w:tcPr>
          <w:p>
            <w:pPr>
              <w:spacing w:after="0"/>
              <w:rPr>
                <w:sz w:val="18"/>
                <w:szCs w:val="18"/>
                <w:color w:val="auto"/>
              </w:rPr>
            </w:pPr>
          </w:p>
        </w:tc>
        <w:tc>
          <w:tcPr>
            <w:tcW w:w="860" w:type="dxa"/>
            <w:vAlign w:val="bottom"/>
            <w:gridSpan w:val="2"/>
          </w:tcPr>
          <w:p>
            <w:pPr>
              <w:jc w:val="right"/>
              <w:ind w:right="78"/>
              <w:spacing w:after="0"/>
              <w:rPr>
                <w:sz w:val="20"/>
                <w:szCs w:val="20"/>
                <w:color w:val="auto"/>
              </w:rPr>
            </w:pPr>
            <w:r>
              <w:rPr>
                <w:rFonts w:ascii="Arial" w:cs="Arial" w:eastAsia="Arial" w:hAnsi="Arial"/>
                <w:sz w:val="18"/>
                <w:szCs w:val="18"/>
                <w:color w:val="auto"/>
              </w:rPr>
              <w:t>273</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r>
      <w:tr>
        <w:trPr>
          <w:trHeight w:val="20"/>
        </w:trPr>
        <w:tc>
          <w:tcPr>
            <w:tcW w:w="5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Before Income Tax Benefit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(151,949)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(117,313)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34,636</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765</w:t>
            </w: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24,282</w:t>
            </w:r>
          </w:p>
        </w:tc>
        <w:tc>
          <w:tcPr>
            <w:tcW w:w="100" w:type="dxa"/>
            <w:vAlign w:val="bottom"/>
          </w:tcPr>
          <w:p>
            <w:pPr>
              <w:spacing w:after="0"/>
              <w:rPr>
                <w:sz w:val="18"/>
                <w:szCs w:val="18"/>
                <w:color w:val="auto"/>
              </w:rPr>
            </w:pPr>
          </w:p>
        </w:tc>
        <w:tc>
          <w:tcPr>
            <w:tcW w:w="860" w:type="dxa"/>
            <w:vAlign w:val="bottom"/>
            <w:gridSpan w:val="2"/>
          </w:tcPr>
          <w:p>
            <w:pPr>
              <w:jc w:val="right"/>
              <w:ind w:right="18"/>
              <w:spacing w:after="0"/>
              <w:rPr>
                <w:sz w:val="20"/>
                <w:szCs w:val="20"/>
                <w:color w:val="auto"/>
              </w:rPr>
            </w:pPr>
            <w:r>
              <w:rPr>
                <w:rFonts w:ascii="Arial" w:cs="Arial" w:eastAsia="Arial" w:hAnsi="Arial"/>
                <w:sz w:val="18"/>
                <w:szCs w:val="18"/>
                <w:color w:val="auto"/>
              </w:rPr>
              <w:t>(23,517)</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r>
      <w:tr>
        <w:trPr>
          <w:trHeight w:val="20"/>
        </w:trPr>
        <w:tc>
          <w:tcPr>
            <w:tcW w:w="5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(151,184)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(93,031)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58,153</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w:t>
            </w:r>
          </w:p>
        </w:tc>
      </w:tr>
      <w:tr>
        <w:trPr>
          <w:trHeight w:val="20"/>
        </w:trPr>
        <w:tc>
          <w:tcPr>
            <w:tcW w:w="5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ind w:right="120" w:firstLine="348"/>
        <w:spacing w:after="0" w:line="306" w:lineRule="auto"/>
        <w:rPr>
          <w:sz w:val="20"/>
          <w:szCs w:val="20"/>
          <w:color w:val="auto"/>
        </w:rPr>
      </w:pPr>
      <w:r>
        <w:rPr>
          <w:rFonts w:ascii="Arial" w:cs="Arial" w:eastAsia="Arial" w:hAnsi="Arial"/>
          <w:sz w:val="16"/>
          <w:szCs w:val="16"/>
          <w:color w:val="auto"/>
        </w:rPr>
        <w:t>The $58.2 million increase in net loss for the year ended December 31, 2018, as compared to the year ended December 31, 2017, was primarily the result of the increase in the non-cash goodwill impairment and the decrease in the non-cash income tax benefit. This effect was partially offset by the increase in the non-cash gain on fair value remeasurement of contingent consideration and the decrease in research and development expenses.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$0.2 million increase in product development and licensing agreements revenue for the year ended December 31, 2018, as compared to the year ended December 31, 2017, was primarily due to an increase in reimbursable clinical trial expenses related to our BMS agreement. The $3.4 million decrease in contracts and grants revenue for the year ended December 31, 2018, as compared to the year ended December 31, 2017, was primarily related to a decrease in services performed under our contract manufacturing and research and development agreements with International AIDS Vaccine Initiative and Frontier Biotechnologies, Inc.</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560" w:firstLine="351"/>
        <w:spacing w:after="0" w:line="331" w:lineRule="auto"/>
        <w:rPr>
          <w:sz w:val="20"/>
          <w:szCs w:val="20"/>
          <w:color w:val="auto"/>
        </w:rPr>
      </w:pPr>
      <w:r>
        <w:rPr>
          <w:rFonts w:ascii="Arial" w:cs="Arial" w:eastAsia="Arial" w:hAnsi="Arial"/>
          <w:sz w:val="16"/>
          <w:szCs w:val="16"/>
          <w:color w:val="auto"/>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spacing w:after="0" w:line="135"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8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560" w:type="dxa"/>
            <w:vAlign w:val="bottom"/>
            <w:gridSpan w:val="3"/>
          </w:tcPr>
          <w:p>
            <w:pPr>
              <w:jc w:val="right"/>
              <w:ind w:right="373"/>
              <w:spacing w:after="0"/>
              <w:rPr>
                <w:sz w:val="20"/>
                <w:szCs w:val="20"/>
                <w:color w:val="auto"/>
              </w:rPr>
            </w:pPr>
            <w:r>
              <w:rPr>
                <w:rFonts w:ascii="Arial" w:cs="Arial" w:eastAsia="Arial" w:hAnsi="Arial"/>
                <w:sz w:val="13"/>
                <w:szCs w:val="13"/>
                <w:b w:val="1"/>
                <w:bCs w:val="1"/>
                <w:color w:val="auto"/>
              </w:rPr>
              <w:t>Year Ended</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ind w:left="240"/>
              <w:spacing w:after="0"/>
              <w:rPr>
                <w:sz w:val="20"/>
                <w:szCs w:val="20"/>
                <w:color w:val="auto"/>
              </w:rPr>
            </w:pPr>
            <w:r>
              <w:rPr>
                <w:rFonts w:ascii="Arial" w:cs="Arial" w:eastAsia="Arial" w:hAnsi="Arial"/>
                <w:sz w:val="13"/>
                <w:szCs w:val="13"/>
                <w:b w:val="1"/>
                <w:bCs w:val="1"/>
                <w:color w:val="auto"/>
              </w:rPr>
              <w:t>Increase/</w:t>
            </w: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61"/>
        </w:trPr>
        <w:tc>
          <w:tcPr>
            <w:tcW w:w="2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60" w:type="dxa"/>
            <w:vAlign w:val="bottom"/>
            <w:tcBorders>
              <w:bottom w:val="single" w:sz="8" w:color="auto"/>
            </w:tcBorders>
            <w:gridSpan w:val="3"/>
          </w:tcPr>
          <w:p>
            <w:pPr>
              <w:jc w:val="right"/>
              <w:ind w:right="333"/>
              <w:spacing w:after="0"/>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ind w:left="200"/>
              <w:spacing w:after="0"/>
              <w:rPr>
                <w:sz w:val="20"/>
                <w:szCs w:val="20"/>
                <w:color w:val="auto"/>
              </w:rPr>
            </w:pPr>
            <w:r>
              <w:rPr>
                <w:rFonts w:ascii="Arial" w:cs="Arial" w:eastAsia="Arial" w:hAnsi="Arial"/>
                <w:sz w:val="13"/>
                <w:szCs w:val="13"/>
                <w:b w:val="1"/>
                <w:bCs w:val="1"/>
                <w:color w:val="auto"/>
                <w:w w:val="93"/>
              </w:rPr>
              <w:t>(Decrease)</w:t>
            </w:r>
          </w:p>
        </w:tc>
        <w:tc>
          <w:tcPr>
            <w:tcW w:w="32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r>
      <w:tr>
        <w:trPr>
          <w:trHeight w:val="142"/>
        </w:trPr>
        <w:tc>
          <w:tcPr>
            <w:tcW w:w="28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0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3"/>
                <w:szCs w:val="13"/>
                <w:b w:val="1"/>
                <w:bCs w:val="1"/>
                <w:color w:val="auto"/>
              </w:rPr>
              <w:t>%</w:t>
            </w:r>
          </w:p>
        </w:tc>
        <w:tc>
          <w:tcPr>
            <w:tcW w:w="580" w:type="dxa"/>
            <w:vAlign w:val="bottom"/>
          </w:tcPr>
          <w:p>
            <w:pPr>
              <w:spacing w:after="0"/>
              <w:rPr>
                <w:sz w:val="12"/>
                <w:szCs w:val="12"/>
                <w:color w:val="auto"/>
              </w:rPr>
            </w:pPr>
          </w:p>
        </w:tc>
      </w:tr>
      <w:tr>
        <w:trPr>
          <w:trHeight w:val="142"/>
        </w:trPr>
        <w:tc>
          <w:tcPr>
            <w:tcW w:w="28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00" w:type="dxa"/>
            <w:vAlign w:val="bottom"/>
          </w:tcPr>
          <w:p>
            <w:pPr>
              <w:jc w:val="right"/>
              <w:ind w:right="93"/>
              <w:spacing w:after="0" w:line="142" w:lineRule="exact"/>
              <w:rPr>
                <w:sz w:val="20"/>
                <w:szCs w:val="20"/>
                <w:color w:val="auto"/>
              </w:rPr>
            </w:pPr>
            <w:r>
              <w:rPr>
                <w:rFonts w:ascii="Arial" w:cs="Arial" w:eastAsia="Arial" w:hAnsi="Arial"/>
                <w:sz w:val="13"/>
                <w:szCs w:val="13"/>
                <w:b w:val="1"/>
                <w:bCs w:val="1"/>
                <w:color w:val="auto"/>
              </w:rPr>
              <w:t>(In</w:t>
            </w:r>
          </w:p>
        </w:tc>
        <w:tc>
          <w:tcPr>
            <w:tcW w:w="860" w:type="dxa"/>
            <w:vAlign w:val="bottom"/>
            <w:gridSpan w:val="2"/>
          </w:tcPr>
          <w:p>
            <w:pPr>
              <w:jc w:val="right"/>
              <w:ind w:right="293"/>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28,045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36,470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(8,425)</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Laboratory Supplies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4,176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(338)</w:t>
            </w:r>
          </w:p>
        </w:tc>
        <w:tc>
          <w:tcPr>
            <w:tcW w:w="6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(7)%</w:t>
            </w: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w:t>
            </w:r>
          </w:p>
        </w:tc>
      </w:tr>
      <w:tr>
        <w:trPr>
          <w:trHeight w:val="222"/>
        </w:trPr>
        <w:tc>
          <w:tcPr>
            <w:tcW w:w="2880" w:type="dxa"/>
            <w:vAlign w:val="bottom"/>
          </w:tcPr>
          <w:p>
            <w:pPr>
              <w:spacing w:after="0"/>
              <w:rPr>
                <w:sz w:val="20"/>
                <w:szCs w:val="20"/>
                <w:color w:val="auto"/>
              </w:rPr>
            </w:pPr>
            <w:r>
              <w:rPr>
                <w:rFonts w:ascii="Arial" w:cs="Arial" w:eastAsia="Arial" w:hAnsi="Arial"/>
                <w:sz w:val="18"/>
                <w:szCs w:val="18"/>
                <w:color w:val="auto"/>
              </w:rPr>
              <w:t>Product Development</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18,540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36,711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(18,171)</w:t>
            </w:r>
          </w:p>
        </w:tc>
        <w:tc>
          <w:tcPr>
            <w:tcW w:w="6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(49)%</w:t>
            </w:r>
          </w:p>
        </w:tc>
      </w:tr>
    </w:tbl>
    <w:p>
      <w:pPr>
        <w:spacing w:after="0" w:line="201"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Personnel expenses primarily include salary, benefits, stock-based compensation and payroll taxes. The $8.4 million decrease in personnel expenses for the year ended December 31, 2018, as compared to the year ended December 31, 2017, was primarily due to a decrease in headcount and lower stock-based compensation expense partially offset by severance expense of $1.0 million.</w:t>
      </w:r>
    </w:p>
    <w:p>
      <w:pPr>
        <w:spacing w:after="0" w:line="194" w:lineRule="exact"/>
        <w:rPr>
          <w:sz w:val="20"/>
          <w:szCs w:val="20"/>
          <w:color w:val="auto"/>
        </w:rPr>
      </w:pPr>
    </w:p>
    <w:p>
      <w:pPr>
        <w:ind w:right="420" w:firstLine="351"/>
        <w:spacing w:after="0" w:line="259" w:lineRule="auto"/>
        <w:rPr>
          <w:sz w:val="20"/>
          <w:szCs w:val="20"/>
          <w:color w:val="auto"/>
        </w:rPr>
      </w:pPr>
      <w:r>
        <w:rPr>
          <w:rFonts w:ascii="Arial" w:cs="Arial" w:eastAsia="Arial" w:hAnsi="Arial"/>
          <w:sz w:val="18"/>
          <w:szCs w:val="18"/>
          <w:color w:val="auto"/>
        </w:rPr>
        <w:t>Laboratory supplies expenses include laboratory materials and supplies, services, and other related expenses incurred in the development of our technology. The $0.3 million decrease in laboratory supply expenses for the year ended December 31, 2018, as compared to the year ended December 31, 2017, was primarily due to lower laboratory materials and supplies purchases.</w:t>
      </w:r>
    </w:p>
    <w:p>
      <w:pPr>
        <w:spacing w:after="0" w:line="194"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Facility expenses include depreciation, amortization, utilities, rent, maintenance and other related expenses incurred at our facilities. The $1.1 million decrease in facility expenses for the year ended December 31, 2018, as compared to the year ended December 31, 2017, was primarily due to lower depreciation expense.</w:t>
      </w:r>
    </w:p>
    <w:p>
      <w:pPr>
        <w:spacing w:after="0" w:line="19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Product development expenses include clinical investigator site fees, external trial monitoring costs, data accumulation costs, contracted research and outside clinical drug product manufacturing. The $18.2 million decrease in product development expenses for the year ended December 31, 2018, as compared to the year ended December 31, 2017, was primarily due to a decrease in clinical trial expenses of $8.7 million and a decrease in contract manufacturing expenses of $7.2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$5.7 million decrease in general and administrative expenses for the year ended December 31, 2018, as compared to the year ended December 31, 2017, was primarily due to a decrease in headcount and lower commercial planning costs.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recorded a non-cash goodwill impairment charge of $91.0 million during the year ended December 31, 2018 as a result of the discontinuation of the Glemba program.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Impairment</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recorded a non-cash intangible asset impairment charge of $18.7 million on the Glemba program intangible assets during the year ended December 31, 2018 as a result of the discontinuation of the Glemba program. Due to the nature of IPR&amp;D projects, the Company may experience future delays or failures to obtain regulatory approvals to conduct clinical trials, failures of such clinical trials or other failures to achieve a commercially viable product, and as a result, may recognize further impairment losses in the future.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Fair Value Remeasurement of Contingent Consideration</w:t>
      </w:r>
    </w:p>
    <w:p>
      <w:pPr>
        <w:spacing w:after="0" w:line="225"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$29.6 million gain on fair value remeasurement of contingent consideration for the year ended December 31, 2018 was due to discontinuation of the Glemba and CDX-014 programs, updated assumptions for the varlilumab program, and lower probability that milestones related to our anti-KIT program would be triggered by our current anti-KIT program development.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right="40" w:firstLine="348"/>
        <w:spacing w:after="0" w:line="369" w:lineRule="auto"/>
        <w:rPr>
          <w:sz w:val="20"/>
          <w:szCs w:val="20"/>
          <w:color w:val="auto"/>
        </w:rPr>
      </w:pPr>
      <w:r>
        <w:rPr>
          <w:rFonts w:ascii="Arial" w:cs="Arial" w:eastAsia="Arial" w:hAnsi="Arial"/>
          <w:sz w:val="15"/>
          <w:szCs w:val="15"/>
          <w:color w:val="auto"/>
        </w:rPr>
        <w:t>The $0.7 million decrease in amortization expenses for the year ended December 31, 2018, as compared to the year ended December 31, 2017, was due to the full impairment of intangible assets subject to amortization recorded in the first quarter of 2018 as a result of the discontinuation of the Glemba program.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$0.3 million increase in investment and other income, net for the year ended December 31, 2018, as compared to the year ended December 31, 2017, was primarily due to higher interest rates on fixed income investments.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recorded a non-cash income tax benefit of $0.8 million related to the impairment of the Glemba IPR&amp;D assets during the year ended December 31,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69"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and consulting, legal and other professional fees. To date, the primary sources of cash flows from operations have been payments received from our collaborative partners and from government entities. The timing of any new collaboration agreements, government contracts or grants and any payments under these agreements, contracts or grants cannot be easily predicted and may vary significantly from quarter to quarter.</w:t>
      </w:r>
    </w:p>
    <w:p>
      <w:pPr>
        <w:spacing w:after="0" w:line="169" w:lineRule="exact"/>
        <w:rPr>
          <w:sz w:val="20"/>
          <w:szCs w:val="20"/>
          <w:color w:val="auto"/>
        </w:rPr>
      </w:pPr>
    </w:p>
    <w:p>
      <w:pPr>
        <w:ind w:right="60" w:firstLine="341"/>
        <w:spacing w:after="0" w:line="254" w:lineRule="auto"/>
        <w:rPr>
          <w:sz w:val="20"/>
          <w:szCs w:val="20"/>
          <w:color w:val="auto"/>
        </w:rPr>
      </w:pPr>
      <w:r>
        <w:rPr>
          <w:rFonts w:ascii="Arial" w:cs="Arial" w:eastAsia="Arial" w:hAnsi="Arial"/>
          <w:sz w:val="18"/>
          <w:szCs w:val="18"/>
          <w:color w:val="auto"/>
        </w:rPr>
        <w:t>At December 31, 2019, our principal sources of liquidity consisted of cash, cash equivalents and marketable securities of $64.4 million. We have had recurring losses and incurred a loss of $50.9 million for the year ended December 31, 2019. Net cash used in operations for the year ended December 31, 2019 was $46.4 million. We believe that our existing cash, cash equivalents and marketable securities will enable us to fund our operating expenses and capital expenditure requirements into the first quarter of 2021. In accordance with U.S. GAAP, we have determined that there is substantial doubt about our ability to continue as a going concern. The financial statements do not include any adjustments that might result from the outcome of this uncertainty. See Note 1 to the consolidated</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financial statements for further discussion of our liquidity and the conditions and events that raise substantial doubt regarding our ability to continue as a going concern.</w:t>
      </w:r>
    </w:p>
    <w:p>
      <w:pPr>
        <w:spacing w:after="0" w:line="186"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During the next twelve months, we will take further steps to raise additional capital to meet our liquidity needs including, but may not be limited to, one or more of the following: the licensing of drug candidates with existing or new collaborative partners, possible business combinations, issuance of debt, or the issuance of common stock or other securities via private placements or public offerings. Although we have been successful in raising capital in the past,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financings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Our ability to continue funding our planned operations into and beyond twelve months from the issuance date is also dependent on the timing and manner of payment of future contingent milestones from the Kolltan acquisition, in the event that we achieve the drug candidate milestones related to those payments. We may decide to pay those milestone payments in cash, shares of our common stock or a combination thereof. If we are unable to raise the funds necessary to meet our liquidity needs, we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Net cash used in operating activities was $46.4 million for the year ended December 31, 2019 compared to $75.2 million for the year ended December 31, 2018. The decrease in net cash used in operating activities was primarily due to decreases in both general and administrative and research and development expenses. We expect that cash used in operating activities will remain relatively consistent over the next twelve months, although there may be fluctuations on a quarterly basis.</w:t>
      </w:r>
    </w:p>
    <w:p>
      <w:pPr>
        <w:spacing w:after="0" w:line="19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Net cash used in operating activities was $75.2 million for the year ended December 31, 2018 compared to $99.9 million for the year ended December 31, 2017. The decrease in net cash used in operating activities was primarily due to decreases in both general and administrative and research and development expenses.</w:t>
      </w:r>
    </w:p>
    <w:p>
      <w:pPr>
        <w:spacing w:after="0" w:line="194"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have incurred and will continue to incur significant costs in the area of research and development, including preclinical and clinical trials and clinical drug product manufacturing as our drug candidates are developed. We plan to spend significant amounts to progress our current drug candidates through the clinical trial processes as well as to develop additional drug candidates. As our drug candidates progress through the clinical trial process, we may be obligated to make significant milestone payments.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Net cash provided by investing activities was $17.1 million for the year ended December 31, 2019 compared to $29.8 million for the year ended December 31, 2018. The decrease in net cash provided by investing activities was primarily due to net sales and maturities of marketable securities for the year ended December 31, 2019 of $17.8 million as compared to $30.3 million for the year ended December 31, 2018. We expect that cash provided by investing activities will increase over the next twelve months as we fund our operations through the combination of net proceeds from the sales and maturities of marketable securities, cash provided by financing activities and/or new partnerships,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although there may be significant fluctuations on a quarterly basis based on the amount of cash provided by financing activities and/or new partnerships.</w:t>
      </w:r>
    </w:p>
    <w:p>
      <w:pPr>
        <w:spacing w:after="0" w:line="248"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Net cash provided by investing activities was $29.8 million for the year ended December 31, 2018 compared to $46.5 million for the year ended December 31, 2017. The decrease in net cash provided by investing activities was primarily due to net sales and maturities of marketable securities for the year ended December 31, 2018 of $30.3 million as compared to $48.3 million for the year ended December 31, 2017.</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provided by financing activities was $16.3 million for the year ended December 31, 2019 compared to $29.4 million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Net proceeds from stock issuances, including stock issued pursuant to employee benefit plans, were $16.3 million during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compared to $29.4 million for the year ended December 31, 2018.</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provided by financing activities was $29.4 million for the year ended December 31, 2018 compared to $51.3 million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Net proceeds from stock issuances, including stock issued pursuant to employee benefit plans, were $29.4 million during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compared to $51.3 million for the year ended December 31, 2017.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Offerings</w:t>
      </w:r>
    </w:p>
    <w:p>
      <w:pPr>
        <w:spacing w:after="0" w:line="225" w:lineRule="exact"/>
        <w:rPr>
          <w:sz w:val="20"/>
          <w:szCs w:val="20"/>
          <w:color w:val="auto"/>
        </w:rPr>
      </w:pPr>
    </w:p>
    <w:p>
      <w:pPr>
        <w:ind w:right="20" w:firstLine="351"/>
        <w:spacing w:after="0" w:line="323" w:lineRule="auto"/>
        <w:rPr>
          <w:sz w:val="20"/>
          <w:szCs w:val="20"/>
          <w:color w:val="auto"/>
        </w:rPr>
      </w:pPr>
      <w:r>
        <w:rPr>
          <w:rFonts w:ascii="Arial" w:cs="Arial" w:eastAsia="Arial" w:hAnsi="Arial"/>
          <w:sz w:val="15"/>
          <w:szCs w:val="15"/>
          <w:color w:val="auto"/>
        </w:rPr>
        <w:t>In December 2016, we filed a shelf registration statement with the Securities and Exchange Commission to register for sale any combination of the types of securities described in the shelf registration statement up to a maximum aggregate offering price of $250.0 million. Such registration statement was declared effective on February 13, 2017. In December 2019, we filed a new shelf registration statement with the Securities and Exchange Commission to register for sale any combination of the types of securities described in the shelf registration statement up to a maximum aggregate offering price of $150.0 million.</w:t>
      </w:r>
    </w:p>
    <w:p>
      <w:pPr>
        <w:spacing w:after="0" w:line="15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May 2016, we entered into an agreement with Cantor Fitzgerald &amp; Co. ("Cantor") to allow us to issue and sell shares of our common stock having an aggregate offering price of up to $60.0 million from time to time through Cantor, acting as agent. In November 2017, we filed a prospectus supplement registering the offer and sale of shares of common stock of up to an additional $75.0 million under the agreement with Cantor. During the years ended December 31, 2019, 2018 and 2017, we issued 5.0 million, 2.7 million and 1.2 million shares of common stock, respectively, under this controlled equity offering sales agreement with Cantor resulting in net proceeds of $16.2 million, $29.0 million and $51.0 million, respectively, after deducting commission and offering expenses. At December 31, 2019, we had $20.7 million remaining in aggregate gross offering price available under the Cantor agreement. From January 1, 2020 through February 29, 2020, we issued 520,606 shares of our common stock resulting in net proceeds of $1.2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CONTRACTUAL OBLIGATIONS</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have entered into license agreements whereby we have received licenses or options to license technology, specified patents and/or patent applications. These license and collaboration agreements generally provide for royalty payments equal to specified percentages of product sales, annual license maintenance fees, continuing patent prosecution costs and potential future milestone payments to third parties upon the achievement of certain development, regulatory and/or commercial milestones. Because the achievement of these milestones had not occurred as of December 31, 2019 such contingencies have not been recorded in our financial statements. We expect to incur approximately $0.2 million of license and milestone payments in 2020.</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348"/>
        <w:spacing w:after="0" w:line="335" w:lineRule="auto"/>
        <w:rPr>
          <w:sz w:val="20"/>
          <w:szCs w:val="20"/>
          <w:color w:val="auto"/>
        </w:rPr>
      </w:pPr>
      <w:r>
        <w:rPr>
          <w:rFonts w:ascii="Arial" w:cs="Arial" w:eastAsia="Arial" w:hAnsi="Arial"/>
          <w:sz w:val="15"/>
          <w:szCs w:val="15"/>
          <w:color w:val="auto"/>
        </w:rPr>
        <w:t>The following table summarizes our contractual obligations (not including contingent royalty and milestone payments as described above) at December 31, 2019 and the effect such obligations and commercial commitments are expected to have on our liquidity and cash flow in future years. These obligations, commitments and supporting arrangements represent expected payments based on current operating forecasts, which are subject to change:</w:t>
      </w:r>
    </w:p>
    <w:p>
      <w:pPr>
        <w:spacing w:after="0" w:line="19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b w:val="1"/>
                <w:bCs w:val="1"/>
                <w:color w:val="auto"/>
                <w:w w:val="89"/>
              </w:rPr>
              <w:t>Total</w:t>
            </w:r>
          </w:p>
        </w:tc>
        <w:tc>
          <w:tcPr>
            <w:tcW w:w="16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3"/>
                <w:szCs w:val="13"/>
                <w:b w:val="1"/>
                <w:bCs w:val="1"/>
                <w:color w:val="auto"/>
                <w:w w:val="89"/>
              </w:rPr>
              <w:t>2021 - 2022</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b w:val="1"/>
                <w:bCs w:val="1"/>
                <w:color w:val="auto"/>
                <w:w w:val="89"/>
              </w:rPr>
              <w:t>2023 - 2024</w:t>
            </w:r>
          </w:p>
        </w:tc>
        <w:tc>
          <w:tcPr>
            <w:tcW w:w="160" w:type="dxa"/>
            <w:vAlign w:val="bottom"/>
          </w:tcPr>
          <w:p>
            <w:pPr>
              <w:spacing w:after="0"/>
              <w:rPr>
                <w:sz w:val="14"/>
                <w:szCs w:val="14"/>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Thereafter</w:t>
            </w:r>
          </w:p>
        </w:tc>
        <w:tc>
          <w:tcPr>
            <w:tcW w:w="160" w:type="dxa"/>
            <w:vAlign w:val="bottom"/>
          </w:tcPr>
          <w:p>
            <w:pPr>
              <w:spacing w:after="0"/>
              <w:rPr>
                <w:sz w:val="14"/>
                <w:szCs w:val="14"/>
                <w:color w:val="auto"/>
              </w:rPr>
            </w:pPr>
          </w:p>
        </w:tc>
      </w:tr>
      <w:tr>
        <w:trPr>
          <w:trHeight w:val="142"/>
        </w:trPr>
        <w:tc>
          <w:tcPr>
            <w:tcW w:w="2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5"/>
          </w:tcPr>
          <w:p>
            <w:pPr>
              <w:ind w:left="200"/>
              <w:spacing w:after="0" w:line="142" w:lineRule="exact"/>
              <w:rPr>
                <w:sz w:val="20"/>
                <w:szCs w:val="20"/>
                <w:color w:val="auto"/>
              </w:rPr>
            </w:pPr>
            <w:r>
              <w:rPr>
                <w:rFonts w:ascii="Arial" w:cs="Arial" w:eastAsia="Arial" w:hAnsi="Arial"/>
                <w:sz w:val="13"/>
                <w:szCs w:val="13"/>
                <w:b w:val="1"/>
                <w:bCs w:val="1"/>
                <w:color w:val="auto"/>
              </w:rPr>
              <w:t>(In thousands)</w:t>
            </w: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Contractual obligations(1)(2):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09"/>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Total contractual obligations(3)</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77"/>
              </w:rPr>
              <w:t>—</w:t>
            </w:r>
          </w:p>
        </w:tc>
        <w:tc>
          <w:tcPr>
            <w:tcW w:w="160" w:type="dxa"/>
            <w:vAlign w:val="bottom"/>
          </w:tcPr>
          <w:p>
            <w:pPr>
              <w:spacing w:after="0"/>
              <w:rPr>
                <w:sz w:val="18"/>
                <w:szCs w:val="18"/>
                <w:color w:val="auto"/>
              </w:rPr>
            </w:pPr>
          </w:p>
        </w:tc>
      </w:tr>
      <w:tr>
        <w:trPr>
          <w:trHeight w:val="20"/>
        </w:trPr>
        <w:tc>
          <w:tcPr>
            <w:tcW w:w="23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380" w:type="dxa"/>
            <w:vAlign w:val="bottom"/>
            <w:tcBorders>
              <w:bottom w:val="single" w:sz="8" w:color="auto"/>
            </w:tcBorders>
          </w:tcPr>
          <w:p>
            <w:pPr>
              <w:spacing w:after="0"/>
              <w:rPr>
                <w:sz w:val="7"/>
                <w:szCs w:val="7"/>
                <w:color w:val="auto"/>
              </w:rPr>
            </w:pPr>
          </w:p>
        </w:tc>
        <w:tc>
          <w:tcPr>
            <w:tcW w:w="2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right="60" w:hanging="549"/>
        <w:spacing w:after="0" w:line="256" w:lineRule="auto"/>
        <w:tabs>
          <w:tab w:leader="none" w:pos="1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enter into agreements in the normal course of business with contract research organizations for clinical trials, contract manufacturing organizations, vendors for preclinical research studies and other services and products for operating purposes. We have included obligations in the table above if the contracts are not cancelable at any time by us, generally upon 30 days prior written notice to the vendor.</w:t>
      </w:r>
    </w:p>
    <w:p>
      <w:pPr>
        <w:spacing w:after="0" w:line="223" w:lineRule="exact"/>
        <w:rPr>
          <w:rFonts w:ascii="Arial" w:cs="Arial" w:eastAsia="Arial" w:hAnsi="Arial"/>
          <w:sz w:val="18"/>
          <w:szCs w:val="18"/>
          <w:color w:val="auto"/>
        </w:rPr>
      </w:pPr>
    </w:p>
    <w:p>
      <w:pPr>
        <w:ind w:left="1680" w:right="20" w:hanging="549"/>
        <w:spacing w:after="0" w:line="306" w:lineRule="auto"/>
        <w:tabs>
          <w:tab w:leader="none" w:pos="16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merger agreement between us and Kolltan ("Merger Agreement") provides that we will be required to pay Kolltan's former stockholders contingent consideration in the form of development, regulatory approval and sales-based milestones ("Kolltan Milestones") of up to $172.5 million. Certain Kolltan Milestones have been abandoned consistent with the provisions of the Merger Agreement and, because of this, as of December 31, 2019, we believe that the adjusted amount we may be required to pay for future consideration is up to $127.5 million contingent upon the achievement of the Kolltan Milestones. We have previously sent an abandonment notice to the representative of Kolltan's former stockholders with respect to certain of those Kolltan Milestones, to which the representative subsequently objected. We disagree with their objection and believe their objection to be without merit. We are, however, discussing potential amendments to the Merger Agreement with respect to the Kolltan Milestones with that stockholder representative. At this time, we are unable to reasonably assess the ultimate outcome of our disagreement with the representative of Kolltan's former stockholders over its objection to our abandonment of certain Kolltan Milestones or determine an estimate of potential losses, if any. We cannot assure you whether any such amendment will be completed on terms acceptable to us, or at all. Because the timing and certainty of these milestones being achieved is unknown, these potential future obligations are not included within the table.</w:t>
      </w:r>
    </w:p>
    <w:p>
      <w:pPr>
        <w:spacing w:after="0" w:line="182" w:lineRule="exact"/>
        <w:rPr>
          <w:rFonts w:ascii="Arial" w:cs="Arial" w:eastAsia="Arial" w:hAnsi="Arial"/>
          <w:sz w:val="15"/>
          <w:szCs w:val="15"/>
          <w:color w:val="auto"/>
        </w:rPr>
      </w:pPr>
    </w:p>
    <w:p>
      <w:pPr>
        <w:ind w:left="1680" w:hanging="549"/>
        <w:spacing w:after="0" w:line="268" w:lineRule="auto"/>
        <w:tabs>
          <w:tab w:leader="none" w:pos="1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Refer to Note 7, "Leases," in the accompanying notes to the financial statements for details on future minimum lease payments that will become due under non-cancellable leases.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720" w:firstLine="351"/>
        <w:spacing w:after="0" w:line="268" w:lineRule="auto"/>
        <w:rPr>
          <w:sz w:val="20"/>
          <w:szCs w:val="20"/>
          <w:color w:val="auto"/>
        </w:rPr>
      </w:pPr>
      <w:r>
        <w:rPr>
          <w:rFonts w:ascii="Arial" w:cs="Arial" w:eastAsia="Arial" w:hAnsi="Arial"/>
          <w:sz w:val="18"/>
          <w:szCs w:val="18"/>
          <w:color w:val="auto"/>
        </w:rPr>
        <w:t>Refer to Note 2, "Summary of Significant Accounting Policies," in the accompanying notes to the financial statements for a discussion of recent accounting pronouncements.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changes in interest rates is not material.</w:t>
      </w:r>
    </w:p>
    <w:p>
      <w:pPr>
        <w:spacing w:after="0" w:line="169" w:lineRule="exact"/>
        <w:rPr>
          <w:sz w:val="20"/>
          <w:szCs w:val="20"/>
          <w:color w:val="auto"/>
        </w:rPr>
      </w:pPr>
    </w:p>
    <w:p>
      <w:pPr>
        <w:ind w:right="100" w:firstLine="348"/>
        <w:spacing w:after="0" w:line="331" w:lineRule="auto"/>
        <w:rPr>
          <w:sz w:val="20"/>
          <w:szCs w:val="20"/>
          <w:color w:val="auto"/>
        </w:rPr>
      </w:pPr>
      <w:r>
        <w:rPr>
          <w:rFonts w:ascii="Arial" w:cs="Arial" w:eastAsia="Arial" w:hAnsi="Arial"/>
          <w:sz w:val="16"/>
          <w:szCs w:val="16"/>
          <w:color w:val="auto"/>
        </w:rPr>
        <w:t>We do not utilize derivative financial instruments. The carrying amounts reflected in the balance sheet of cash and cash equivalents, accounts receivables and accounts payable approximates fair value at December 31, 2019 due to the short-term maturities of these instruments.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Celldex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have audited the accompanying consolidated balance sheets of Celldex Therapeutics, Inc. and its subsidiary (the "Company") as of December 31, 2019 and 2018, and the related consolidated statements of operations and comprehensive loss, of stockholders' equity and of cash flows for each of the three years in the period ended December 31, 2019, including the related notes (collectively referred to as the "consolidated financial statements"). In our opinion, the consolidated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Substantial Doubt About the Company's Ability to Continue as a Going Concern</w:t>
      </w:r>
    </w:p>
    <w:p>
      <w:pPr>
        <w:spacing w:after="0" w:line="225" w:lineRule="exact"/>
        <w:rPr>
          <w:sz w:val="20"/>
          <w:szCs w:val="20"/>
          <w:color w:val="auto"/>
        </w:rPr>
      </w:pPr>
    </w:p>
    <w:p>
      <w:pPr>
        <w:ind w:right="260" w:firstLine="348"/>
        <w:spacing w:after="0" w:line="298"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1 to the consolidated financial statements, the Company has incurred recurring losses and cash outflows from operations since its inception and has an accumulated deficit,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discussed in Note 2 to the consolidated financial statements, the Company changed the manner in which it accounts for leases in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6"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9"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accounting principles used and significant estimates made by management, as well as evaluating the overall presentation of the consolidated financial statements. We believe that our audits provide a reasonable basis for our opinion.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26, 2020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25"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80"/>
          </w:cols>
          <w:pgMar w:left="320" w:top="131" w:right="79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60"/>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060"/>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0"/>
              </w:rPr>
              <w:t>December 31, 2019</w:t>
            </w:r>
          </w:p>
        </w:tc>
        <w:tc>
          <w:tcPr>
            <w:tcW w:w="100" w:type="dxa"/>
            <w:vAlign w:val="bottom"/>
          </w:tcPr>
          <w:p>
            <w:pPr>
              <w:spacing w:after="0"/>
              <w:rPr>
                <w:sz w:val="14"/>
                <w:szCs w:val="14"/>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2"/>
              </w:rPr>
              <w:t>December 31, 2018</w:t>
            </w:r>
          </w:p>
        </w:tc>
      </w:tr>
      <w:tr>
        <w:trPr>
          <w:trHeight w:val="20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1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24,310</w:t>
            </w:r>
          </w:p>
        </w:tc>
      </w:tr>
      <w:tr>
        <w:trPr>
          <w:trHeight w:val="216"/>
        </w:trPr>
        <w:tc>
          <w:tcPr>
            <w:tcW w:w="610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53,151</w:t>
            </w: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69,712</w:t>
            </w:r>
          </w:p>
        </w:tc>
      </w:tr>
      <w:tr>
        <w:trPr>
          <w:trHeight w:val="216"/>
        </w:trPr>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and Other Receivables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1,015</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3,162</w:t>
            </w:r>
          </w:p>
        </w:tc>
      </w:tr>
      <w:tr>
        <w:trPr>
          <w:trHeight w:val="216"/>
        </w:trPr>
        <w:tc>
          <w:tcPr>
            <w:tcW w:w="6100" w:type="dxa"/>
            <w:vAlign w:val="bottom"/>
          </w:tcPr>
          <w:p>
            <w:pPr>
              <w:ind w:left="200"/>
              <w:spacing w:after="0"/>
              <w:rPr>
                <w:sz w:val="20"/>
                <w:szCs w:val="20"/>
                <w:color w:val="auto"/>
              </w:rPr>
            </w:pPr>
            <w:r>
              <w:rPr>
                <w:rFonts w:ascii="Arial" w:cs="Arial" w:eastAsia="Arial" w:hAnsi="Arial"/>
                <w:sz w:val="18"/>
                <w:szCs w:val="18"/>
                <w:color w:val="auto"/>
              </w:rPr>
              <w:t>Prepaid and Other Current Assets</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1,895</w:t>
            </w:r>
          </w:p>
        </w:tc>
      </w:tr>
      <w:tr>
        <w:trPr>
          <w:trHeight w:val="20"/>
        </w:trPr>
        <w:tc>
          <w:tcPr>
            <w:tcW w:w="6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66,698</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99,079</w:t>
            </w:r>
          </w:p>
        </w:tc>
      </w:tr>
      <w:tr>
        <w:trPr>
          <w:trHeight w:val="209"/>
        </w:trPr>
        <w:tc>
          <w:tcPr>
            <w:tcW w:w="61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4,031</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6,111</w:t>
            </w:r>
          </w:p>
        </w:tc>
        <w:tc>
          <w:tcPr>
            <w:tcW w:w="160" w:type="dxa"/>
            <w:vAlign w:val="bottom"/>
          </w:tcPr>
          <w:p>
            <w:pPr>
              <w:spacing w:after="0"/>
              <w:rPr>
                <w:sz w:val="18"/>
                <w:szCs w:val="18"/>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 Net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3,473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1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48,690</w:t>
            </w: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48,690</w:t>
            </w: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1,929</w:t>
            </w:r>
          </w:p>
        </w:tc>
      </w:tr>
      <w:tr>
        <w:trPr>
          <w:trHeight w:val="209"/>
        </w:trPr>
        <w:tc>
          <w:tcPr>
            <w:tcW w:w="610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122,933</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155,809</w:t>
            </w:r>
          </w:p>
        </w:tc>
        <w:tc>
          <w:tcPr>
            <w:tcW w:w="160" w:type="dxa"/>
            <w:vAlign w:val="bottom"/>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6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61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1,069</w:t>
            </w:r>
          </w:p>
        </w:tc>
      </w:tr>
      <w:tr>
        <w:trPr>
          <w:trHeight w:val="216"/>
        </w:trPr>
        <w:tc>
          <w:tcPr>
            <w:tcW w:w="610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6,499</w:t>
            </w: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7,007</w:t>
            </w:r>
          </w:p>
        </w:tc>
      </w:tr>
      <w:tr>
        <w:trPr>
          <w:trHeight w:val="216"/>
        </w:trPr>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Operating Lease Liabilities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100" w:type="dxa"/>
            <w:vAlign w:val="bottom"/>
          </w:tcPr>
          <w:p>
            <w:pPr>
              <w:ind w:left="200"/>
              <w:spacing w:after="0"/>
              <w:rPr>
                <w:sz w:val="20"/>
                <w:szCs w:val="20"/>
                <w:color w:val="auto"/>
              </w:rPr>
            </w:pPr>
            <w:r>
              <w:rPr>
                <w:rFonts w:ascii="Arial" w:cs="Arial" w:eastAsia="Arial" w:hAnsi="Arial"/>
                <w:sz w:val="18"/>
                <w:szCs w:val="18"/>
                <w:color w:val="auto"/>
              </w:rPr>
              <w:t>Current Portion of Long-Term Liabilities</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4,526</w:t>
            </w:r>
          </w:p>
        </w:tc>
      </w:tr>
      <w:tr>
        <w:trPr>
          <w:trHeight w:val="20"/>
        </w:trPr>
        <w:tc>
          <w:tcPr>
            <w:tcW w:w="6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6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11,643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12,602</w:t>
            </w:r>
          </w:p>
        </w:tc>
      </w:tr>
      <w:tr>
        <w:trPr>
          <w:trHeight w:val="210"/>
        </w:trPr>
        <w:tc>
          <w:tcPr>
            <w:tcW w:w="6100" w:type="dxa"/>
            <w:vAlign w:val="bottom"/>
          </w:tcPr>
          <w:p>
            <w:pPr>
              <w:ind w:left="20"/>
              <w:spacing w:after="0"/>
              <w:rPr>
                <w:sz w:val="20"/>
                <w:szCs w:val="20"/>
                <w:color w:val="auto"/>
              </w:rPr>
            </w:pPr>
            <w:r>
              <w:rPr>
                <w:rFonts w:ascii="Arial" w:cs="Arial" w:eastAsia="Arial" w:hAnsi="Arial"/>
                <w:sz w:val="18"/>
                <w:szCs w:val="18"/>
                <w:color w:val="auto"/>
              </w:rPr>
              <w:t>Long-Term Portion of Operating Lease Liabilities</w:t>
            </w: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1,713</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15,551</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19,147</w:t>
            </w:r>
          </w:p>
        </w:tc>
      </w:tr>
      <w:tr>
        <w:trPr>
          <w:trHeight w:val="210"/>
        </w:trPr>
        <w:tc>
          <w:tcPr>
            <w:tcW w:w="610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28,907</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31,749</w:t>
            </w:r>
          </w:p>
        </w:tc>
        <w:tc>
          <w:tcPr>
            <w:tcW w:w="160" w:type="dxa"/>
            <w:vAlign w:val="bottom"/>
          </w:tcPr>
          <w:p>
            <w:pPr>
              <w:spacing w:after="0"/>
              <w:rPr>
                <w:sz w:val="18"/>
                <w:szCs w:val="18"/>
                <w:color w:val="auto"/>
              </w:rPr>
            </w:pPr>
          </w:p>
        </w:tc>
      </w:tr>
      <w:tr>
        <w:trPr>
          <w:trHeight w:val="21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Contingent Liabilities (Note 14)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1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Convertible Preferred Stock, $.01 Par Value; 3,000,000 Shares Authorized; No</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6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Shares Issued and Outstanding at December 31, 2019 and 2018</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8"/>
        </w:trPr>
        <w:tc>
          <w:tcPr>
            <w:tcW w:w="6100" w:type="dxa"/>
            <w:vAlign w:val="bottom"/>
          </w:tcPr>
          <w:p>
            <w:pPr>
              <w:ind w:left="200"/>
              <w:spacing w:after="0"/>
              <w:rPr>
                <w:sz w:val="20"/>
                <w:szCs w:val="20"/>
                <w:color w:val="auto"/>
              </w:rPr>
            </w:pPr>
            <w:r>
              <w:rPr>
                <w:rFonts w:ascii="Arial" w:cs="Arial" w:eastAsia="Arial" w:hAnsi="Arial"/>
                <w:sz w:val="18"/>
                <w:szCs w:val="18"/>
                <w:color w:val="auto"/>
                <w:w w:val="94"/>
              </w:rPr>
              <w:t>Common Stock, $.001 Par Value; 297,000,000 Shares Authorized; 16,972,077</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100" w:type="dxa"/>
            <w:vAlign w:val="bottom"/>
          </w:tcPr>
          <w:p>
            <w:pPr>
              <w:ind w:left="380"/>
              <w:spacing w:after="0"/>
              <w:rPr>
                <w:sz w:val="20"/>
                <w:szCs w:val="20"/>
                <w:color w:val="auto"/>
              </w:rPr>
            </w:pPr>
            <w:r>
              <w:rPr>
                <w:rFonts w:ascii="Arial" w:cs="Arial" w:eastAsia="Arial" w:hAnsi="Arial"/>
                <w:sz w:val="18"/>
                <w:szCs w:val="18"/>
                <w:color w:val="auto"/>
                <w:w w:val="94"/>
              </w:rPr>
              <w:t>and 11,957,635 Shares Issued and Outstanding at December 31, 2019 and</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6100" w:type="dxa"/>
            <w:vAlign w:val="bottom"/>
          </w:tcPr>
          <w:p>
            <w:pPr>
              <w:ind w:left="380"/>
              <w:spacing w:after="0"/>
              <w:rPr>
                <w:sz w:val="20"/>
                <w:szCs w:val="20"/>
                <w:color w:val="auto"/>
              </w:rPr>
            </w:pPr>
            <w:r>
              <w:rPr>
                <w:rFonts w:ascii="Arial" w:cs="Arial" w:eastAsia="Arial" w:hAnsi="Arial"/>
                <w:sz w:val="18"/>
                <w:szCs w:val="18"/>
                <w:color w:val="auto"/>
              </w:rPr>
              <w:t>2018, Respectively</w:t>
            </w:r>
          </w:p>
        </w:tc>
        <w:tc>
          <w:tcPr>
            <w:tcW w:w="1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r>
      <w:tr>
        <w:trPr>
          <w:trHeight w:val="217"/>
        </w:trPr>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1,104,706</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1,083,903</w:t>
            </w:r>
          </w:p>
        </w:tc>
      </w:tr>
      <w:tr>
        <w:trPr>
          <w:trHeight w:val="216"/>
        </w:trPr>
        <w:tc>
          <w:tcPr>
            <w:tcW w:w="610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2,619</w:t>
            </w: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2,583</w:t>
            </w:r>
          </w:p>
        </w:tc>
      </w:tr>
      <w:tr>
        <w:trPr>
          <w:trHeight w:val="216"/>
        </w:trPr>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(1,013,316)</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(962,438)</w:t>
            </w:r>
          </w:p>
        </w:tc>
      </w:tr>
      <w:tr>
        <w:trPr>
          <w:trHeight w:val="210"/>
        </w:trPr>
        <w:tc>
          <w:tcPr>
            <w:tcW w:w="610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94,026</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124,060</w:t>
            </w:r>
          </w:p>
        </w:tc>
        <w:tc>
          <w:tcPr>
            <w:tcW w:w="160" w:type="dxa"/>
            <w:vAlign w:val="bottom"/>
          </w:tcPr>
          <w:p>
            <w:pPr>
              <w:spacing w:after="0"/>
              <w:rPr>
                <w:sz w:val="18"/>
                <w:szCs w:val="18"/>
                <w:color w:val="auto"/>
              </w:rPr>
            </w:pPr>
          </w:p>
        </w:tc>
      </w:tr>
      <w:tr>
        <w:trPr>
          <w:trHeight w:val="210"/>
        </w:trPr>
        <w:tc>
          <w:tcPr>
            <w:tcW w:w="6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122,933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155,809</w:t>
            </w:r>
          </w:p>
        </w:tc>
      </w:tr>
      <w:tr>
        <w:trPr>
          <w:trHeight w:val="20"/>
        </w:trPr>
        <w:tc>
          <w:tcPr>
            <w:tcW w:w="6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ind w:right="1979" w:firstLine="3089"/>
        <w:spacing w:after="0" w:line="500" w:lineRule="auto"/>
        <w:rPr>
          <w:sz w:val="20"/>
          <w:szCs w:val="20"/>
          <w:color w:val="auto"/>
        </w:rPr>
      </w:pPr>
      <w:r>
        <w:rPr>
          <w:rFonts w:ascii="Arial" w:cs="Arial" w:eastAsia="Arial" w:hAnsi="Arial"/>
          <w:sz w:val="18"/>
          <w:szCs w:val="18"/>
          <w:color w:val="auto"/>
        </w:rPr>
        <w:t>The accompanying notes are an integral part of the financial statements. (Reflects one for fifteen reverse stock split effective February 8, 2019)</w:t>
      </w:r>
    </w:p>
    <w:p>
      <w:pPr>
        <w:spacing w:after="0" w:line="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60"/>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06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25"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6"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4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Year Ended</w:t>
            </w:r>
          </w:p>
        </w:tc>
        <w:tc>
          <w:tcPr>
            <w:tcW w:w="100" w:type="dxa"/>
            <w:vAlign w:val="bottom"/>
          </w:tcPr>
          <w:p>
            <w:pPr>
              <w:spacing w:after="0"/>
              <w:rPr>
                <w:sz w:val="13"/>
                <w:szCs w:val="13"/>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Year Ended</w:t>
            </w:r>
          </w:p>
        </w:tc>
        <w:tc>
          <w:tcPr>
            <w:tcW w:w="100" w:type="dxa"/>
            <w:vAlign w:val="bottom"/>
          </w:tcPr>
          <w:p>
            <w:pPr>
              <w:spacing w:after="0"/>
              <w:rPr>
                <w:sz w:val="13"/>
                <w:szCs w:val="13"/>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61"/>
        </w:trPr>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0"/>
              </w:rPr>
              <w:t>December 31, 2019</w:t>
            </w:r>
          </w:p>
        </w:tc>
        <w:tc>
          <w:tcPr>
            <w:tcW w:w="10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0"/>
              </w:rPr>
              <w:t>December 31, 2018</w:t>
            </w:r>
          </w:p>
        </w:tc>
        <w:tc>
          <w:tcPr>
            <w:tcW w:w="100" w:type="dxa"/>
            <w:vAlign w:val="bottom"/>
          </w:tcPr>
          <w:p>
            <w:pPr>
              <w:spacing w:after="0"/>
              <w:rPr>
                <w:sz w:val="14"/>
                <w:szCs w:val="14"/>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2"/>
              </w:rPr>
              <w:t>December 31, 2017</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Arial" w:cs="Arial" w:eastAsia="Arial" w:hAnsi="Arial"/>
                <w:sz w:val="18"/>
                <w:szCs w:val="18"/>
                <w:color w:val="auto"/>
              </w:rPr>
              <w:t>Product Development and Licensing Agreements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3,341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3,153</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Contracts and Grants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6,197</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9,590</w:t>
            </w:r>
          </w:p>
        </w:tc>
        <w:tc>
          <w:tcPr>
            <w:tcW w:w="0" w:type="dxa"/>
            <w:vAlign w:val="bottom"/>
          </w:tcPr>
          <w:p>
            <w:pPr>
              <w:spacing w:after="0"/>
              <w:rPr>
                <w:sz w:val="1"/>
                <w:szCs w:val="1"/>
                <w:color w:val="auto"/>
              </w:rPr>
            </w:pPr>
          </w:p>
        </w:tc>
      </w:tr>
      <w:tr>
        <w:trPr>
          <w:trHeight w:val="209"/>
        </w:trPr>
        <w:tc>
          <w:tcPr>
            <w:tcW w:w="466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3,573</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9,538</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42,672</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66,449</w:t>
            </w: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96,171</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15,426</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19,269</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25,003</w:t>
            </w: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90,976</w:t>
            </w: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 Impairment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18,677</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Arial" w:cs="Arial" w:eastAsia="Arial" w:hAnsi="Arial"/>
                <w:sz w:val="18"/>
                <w:szCs w:val="18"/>
                <w:color w:val="auto"/>
              </w:rPr>
              <w:t>Other Asset Impairment</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Fair Value Remeasurement of Contingent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Consideration</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(29,621)</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Arial" w:cs="Arial" w:eastAsia="Arial" w:hAnsi="Arial"/>
                <w:sz w:val="18"/>
                <w:szCs w:val="18"/>
                <w:color w:val="auto"/>
              </w:rPr>
              <w:t>Amortization of Acquired Intangible Assets</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58,604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165,974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134,270</w:t>
            </w:r>
          </w:p>
        </w:tc>
        <w:tc>
          <w:tcPr>
            <w:tcW w:w="0" w:type="dxa"/>
            <w:vAlign w:val="bottom"/>
          </w:tcPr>
          <w:p>
            <w:pPr>
              <w:spacing w:after="0"/>
              <w:rPr>
                <w:sz w:val="1"/>
                <w:szCs w:val="1"/>
                <w:color w:val="auto"/>
              </w:rPr>
            </w:pPr>
          </w:p>
        </w:tc>
      </w:tr>
      <w:tr>
        <w:trPr>
          <w:trHeight w:val="209"/>
        </w:trPr>
        <w:tc>
          <w:tcPr>
            <w:tcW w:w="466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(55,031)</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(156,436)</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(121,527)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and Other Income, Net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4,153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4,487</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4,214</w:t>
            </w:r>
          </w:p>
        </w:tc>
        <w:tc>
          <w:tcPr>
            <w:tcW w:w="0" w:type="dxa"/>
            <w:vAlign w:val="bottom"/>
          </w:tcPr>
          <w:p>
            <w:pPr>
              <w:spacing w:after="0"/>
              <w:rPr>
                <w:sz w:val="1"/>
                <w:szCs w:val="1"/>
                <w:color w:val="auto"/>
              </w:rPr>
            </w:pPr>
          </w:p>
        </w:tc>
      </w:tr>
      <w:tr>
        <w:trPr>
          <w:trHeight w:val="210"/>
        </w:trPr>
        <w:tc>
          <w:tcPr>
            <w:tcW w:w="4660" w:type="dxa"/>
            <w:vAlign w:val="bottom"/>
          </w:tcPr>
          <w:p>
            <w:pPr>
              <w:ind w:left="20"/>
              <w:spacing w:after="0"/>
              <w:rPr>
                <w:sz w:val="20"/>
                <w:szCs w:val="20"/>
                <w:color w:val="auto"/>
              </w:rPr>
            </w:pPr>
            <w:r>
              <w:rPr>
                <w:rFonts w:ascii="Arial" w:cs="Arial" w:eastAsia="Arial" w:hAnsi="Arial"/>
                <w:sz w:val="18"/>
                <w:szCs w:val="18"/>
                <w:color w:val="auto"/>
              </w:rPr>
              <w:t>Net Loss Before Income Tax Benefit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(50,878)</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(151,949)</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(117,313)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24,282</w:t>
            </w:r>
          </w:p>
        </w:tc>
        <w:tc>
          <w:tcPr>
            <w:tcW w:w="0" w:type="dxa"/>
            <w:vAlign w:val="bottom"/>
          </w:tcPr>
          <w:p>
            <w:pPr>
              <w:spacing w:after="0"/>
              <w:rPr>
                <w:sz w:val="1"/>
                <w:szCs w:val="1"/>
                <w:color w:val="auto"/>
              </w:rPr>
            </w:pPr>
          </w:p>
        </w:tc>
      </w:tr>
      <w:tr>
        <w:trPr>
          <w:trHeight w:val="210"/>
        </w:trPr>
        <w:tc>
          <w:tcPr>
            <w:tcW w:w="46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(50,878)</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(151,184)</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Basic and Diluted Net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(14.48)</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20"/>
              <w:spacing w:after="0"/>
              <w:rPr>
                <w:sz w:val="20"/>
                <w:szCs w:val="20"/>
                <w:color w:val="auto"/>
              </w:rPr>
            </w:pPr>
            <w:r>
              <w:rPr>
                <w:rFonts w:ascii="Arial" w:cs="Arial" w:eastAsia="Arial" w:hAnsi="Arial"/>
                <w:sz w:val="18"/>
                <w:szCs w:val="18"/>
                <w:color w:val="auto"/>
                <w:w w:val="98"/>
              </w:rPr>
              <w:t>Shares Used in Calculating Basic and Diluted Net Loss per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660" w:type="dxa"/>
            <w:vAlign w:val="bottom"/>
          </w:tcPr>
          <w:p>
            <w:pPr>
              <w:ind w:left="200"/>
              <w:spacing w:after="0"/>
              <w:rPr>
                <w:sz w:val="20"/>
                <w:szCs w:val="20"/>
                <w:color w:val="auto"/>
              </w:rPr>
            </w:pPr>
            <w:r>
              <w:rPr>
                <w:rFonts w:ascii="Arial" w:cs="Arial" w:eastAsia="Arial" w:hAnsi="Arial"/>
                <w:sz w:val="18"/>
                <w:szCs w:val="18"/>
                <w:color w:val="auto"/>
              </w:rPr>
              <w:t>Share</w:t>
            </w:r>
          </w:p>
        </w:tc>
        <w:tc>
          <w:tcPr>
            <w:tcW w:w="1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14,507</w:t>
            </w:r>
          </w:p>
        </w:tc>
        <w:tc>
          <w:tcPr>
            <w:tcW w:w="1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10,442</w:t>
            </w:r>
          </w:p>
        </w:tc>
        <w:tc>
          <w:tcPr>
            <w:tcW w:w="10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8,570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6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b w:val="1"/>
                <w:bCs w:val="1"/>
                <w:color w:val="auto"/>
              </w:rPr>
              <w:t>COMPREHENSIVE LOSS:</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(50,878)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(151,184)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(93,031)</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0"/>
              <w:spacing w:after="0"/>
              <w:rPr>
                <w:sz w:val="20"/>
                <w:szCs w:val="20"/>
                <w:color w:val="auto"/>
              </w:rPr>
            </w:pPr>
            <w:r>
              <w:rPr>
                <w:rFonts w:ascii="Arial" w:cs="Arial" w:eastAsia="Arial" w:hAnsi="Arial"/>
                <w:sz w:val="18"/>
                <w:szCs w:val="18"/>
                <w:color w:val="auto"/>
              </w:rPr>
              <w:t>Unrealized Gain on Marketable Securities</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(151,165)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(93,008)</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(Reflects one for fifteen reverse stock split effective February 8, 2019)</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9"/>
          </w:cols>
          <w:pgMar w:left="320" w:top="590" w:right="1440"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(In thousands, except share amounts)</w:t>
      </w:r>
    </w:p>
    <w:p>
      <w:pPr>
        <w:spacing w:after="0" w:line="226"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2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Accumulated</w:t>
            </w: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8"/>
        </w:trPr>
        <w:tc>
          <w:tcPr>
            <w:tcW w:w="2580" w:type="dxa"/>
            <w:vAlign w:val="bottom"/>
          </w:tcPr>
          <w:p>
            <w:pPr>
              <w:spacing w:after="0"/>
              <w:rPr>
                <w:sz w:val="12"/>
                <w:szCs w:val="12"/>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Common</w:t>
            </w:r>
          </w:p>
        </w:tc>
        <w:tc>
          <w:tcPr>
            <w:tcW w:w="8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Common</w:t>
            </w:r>
          </w:p>
        </w:tc>
        <w:tc>
          <w:tcPr>
            <w:tcW w:w="10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2"/>
                <w:szCs w:val="12"/>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Other</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9"/>
              </w:rPr>
              <w:t>Total</w:t>
            </w:r>
          </w:p>
        </w:tc>
      </w:tr>
      <w:tr>
        <w:trPr>
          <w:trHeight w:val="149"/>
        </w:trPr>
        <w:tc>
          <w:tcPr>
            <w:tcW w:w="258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Stock</w:t>
            </w:r>
          </w:p>
        </w:tc>
        <w:tc>
          <w:tcPr>
            <w:tcW w:w="8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3"/>
              </w:rPr>
              <w:t>Stock Par</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Paid-In</w:t>
            </w:r>
          </w:p>
        </w:tc>
        <w:tc>
          <w:tcPr>
            <w:tcW w:w="12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0"/>
              </w:rPr>
              <w:t>Comprehensive</w:t>
            </w:r>
          </w:p>
        </w:tc>
        <w:tc>
          <w:tcPr>
            <w:tcW w:w="11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Accumulated</w:t>
            </w:r>
          </w:p>
        </w:tc>
        <w:tc>
          <w:tcPr>
            <w:tcW w:w="11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3"/>
              </w:rPr>
              <w:t>Stockholders'</w:t>
            </w:r>
          </w:p>
        </w:tc>
      </w:tr>
      <w:tr>
        <w:trPr>
          <w:trHeight w:val="161"/>
        </w:trPr>
        <w:tc>
          <w:tcPr>
            <w:tcW w:w="258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Shares</w:t>
            </w:r>
          </w:p>
        </w:tc>
        <w:tc>
          <w:tcPr>
            <w:tcW w:w="8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Value</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Income</w:t>
            </w:r>
          </w:p>
        </w:tc>
        <w:tc>
          <w:tcPr>
            <w:tcW w:w="112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Deficit</w:t>
            </w:r>
          </w:p>
        </w:tc>
        <w:tc>
          <w:tcPr>
            <w:tcW w:w="20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Equity</w:t>
            </w:r>
          </w:p>
        </w:tc>
      </w:tr>
      <w:tr>
        <w:trPr>
          <w:trHeight w:val="195"/>
        </w:trPr>
        <w:tc>
          <w:tcPr>
            <w:tcW w:w="25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Consolidated Balance at</w:t>
            </w:r>
          </w:p>
        </w:tc>
        <w:tc>
          <w:tcPr>
            <w:tcW w:w="9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0"/>
        </w:trPr>
        <w:tc>
          <w:tcPr>
            <w:tcW w:w="25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December 31, 2016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8,034,443</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982,368</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2,541</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(719,486)</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265,431</w:t>
            </w:r>
          </w:p>
        </w:tc>
      </w:tr>
      <w:tr>
        <w:trPr>
          <w:trHeight w:val="208"/>
        </w:trPr>
        <w:tc>
          <w:tcPr>
            <w:tcW w:w="2580" w:type="dxa"/>
            <w:vAlign w:val="bottom"/>
          </w:tcPr>
          <w:p>
            <w:pPr>
              <w:ind w:left="20"/>
              <w:spacing w:after="0"/>
              <w:rPr>
                <w:sz w:val="20"/>
                <w:szCs w:val="20"/>
                <w:color w:val="auto"/>
              </w:rPr>
            </w:pPr>
            <w:r>
              <w:rPr>
                <w:rFonts w:ascii="Arial" w:cs="Arial" w:eastAsia="Arial" w:hAnsi="Arial"/>
                <w:sz w:val="18"/>
                <w:szCs w:val="18"/>
                <w:color w:val="auto"/>
                <w:w w:val="92"/>
              </w:rPr>
              <w:t>Shares Issued under Stock Option</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w w:val="95"/>
              </w:rPr>
              <w:t>and Employee Stock Purchase</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580" w:type="dxa"/>
            <w:vAlign w:val="bottom"/>
          </w:tcPr>
          <w:p>
            <w:pPr>
              <w:ind w:left="200"/>
              <w:spacing w:after="0"/>
              <w:rPr>
                <w:sz w:val="20"/>
                <w:szCs w:val="20"/>
                <w:color w:val="auto"/>
              </w:rPr>
            </w:pPr>
            <w:r>
              <w:rPr>
                <w:rFonts w:ascii="Arial" w:cs="Arial" w:eastAsia="Arial" w:hAnsi="Arial"/>
                <w:sz w:val="18"/>
                <w:szCs w:val="18"/>
                <w:color w:val="auto"/>
              </w:rPr>
              <w:t>Plans</w:t>
            </w:r>
          </w:p>
        </w:tc>
        <w:tc>
          <w:tcPr>
            <w:tcW w:w="920" w:type="dxa"/>
            <w:vAlign w:val="bottom"/>
          </w:tcPr>
          <w:p>
            <w:pPr>
              <w:jc w:val="right"/>
              <w:spacing w:after="0"/>
              <w:rPr>
                <w:sz w:val="20"/>
                <w:szCs w:val="20"/>
                <w:color w:val="auto"/>
              </w:rPr>
            </w:pPr>
            <w:r>
              <w:rPr>
                <w:rFonts w:ascii="Arial" w:cs="Arial" w:eastAsia="Arial" w:hAnsi="Arial"/>
                <w:sz w:val="18"/>
                <w:szCs w:val="18"/>
                <w:color w:val="auto"/>
              </w:rPr>
              <w:t>11,581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265</w:t>
            </w:r>
          </w:p>
        </w:tc>
      </w:tr>
      <w:tr>
        <w:trPr>
          <w:trHeight w:val="209"/>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Shares Issued in Connection with</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Cantor Agreement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1,181,524</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51,024</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51,025</w:t>
            </w:r>
          </w:p>
        </w:tc>
      </w:tr>
      <w:tr>
        <w:trPr>
          <w:trHeight w:val="208"/>
        </w:trPr>
        <w:tc>
          <w:tcPr>
            <w:tcW w:w="2580" w:type="dxa"/>
            <w:vAlign w:val="bottom"/>
          </w:tcPr>
          <w:p>
            <w:pPr>
              <w:ind w:left="20"/>
              <w:spacing w:after="0"/>
              <w:rPr>
                <w:sz w:val="20"/>
                <w:szCs w:val="20"/>
                <w:color w:val="auto"/>
              </w:rPr>
            </w:pPr>
            <w:r>
              <w:rPr>
                <w:rFonts w:ascii="Arial" w:cs="Arial" w:eastAsia="Arial" w:hAnsi="Arial"/>
                <w:sz w:val="18"/>
                <w:szCs w:val="18"/>
                <w:color w:val="auto"/>
                <w:w w:val="95"/>
              </w:rPr>
              <w:t>Shares Issued in Connection with</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580" w:type="dxa"/>
            <w:vAlign w:val="bottom"/>
          </w:tcPr>
          <w:p>
            <w:pPr>
              <w:ind w:left="200"/>
              <w:spacing w:after="0"/>
              <w:rPr>
                <w:sz w:val="20"/>
                <w:szCs w:val="20"/>
                <w:color w:val="auto"/>
              </w:rPr>
            </w:pPr>
            <w:r>
              <w:rPr>
                <w:rFonts w:ascii="Arial" w:cs="Arial" w:eastAsia="Arial" w:hAnsi="Arial"/>
                <w:sz w:val="18"/>
                <w:szCs w:val="18"/>
                <w:color w:val="auto"/>
              </w:rPr>
              <w:t>Kolltan Severance</w:t>
            </w:r>
          </w:p>
        </w:tc>
        <w:tc>
          <w:tcPr>
            <w:tcW w:w="920" w:type="dxa"/>
            <w:vAlign w:val="bottom"/>
          </w:tcPr>
          <w:p>
            <w:pPr>
              <w:jc w:val="right"/>
              <w:spacing w:after="0"/>
              <w:rPr>
                <w:sz w:val="20"/>
                <w:szCs w:val="20"/>
                <w:color w:val="auto"/>
              </w:rPr>
            </w:pPr>
            <w:r>
              <w:rPr>
                <w:rFonts w:ascii="Arial" w:cs="Arial" w:eastAsia="Arial" w:hAnsi="Arial"/>
                <w:sz w:val="18"/>
                <w:szCs w:val="18"/>
                <w:color w:val="auto"/>
              </w:rPr>
              <w:t>7,145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344</w:t>
            </w:r>
          </w:p>
        </w:tc>
      </w:tr>
      <w:tr>
        <w:trPr>
          <w:trHeight w:val="217"/>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12,312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12,312</w:t>
            </w:r>
          </w:p>
        </w:tc>
      </w:tr>
      <w:tr>
        <w:trPr>
          <w:trHeight w:val="208"/>
        </w:trPr>
        <w:tc>
          <w:tcPr>
            <w:tcW w:w="2580" w:type="dxa"/>
            <w:vAlign w:val="bottom"/>
          </w:tcPr>
          <w:p>
            <w:pPr>
              <w:ind w:left="20"/>
              <w:spacing w:after="0"/>
              <w:rPr>
                <w:sz w:val="20"/>
                <w:szCs w:val="20"/>
                <w:color w:val="auto"/>
              </w:rPr>
            </w:pPr>
            <w:r>
              <w:rPr>
                <w:rFonts w:ascii="Arial" w:cs="Arial" w:eastAsia="Arial" w:hAnsi="Arial"/>
                <w:sz w:val="18"/>
                <w:szCs w:val="18"/>
                <w:color w:val="auto"/>
                <w:w w:val="98"/>
              </w:rPr>
              <w:t>Unrealized Gains on Marketable</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580" w:type="dxa"/>
            <w:vAlign w:val="bottom"/>
          </w:tcPr>
          <w:p>
            <w:pPr>
              <w:ind w:left="200"/>
              <w:spacing w:after="0"/>
              <w:rPr>
                <w:sz w:val="20"/>
                <w:szCs w:val="20"/>
                <w:color w:val="auto"/>
              </w:rPr>
            </w:pPr>
            <w:r>
              <w:rPr>
                <w:rFonts w:ascii="Arial" w:cs="Arial" w:eastAsia="Arial" w:hAnsi="Arial"/>
                <w:sz w:val="18"/>
                <w:szCs w:val="18"/>
                <w:color w:val="auto"/>
              </w:rPr>
              <w:t>Securities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r>
      <w:tr>
        <w:trPr>
          <w:trHeight w:val="217"/>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(93,031)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(93,031)</w:t>
            </w:r>
          </w:p>
        </w:tc>
      </w:tr>
      <w:tr>
        <w:trPr>
          <w:trHeight w:val="195"/>
        </w:trPr>
        <w:tc>
          <w:tcPr>
            <w:tcW w:w="2580" w:type="dxa"/>
            <w:vAlign w:val="bottom"/>
          </w:tcPr>
          <w:p>
            <w:pPr>
              <w:ind w:left="20"/>
              <w:spacing w:after="0" w:line="195" w:lineRule="exact"/>
              <w:rPr>
                <w:sz w:val="20"/>
                <w:szCs w:val="20"/>
                <w:color w:val="auto"/>
              </w:rPr>
            </w:pPr>
            <w:r>
              <w:rPr>
                <w:rFonts w:ascii="Arial" w:cs="Arial" w:eastAsia="Arial" w:hAnsi="Arial"/>
                <w:sz w:val="18"/>
                <w:szCs w:val="18"/>
                <w:b w:val="1"/>
                <w:bCs w:val="1"/>
                <w:color w:val="auto"/>
              </w:rPr>
              <w:t>Consolidated Balance at</w:t>
            </w:r>
          </w:p>
        </w:tc>
        <w:tc>
          <w:tcPr>
            <w:tcW w:w="9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29"/>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December 31, 2017</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9,234,693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1,046,313</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2,564</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(812,517)</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236,369</w:t>
            </w:r>
          </w:p>
        </w:tc>
      </w:tr>
      <w:tr>
        <w:trPr>
          <w:trHeight w:val="209"/>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Shares Issued under Stock Option</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and Employee Stock Purchase</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419</w:t>
            </w:r>
          </w:p>
        </w:tc>
      </w:tr>
      <w:tr>
        <w:trPr>
          <w:trHeight w:val="208"/>
        </w:trPr>
        <w:tc>
          <w:tcPr>
            <w:tcW w:w="2580" w:type="dxa"/>
            <w:vAlign w:val="bottom"/>
          </w:tcPr>
          <w:p>
            <w:pPr>
              <w:ind w:left="20"/>
              <w:spacing w:after="0"/>
              <w:rPr>
                <w:sz w:val="20"/>
                <w:szCs w:val="20"/>
                <w:color w:val="auto"/>
              </w:rPr>
            </w:pPr>
            <w:r>
              <w:rPr>
                <w:rFonts w:ascii="Arial" w:cs="Arial" w:eastAsia="Arial" w:hAnsi="Arial"/>
                <w:sz w:val="18"/>
                <w:szCs w:val="18"/>
                <w:color w:val="auto"/>
                <w:w w:val="95"/>
              </w:rPr>
              <w:t>Shares Issued in Connection with</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580" w:type="dxa"/>
            <w:vAlign w:val="bottom"/>
          </w:tcPr>
          <w:p>
            <w:pPr>
              <w:ind w:left="200"/>
              <w:spacing w:after="0"/>
              <w:rPr>
                <w:sz w:val="20"/>
                <w:szCs w:val="20"/>
                <w:color w:val="auto"/>
              </w:rPr>
            </w:pPr>
            <w:r>
              <w:rPr>
                <w:rFonts w:ascii="Arial" w:cs="Arial" w:eastAsia="Arial" w:hAnsi="Arial"/>
                <w:sz w:val="18"/>
                <w:szCs w:val="18"/>
                <w:color w:val="auto"/>
              </w:rPr>
              <w:t>Cantor Agreement</w:t>
            </w:r>
          </w:p>
        </w:tc>
        <w:tc>
          <w:tcPr>
            <w:tcW w:w="920" w:type="dxa"/>
            <w:vAlign w:val="bottom"/>
          </w:tcPr>
          <w:p>
            <w:pPr>
              <w:jc w:val="right"/>
              <w:spacing w:after="0"/>
              <w:rPr>
                <w:sz w:val="20"/>
                <w:szCs w:val="20"/>
                <w:color w:val="auto"/>
              </w:rPr>
            </w:pPr>
            <w:r>
              <w:rPr>
                <w:rFonts w:ascii="Arial" w:cs="Arial" w:eastAsia="Arial" w:hAnsi="Arial"/>
                <w:sz w:val="18"/>
                <w:szCs w:val="18"/>
                <w:color w:val="auto"/>
              </w:rPr>
              <w:t>2,702,660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29,019</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29,022</w:t>
            </w:r>
          </w:p>
        </w:tc>
      </w:tr>
      <w:tr>
        <w:trPr>
          <w:trHeight w:val="209"/>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Shares Issued in Connection with</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Kolltan Severance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r>
      <w:tr>
        <w:trPr>
          <w:trHeight w:val="216"/>
        </w:trPr>
        <w:tc>
          <w:tcPr>
            <w:tcW w:w="258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8,081</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8,081</w:t>
            </w:r>
          </w:p>
        </w:tc>
      </w:tr>
      <w:tr>
        <w:trPr>
          <w:trHeight w:val="208"/>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Unrealized Gains on Marketable</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r>
      <w:tr>
        <w:trPr>
          <w:trHeight w:val="216"/>
        </w:trPr>
        <w:tc>
          <w:tcPr>
            <w:tcW w:w="2580" w:type="dxa"/>
            <w:vAlign w:val="bottom"/>
          </w:tcPr>
          <w:p>
            <w:pPr>
              <w:ind w:left="20"/>
              <w:spacing w:after="0"/>
              <w:rPr>
                <w:sz w:val="20"/>
                <w:szCs w:val="20"/>
                <w:color w:val="auto"/>
              </w:rPr>
            </w:pPr>
            <w:r>
              <w:rPr>
                <w:rFonts w:ascii="Arial" w:cs="Arial" w:eastAsia="Arial" w:hAnsi="Arial"/>
                <w:sz w:val="18"/>
                <w:szCs w:val="18"/>
                <w:color w:val="auto"/>
              </w:rPr>
              <w:t>Adoption of ASC 606</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1,263</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1,263</w:t>
            </w:r>
          </w:p>
        </w:tc>
      </w:tr>
      <w:tr>
        <w:trPr>
          <w:trHeight w:val="216"/>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(151,184)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(151,184)</w:t>
            </w:r>
          </w:p>
        </w:tc>
      </w:tr>
      <w:tr>
        <w:trPr>
          <w:trHeight w:val="195"/>
        </w:trPr>
        <w:tc>
          <w:tcPr>
            <w:tcW w:w="2580" w:type="dxa"/>
            <w:vAlign w:val="bottom"/>
          </w:tcPr>
          <w:p>
            <w:pPr>
              <w:ind w:left="20"/>
              <w:spacing w:after="0" w:line="195" w:lineRule="exact"/>
              <w:rPr>
                <w:sz w:val="20"/>
                <w:szCs w:val="20"/>
                <w:color w:val="auto"/>
              </w:rPr>
            </w:pPr>
            <w:r>
              <w:rPr>
                <w:rFonts w:ascii="Arial" w:cs="Arial" w:eastAsia="Arial" w:hAnsi="Arial"/>
                <w:sz w:val="18"/>
                <w:szCs w:val="18"/>
                <w:b w:val="1"/>
                <w:bCs w:val="1"/>
                <w:color w:val="auto"/>
              </w:rPr>
              <w:t>Consolidated Balance at</w:t>
            </w:r>
          </w:p>
        </w:tc>
        <w:tc>
          <w:tcPr>
            <w:tcW w:w="9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29"/>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December 31, 2018</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9"/>
              </w:rPr>
              <w:t>11,957,635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1,083,903</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2,583</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(962,438)</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124,060</w:t>
            </w:r>
          </w:p>
        </w:tc>
      </w:tr>
      <w:tr>
        <w:trPr>
          <w:trHeight w:val="209"/>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Shares Issued under Stock Option</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and Employee Stock Purchase</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r>
      <w:tr>
        <w:trPr>
          <w:trHeight w:val="208"/>
        </w:trPr>
        <w:tc>
          <w:tcPr>
            <w:tcW w:w="2580" w:type="dxa"/>
            <w:vAlign w:val="bottom"/>
          </w:tcPr>
          <w:p>
            <w:pPr>
              <w:ind w:left="20"/>
              <w:spacing w:after="0"/>
              <w:rPr>
                <w:sz w:val="20"/>
                <w:szCs w:val="20"/>
                <w:color w:val="auto"/>
              </w:rPr>
            </w:pPr>
            <w:r>
              <w:rPr>
                <w:rFonts w:ascii="Arial" w:cs="Arial" w:eastAsia="Arial" w:hAnsi="Arial"/>
                <w:sz w:val="18"/>
                <w:szCs w:val="18"/>
                <w:color w:val="auto"/>
                <w:w w:val="95"/>
              </w:rPr>
              <w:t>Shares Issued in Connection with</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580" w:type="dxa"/>
            <w:vAlign w:val="bottom"/>
          </w:tcPr>
          <w:p>
            <w:pPr>
              <w:ind w:left="200"/>
              <w:spacing w:after="0"/>
              <w:rPr>
                <w:sz w:val="20"/>
                <w:szCs w:val="20"/>
                <w:color w:val="auto"/>
              </w:rPr>
            </w:pPr>
            <w:r>
              <w:rPr>
                <w:rFonts w:ascii="Arial" w:cs="Arial" w:eastAsia="Arial" w:hAnsi="Arial"/>
                <w:sz w:val="18"/>
                <w:szCs w:val="18"/>
                <w:color w:val="auto"/>
              </w:rPr>
              <w:t>Cantor Agreement</w:t>
            </w:r>
          </w:p>
        </w:tc>
        <w:tc>
          <w:tcPr>
            <w:tcW w:w="920" w:type="dxa"/>
            <w:vAlign w:val="bottom"/>
          </w:tcPr>
          <w:p>
            <w:pPr>
              <w:jc w:val="right"/>
              <w:spacing w:after="0"/>
              <w:rPr>
                <w:sz w:val="20"/>
                <w:szCs w:val="20"/>
                <w:color w:val="auto"/>
              </w:rPr>
            </w:pPr>
            <w:r>
              <w:rPr>
                <w:rFonts w:ascii="Arial" w:cs="Arial" w:eastAsia="Arial" w:hAnsi="Arial"/>
                <w:sz w:val="18"/>
                <w:szCs w:val="18"/>
                <w:color w:val="auto"/>
              </w:rPr>
              <w:t>5,011,157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16,243</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16,248</w:t>
            </w:r>
          </w:p>
        </w:tc>
      </w:tr>
      <w:tr>
        <w:trPr>
          <w:trHeight w:val="217"/>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4,551</w:t>
            </w:r>
          </w:p>
        </w:tc>
      </w:tr>
      <w:tr>
        <w:trPr>
          <w:trHeight w:val="208"/>
        </w:trPr>
        <w:tc>
          <w:tcPr>
            <w:tcW w:w="2580" w:type="dxa"/>
            <w:vAlign w:val="bottom"/>
          </w:tcPr>
          <w:p>
            <w:pPr>
              <w:ind w:left="20"/>
              <w:spacing w:after="0"/>
              <w:rPr>
                <w:sz w:val="20"/>
                <w:szCs w:val="20"/>
                <w:color w:val="auto"/>
              </w:rPr>
            </w:pPr>
            <w:r>
              <w:rPr>
                <w:rFonts w:ascii="Arial" w:cs="Arial" w:eastAsia="Arial" w:hAnsi="Arial"/>
                <w:sz w:val="18"/>
                <w:szCs w:val="18"/>
                <w:color w:val="auto"/>
                <w:w w:val="98"/>
              </w:rPr>
              <w:t>Unrealized Gains on Marketable</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580" w:type="dxa"/>
            <w:vAlign w:val="bottom"/>
          </w:tcPr>
          <w:p>
            <w:pPr>
              <w:ind w:left="200"/>
              <w:spacing w:after="0"/>
              <w:rPr>
                <w:sz w:val="20"/>
                <w:szCs w:val="20"/>
                <w:color w:val="auto"/>
              </w:rPr>
            </w:pPr>
            <w:r>
              <w:rPr>
                <w:rFonts w:ascii="Arial" w:cs="Arial" w:eastAsia="Arial" w:hAnsi="Arial"/>
                <w:sz w:val="18"/>
                <w:szCs w:val="18"/>
                <w:color w:val="auto"/>
              </w:rPr>
              <w:t>Securities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r>
      <w:tr>
        <w:trPr>
          <w:trHeight w:val="217"/>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(50,878)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(50,878)</w:t>
            </w:r>
          </w:p>
        </w:tc>
      </w:tr>
      <w:tr>
        <w:trPr>
          <w:trHeight w:val="195"/>
        </w:trPr>
        <w:tc>
          <w:tcPr>
            <w:tcW w:w="2580" w:type="dxa"/>
            <w:vAlign w:val="bottom"/>
          </w:tcPr>
          <w:p>
            <w:pPr>
              <w:ind w:left="20"/>
              <w:spacing w:after="0" w:line="195" w:lineRule="exact"/>
              <w:rPr>
                <w:sz w:val="20"/>
                <w:szCs w:val="20"/>
                <w:color w:val="auto"/>
              </w:rPr>
            </w:pPr>
            <w:r>
              <w:rPr>
                <w:rFonts w:ascii="Arial" w:cs="Arial" w:eastAsia="Arial" w:hAnsi="Arial"/>
                <w:sz w:val="18"/>
                <w:szCs w:val="18"/>
                <w:b w:val="1"/>
                <w:bCs w:val="1"/>
                <w:color w:val="auto"/>
              </w:rPr>
              <w:t>Consolidated Balance at</w:t>
            </w:r>
          </w:p>
        </w:tc>
        <w:tc>
          <w:tcPr>
            <w:tcW w:w="9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29"/>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December 31, 2019</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9"/>
              </w:rPr>
              <w:t>16,972,077</w:t>
            </w:r>
          </w:p>
        </w:tc>
        <w:tc>
          <w:tcPr>
            <w:tcW w:w="1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9"/>
              </w:rPr>
              <w:t>$  1,104,706</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2,619</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  (1,013,316)</w:t>
            </w:r>
          </w:p>
        </w:tc>
        <w:tc>
          <w:tcPr>
            <w:tcW w:w="200" w:type="dxa"/>
            <w:vAlign w:val="bottom"/>
          </w:tcPr>
          <w:p>
            <w:pPr>
              <w:jc w:val="right"/>
              <w:ind w:right="22"/>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94,026</w:t>
            </w:r>
          </w:p>
        </w:tc>
      </w:tr>
      <w:tr>
        <w:trPr>
          <w:trHeight w:val="20"/>
        </w:trPr>
        <w:tc>
          <w:tcPr>
            <w:tcW w:w="2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25"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(Reflects one for fifteen reverse stock split effective February 8, 2019)</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220"/>
          </w:cols>
          <w:pgMar w:left="320" w:top="590" w:right="13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60"/>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0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(In thousands)</w:t>
      </w:r>
    </w:p>
    <w:p>
      <w:pPr>
        <w:spacing w:after="0" w:line="226"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4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Year Ended</w:t>
            </w:r>
          </w:p>
        </w:tc>
        <w:tc>
          <w:tcPr>
            <w:tcW w:w="100" w:type="dxa"/>
            <w:vAlign w:val="bottom"/>
          </w:tcPr>
          <w:p>
            <w:pPr>
              <w:spacing w:after="0"/>
              <w:rPr>
                <w:sz w:val="13"/>
                <w:szCs w:val="13"/>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Year Ended</w:t>
            </w:r>
          </w:p>
        </w:tc>
        <w:tc>
          <w:tcPr>
            <w:tcW w:w="100" w:type="dxa"/>
            <w:vAlign w:val="bottom"/>
          </w:tcPr>
          <w:p>
            <w:pPr>
              <w:spacing w:after="0"/>
              <w:rPr>
                <w:sz w:val="13"/>
                <w:szCs w:val="13"/>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61"/>
        </w:trPr>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0"/>
              </w:rPr>
              <w:t>December 31, 2019</w:t>
            </w:r>
          </w:p>
        </w:tc>
        <w:tc>
          <w:tcPr>
            <w:tcW w:w="10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0"/>
              </w:rPr>
              <w:t>December 31, 2018</w:t>
            </w:r>
          </w:p>
        </w:tc>
        <w:tc>
          <w:tcPr>
            <w:tcW w:w="100" w:type="dxa"/>
            <w:vAlign w:val="bottom"/>
          </w:tcPr>
          <w:p>
            <w:pPr>
              <w:spacing w:after="0"/>
              <w:rPr>
                <w:sz w:val="14"/>
                <w:szCs w:val="14"/>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2"/>
              </w:rPr>
              <w:t>December 31, 2017</w:t>
            </w: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(50,878)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(151,184)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(93,031)</w:t>
            </w:r>
          </w:p>
        </w:tc>
        <w:tc>
          <w:tcPr>
            <w:tcW w:w="0" w:type="dxa"/>
            <w:vAlign w:val="bottom"/>
          </w:tcPr>
          <w:p>
            <w:pPr>
              <w:spacing w:after="0"/>
              <w:rPr>
                <w:sz w:val="1"/>
                <w:szCs w:val="1"/>
                <w:color w:val="auto"/>
              </w:rPr>
            </w:pPr>
          </w:p>
        </w:tc>
      </w:tr>
      <w:tr>
        <w:trPr>
          <w:trHeight w:val="208"/>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4,858</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3,577</w:t>
            </w: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4,414</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4660" w:type="dxa"/>
            <w:vAlign w:val="bottom"/>
          </w:tcPr>
          <w:p>
            <w:pPr>
              <w:ind w:left="340"/>
              <w:spacing w:after="0"/>
              <w:rPr>
                <w:sz w:val="20"/>
                <w:szCs w:val="20"/>
                <w:color w:val="auto"/>
              </w:rPr>
            </w:pPr>
            <w:r>
              <w:rPr>
                <w:rFonts w:ascii="Arial" w:cs="Arial" w:eastAsia="Arial" w:hAnsi="Arial"/>
                <w:sz w:val="18"/>
                <w:szCs w:val="18"/>
                <w:color w:val="auto"/>
                <w:w w:val="95"/>
              </w:rPr>
              <w:t>Amortization and Premium of Marketable Securities, Net</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Sale or Disposal of Assets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660" w:type="dxa"/>
            <w:vAlign w:val="bottom"/>
          </w:tcPr>
          <w:p>
            <w:pPr>
              <w:ind w:left="340"/>
              <w:spacing w:after="0"/>
              <w:rPr>
                <w:sz w:val="20"/>
                <w:szCs w:val="20"/>
                <w:color w:val="auto"/>
              </w:rPr>
            </w:pPr>
            <w:r>
              <w:rPr>
                <w:rFonts w:ascii="Arial" w:cs="Arial" w:eastAsia="Arial" w:hAnsi="Arial"/>
                <w:sz w:val="18"/>
                <w:szCs w:val="18"/>
                <w:color w:val="auto"/>
              </w:rPr>
              <w:t>Goodwill Impairment</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90,976</w:t>
            </w: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 Impairment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18,677</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16"/>
        </w:trPr>
        <w:tc>
          <w:tcPr>
            <w:tcW w:w="4660" w:type="dxa"/>
            <w:vAlign w:val="bottom"/>
          </w:tcPr>
          <w:p>
            <w:pPr>
              <w:ind w:left="340"/>
              <w:spacing w:after="0"/>
              <w:rPr>
                <w:sz w:val="20"/>
                <w:szCs w:val="20"/>
                <w:color w:val="auto"/>
              </w:rPr>
            </w:pPr>
            <w:r>
              <w:rPr>
                <w:rFonts w:ascii="Arial" w:cs="Arial" w:eastAsia="Arial" w:hAnsi="Arial"/>
                <w:sz w:val="18"/>
                <w:szCs w:val="18"/>
                <w:color w:val="auto"/>
              </w:rPr>
              <w:t>Other Asset Impairment</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Fair Value Remeasurement of Contingent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Consideration</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(29,621)</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4660" w:type="dxa"/>
            <w:vAlign w:val="bottom"/>
          </w:tcPr>
          <w:p>
            <w:pPr>
              <w:ind w:left="340"/>
              <w:spacing w:after="0"/>
              <w:rPr>
                <w:sz w:val="20"/>
                <w:szCs w:val="20"/>
                <w:color w:val="auto"/>
              </w:rPr>
            </w:pPr>
            <w:r>
              <w:rPr>
                <w:rFonts w:ascii="Arial" w:cs="Arial" w:eastAsia="Arial" w:hAnsi="Arial"/>
                <w:sz w:val="18"/>
                <w:szCs w:val="18"/>
                <w:color w:val="auto"/>
              </w:rPr>
              <w:t>Non-Cash Income Tax Benefit</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(24,282)</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4,551</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8,081</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12,312</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and Other Receivables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4660" w:type="dxa"/>
            <w:vAlign w:val="bottom"/>
          </w:tcPr>
          <w:p>
            <w:pPr>
              <w:ind w:left="340"/>
              <w:spacing w:after="0"/>
              <w:rPr>
                <w:sz w:val="20"/>
                <w:szCs w:val="20"/>
                <w:color w:val="auto"/>
              </w:rPr>
            </w:pPr>
            <w:r>
              <w:rPr>
                <w:rFonts w:ascii="Arial" w:cs="Arial" w:eastAsia="Arial" w:hAnsi="Arial"/>
                <w:sz w:val="18"/>
                <w:szCs w:val="18"/>
                <w:color w:val="auto"/>
              </w:rPr>
              <w:t>Prepaid and Other Current Assets</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1,783</w:t>
            </w: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466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(13,110)</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(8,744)</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(6,599)</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(3,268)</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(4,363)</w:t>
            </w:r>
          </w:p>
        </w:tc>
        <w:tc>
          <w:tcPr>
            <w:tcW w:w="0" w:type="dxa"/>
            <w:vAlign w:val="bottom"/>
          </w:tcPr>
          <w:p>
            <w:pPr>
              <w:spacing w:after="0"/>
              <w:rPr>
                <w:sz w:val="1"/>
                <w:szCs w:val="1"/>
                <w:color w:val="auto"/>
              </w:rPr>
            </w:pPr>
          </w:p>
        </w:tc>
      </w:tr>
      <w:tr>
        <w:trPr>
          <w:trHeight w:val="210"/>
        </w:trPr>
        <w:tc>
          <w:tcPr>
            <w:tcW w:w="466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(46,415)</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(75,235)</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Sales and Maturities of Marketable Securities</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113,173</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201,469</w:t>
            </w: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219,236</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Marketable Securities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(95,382)</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(171,182)</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(170,980)</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Acquisition of Property and Equipment</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or Disposal of Assets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660" w:type="dxa"/>
            <w:vAlign w:val="bottom"/>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17,080</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29,816</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Net Proceeds from Stock Issuances</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16,248</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29,022</w:t>
            </w: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51,025</w:t>
            </w:r>
          </w:p>
        </w:tc>
        <w:tc>
          <w:tcPr>
            <w:tcW w:w="0" w:type="dxa"/>
            <w:vAlign w:val="bottom"/>
          </w:tcPr>
          <w:p>
            <w:pPr>
              <w:spacing w:after="0"/>
              <w:rPr>
                <w:sz w:val="1"/>
                <w:szCs w:val="1"/>
                <w:color w:val="auto"/>
              </w:rPr>
            </w:pPr>
          </w:p>
        </w:tc>
      </w:tr>
      <w:tr>
        <w:trPr>
          <w:trHeight w:val="208"/>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Proceeds from Issuance of Stock from Employee Benefit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Plans</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9"/>
        </w:trPr>
        <w:tc>
          <w:tcPr>
            <w:tcW w:w="466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16,257</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29,441</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(13,078)</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(15,978)</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24,310</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40,288</w:t>
            </w: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42,461</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40,288</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Non-cash Investing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construction in progress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Arial" w:cs="Arial" w:eastAsia="Arial" w:hAnsi="Arial"/>
                <w:sz w:val="18"/>
                <w:szCs w:val="18"/>
                <w:i w:val="1"/>
                <w:iCs w:val="1"/>
                <w:color w:val="auto"/>
              </w:rPr>
              <w:t>Non-cash Supplemental Disclosure</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Shares issued to former Kolltan executive for settlement of</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severance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Overview</w:t>
      </w:r>
    </w:p>
    <w:p>
      <w:pPr>
        <w:spacing w:after="0" w:line="231"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Celldex Therapeutics, Inc. (the "Company" or "Celldex") is a biopharmaceutical company focused on the development and commercialization of several immunotherapy technologies and other cancer-targeting biologics. The Company is primarily focusing its efforts and resources on the continued research and development of CDX-1140, CDX-3379, CDX-0159 and CDX-527.</w:t>
      </w:r>
    </w:p>
    <w:p>
      <w:pPr>
        <w:spacing w:after="0" w:line="194"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Board of Directors of the Company approved a one for fifteen reverse stock split of the Company's outstanding common stock, which was effected on February 8, 2019. All share and per share amounts in the financial statements have been retroactively adjusted for all periods presented to give effect to the reverse stock split, including reclassifying an amount equal to the reduction in par value to additional paid-in capital.</w:t>
      </w:r>
    </w:p>
    <w:p>
      <w:pPr>
        <w:spacing w:after="0" w:line="160" w:lineRule="exact"/>
        <w:rPr>
          <w:sz w:val="20"/>
          <w:szCs w:val="20"/>
          <w:color w:val="auto"/>
        </w:rPr>
      </w:pPr>
    </w:p>
    <w:p>
      <w:pPr>
        <w:ind w:firstLine="351"/>
        <w:spacing w:after="0" w:line="302" w:lineRule="auto"/>
        <w:rPr>
          <w:sz w:val="20"/>
          <w:szCs w:val="20"/>
          <w:color w:val="auto"/>
        </w:rPr>
      </w:pPr>
      <w:r>
        <w:rPr>
          <w:rFonts w:ascii="Arial" w:cs="Arial" w:eastAsia="Arial" w:hAnsi="Arial"/>
          <w:sz w:val="15"/>
          <w:szCs w:val="15"/>
          <w:color w:val="auto"/>
        </w:rPr>
        <w:t>Under U.S. GAAP, the Company has the responsibility to evaluate whether conditions and/or events raise substantial doubt about its ability to meet its future financial obligations as they become due within one year after the date that the financial statements are issued. This evaluation shall initially not take into consideration the potential mitigating effects of plans that have not been fully implemented as of the date the financial statements are issued. The Company's financial statements have been prepared on the basis of continuity of operations, realization of assets and the satisfaction of liabilities in the ordinary course of business. At December 31, 2019, the Company had cash, cash equivalents and marketable securities of $64.4 million. The Company has had recurring losses and incurred a loss of $50.9 million for the year ended December 31, 2019. Net cash used in operations for the year ended December 31, 2019 was</w:t>
      </w:r>
    </w:p>
    <w:p>
      <w:pPr>
        <w:spacing w:after="0" w:line="288" w:lineRule="auto"/>
        <w:rPr>
          <w:sz w:val="20"/>
          <w:szCs w:val="20"/>
          <w:color w:val="auto"/>
        </w:rPr>
      </w:pPr>
      <w:r>
        <w:rPr>
          <w:rFonts w:ascii="Arial" w:cs="Arial" w:eastAsia="Arial" w:hAnsi="Arial"/>
          <w:sz w:val="16"/>
          <w:szCs w:val="16"/>
          <w:color w:val="auto"/>
        </w:rPr>
        <w:t>$46.4 million. As of March 26, 2020, the date of issuance of the consolidated financial statements, the Company expects that its cash, cash equivalents and marketable securities of $64.4 million as of December 31, 2019 will be sufficient to fund its operating expenses and capital expenditure requirements into the first quarter of 2021. The future viability of the Company beyond that point is dependent on the Company's ability to raise additional capital to finance its operations. The Company has generated no product revenue to date and cannot predict when and if it will generate product revenue. The Company has had recurring losses and anticipate operating losses to continue for the foreseeable future due to, among other things, costs related to research, development of product candidates, conducting preclinical studies and clinical trials, facilities and general and administrative expenses. These conditions raise substantial doubt about the Company's ability to continue as a going concern for one year after the date that the financial statements are issued.</w:t>
      </w:r>
    </w:p>
    <w:p>
      <w:pPr>
        <w:spacing w:after="0" w:line="176" w:lineRule="exact"/>
        <w:rPr>
          <w:sz w:val="20"/>
          <w:szCs w:val="20"/>
          <w:color w:val="auto"/>
        </w:rPr>
      </w:pPr>
    </w:p>
    <w:p>
      <w:pPr>
        <w:ind w:right="100" w:firstLine="351"/>
        <w:spacing w:after="0" w:line="287" w:lineRule="auto"/>
        <w:rPr>
          <w:sz w:val="20"/>
          <w:szCs w:val="20"/>
          <w:color w:val="auto"/>
        </w:rPr>
      </w:pPr>
      <w:r>
        <w:rPr>
          <w:rFonts w:ascii="Arial" w:cs="Arial" w:eastAsia="Arial" w:hAnsi="Arial"/>
          <w:sz w:val="16"/>
          <w:szCs w:val="16"/>
          <w:color w:val="auto"/>
        </w:rPr>
        <w:t>During the next twelve months and beyond, the Company will take further steps to raise additional capital to meet its liquidity needs including, but may not be limited to, one or more of the following: the licensing of drug candidates with existing or new collaborative partners, possible business combinations, issuance of debt, or the issuance of common stock or other securities via private placements or public offerings. Although the Company has been successful in raising capital in the past,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financings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The Company's ability to continue funding its planned operations into and beyond twelve months from the issuance date is also dependent on the timing and manner of payment of contingent milestones from the Kolltan acquisition, in the event that the Company achieves the drug candidate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Overview (Continued)</w:t>
      </w:r>
    </w:p>
    <w:p>
      <w:pPr>
        <w:spacing w:after="0" w:line="23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milestones related to those payments. The Company, at its option, may decide to pay those milestone payments in cash, shares of its common stock or a combination thereof. If the Company is unable to raise the funds necessary to meet its liquidity needs, it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the Company. The financial statements do not include any adjustments that might result from the outcome of this uncertainty.</w:t>
      </w:r>
    </w:p>
    <w:p>
      <w:pPr>
        <w:spacing w:after="0" w:line="201"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In December 2019, a novel strain of coronavirus, now referred to as COVID-19, surfaced in Wuhan, China. The virus continues to spread globally, has been declared a pandemic by the World Health Organization and has spread to over 100 countries, including the United States. The impact of this pandemic has been and will likely continue to be extensive in many aspects of society, which has resulted in and will likely continue to result in significant disruptions to the global economy, as well as businesses and capital markets around the world. In an effort to halt the outbreak of COVID-19, the United States has placed significant restrictions on travel and many businesses have announced extended closures which could adversely impact our operations. Potential impacts to our business include delays in planned and ongoing preclinical and clinical trials including enrollment of patients, disruptions in time and resources provided by independent clinical investigators, contract research organizations, other third-party service providers, temporary closures of our facilities, disruptions or restrictions on our employees' ability to travel, and delays in manufacturing and/or shipments to and from third party suppliers and contract manufacturers for APIs and drug product. Any prolonged negative impacts to our business could materially impact our operating results and could lead to impairments of our Intangible (IPR&amp;D) assets which amounted to $48.7 million at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balance sheets and statements of operations and comprehensive loss, stockholders' equity, and cash flows, are consolidated for the years ended December 31, 2019 and 2018. These consolidated financial statements reflect the operations of the Company and its wholly-owned subsidiaries. The Company's wholly-owned subsidiary, Celldex Australia PTY LTD was liquidated in the third quarter of 2019. All intercompany balances and transactions have been eliminated in consolidation. The Company operates in one segment, which is the business of development, manufacturing and commercialization of novel therapeutics for human health care.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preparation of the financial statements in conformity with accounting principles generally accepted in the United States of America (U.S. GAAP) requires management to make estimates and use assumptions that affect the reported amounts of assets and liabilities and the disclosure of contingent assets and liabilities at the dates of the financial statements and the reported amounts of revenues and expenses during the reporting period. Actual results could differ from those estimates.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 considers all highly liquid investments purchased with a maturity date of 90 days or less at the date of purchase to be cash equivalents. Cash equivalents consist principally of money market funds and debt securities.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25" w:lineRule="exact"/>
        <w:rPr>
          <w:sz w:val="20"/>
          <w:szCs w:val="20"/>
          <w:color w:val="auto"/>
        </w:rPr>
      </w:pPr>
    </w:p>
    <w:p>
      <w:pPr>
        <w:ind w:firstLine="348"/>
        <w:spacing w:after="0" w:line="314" w:lineRule="auto"/>
        <w:rPr>
          <w:sz w:val="20"/>
          <w:szCs w:val="20"/>
          <w:color w:val="auto"/>
        </w:rPr>
      </w:pPr>
      <w:r>
        <w:rPr>
          <w:rFonts w:ascii="Arial" w:cs="Arial" w:eastAsia="Arial" w:hAnsi="Arial"/>
          <w:sz w:val="15"/>
          <w:szCs w:val="15"/>
          <w:color w:val="auto"/>
        </w:rPr>
        <w:t>The Company invests its excess cash balances in marketable securities, including municipal bond securities, U.S. government agency securities, and highly rated corporate bonds. The Company classifies all of its marketable securities as current assets on the balance sheets because they are available-for-sale and available to fund current operations. Marketable securities are stated at fair value with unrealized gains and losses included as a component of accumulated other comprehensive income (loss), which is a separate component of stockholders' equity, until such gains and losses are realized. If a decline in the fair value is considered other-than-temporary, based on available evidence, the unrealized loss is reclassified from accumulated other comprehensive income (loss) to the statements of operations. Realized gains and losses are determined on the specific identification method and are included in investment and other income, 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 and of Significant Customers and Suppliers</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Financial instruments that potentially subject the Company to concentrations of credit risk primarily consist of cash, cash equivalents, marketable securities and accounts receivable. The Company invests its cash, cash equivalents and marketable securities in debt instruments and interest-bearing accounts at major financial institutions in excess of insured limits. The Company mitigates credit risk by limiting the investment type and maturity to securities that preserve capital, maintain liquidity and have a high credit quality. The Company has not historically experienced credit losses from its accounts receivable and therefore has not established an allowance for doubtful accounts.</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Combined revenue from Rockefeller University and Duke University represented 74% of total Company revenue for the year ended December 31, 2019.</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Combined revenue from BMS, Rockefeller University and International AIDS Vaccine Initiative represented 86% of total Company revenue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and 77% of total Company revenue for the year ended December 31, 2017.</w:t>
      </w:r>
    </w:p>
    <w:p>
      <w:pPr>
        <w:spacing w:after="0" w:line="219" w:lineRule="exact"/>
        <w:rPr>
          <w:sz w:val="20"/>
          <w:szCs w:val="20"/>
          <w:color w:val="auto"/>
        </w:rPr>
      </w:pPr>
    </w:p>
    <w:p>
      <w:pPr>
        <w:jc w:val="both"/>
        <w:ind w:right="200" w:firstLine="348"/>
        <w:spacing w:after="0" w:line="259" w:lineRule="auto"/>
        <w:rPr>
          <w:sz w:val="20"/>
          <w:szCs w:val="20"/>
          <w:color w:val="auto"/>
        </w:rPr>
      </w:pPr>
      <w:r>
        <w:rPr>
          <w:rFonts w:ascii="Arial" w:cs="Arial" w:eastAsia="Arial" w:hAnsi="Arial"/>
          <w:sz w:val="18"/>
          <w:szCs w:val="18"/>
          <w:color w:val="auto"/>
        </w:rPr>
        <w:t>The Company relies on contract manufacturing organizations (CMO) to manufacture drug substance and drug product as well as for future commercial supplies. The Company also relies on CMOs for supply of raw materials as well as filling, packaging, storing and shipping our drug products. The Company relies on third-party collaborators to develop companion diagnostic tests.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ind w:right="400" w:firstLine="348"/>
        <w:spacing w:after="0" w:line="298" w:lineRule="auto"/>
        <w:rPr>
          <w:sz w:val="20"/>
          <w:szCs w:val="20"/>
          <w:color w:val="auto"/>
        </w:rPr>
      </w:pPr>
      <w:r>
        <w:rPr>
          <w:rFonts w:ascii="Arial" w:cs="Arial" w:eastAsia="Arial" w:hAnsi="Arial"/>
          <w:sz w:val="16"/>
          <w:szCs w:val="16"/>
          <w:color w:val="auto"/>
        </w:rPr>
        <w:t>The Company has certain assets and liabilities that are measured at fair value in the financial statements. The Company seeks to maximize the use of observable inputs (market data obtained from sources independent from the Company) and to minimize the use of unobservable inputs (the Company's assumptions about how market participants would price assets and liabilities) when measuring the fair value of its assets and liabilities. These assets and liabilities are classified into one of three levels of the following fair value hierarchy as defined by U.S. GAAP:</w:t>
      </w:r>
    </w:p>
    <w:p>
      <w:pPr>
        <w:spacing w:after="0" w:line="166" w:lineRule="exact"/>
        <w:rPr>
          <w:sz w:val="20"/>
          <w:szCs w:val="20"/>
          <w:color w:val="auto"/>
        </w:rPr>
      </w:pPr>
    </w:p>
    <w:p>
      <w:pPr>
        <w:jc w:val="both"/>
        <w:ind w:left="540" w:right="180" w:firstLine="351"/>
        <w:spacing w:after="0" w:line="331" w:lineRule="auto"/>
        <w:rPr>
          <w:sz w:val="20"/>
          <w:szCs w:val="20"/>
          <w:color w:val="auto"/>
        </w:rPr>
      </w:pPr>
      <w:r>
        <w:rPr>
          <w:rFonts w:ascii="Arial" w:cs="Arial" w:eastAsia="Arial" w:hAnsi="Arial"/>
          <w:sz w:val="16"/>
          <w:szCs w:val="16"/>
          <w:color w:val="auto"/>
        </w:rPr>
        <w:t>Level 1: Observable inputs such as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left="540" w:right="140" w:firstLine="351"/>
        <w:spacing w:after="0" w:line="268" w:lineRule="auto"/>
        <w:rPr>
          <w:sz w:val="20"/>
          <w:szCs w:val="20"/>
          <w:color w:val="auto"/>
        </w:rPr>
      </w:pPr>
      <w:r>
        <w:rPr>
          <w:rFonts w:ascii="Arial" w:cs="Arial" w:eastAsia="Arial" w:hAnsi="Arial"/>
          <w:sz w:val="18"/>
          <w:szCs w:val="18"/>
          <w:color w:val="auto"/>
        </w:rPr>
        <w:t>Level 2: Observable inputs other than Level 1 prices, such as quoted prices in active markets for similar assets or liabilities and quoted prices for identical assets or liabilities in markets that are not active.</w:t>
      </w:r>
    </w:p>
    <w:p>
      <w:pPr>
        <w:spacing w:after="0" w:line="186" w:lineRule="exact"/>
        <w:rPr>
          <w:sz w:val="20"/>
          <w:szCs w:val="20"/>
          <w:color w:val="auto"/>
        </w:rPr>
      </w:pPr>
    </w:p>
    <w:p>
      <w:pPr>
        <w:ind w:left="540" w:right="280" w:firstLine="351"/>
        <w:spacing w:after="0" w:line="268" w:lineRule="auto"/>
        <w:rPr>
          <w:sz w:val="20"/>
          <w:szCs w:val="20"/>
          <w:color w:val="auto"/>
        </w:rPr>
      </w:pPr>
      <w:r>
        <w:rPr>
          <w:rFonts w:ascii="Arial" w:cs="Arial" w:eastAsia="Arial" w:hAnsi="Arial"/>
          <w:sz w:val="18"/>
          <w:szCs w:val="18"/>
          <w:color w:val="auto"/>
        </w:rPr>
        <w:t>Level 3: Unobservable inputs based on the Company's assessment of the assumptions that market participants would use in pricing the asset or liability.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ind w:right="40" w:firstLine="351"/>
        <w:spacing w:after="0" w:line="312" w:lineRule="auto"/>
        <w:rPr>
          <w:sz w:val="20"/>
          <w:szCs w:val="20"/>
          <w:color w:val="auto"/>
        </w:rPr>
      </w:pPr>
      <w:r>
        <w:rPr>
          <w:rFonts w:ascii="Arial" w:cs="Arial" w:eastAsia="Arial" w:hAnsi="Arial"/>
          <w:sz w:val="15"/>
          <w:szCs w:val="15"/>
          <w:color w:val="auto"/>
        </w:rPr>
        <w:t>Property and equipment is stated at cost and depreciated over the estimated useful lives of the related assets using the straight-line method. Laboratory equipment and office furniture and equipment are depreciated over five years, and computer equipment is depreciated over three years. Manufacturing equipment is amortized over seven to ten years. Leasehold improvements are amortized over the shorter of the estimated useful life or the non-cancelable term of the related lease, including any renewals that are reasonably assured of occurring. Property and equipment under construction is classified as construction in progress and is depreciated or amortized only after the asset is placed in service. Expenditures for maintenance and repairs are charged to expense whereas the costs of significant improvements which extend the life of the underlying asset are capitalized. Upon retirement or sale, the cost of assets disposed of and the related accumulated depreciation are eliminated and any resulting gain or loss is reflected in the Company's statements of operations and comprehensive loss.</w:t>
      </w:r>
    </w:p>
    <w:p>
      <w:pPr>
        <w:spacing w:after="0" w:line="158"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treatment of costs to construct property and equipment depends on the nature of the costs and the stage of construction. Costs incurred in the project planning, design, construction and installation phases are capitalized as part of the cost of the asset. The Company stops capitalizing these costs when the asset is substantially complete and ready for its intended use. For manufacturing property and equipment, the Company also capitalizes the cost of validating these assets for the underlying manufacturing process. The Company completes the capitalization of validation costs when the asset is substantially complete and ready for its intended use. Costs capitalized include incremental labor and fringe benefits, and direct consultancy services.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Company has operating leases of office, manufacturing and laboratory space, which have remaining lease terms of one to six years and may include one or more options to renew or terminate early.</w:t>
      </w:r>
    </w:p>
    <w:p>
      <w:pPr>
        <w:spacing w:after="0" w:line="18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Company determines if an arrangement contains a lease at inception. Operating lease right-of-use assets and lease liabilities are recognized based on the present value of the future minimum lease payments over the lease term at commencement date. Certain adjustments to the right-of-use asset may be required for items such as prepaid or accrued lease payments, initial direct costs paid or incentives received. The Company's leases do not contain an implicit rate, and therefore the Company uses an estimated incremental borrowing rate based on the information available at the lease commencement date in determining the present value of lease payments. Options to extend or terminate the lease are reflected in the calculation when it is reasonably certain that the option will be exercised. The Company has elected to account for lease and non-lease components as a single lease component, however non-lease components that are variable, such as common area maintenance and utilities, are generally paid separately from rent based on actual costs incurred and therefore are not included in the right-of-use asset and operating lease liability and are reflected as an expense in the period incurred. Leases with an initial term of 12 months or less are not recorded on the balance sheet.</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5"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Other assets included a $1.8 million non-controlling investment in a privately-held company that was accounted for under the cost method of accounting as of December 31, 2018. Based on information received in April 2019, it was determined that there was a deterioration of the private company's financial condition due to a working capital deficiency and an inability to secure additional funding. Therefore, the Company concluded that the investment was impaired, and a non-cash impairment charge of $1.8 million was recorded during the first quarter of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The Company records contingent consideration resulting from a business combination at its fair value on the acquisition date. The Company determines the fair value of the contingent consideration based primarily on the (i) timing and probability of success of clinical events or regulatory approvals; (ii) timing and probability of success of meeting clinical and commercial milestones; and (iii) discount rates. The Company's contingent consideration liabilities arose in connection with its acquisition of Kolltan. On a quarterly basis, the Company revalues these obligations and records increases or decreases in their fair value as an adjustment to operating earnings. Changes to contingent consideration obligations can result from adjustments to discount rates, accretion of the discount rates due to the passage of time, changes in the Company's estimates of the likelihood or timing of achieving development or commercial milestones, changes in the probability of certain clinical events or changes in the assumed probability associated with regulatory approval. The assumptions related to determining the value of contingent consideration include a significant amount of judgment, and any changes in the underlying estimates could have a material impact on the amount of contingent consideration expense recorded in any given period.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IPR&amp;D assets acquired in a business combination initially are recorded at fair value and accounted for as indefinite-lived intangible assets. These assets are capitalized on the Company's balance sheets until either the project underlying them is completed or the assets become impaired. If a project is completed, the carrying value of the related intangible asset is amortized over the remaining estimated life of the asset beginning in the period in which the project is completed. If a project becomes impaired or is abandoned, the carrying value of the related intangible asset is written down to its fair value and an impairment charge is taken in the period in which the impairment occurs.</w:t>
      </w:r>
    </w:p>
    <w:p>
      <w:pPr>
        <w:spacing w:after="0" w:line="20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Each IPR&amp;D asset is assessed for impairment at least annually or when impairment indicators are present. As a result of the discontinuation of the Glemba program, the Company concluded that the Glemba IPR&amp;D asset was fully impaired, and a non-cash impairment charge of $11.8 million was recorded in the first quarter of 2018. The remaining IPR&amp;D assets were assessed for impairment during 2018 and 2019 and were determined not to be impaired. During the year ended December 31, 2017, the Company recorded a partial impairment charge of $13.0 million related to changes in projected development and regulatory timelines regarding the anti-KIT program.</w:t>
      </w:r>
    </w:p>
    <w:p>
      <w:pPr>
        <w:spacing w:after="0" w:line="20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Intangible assets acquired in a business combination with a finite life are recorded at fair value and amortized over the greater of economic consumption or on a straight-line basis over their estimated useful life. As a result of the discontinuation of the Glemba program, it was concluded that the Company's finite-lived intangible asset was fully impaired and a non-cash impairment charge of $6.9 million was recorded in the first quarter of 2018.</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ind w:right="20" w:firstLine="348"/>
        <w:spacing w:after="0" w:line="294" w:lineRule="auto"/>
        <w:rPr>
          <w:sz w:val="20"/>
          <w:szCs w:val="20"/>
          <w:color w:val="auto"/>
        </w:rPr>
      </w:pPr>
      <w:r>
        <w:rPr>
          <w:rFonts w:ascii="Arial" w:cs="Arial" w:eastAsia="Arial" w:hAnsi="Arial"/>
          <w:sz w:val="16"/>
          <w:szCs w:val="16"/>
          <w:color w:val="auto"/>
        </w:rPr>
        <w:t>The difference between the purchase price and the fair value of assets acquired and liabilities assumed in a business combination is allocated to goodwill. Goodwill is evaluated for impairment on an annual basis or when impairment indicators are present. The Company has the option to assess qualitative factors to determine if it is more likely than not that goodwill might be impaired and whether it is necessary to perform a quantitative single-step goodwill impairment test required under U.S. GAAP. As a result of the discontinuation of the Glemba program, the Company evaluated goodwill for potential impairment in the first quarter of 2018. It was determined that the goodwill asset was fully impaired and an impairment charge of $91.0 million was recorded.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Intangible and Long-Lived Assets</w:t>
      </w:r>
    </w:p>
    <w:p>
      <w:pPr>
        <w:spacing w:after="0" w:line="225"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Company evaluates the recoverability of its long-lived assets, including property and equipment, right-of-use assets, and intangible assets when circumstances indicate that an event of impairment may have occurred.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estimated fair values.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Revenues are recognized when performance obligations under agreements or contracts are satisfied, in an amount that reflects the consideration the Company expects to be entitled to in exchange for those services.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239"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25" w:lineRule="exact"/>
        <w:rPr>
          <w:sz w:val="20"/>
          <w:szCs w:val="20"/>
          <w:color w:val="auto"/>
        </w:rPr>
      </w:pPr>
    </w:p>
    <w:p>
      <w:pPr>
        <w:jc w:val="both"/>
        <w:ind w:right="380" w:firstLine="351"/>
        <w:spacing w:after="0" w:line="294" w:lineRule="auto"/>
        <w:rPr>
          <w:sz w:val="20"/>
          <w:szCs w:val="20"/>
          <w:color w:val="auto"/>
        </w:rPr>
      </w:pPr>
      <w:r>
        <w:rPr>
          <w:rFonts w:ascii="Arial" w:cs="Arial" w:eastAsia="Arial" w:hAnsi="Arial"/>
          <w:sz w:val="16"/>
          <w:szCs w:val="16"/>
          <w:color w:val="auto"/>
        </w:rPr>
        <w:t>Revenue for the Company has historically been derived from biopharmaceutical product development agreements with collaborative partners for the research and development of therapeutic drug candidates. The terms of the agreements may include nonrefundable signing and licensing fees, funding for research, development and manufacturing, milestone payments and royalties on any product sales derived from collaborations. The Company assesses the multiple obligations typically within product development contracts to determine the distinct performance obligations and how to allocate the arrangement consideration to each distinct performance obligation.</w:t>
      </w:r>
    </w:p>
    <w:p>
      <w:pPr>
        <w:spacing w:after="0" w:line="16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Under product development agreements, revenue is generally recognized using a cost-to-cost measure of progress. Revenue is recognized based on the costs incurred to date as a percentage of the total estimated costs to fulfill the contract. Incurred cost represents work performed, which corresponds with, and thereby best depicts, the transfer of control to the customer. Due to the nature of the work performed in these arrangements, the estimation of cost at completion is complex, subject to many variables, such as expected clinical trial costs, and requires significant judgements. Circumstances can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arise that change original estimates of costs or progress toward completion. Any revisions to estimates are reflected in revenue on a cumulative catch-up basis in the period in which the change in circumstances became known.</w:t>
      </w:r>
    </w:p>
    <w:p>
      <w:pPr>
        <w:spacing w:after="0" w:line="186"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Revenue for the Company is also derived from manufacturing and research and development arrangements. The Company owns and operates a cGMP manufacturing facility in Fall River, Massachusetts, to produce drug substance for its current and planned early-stage clinical trials. In order to utilize excess capacity, the Company has, from time to time, entered into contract manufacturing and research and development arrangements in which services are provided on a time-and-material basis or at a negotiated fixed-price. Revenue from time-and-material contracts is generally recognized on an output basis as labor hours and/or direct expenses are incurred. Under fixed-price contracts, revenue is generally recognized on an output basis as progress is made toward completion of the performance obligations using surveys of performance completed to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Company classifies the right to consideration in exchange for products or services transferred to a client as either a receivable or a contract asset. A receivable is a right to consideration that is unconditional as compared to a contract asset which is a right to consideration that is conditional upon factors other than the passage of time.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Company's contract liabilities result from arrangements where the Company has received payment in advance of performance under the contract.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These amounts are included as deferred revenue within current portion of long-term liabilities on the condensed consolidated balance sheets.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Research and development costs, including internal and contract research costs, are expensed as incurred. Research and development expenses consist mainly of clinical trial costs, manufacturing of clinical material, toxicology and other preclinical studies, personnel costs, depreciation, license fees and funding of outside contracted research.</w:t>
      </w:r>
    </w:p>
    <w:p>
      <w:pPr>
        <w:spacing w:after="0" w:line="194"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Clinical trial expenses include expenses associated with clinical research organization, or CRO, services. Contract manufacturing expenses include expenses associated with contract manufacturing organization, or CMO, services. The invoicing from CROs and CMOs for services rendered can lag several months. The Company accrues the cost of services rendered in connection with CRO and CMO activities based on our estimate of costs incurred. The Company maintains regular communication with our CROs and CMOs to assess the reasonableness of its estimates. Differences between actual expenses and estimated expenses recorded have not been material and are adjusted for in the period in which they become known.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Costs</w:t>
      </w:r>
    </w:p>
    <w:p>
      <w:pPr>
        <w:spacing w:after="0" w:line="225"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Patent costs are expensed to general and administrative expense as incurred. Certain patent costs are reimbursed by the Company's product development and licensing partners. Any reimbursed patent costs are recorded as product development and licensing agreement revenues in the Company's financial statements.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The Company records stock-based compensation expense for all stock-based awards made to employees, directors and non-employees based on the estimated fair values of the stock-based awards expected to vest at the grant date and adjust, if necessary, to reflect actual forfeitures. Compensation expense for all stock-based awards is recognized using the straight-line method over the term of vesting or performance.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225" w:lineRule="exact"/>
        <w:rPr>
          <w:sz w:val="20"/>
          <w:szCs w:val="20"/>
          <w:color w:val="auto"/>
        </w:rPr>
      </w:pPr>
    </w:p>
    <w:p>
      <w:pPr>
        <w:ind w:right="220" w:firstLine="351"/>
        <w:spacing w:after="0" w:line="331" w:lineRule="auto"/>
        <w:rPr>
          <w:sz w:val="20"/>
          <w:szCs w:val="20"/>
          <w:color w:val="auto"/>
        </w:rPr>
      </w:pPr>
      <w:r>
        <w:rPr>
          <w:rFonts w:ascii="Arial" w:cs="Arial" w:eastAsia="Arial" w:hAnsi="Arial"/>
          <w:sz w:val="16"/>
          <w:szCs w:val="16"/>
          <w:color w:val="auto"/>
        </w:rPr>
        <w:t>Net unrealized gains and losses resulting from foreign currency translation are included in accumulated other comprehensive income. At December 31, 2019 and 2018, accumulated other comprehensive income includes a net unrealized gain related to foreign currency translation of $2.6 million.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The Company uses the asset and liability method to account for income taxes, including the recognition of deferred tax assets and deferred tax liabilities for the anticipated future tax consequences attributable to differences between financial statement amounts and their respective tax basis. Quarterly, the Company reviews its deferred tax assets for recovery. A valuation allowance is established when the Company believes that it is more likely than not that its deferred tax assets will not be realized. Changes in valuation allowances from period to period are included in the Company's tax provision in the period of change.</w:t>
      </w:r>
    </w:p>
    <w:p>
      <w:pPr>
        <w:spacing w:after="0" w:line="201" w:lineRule="exact"/>
        <w:rPr>
          <w:sz w:val="20"/>
          <w:szCs w:val="20"/>
          <w:color w:val="auto"/>
        </w:rPr>
      </w:pPr>
    </w:p>
    <w:p>
      <w:pPr>
        <w:ind w:right="140" w:firstLine="348"/>
        <w:spacing w:after="0" w:line="331" w:lineRule="auto"/>
        <w:rPr>
          <w:sz w:val="20"/>
          <w:szCs w:val="20"/>
          <w:color w:val="auto"/>
        </w:rPr>
      </w:pPr>
      <w:r>
        <w:rPr>
          <w:rFonts w:ascii="Arial" w:cs="Arial" w:eastAsia="Arial" w:hAnsi="Arial"/>
          <w:sz w:val="16"/>
          <w:szCs w:val="16"/>
          <w:color w:val="auto"/>
        </w:rPr>
        <w:t>The Company records uncertain tax positions in the financial statements only if it is more likely than not that the uncertain tax position will be sustained upon examination by the taxing authorities. The Company records interest and penalties related to uncertain tax positions in income tax expense.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Loss</w:t>
      </w:r>
    </w:p>
    <w:p>
      <w:pPr>
        <w:spacing w:after="0" w:line="225"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Comprehensive loss is comprised of net loss and certain changes in stockholders' equity that are excluded from net loss. The Company includes foreign currency translation adjustments and unrealized gains and losses on marketable securities in other comprehensive loss. The statements of operations and comprehensive loss reflect total comprehensive loss for the years ended December 31, 2019, 2018 and 2017.</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Share</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In periods in which the Company reports a net loss, there is no difference between basic and diluted net loss per share because dilutive shares of common stock are not assumed to have been issued as their effect is anti-dilutive. The potentially</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dilutive common shares that have not been included in the net loss per common share calculations because the effect would have been anti-dilutive are as follows:</w:t>
      </w:r>
    </w:p>
    <w:p>
      <w:pPr>
        <w:spacing w:after="0" w:line="23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740" w:type="dxa"/>
            <w:vAlign w:val="bottom"/>
            <w:gridSpan w:val="6"/>
          </w:tcPr>
          <w:p>
            <w:pPr>
              <w:ind w:left="540"/>
              <w:spacing w:after="0"/>
              <w:rPr>
                <w:sz w:val="20"/>
                <w:szCs w:val="20"/>
                <w:color w:val="auto"/>
              </w:rPr>
            </w:pPr>
            <w:r>
              <w:rPr>
                <w:rFonts w:ascii="Arial" w:cs="Arial" w:eastAsia="Arial" w:hAnsi="Arial"/>
                <w:sz w:val="13"/>
                <w:szCs w:val="13"/>
                <w:b w:val="1"/>
                <w:bCs w:val="1"/>
                <w:color w:val="auto"/>
              </w:rPr>
              <w:t>Year Ended December 31,</w:t>
            </w:r>
          </w:p>
        </w:tc>
      </w:tr>
      <w:tr>
        <w:trPr>
          <w:trHeight w:val="142"/>
        </w:trPr>
        <w:tc>
          <w:tcPr>
            <w:tcW w:w="51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2"/>
                <w:szCs w:val="12"/>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1,699,202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866,132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723,747</w:t>
            </w:r>
          </w:p>
        </w:tc>
        <w:tc>
          <w:tcPr>
            <w:tcW w:w="16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Restricted stock</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3,552</w:t>
            </w:r>
          </w:p>
        </w:tc>
        <w:tc>
          <w:tcPr>
            <w:tcW w:w="1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6,445</w:t>
            </w:r>
          </w:p>
        </w:tc>
        <w:tc>
          <w:tcPr>
            <w:tcW w:w="160" w:type="dxa"/>
            <w:vAlign w:val="bottom"/>
          </w:tcPr>
          <w:p>
            <w:pPr>
              <w:spacing w:after="0"/>
              <w:rPr>
                <w:sz w:val="18"/>
                <w:szCs w:val="18"/>
                <w:color w:val="auto"/>
              </w:rPr>
            </w:pPr>
          </w:p>
        </w:tc>
      </w:tr>
      <w:tr>
        <w:trPr>
          <w:trHeight w:val="209"/>
        </w:trPr>
        <w:tc>
          <w:tcPr>
            <w:tcW w:w="5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1,700,312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869,684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730,192</w:t>
            </w:r>
          </w:p>
        </w:tc>
        <w:tc>
          <w:tcPr>
            <w:tcW w:w="160" w:type="dxa"/>
            <w:vAlign w:val="bottom"/>
            <w:shd w:val="clear" w:color="auto" w:fill="CCEEFF"/>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Newly-Adopted Accounting Pronouncements</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On January 1, 2019, the Company adopted a new U.S. GAAP accounting standard which requires that all lessees recognize the assets and liabilities that arise from leases on the balance sheet and disclose qualitative and quantitative information about its leasing arrangements. The new standard was adopted using the modified retrospective transition method, which requires the Company to apply the standard as of the effective date and does not require restatement of prior periods. The Company elected to apply the package of practical expedients, which allowed the Company to not reassess: (i) whether expired or existing contracts contain leases; (ii) lease classification for any expired or existing leases; and (iii) initial direct costs for any existing leases. Adoption of this standard did not have a material impact on the Company's Consolidated Statement of Operations and Comprehensive Loss or Statement of Cash Flow, however, upon adoption, the Company recorded right-of-use assets of $3.8 million and lease liabilities of $4.7 million on its Consolidated Balance Sheet related to the Company's operating leases. The difference between the right-of-use assets and lease liabilities recorded upon adoption is due to certain adjustments required to the right-of-use assets for prepaid rent and accrued termination expenses. Refer to Note 7 "Leases" for additional details on this adoption and the Company's updated disclosures.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the Company's consolidated financial statements upon adoption.</w:t>
      </w:r>
    </w:p>
    <w:p>
      <w:pPr>
        <w:spacing w:after="0" w:line="160"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August 2018, the FASB issued amendments that modify certain disclosure requirements for fair value measurements. The amendments become effective, including interim periods, beginning January 1, 2020. The adoption of this new guidance is not expected to have a material impact on the Company's consolidated financial statements and related disclosures.</w:t>
      </w:r>
    </w:p>
    <w:p>
      <w:pPr>
        <w:spacing w:after="0" w:line="194"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November 2018, the FASB issued guidance to clarify the interaction between the accounting guidance for collaborative arrangements and revenue from contracts with customers. The amendments become effective, including interim periods, beginning January 1, 2020. This guidance is required to be applied retrospectively as of the date of our adoption of the new revenue standard on January 1, 2018. The adoption of this new guidance is not expected to have a material impact on the Company's consolidated financial statements and related disclosures.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In June 2016, the FASB issued guidance on the Measurement of Credit Losses on Financial Instruments. The guidance requires that credit losses be reported using an expected losses model rather than the incurred losses model that is currently used, and establishes additional disclosures related to credit risks. For available-for-sale debt securities with unrealized losses, the standard now requires allowances to be recorded instead of reducing the amortized cost of the investment. This standard will be effective for the Company on January 1, 2023. We are currently evaluating the potential impact that this standard may have on the Company's consolidated financial statements and related disclosures.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Accumulated Other Comprehensive Income</w:t>
      </w:r>
    </w:p>
    <w:p>
      <w:pPr>
        <w:spacing w:after="0" w:line="231"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changes in accumulated other comprehensive income, which is reported as a component of stockholders' equity, for the year ended December 31, 2019 are summarized below:</w:t>
      </w:r>
    </w:p>
    <w:p>
      <w:pPr>
        <w:spacing w:after="0" w:line="18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3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Unrealized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8"/>
        </w:trPr>
        <w:tc>
          <w:tcPr>
            <w:tcW w:w="3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Gain (Loss) 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3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Marketable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220"/>
              <w:spacing w:after="0"/>
              <w:rPr>
                <w:sz w:val="20"/>
                <w:szCs w:val="20"/>
                <w:color w:val="auto"/>
              </w:rPr>
            </w:pPr>
            <w:r>
              <w:rPr>
                <w:rFonts w:ascii="Arial" w:cs="Arial" w:eastAsia="Arial" w:hAnsi="Arial"/>
                <w:sz w:val="13"/>
                <w:szCs w:val="13"/>
                <w:b w:val="1"/>
                <w:bCs w:val="1"/>
                <w:color w:val="auto"/>
              </w:rPr>
              <w:t>Foreign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3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4"/>
              <w:spacing w:after="0"/>
              <w:rPr>
                <w:sz w:val="20"/>
                <w:szCs w:val="20"/>
                <w:color w:val="auto"/>
              </w:rPr>
            </w:pPr>
            <w:r>
              <w:rPr>
                <w:rFonts w:ascii="Arial" w:cs="Arial" w:eastAsia="Arial" w:hAnsi="Arial"/>
                <w:sz w:val="13"/>
                <w:szCs w:val="13"/>
                <w:b w:val="1"/>
                <w:bCs w:val="1"/>
                <w:color w:val="auto"/>
                <w:w w:val="90"/>
              </w:rPr>
              <w:t>Securities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Currency Items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6"/>
              </w:rPr>
              <w:t>Total</w:t>
            </w:r>
          </w:p>
        </w:tc>
        <w:tc>
          <w:tcPr>
            <w:tcW w:w="160" w:type="dxa"/>
            <w:vAlign w:val="bottom"/>
          </w:tcPr>
          <w:p>
            <w:pPr>
              <w:spacing w:after="0"/>
              <w:rPr>
                <w:sz w:val="14"/>
                <w:szCs w:val="14"/>
                <w:color w:val="auto"/>
              </w:rPr>
            </w:pPr>
          </w:p>
        </w:tc>
      </w:tr>
      <w:tr>
        <w:trPr>
          <w:trHeight w:val="142"/>
        </w:trPr>
        <w:tc>
          <w:tcPr>
            <w:tcW w:w="3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3"/>
          </w:tcPr>
          <w:p>
            <w:pPr>
              <w:jc w:val="right"/>
              <w:ind w:right="260"/>
              <w:spacing w:after="0" w:line="142" w:lineRule="exact"/>
              <w:rPr>
                <w:sz w:val="20"/>
                <w:szCs w:val="20"/>
                <w:color w:val="auto"/>
              </w:rPr>
            </w:pPr>
            <w:r>
              <w:rPr>
                <w:rFonts w:ascii="Arial" w:cs="Arial" w:eastAsia="Arial" w:hAnsi="Arial"/>
                <w:sz w:val="13"/>
                <w:szCs w:val="13"/>
                <w:b w:val="1"/>
                <w:bCs w:val="1"/>
                <w:color w:val="auto"/>
                <w:w w:val="91"/>
              </w:rPr>
              <w:t>(In thousands)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16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Other comprehensive gain</w:t>
            </w:r>
          </w:p>
        </w:tc>
        <w:tc>
          <w:tcPr>
            <w:tcW w:w="1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r>
      <w:tr>
        <w:trPr>
          <w:trHeight w:val="209"/>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160" w:type="dxa"/>
            <w:vAlign w:val="bottom"/>
            <w:shd w:val="clear" w:color="auto" w:fill="CCEEFF"/>
          </w:tcPr>
          <w:p>
            <w:pPr>
              <w:spacing w:after="0"/>
              <w:rPr>
                <w:sz w:val="18"/>
                <w:szCs w:val="18"/>
                <w:color w:val="auto"/>
              </w:rPr>
            </w:pPr>
          </w:p>
        </w:tc>
      </w:tr>
      <w:tr>
        <w:trPr>
          <w:trHeight w:val="20"/>
        </w:trPr>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 amounts were reclassified out of accumulated other comprehensive income during the years ended December 31, 2019, 2018 and 2017.</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set forth the Company's financial assets and liabilities subject to fair value measurements: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As of</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w w:val="92"/>
              </w:rPr>
              <w:t>December 31, 2019</w:t>
            </w:r>
          </w:p>
        </w:tc>
        <w:tc>
          <w:tcPr>
            <w:tcW w:w="160" w:type="dxa"/>
            <w:vAlign w:val="bottom"/>
          </w:tcPr>
          <w:p>
            <w:pPr>
              <w:spacing w:after="0"/>
              <w:rPr>
                <w:sz w:val="14"/>
                <w:szCs w:val="14"/>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Level 1</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95"/>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Level 3</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ind w:left="20"/>
              <w:spacing w:after="0" w:line="142" w:lineRule="exact"/>
              <w:rPr>
                <w:sz w:val="20"/>
                <w:szCs w:val="20"/>
                <w:color w:val="auto"/>
              </w:rPr>
            </w:pPr>
            <w:r>
              <w:rPr>
                <w:rFonts w:ascii="Arial" w:cs="Arial" w:eastAsia="Arial" w:hAnsi="Arial"/>
                <w:sz w:val="13"/>
                <w:szCs w:val="13"/>
                <w:b w:val="1"/>
                <w:bCs w:val="1"/>
                <w:color w:val="auto"/>
                <w:w w:val="91"/>
              </w:rPr>
              <w:t>(In thousands)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Money market funds and cash equivalents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4,024</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4,024</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Marketable securities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53,151</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53,151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57,175</w:t>
            </w:r>
          </w:p>
        </w:tc>
        <w:tc>
          <w:tcPr>
            <w:tcW w:w="160" w:type="dxa"/>
            <w:vAlign w:val="bottom"/>
          </w:tcPr>
          <w:p>
            <w:pPr>
              <w:spacing w:after="0"/>
              <w:rPr>
                <w:sz w:val="18"/>
                <w:szCs w:val="18"/>
                <w:color w:val="auto"/>
              </w:rPr>
            </w:pP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57,175</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w w:val="77"/>
              </w:rPr>
              <w:t>—</w:t>
            </w: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Kolltan acquisition contingent consideration</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12,485</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12,485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12,485</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12,485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20" w:type="dxa"/>
            <w:vAlign w:val="bottom"/>
            <w:vMerge w:val="restart"/>
          </w:tcPr>
          <w:p>
            <w:pPr>
              <w:jc w:val="right"/>
              <w:ind w:right="392"/>
              <w:spacing w:after="0"/>
              <w:rPr>
                <w:sz w:val="20"/>
                <w:szCs w:val="20"/>
                <w:color w:val="auto"/>
              </w:rPr>
            </w:pPr>
            <w:r>
              <w:rPr>
                <w:rFonts w:ascii="Arial" w:cs="Arial" w:eastAsia="Arial" w:hAnsi="Arial"/>
                <w:sz w:val="18"/>
                <w:szCs w:val="18"/>
                <w:color w:val="auto"/>
              </w:rPr>
              <w:t>88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1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5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As of</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5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w w:val="92"/>
              </w:rPr>
              <w:t>December 31, 2018</w:t>
            </w:r>
          </w:p>
        </w:tc>
        <w:tc>
          <w:tcPr>
            <w:tcW w:w="160" w:type="dxa"/>
            <w:vAlign w:val="bottom"/>
          </w:tcPr>
          <w:p>
            <w:pPr>
              <w:spacing w:after="0"/>
              <w:rPr>
                <w:sz w:val="14"/>
                <w:szCs w:val="14"/>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Level 1</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95"/>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Level 3</w:t>
            </w:r>
          </w:p>
        </w:tc>
        <w:tc>
          <w:tcPr>
            <w:tcW w:w="160" w:type="dxa"/>
            <w:vAlign w:val="bottom"/>
          </w:tcPr>
          <w:p>
            <w:pPr>
              <w:spacing w:after="0"/>
              <w:rPr>
                <w:sz w:val="14"/>
                <w:szCs w:val="14"/>
                <w:color w:val="auto"/>
              </w:rPr>
            </w:pPr>
          </w:p>
        </w:tc>
      </w:tr>
      <w:tr>
        <w:trPr>
          <w:trHeight w:val="142"/>
        </w:trPr>
        <w:tc>
          <w:tcPr>
            <w:tcW w:w="5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ind w:left="20"/>
              <w:spacing w:after="0" w:line="142" w:lineRule="exact"/>
              <w:rPr>
                <w:sz w:val="20"/>
                <w:szCs w:val="20"/>
                <w:color w:val="auto"/>
              </w:rPr>
            </w:pPr>
            <w:r>
              <w:rPr>
                <w:rFonts w:ascii="Arial" w:cs="Arial" w:eastAsia="Arial" w:hAnsi="Arial"/>
                <w:sz w:val="13"/>
                <w:szCs w:val="13"/>
                <w:b w:val="1"/>
                <w:bCs w:val="1"/>
                <w:color w:val="auto"/>
                <w:w w:val="91"/>
              </w:rPr>
              <w:t>(In thousands)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080" w:type="dxa"/>
            <w:vAlign w:val="bottom"/>
          </w:tcPr>
          <w:p>
            <w:pPr>
              <w:ind w:left="200"/>
              <w:spacing w:after="0"/>
              <w:rPr>
                <w:sz w:val="20"/>
                <w:szCs w:val="20"/>
                <w:color w:val="auto"/>
              </w:rPr>
            </w:pPr>
            <w:r>
              <w:rPr>
                <w:rFonts w:ascii="Arial" w:cs="Arial" w:eastAsia="Arial" w:hAnsi="Arial"/>
                <w:sz w:val="18"/>
                <w:szCs w:val="18"/>
                <w:color w:val="auto"/>
              </w:rPr>
              <w:t>Money market funds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15,755</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15,755</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Marketable securities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69,712</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69,712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0"/>
        </w:trPr>
        <w:tc>
          <w:tcPr>
            <w:tcW w:w="50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85,467</w:t>
            </w:r>
          </w:p>
        </w:tc>
        <w:tc>
          <w:tcPr>
            <w:tcW w:w="160" w:type="dxa"/>
            <w:vAlign w:val="bottom"/>
          </w:tcPr>
          <w:p>
            <w:pPr>
              <w:spacing w:after="0"/>
              <w:rPr>
                <w:sz w:val="18"/>
                <w:szCs w:val="18"/>
                <w:color w:val="auto"/>
              </w:rPr>
            </w:pP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85,467</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w w:val="77"/>
              </w:rPr>
              <w:t>—</w:t>
            </w:r>
          </w:p>
        </w:tc>
        <w:tc>
          <w:tcPr>
            <w:tcW w:w="16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50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080" w:type="dxa"/>
            <w:vAlign w:val="bottom"/>
          </w:tcPr>
          <w:p>
            <w:pPr>
              <w:ind w:left="200"/>
              <w:spacing w:after="0"/>
              <w:rPr>
                <w:sz w:val="20"/>
                <w:szCs w:val="20"/>
                <w:color w:val="auto"/>
              </w:rPr>
            </w:pPr>
            <w:r>
              <w:rPr>
                <w:rFonts w:ascii="Arial" w:cs="Arial" w:eastAsia="Arial" w:hAnsi="Arial"/>
                <w:sz w:val="18"/>
                <w:szCs w:val="18"/>
                <w:color w:val="auto"/>
              </w:rPr>
              <w:t>Kolltan acquisition contingent consideration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13,779</w:t>
            </w:r>
          </w:p>
        </w:tc>
        <w:tc>
          <w:tcPr>
            <w:tcW w:w="16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13,779</w:t>
            </w:r>
          </w:p>
        </w:tc>
      </w:tr>
      <w:tr>
        <w:trPr>
          <w:trHeight w:val="20"/>
        </w:trPr>
        <w:tc>
          <w:tcPr>
            <w:tcW w:w="5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0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13,779</w:t>
            </w:r>
          </w:p>
        </w:tc>
      </w:tr>
      <w:tr>
        <w:trPr>
          <w:trHeight w:val="20"/>
        </w:trPr>
        <w:tc>
          <w:tcPr>
            <w:tcW w:w="5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Company's financial assets consist mainly of cash and cash equivalents and marketable securities and are classified as Level 2 within the valuation hierarchy.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66"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following table reflects the activity for the Company's contingent consideration liabilities measured at fair value using Level 3 inputs for the year ended December 31, 2019 (in thousands):</w:t>
      </w:r>
    </w:p>
    <w:p>
      <w:pPr>
        <w:spacing w:after="0" w:line="18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5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Other Liabilities:</w:t>
            </w:r>
          </w:p>
        </w:tc>
      </w:tr>
      <w:tr>
        <w:trPr>
          <w:trHeight w:val="149"/>
        </w:trPr>
        <w:tc>
          <w:tcPr>
            <w:tcW w:w="5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Contingent</w:t>
            </w:r>
          </w:p>
        </w:tc>
      </w:tr>
      <w:tr>
        <w:trPr>
          <w:trHeight w:val="161"/>
        </w:trPr>
        <w:tc>
          <w:tcPr>
            <w:tcW w:w="5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93"/>
              </w:rPr>
              <w:t>Consideration</w:t>
            </w:r>
          </w:p>
        </w:tc>
        <w:tc>
          <w:tcPr>
            <w:tcW w:w="160" w:type="dxa"/>
            <w:vAlign w:val="bottom"/>
          </w:tcPr>
          <w:p>
            <w:pPr>
              <w:spacing w:after="0"/>
              <w:rPr>
                <w:sz w:val="14"/>
                <w:szCs w:val="14"/>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13,779</w:t>
            </w:r>
          </w:p>
        </w:tc>
        <w:tc>
          <w:tcPr>
            <w:tcW w:w="16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Fair value adjustments included in operating expenses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(1,294)</w:t>
            </w:r>
          </w:p>
        </w:tc>
      </w:tr>
      <w:tr>
        <w:trPr>
          <w:trHeight w:val="209"/>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3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12,485</w:t>
            </w:r>
          </w:p>
        </w:tc>
        <w:tc>
          <w:tcPr>
            <w:tcW w:w="160" w:type="dxa"/>
            <w:vAlign w:val="bottom"/>
            <w:shd w:val="clear" w:color="auto" w:fill="CCEEFF"/>
          </w:tcPr>
          <w:p>
            <w:pPr>
              <w:spacing w:after="0"/>
              <w:rPr>
                <w:sz w:val="18"/>
                <w:szCs w:val="18"/>
                <w:color w:val="auto"/>
              </w:rPr>
            </w:pPr>
          </w:p>
        </w:tc>
      </w:tr>
      <w:tr>
        <w:trPr>
          <w:trHeight w:val="20"/>
        </w:trPr>
        <w:tc>
          <w:tcPr>
            <w:tcW w:w="5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valuation technique used to measure fair value of the Company's Level 3 liabilities, which consist of contingent consideration related to the acquisition of Kolltan in 2016 (Note 17), was primarily an income approach. The significant unobservable inputs used in the fair value measurement of the contingent consideration are estimates, including probability of success, discount rates and amount of time until the conditions of the milestone payments are met.</w:t>
      </w:r>
    </w:p>
    <w:p>
      <w:pPr>
        <w:spacing w:after="0" w:line="197"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During the year ended December 31, 2019, the Company recorded a $1.3 million gain on fair value remeasurement of contingent consideration, primarily due to changes in discount rates, the passage of time and updated assumptions for the varlilumab program.</w:t>
      </w:r>
    </w:p>
    <w:p>
      <w:pPr>
        <w:spacing w:after="0" w:line="186"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Company did not have any transfers of assets or liabilities between the fair value measurement classifications during the years ended December 31, 2019 and 2018.</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summary of marketable debt securities, classified as available-for-sale:</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5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318"/>
              <w:spacing w:after="0"/>
              <w:rPr>
                <w:sz w:val="20"/>
                <w:szCs w:val="20"/>
                <w:color w:val="auto"/>
              </w:rPr>
            </w:pPr>
            <w:r>
              <w:rPr>
                <w:rFonts w:ascii="Arial" w:cs="Arial" w:eastAsia="Arial" w:hAnsi="Arial"/>
                <w:sz w:val="13"/>
                <w:szCs w:val="13"/>
                <w:b w:val="1"/>
                <w:bCs w:val="1"/>
                <w:color w:val="auto"/>
              </w:rPr>
              <w:t>Gross</w:t>
            </w:r>
          </w:p>
        </w:tc>
        <w:tc>
          <w:tcPr>
            <w:tcW w:w="140" w:type="dxa"/>
            <w:vAlign w:val="bottom"/>
          </w:tcPr>
          <w:p>
            <w:pPr>
              <w:spacing w:after="0"/>
              <w:rPr>
                <w:sz w:val="13"/>
                <w:szCs w:val="13"/>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Gross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b w:val="1"/>
                <w:bCs w:val="1"/>
                <w:color w:val="auto"/>
              </w:rPr>
              <w:t>Amortized</w:t>
            </w:r>
          </w:p>
        </w:tc>
        <w:tc>
          <w:tcPr>
            <w:tcW w:w="940" w:type="dxa"/>
            <w:vAlign w:val="bottom"/>
            <w:gridSpan w:val="3"/>
          </w:tcPr>
          <w:p>
            <w:pPr>
              <w:jc w:val="right"/>
              <w:ind w:right="178"/>
              <w:spacing w:after="0"/>
              <w:rPr>
                <w:sz w:val="20"/>
                <w:szCs w:val="20"/>
                <w:color w:val="auto"/>
              </w:rPr>
            </w:pPr>
            <w:r>
              <w:rPr>
                <w:rFonts w:ascii="Arial" w:cs="Arial" w:eastAsia="Arial" w:hAnsi="Arial"/>
                <w:sz w:val="13"/>
                <w:szCs w:val="13"/>
                <w:b w:val="1"/>
                <w:bCs w:val="1"/>
                <w:color w:val="auto"/>
              </w:rPr>
              <w:t>Unrealized</w:t>
            </w:r>
          </w:p>
        </w:tc>
        <w:tc>
          <w:tcPr>
            <w:tcW w:w="9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4"/>
              </w:rPr>
              <w:t>Unrealized</w:t>
            </w:r>
          </w:p>
        </w:tc>
        <w:tc>
          <w:tcPr>
            <w:tcW w:w="140" w:type="dxa"/>
            <w:vAlign w:val="bottom"/>
          </w:tcPr>
          <w:p>
            <w:pPr>
              <w:spacing w:after="0"/>
              <w:rPr>
                <w:sz w:val="12"/>
                <w:szCs w:val="12"/>
                <w:color w:val="auto"/>
              </w:rPr>
            </w:pPr>
          </w:p>
        </w:tc>
        <w:tc>
          <w:tcPr>
            <w:tcW w:w="720" w:type="dxa"/>
            <w:vAlign w:val="bottom"/>
            <w:gridSpan w:val="2"/>
          </w:tcPr>
          <w:p>
            <w:pPr>
              <w:ind w:left="100"/>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61"/>
        </w:trPr>
        <w:tc>
          <w:tcPr>
            <w:tcW w:w="5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rPr>
              <w:t>Cost</w:t>
            </w:r>
          </w:p>
        </w:tc>
        <w:tc>
          <w:tcPr>
            <w:tcW w:w="18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Gains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55"/>
              <w:spacing w:after="0"/>
              <w:rPr>
                <w:sz w:val="20"/>
                <w:szCs w:val="20"/>
                <w:color w:val="auto"/>
              </w:rPr>
            </w:pPr>
            <w:r>
              <w:rPr>
                <w:rFonts w:ascii="Arial" w:cs="Arial" w:eastAsia="Arial" w:hAnsi="Arial"/>
                <w:sz w:val="13"/>
                <w:szCs w:val="13"/>
                <w:b w:val="1"/>
                <w:bCs w:val="1"/>
                <w:color w:val="auto"/>
                <w:w w:val="84"/>
              </w:rPr>
              <w:t>Losses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16"/>
              <w:spacing w:after="0" w:line="142" w:lineRule="exact"/>
              <w:rPr>
                <w:sz w:val="20"/>
                <w:szCs w:val="20"/>
                <w:color w:val="auto"/>
              </w:rPr>
            </w:pPr>
            <w:r>
              <w:rPr>
                <w:rFonts w:ascii="Arial" w:cs="Arial" w:eastAsia="Arial" w:hAnsi="Arial"/>
                <w:sz w:val="13"/>
                <w:szCs w:val="13"/>
                <w:b w:val="1"/>
                <w:bCs w:val="1"/>
                <w:color w:val="auto"/>
              </w:rPr>
              <w:t>(In</w:t>
            </w:r>
          </w:p>
        </w:tc>
        <w:tc>
          <w:tcPr>
            <w:tcW w:w="940" w:type="dxa"/>
            <w:vAlign w:val="bottom"/>
            <w:gridSpan w:val="3"/>
          </w:tcPr>
          <w:p>
            <w:pPr>
              <w:jc w:val="right"/>
              <w:ind w:right="375"/>
              <w:spacing w:after="0"/>
              <w:rPr>
                <w:sz w:val="20"/>
                <w:szCs w:val="20"/>
                <w:color w:val="auto"/>
              </w:rPr>
            </w:pPr>
            <w:r>
              <w:rPr>
                <w:rFonts w:ascii="Arial" w:cs="Arial" w:eastAsia="Arial" w:hAnsi="Arial"/>
                <w:sz w:val="12"/>
                <w:szCs w:val="12"/>
                <w:b w:val="1"/>
                <w:bCs w:val="1"/>
                <w:color w:val="auto"/>
                <w:w w:val="71"/>
              </w:rPr>
              <w:t>thousands)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2019</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U.S. government and municipal obligations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560"/>
              <w:spacing w:after="0"/>
              <w:rPr>
                <w:sz w:val="20"/>
                <w:szCs w:val="20"/>
                <w:color w:val="auto"/>
              </w:rPr>
            </w:pPr>
            <w:r>
              <w:rPr>
                <w:rFonts w:ascii="Arial" w:cs="Arial" w:eastAsia="Arial" w:hAnsi="Arial"/>
                <w:sz w:val="18"/>
                <w:szCs w:val="18"/>
                <w:color w:val="auto"/>
              </w:rPr>
              <w:t>Maturing in one year or less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18,509</w:t>
            </w:r>
          </w:p>
        </w:tc>
        <w:tc>
          <w:tcPr>
            <w:tcW w:w="1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98"/>
              <w:spacing w:after="0"/>
              <w:rPr>
                <w:sz w:val="20"/>
                <w:szCs w:val="20"/>
                <w:color w:val="auto"/>
              </w:rPr>
            </w:pPr>
            <w:r>
              <w:rPr>
                <w:rFonts w:ascii="Arial" w:cs="Arial" w:eastAsia="Arial" w:hAnsi="Arial"/>
                <w:sz w:val="18"/>
                <w:szCs w:val="18"/>
                <w:color w:val="auto"/>
              </w:rPr>
              <w:t>13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18,522</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Maturing after one year through three years</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320" w:type="dxa"/>
            <w:vAlign w:val="bottom"/>
          </w:tcPr>
          <w:p>
            <w:pPr>
              <w:ind w:left="380"/>
              <w:spacing w:after="0"/>
              <w:rPr>
                <w:sz w:val="20"/>
                <w:szCs w:val="20"/>
                <w:color w:val="auto"/>
              </w:rPr>
            </w:pPr>
            <w:r>
              <w:rPr>
                <w:rFonts w:ascii="Arial" w:cs="Arial" w:eastAsia="Arial" w:hAnsi="Arial"/>
                <w:sz w:val="18"/>
                <w:szCs w:val="18"/>
                <w:color w:val="auto"/>
              </w:rPr>
              <w:t>Total U.S. government and municipal obligations</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18,509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3"/>
              </w:rPr>
              <w:t>18,522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Corporate debt securities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560"/>
              <w:spacing w:after="0"/>
              <w:rPr>
                <w:sz w:val="20"/>
                <w:szCs w:val="20"/>
                <w:color w:val="auto"/>
              </w:rPr>
            </w:pPr>
            <w:r>
              <w:rPr>
                <w:rFonts w:ascii="Arial" w:cs="Arial" w:eastAsia="Arial" w:hAnsi="Arial"/>
                <w:sz w:val="18"/>
                <w:szCs w:val="18"/>
                <w:color w:val="auto"/>
              </w:rPr>
              <w:t>Maturing in one year or less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34,619</w:t>
            </w:r>
          </w:p>
        </w:tc>
        <w:tc>
          <w:tcPr>
            <w:tcW w:w="1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98"/>
              <w:spacing w:after="0"/>
              <w:rPr>
                <w:sz w:val="20"/>
                <w:szCs w:val="20"/>
                <w:color w:val="auto"/>
              </w:rPr>
            </w:pPr>
            <w:r>
              <w:rPr>
                <w:rFonts w:ascii="Arial" w:cs="Arial" w:eastAsia="Arial" w:hAnsi="Arial"/>
                <w:sz w:val="18"/>
                <w:szCs w:val="18"/>
                <w:color w:val="auto"/>
              </w:rPr>
              <w:t>13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34,629</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Maturing after one year through three years</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380"/>
              <w:spacing w:after="0"/>
              <w:rPr>
                <w:sz w:val="20"/>
                <w:szCs w:val="20"/>
                <w:color w:val="auto"/>
              </w:rPr>
            </w:pPr>
            <w:r>
              <w:rPr>
                <w:rFonts w:ascii="Arial" w:cs="Arial" w:eastAsia="Arial" w:hAnsi="Arial"/>
                <w:sz w:val="18"/>
                <w:szCs w:val="18"/>
                <w:color w:val="auto"/>
              </w:rPr>
              <w:t>Total corporate debt securities</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20" w:type="dxa"/>
            <w:vAlign w:val="bottom"/>
            <w:vMerge w:val="continue"/>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34,619</w:t>
            </w:r>
          </w:p>
        </w:tc>
        <w:tc>
          <w:tcPr>
            <w:tcW w:w="2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34,629</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marketable securities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53,151</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December 31, 2018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3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Marketable securities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380"/>
              <w:spacing w:after="0"/>
              <w:rPr>
                <w:sz w:val="20"/>
                <w:szCs w:val="20"/>
                <w:color w:val="auto"/>
              </w:rPr>
            </w:pPr>
            <w:r>
              <w:rPr>
                <w:rFonts w:ascii="Arial" w:cs="Arial" w:eastAsia="Arial" w:hAnsi="Arial"/>
                <w:sz w:val="18"/>
                <w:szCs w:val="18"/>
                <w:color w:val="auto"/>
              </w:rPr>
              <w:t>U.S. government and municipal obligations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Maturing in one year or less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27,351</w:t>
            </w:r>
          </w:p>
        </w:tc>
        <w:tc>
          <w:tcPr>
            <w:tcW w:w="0" w:type="dxa"/>
            <w:vAlign w:val="bottom"/>
          </w:tcPr>
          <w:p>
            <w:pPr>
              <w:spacing w:after="0"/>
              <w:rPr>
                <w:sz w:val="1"/>
                <w:szCs w:val="1"/>
                <w:color w:val="auto"/>
              </w:rPr>
            </w:pPr>
          </w:p>
        </w:tc>
      </w:tr>
      <w:tr>
        <w:trPr>
          <w:trHeight w:val="216"/>
        </w:trPr>
        <w:tc>
          <w:tcPr>
            <w:tcW w:w="5320" w:type="dxa"/>
            <w:vAlign w:val="bottom"/>
          </w:tcPr>
          <w:p>
            <w:pPr>
              <w:ind w:left="560"/>
              <w:spacing w:after="0"/>
              <w:rPr>
                <w:sz w:val="20"/>
                <w:szCs w:val="20"/>
                <w:color w:val="auto"/>
              </w:rPr>
            </w:pPr>
            <w:r>
              <w:rPr>
                <w:rFonts w:ascii="Arial" w:cs="Arial" w:eastAsia="Arial" w:hAnsi="Arial"/>
                <w:sz w:val="18"/>
                <w:szCs w:val="18"/>
                <w:color w:val="auto"/>
              </w:rPr>
              <w:t>Maturing after one year through three years</w:t>
            </w:r>
          </w:p>
        </w:tc>
        <w:tc>
          <w:tcPr>
            <w:tcW w:w="16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9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U.S. government and municipal obligations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27,351</w:t>
            </w:r>
          </w:p>
        </w:tc>
        <w:tc>
          <w:tcPr>
            <w:tcW w:w="0" w:type="dxa"/>
            <w:vAlign w:val="bottom"/>
          </w:tcPr>
          <w:p>
            <w:pPr>
              <w:spacing w:after="0"/>
              <w:rPr>
                <w:sz w:val="1"/>
                <w:szCs w:val="1"/>
                <w:color w:val="auto"/>
              </w:rPr>
            </w:pPr>
          </w:p>
        </w:tc>
      </w:tr>
      <w:tr>
        <w:trPr>
          <w:trHeight w:val="209"/>
        </w:trPr>
        <w:tc>
          <w:tcPr>
            <w:tcW w:w="5320" w:type="dxa"/>
            <w:vAlign w:val="bottom"/>
          </w:tcPr>
          <w:p>
            <w:pPr>
              <w:ind w:left="380"/>
              <w:spacing w:after="0"/>
              <w:rPr>
                <w:sz w:val="20"/>
                <w:szCs w:val="20"/>
                <w:color w:val="auto"/>
              </w:rPr>
            </w:pPr>
            <w:r>
              <w:rPr>
                <w:rFonts w:ascii="Arial" w:cs="Arial" w:eastAsia="Arial" w:hAnsi="Arial"/>
                <w:sz w:val="18"/>
                <w:szCs w:val="18"/>
                <w:color w:val="auto"/>
              </w:rPr>
              <w:t>Corporate debt securities</w:t>
            </w: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Maturing in one year or less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42,370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42,361</w:t>
            </w:r>
          </w:p>
        </w:tc>
        <w:tc>
          <w:tcPr>
            <w:tcW w:w="0" w:type="dxa"/>
            <w:vAlign w:val="bottom"/>
          </w:tcPr>
          <w:p>
            <w:pPr>
              <w:spacing w:after="0"/>
              <w:rPr>
                <w:sz w:val="1"/>
                <w:szCs w:val="1"/>
                <w:color w:val="auto"/>
              </w:rPr>
            </w:pPr>
          </w:p>
        </w:tc>
      </w:tr>
      <w:tr>
        <w:trPr>
          <w:trHeight w:val="216"/>
        </w:trPr>
        <w:tc>
          <w:tcPr>
            <w:tcW w:w="5320" w:type="dxa"/>
            <w:vAlign w:val="bottom"/>
          </w:tcPr>
          <w:p>
            <w:pPr>
              <w:ind w:left="560"/>
              <w:spacing w:after="0"/>
              <w:rPr>
                <w:sz w:val="20"/>
                <w:szCs w:val="20"/>
                <w:color w:val="auto"/>
              </w:rPr>
            </w:pPr>
            <w:r>
              <w:rPr>
                <w:rFonts w:ascii="Arial" w:cs="Arial" w:eastAsia="Arial" w:hAnsi="Arial"/>
                <w:sz w:val="18"/>
                <w:szCs w:val="18"/>
                <w:color w:val="auto"/>
              </w:rPr>
              <w:t>Maturing after one year through three years</w:t>
            </w:r>
          </w:p>
        </w:tc>
        <w:tc>
          <w:tcPr>
            <w:tcW w:w="16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9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corporate debt securities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42,370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42,361</w:t>
            </w:r>
          </w:p>
        </w:tc>
        <w:tc>
          <w:tcPr>
            <w:tcW w:w="0" w:type="dxa"/>
            <w:vAlign w:val="bottom"/>
          </w:tcPr>
          <w:p>
            <w:pPr>
              <w:spacing w:after="0"/>
              <w:rPr>
                <w:sz w:val="1"/>
                <w:szCs w:val="1"/>
                <w:color w:val="auto"/>
              </w:rPr>
            </w:pPr>
          </w:p>
        </w:tc>
      </w:tr>
      <w:tr>
        <w:trPr>
          <w:trHeight w:val="210"/>
        </w:trPr>
        <w:tc>
          <w:tcPr>
            <w:tcW w:w="5320" w:type="dxa"/>
            <w:vAlign w:val="bottom"/>
          </w:tcPr>
          <w:p>
            <w:pPr>
              <w:ind w:left="200"/>
              <w:spacing w:after="0"/>
              <w:rPr>
                <w:sz w:val="20"/>
                <w:szCs w:val="20"/>
                <w:color w:val="auto"/>
              </w:rPr>
            </w:pPr>
            <w:r>
              <w:rPr>
                <w:rFonts w:ascii="Arial" w:cs="Arial" w:eastAsia="Arial" w:hAnsi="Arial"/>
                <w:sz w:val="18"/>
                <w:szCs w:val="18"/>
                <w:color w:val="auto"/>
              </w:rPr>
              <w:t>Total marketable securities</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69,725</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3"/>
              </w:rPr>
              <w:t>69,712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 holds investment grade marketable securities, and none were considered to be other-than-temporarily impaired as of December 31, 2019.</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Marketable securities include $0.2 million and $0.1 million in accrued interest at December 31, 2019 and December 31, 2018, respectively.</w:t>
      </w:r>
    </w:p>
    <w:p>
      <w:pPr>
        <w:spacing w:after="0" w:line="24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20"/>
          </w:cols>
          <w:pgMar w:left="320" w:top="131" w:right="5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Net includes the following:</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5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spacing w:after="0"/>
              <w:rPr>
                <w:sz w:val="20"/>
                <w:szCs w:val="20"/>
                <w:color w:val="auto"/>
              </w:rPr>
            </w:pPr>
            <w:r>
              <w:rPr>
                <w:rFonts w:ascii="Arial" w:cs="Arial" w:eastAsia="Arial" w:hAnsi="Arial"/>
                <w:sz w:val="13"/>
                <w:szCs w:val="13"/>
                <w:b w:val="1"/>
                <w:bCs w:val="1"/>
                <w:color w:val="auto"/>
              </w:rPr>
              <w:t>December 31,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9"/>
              </w:rPr>
              <w:t>December 31,</w:t>
            </w:r>
          </w:p>
        </w:tc>
      </w:tr>
      <w:tr>
        <w:trPr>
          <w:trHeight w:val="161"/>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8"/>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4"/>
                <w:szCs w:val="14"/>
                <w:color w:val="auto"/>
              </w:rPr>
            </w:pPr>
          </w:p>
        </w:tc>
      </w:tr>
      <w:tr>
        <w:trPr>
          <w:trHeight w:val="142"/>
        </w:trPr>
        <w:tc>
          <w:tcPr>
            <w:tcW w:w="5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center"/>
              <w:ind w:left="298"/>
              <w:spacing w:after="0" w:line="142" w:lineRule="exact"/>
              <w:rPr>
                <w:sz w:val="20"/>
                <w:szCs w:val="20"/>
                <w:color w:val="auto"/>
              </w:rPr>
            </w:pPr>
            <w:r>
              <w:rPr>
                <w:rFonts w:ascii="Arial" w:cs="Arial" w:eastAsia="Arial" w:hAnsi="Arial"/>
                <w:sz w:val="13"/>
                <w:szCs w:val="13"/>
                <w:b w:val="1"/>
                <w:bCs w:val="1"/>
                <w:color w:val="auto"/>
              </w:rPr>
              <w:t>(In</w:t>
            </w:r>
          </w:p>
        </w:tc>
        <w:tc>
          <w:tcPr>
            <w:tcW w:w="1140" w:type="dxa"/>
            <w:vAlign w:val="bottom"/>
            <w:gridSpan w:val="4"/>
          </w:tcPr>
          <w:p>
            <w:pPr>
              <w:jc w:val="right"/>
              <w:ind w:right="556"/>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8,622</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8,272</w:t>
            </w:r>
          </w:p>
        </w:tc>
        <w:tc>
          <w:tcPr>
            <w:tcW w:w="16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Manufacturing Equipment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2,510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2,497</w:t>
            </w:r>
          </w:p>
        </w:tc>
        <w:tc>
          <w:tcPr>
            <w:tcW w:w="16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16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17,238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17,408</w:t>
            </w:r>
          </w:p>
        </w:tc>
        <w:tc>
          <w:tcPr>
            <w:tcW w:w="16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60" w:type="dxa"/>
            <w:vAlign w:val="bottom"/>
            <w:shd w:val="clear" w:color="auto" w:fill="CCEEFF"/>
          </w:tcPr>
          <w:p>
            <w:pPr>
              <w:spacing w:after="0"/>
              <w:rPr>
                <w:sz w:val="18"/>
                <w:szCs w:val="18"/>
                <w:color w:val="auto"/>
              </w:rPr>
            </w:pPr>
          </w:p>
        </w:tc>
      </w:tr>
      <w:tr>
        <w:trPr>
          <w:trHeight w:val="209"/>
        </w:trPr>
        <w:tc>
          <w:tcPr>
            <w:tcW w:w="5620" w:type="dxa"/>
            <w:vAlign w:val="bottom"/>
          </w:tcPr>
          <w:p>
            <w:pPr>
              <w:ind w:left="180"/>
              <w:spacing w:after="0"/>
              <w:rPr>
                <w:sz w:val="20"/>
                <w:szCs w:val="20"/>
                <w:color w:val="auto"/>
              </w:rPr>
            </w:pPr>
            <w:r>
              <w:rPr>
                <w:rFonts w:ascii="Arial" w:cs="Arial" w:eastAsia="Arial" w:hAnsi="Arial"/>
                <w:sz w:val="18"/>
                <w:szCs w:val="18"/>
                <w:color w:val="auto"/>
              </w:rPr>
              <w:t>Total Property and Equipment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32,434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32,295</w:t>
            </w:r>
          </w:p>
        </w:tc>
        <w:tc>
          <w:tcPr>
            <w:tcW w:w="16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(28,403)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(26,184)</w:t>
            </w: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6,111</w:t>
            </w:r>
          </w:p>
        </w:tc>
        <w:tc>
          <w:tcPr>
            <w:tcW w:w="160" w:type="dxa"/>
            <w:vAlign w:val="bottom"/>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940" w:firstLine="351"/>
        <w:spacing w:after="0" w:line="268" w:lineRule="auto"/>
        <w:rPr>
          <w:sz w:val="20"/>
          <w:szCs w:val="20"/>
          <w:color w:val="auto"/>
        </w:rPr>
      </w:pPr>
      <w:r>
        <w:rPr>
          <w:rFonts w:ascii="Arial" w:cs="Arial" w:eastAsia="Arial" w:hAnsi="Arial"/>
          <w:sz w:val="18"/>
          <w:szCs w:val="18"/>
          <w:color w:val="auto"/>
        </w:rPr>
        <w:t>Depreciation and amortization expense related to property and equipment was $2.7 million, $3.6 million and $4.4 million for the years ended December 31, 2019, 2018 and 2017,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Company has operating leases of office, manufacturing and laboratory space, which have remaining lease terms of one to six years and may include one or more options to renew or terminate early.</w:t>
      </w:r>
    </w:p>
    <w:p>
      <w:pPr>
        <w:spacing w:after="0" w:line="186"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During the first quarter of 2019, the Company amended its Hampton, New Jersey lease to eliminate 16,200 square feet of space and extend the remaining 33,400 square feet of space for an additional five-year term with an early termination option after three years. The Company recorded an additional right-of-use asset and lease liability of $1.4 million during the first quarter of 2019 for the initial 3 years related to the amendment.</w:t>
      </w:r>
    </w:p>
    <w:p>
      <w:pPr>
        <w:spacing w:after="0" w:line="160"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Operating lease expense and variable lease expense was $2.5 million and $1.5 million for year ended December 31, 2019, respectively. Under the prior lease accounting guidance, the Company recorded total operating lease expense and variable lease expense of $4.0 million and $4.1 million for the years ended December 31, 2018 and 2017, respectively. Cash paid for amounts included in the measurement of operating lease liabilities during the year ended December 31, 2019 was $3.3 million. As of December 31, 2019, the weighted-average remaining lease term was 2 years and the weighted-average discount rate was 11.0%.</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07"/>
        </w:trPr>
        <w:tc>
          <w:tcPr>
            <w:tcW w:w="824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6"/>
        </w:trPr>
        <w:tc>
          <w:tcPr>
            <w:tcW w:w="126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6540" w:type="dxa"/>
            <w:vAlign w:val="bottom"/>
          </w:tcPr>
          <w:p>
            <w:pPr>
              <w:ind w:left="2560"/>
              <w:spacing w:after="0"/>
              <w:rPr>
                <w:sz w:val="20"/>
                <w:szCs w:val="20"/>
                <w:color w:val="auto"/>
              </w:rPr>
            </w:pPr>
            <w:r>
              <w:rPr>
                <w:rFonts w:ascii="Arial" w:cs="Arial" w:eastAsia="Arial" w:hAnsi="Arial"/>
                <w:sz w:val="18"/>
                <w:szCs w:val="18"/>
                <w:b w:val="1"/>
                <w:bCs w:val="1"/>
                <w:color w:val="auto"/>
              </w:rPr>
              <w:t>CELLDEX THERAPEUTICS, INC.</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540" w:type="dxa"/>
            <w:vAlign w:val="bottom"/>
          </w:tcPr>
          <w:p>
            <w:pPr>
              <w:ind w:left="1880"/>
              <w:spacing w:after="0"/>
              <w:rPr>
                <w:sz w:val="20"/>
                <w:szCs w:val="20"/>
                <w:color w:val="auto"/>
              </w:rPr>
            </w:pPr>
            <w:r>
              <w:rPr>
                <w:rFonts w:ascii="Arial" w:cs="Arial" w:eastAsia="Arial" w:hAnsi="Arial"/>
                <w:sz w:val="18"/>
                <w:szCs w:val="18"/>
                <w:b w:val="1"/>
                <w:bCs w:val="1"/>
                <w:color w:val="auto"/>
              </w:rPr>
              <w:t>NOTES TO FINANCIAL STATEMENTS (Continued)</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40" w:type="dxa"/>
            <w:vAlign w:val="bottom"/>
            <w:gridSpan w:val="3"/>
          </w:tcPr>
          <w:p>
            <w:pPr>
              <w:spacing w:after="0"/>
              <w:rPr>
                <w:sz w:val="20"/>
                <w:szCs w:val="20"/>
                <w:color w:val="auto"/>
              </w:rPr>
            </w:pPr>
            <w:r>
              <w:rPr>
                <w:rFonts w:ascii="Arial" w:cs="Arial" w:eastAsia="Arial" w:hAnsi="Arial"/>
                <w:sz w:val="18"/>
                <w:szCs w:val="18"/>
                <w:b w:val="1"/>
                <w:bCs w:val="1"/>
                <w:color w:val="auto"/>
              </w:rPr>
              <w:t>(7) Leases (Continued)</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40" w:type="dxa"/>
            <w:vAlign w:val="bottom"/>
            <w:gridSpan w:val="3"/>
          </w:tcPr>
          <w:p>
            <w:pPr>
              <w:ind w:left="360"/>
              <w:spacing w:after="0"/>
              <w:rPr>
                <w:sz w:val="20"/>
                <w:szCs w:val="20"/>
                <w:color w:val="auto"/>
              </w:rPr>
            </w:pPr>
            <w:r>
              <w:rPr>
                <w:rFonts w:ascii="Arial" w:cs="Arial" w:eastAsia="Arial" w:hAnsi="Arial"/>
                <w:sz w:val="18"/>
                <w:szCs w:val="18"/>
                <w:color w:val="auto"/>
                <w:w w:val="93"/>
              </w:rPr>
              <w:t>Future minimum lease payments under non-cancellable leases as of December 31, 2019 were as follows:</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700" w:type="dxa"/>
            <w:vAlign w:val="bottom"/>
            <w:gridSpan w:val="2"/>
            <w:vMerge w:val="restart"/>
          </w:tcPr>
          <w:p>
            <w:pPr>
              <w:spacing w:after="0"/>
              <w:rPr>
                <w:sz w:val="18"/>
                <w:szCs w:val="18"/>
                <w:color w:val="auto"/>
              </w:rPr>
            </w:pPr>
          </w:p>
        </w:tc>
        <w:tc>
          <w:tcPr>
            <w:tcW w:w="6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gridSpan w:val="2"/>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gridSpan w:val="2"/>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2021</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gridSpan w:val="2"/>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gridSpan w:val="2"/>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2023</w:t>
            </w:r>
          </w:p>
        </w:tc>
        <w:tc>
          <w:tcPr>
            <w:tcW w:w="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Less imputed interest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operating lease liabilities</w:t>
            </w:r>
          </w:p>
        </w:tc>
        <w:tc>
          <w:tcPr>
            <w:tcW w:w="5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Under the prior lease accounting guidance, operating lease obligations, including estimated variable lease obligations, as of December 31, 2018 were as follows:</w:t>
      </w:r>
    </w:p>
    <w:p>
      <w:pPr>
        <w:spacing w:after="0" w:line="194"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w:t>
            </w:r>
          </w:p>
        </w:tc>
        <w:tc>
          <w:tcPr>
            <w:tcW w:w="16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3,140</w:t>
            </w:r>
          </w:p>
        </w:tc>
        <w:tc>
          <w:tcPr>
            <w:tcW w:w="16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9"/>
        </w:trPr>
        <w:tc>
          <w:tcPr>
            <w:tcW w:w="7060" w:type="dxa"/>
            <w:vAlign w:val="bottom"/>
          </w:tcPr>
          <w:p>
            <w:pPr>
              <w:spacing w:after="0"/>
              <w:rPr>
                <w:sz w:val="20"/>
                <w:szCs w:val="20"/>
                <w:color w:val="auto"/>
              </w:rPr>
            </w:pPr>
            <w:r>
              <w:rPr>
                <w:rFonts w:ascii="Arial" w:cs="Arial" w:eastAsia="Arial" w:hAnsi="Arial"/>
                <w:sz w:val="18"/>
                <w:szCs w:val="18"/>
                <w:color w:val="auto"/>
              </w:rPr>
              <w:t>Total lease payments</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7,788</w:t>
            </w:r>
          </w:p>
        </w:tc>
        <w:tc>
          <w:tcPr>
            <w:tcW w:w="160" w:type="dxa"/>
            <w:vAlign w:val="bottom"/>
          </w:tcPr>
          <w:p>
            <w:pPr>
              <w:spacing w:after="0"/>
              <w:rPr>
                <w:sz w:val="18"/>
                <w:szCs w:val="18"/>
                <w:color w:val="auto"/>
              </w:rPr>
            </w:pPr>
          </w:p>
        </w:tc>
      </w:tr>
      <w:tr>
        <w:trPr>
          <w:trHeight w:val="20"/>
        </w:trPr>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 Assets and Goodwill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225"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Company's finite-lived intangible assets consisted solely of license rights amended under a 2009 agreement with Amgen Fremont related to developing and commercializing Glemba. As a result of the discontinuation of the Glemba program, the Company concluded that the finite-lived intangible asset was fully impaired and a non-cash impairment charge of $6.9 million was recorded in the first quarter of 2018. Amortization expense for finite intangible assets was $0.0 million, $0.2 million and $0.9 million for the years ended December 31, 2019, 2018 and 2017.</w:t>
      </w:r>
    </w:p>
    <w:p>
      <w:pPr>
        <w:spacing w:after="0" w:line="166"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At December 31, 2019 and 2018, the Company recorded indefinite-lived intangible assets of $48.7 million. At December 31, 2019, indefinite-lived intangible assets consist of acquired in-process research and development ("IPR&amp;D") related to the development of CDX-3379, the anti-KIT program and the TAM program. CDX-3379 is in Phase 2 development, the anti-KIT program is in Phase 1 development and the TAM program is in preclinical development. As of December 31, 2019, no IPR&amp;D asset had reached technological feasibility nor did any have alternative future uses.</w:t>
      </w:r>
    </w:p>
    <w:p>
      <w:pPr>
        <w:spacing w:after="0" w:line="166"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Each IPR&amp;D asset is assessed for impairment at least annually, or more frequently if events or changes in circumstances indicate that IPR&amp;D assets may be impaired. The Company performed its annual impairment test of the IPR&amp;D assets during the fourth quarter of 2019 and concluded that the IPR&amp;D assets were not impaired. In the first quarter of 2018, as a result of the discontinuation of the Glemba program, the Company concluded that the Glemba IPR&amp;D asset was fully impaired and a non-cash impairment charge of $11.8 million was recorded. Due to the nature of IPR&amp;D projects, the Company may experience future delays or failures to obtain regulatory approvals to conduct clinical</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 Assets and Goodwill (Continued)</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trials, failures of such clinical trials or other failures to achieve a commercially viable product, and as a result, may recognize further impairment losses in the future.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the first quarter of 2018, the Company's goodwill was evaluated for potential impairment due to the discontinuation of the Glemba program. The carrying amount of the Company was compared to the Company's fair value. The Company's fair value assessment reflected a number of significant management assumptions and estimates including the Company's probability forecasts for pipeline assets, income taxes, capital expenditures, market premium and changes in working capital requirements. Changes in these assumptions and/or discount rates could materially impact the Company's conclusions. Through this assessment, it was determined that the carrying amount of the Company exceeded its fair value by over $91.0 million. As such, the full goodwill asset was considered impaired and a charge of $91.0 million was recorded during the first quarter of 2018.</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Expenses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include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0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center"/>
              <w:ind w:right="138"/>
              <w:spacing w:after="0"/>
              <w:rPr>
                <w:sz w:val="20"/>
                <w:szCs w:val="20"/>
                <w:color w:val="auto"/>
              </w:rPr>
            </w:pPr>
            <w:r>
              <w:rPr>
                <w:rFonts w:ascii="Arial" w:cs="Arial" w:eastAsia="Arial" w:hAnsi="Arial"/>
                <w:sz w:val="13"/>
                <w:szCs w:val="13"/>
                <w:b w:val="1"/>
                <w:bCs w:val="1"/>
                <w:color w:val="auto"/>
                <w:w w:val="92"/>
              </w:rPr>
              <w:t>December 31,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61"/>
        </w:trPr>
        <w:tc>
          <w:tcPr>
            <w:tcW w:w="17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9"/>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ind w:right="79"/>
              <w:spacing w:after="0" w:line="142" w:lineRule="exact"/>
              <w:rPr>
                <w:sz w:val="20"/>
                <w:szCs w:val="20"/>
                <w:color w:val="auto"/>
              </w:rPr>
            </w:pPr>
            <w:r>
              <w:rPr>
                <w:rFonts w:ascii="Arial" w:cs="Arial" w:eastAsia="Arial" w:hAnsi="Arial"/>
                <w:sz w:val="13"/>
                <w:szCs w:val="13"/>
                <w:b w:val="1"/>
                <w:bCs w:val="1"/>
                <w:color w:val="auto"/>
              </w:rPr>
              <w:t>(In</w:t>
            </w:r>
          </w:p>
        </w:tc>
        <w:tc>
          <w:tcPr>
            <w:tcW w:w="1140" w:type="dxa"/>
            <w:vAlign w:val="bottom"/>
            <w:gridSpan w:val="4"/>
          </w:tcPr>
          <w:p>
            <w:pPr>
              <w:jc w:val="right"/>
              <w:ind w:right="557"/>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Employee Benefits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Accrued Research and Development Contract Costs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Other Accrued Expenses</w:t>
            </w: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(10) Other Long-Term Liabilities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73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ind w:left="360"/>
              <w:spacing w:after="0"/>
              <w:rPr>
                <w:sz w:val="20"/>
                <w:szCs w:val="20"/>
                <w:color w:val="auto"/>
              </w:rPr>
            </w:pPr>
            <w:r>
              <w:rPr>
                <w:rFonts w:ascii="Arial" w:cs="Arial" w:eastAsia="Arial" w:hAnsi="Arial"/>
                <w:sz w:val="18"/>
                <w:szCs w:val="18"/>
                <w:color w:val="auto"/>
              </w:rPr>
              <w:t>Other long-term liabilities include the following:</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70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gridSpan w:val="2"/>
          </w:tcPr>
          <w:p>
            <w:pPr>
              <w:jc w:val="center"/>
              <w:ind w:right="138"/>
              <w:spacing w:after="0"/>
              <w:rPr>
                <w:sz w:val="20"/>
                <w:szCs w:val="20"/>
                <w:color w:val="auto"/>
              </w:rPr>
            </w:pPr>
            <w:r>
              <w:rPr>
                <w:rFonts w:ascii="Arial" w:cs="Arial" w:eastAsia="Arial" w:hAnsi="Arial"/>
                <w:sz w:val="13"/>
                <w:szCs w:val="13"/>
                <w:b w:val="1"/>
                <w:bCs w:val="1"/>
                <w:color w:val="auto"/>
                <w:w w:val="92"/>
              </w:rPr>
              <w:t>December 31,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61"/>
        </w:trPr>
        <w:tc>
          <w:tcPr>
            <w:tcW w:w="17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9"/>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ind w:right="79"/>
              <w:spacing w:after="0" w:line="142" w:lineRule="exact"/>
              <w:rPr>
                <w:sz w:val="20"/>
                <w:szCs w:val="20"/>
                <w:color w:val="auto"/>
              </w:rPr>
            </w:pPr>
            <w:r>
              <w:rPr>
                <w:rFonts w:ascii="Arial" w:cs="Arial" w:eastAsia="Arial" w:hAnsi="Arial"/>
                <w:sz w:val="13"/>
                <w:szCs w:val="13"/>
                <w:b w:val="1"/>
                <w:bCs w:val="1"/>
                <w:color w:val="auto"/>
              </w:rPr>
              <w:t>(In</w:t>
            </w:r>
          </w:p>
        </w:tc>
        <w:tc>
          <w:tcPr>
            <w:tcW w:w="1140" w:type="dxa"/>
            <w:vAlign w:val="bottom"/>
            <w:gridSpan w:val="4"/>
          </w:tcPr>
          <w:p>
            <w:pPr>
              <w:jc w:val="right"/>
              <w:ind w:right="557"/>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 Related to IPR&amp;D (Note 15)</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Deferred Income From Sale of Tax Benefits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1,831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Contingent Milestones (Note 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12,485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620" w:type="dxa"/>
            <w:vAlign w:val="bottom"/>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17,577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23,673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(4,526)</w:t>
            </w:r>
          </w:p>
        </w:tc>
        <w:tc>
          <w:tcPr>
            <w:tcW w:w="0" w:type="dxa"/>
            <w:vAlign w:val="bottom"/>
          </w:tcPr>
          <w:p>
            <w:pPr>
              <w:spacing w:after="0"/>
              <w:rPr>
                <w:sz w:val="1"/>
                <w:szCs w:val="1"/>
                <w:color w:val="auto"/>
              </w:rPr>
            </w:pPr>
          </w:p>
        </w:tc>
      </w:tr>
      <w:tr>
        <w:trPr>
          <w:trHeight w:val="210"/>
        </w:trPr>
        <w:tc>
          <w:tcPr>
            <w:tcW w:w="7320" w:type="dxa"/>
            <w:vAlign w:val="bottom"/>
            <w:gridSpan w:val="2"/>
          </w:tcPr>
          <w:p>
            <w:pPr>
              <w:ind w:left="1700"/>
              <w:spacing w:after="0"/>
              <w:rPr>
                <w:sz w:val="20"/>
                <w:szCs w:val="20"/>
                <w:color w:val="auto"/>
              </w:rPr>
            </w:pPr>
            <w:r>
              <w:rPr>
                <w:rFonts w:ascii="Arial" w:cs="Arial" w:eastAsia="Arial" w:hAnsi="Arial"/>
                <w:sz w:val="18"/>
                <w:szCs w:val="18"/>
                <w:color w:val="auto"/>
              </w:rPr>
              <w:t>Long-Term Portion</w:t>
            </w: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15,551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 November 2015, the Company received approval from the New Jersey Economic Development Authority and agreed to sell New Jersey tax benefits of $9.8 million to an independent third party for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Long-Term Liabilities (Continued)</w:t>
      </w:r>
    </w:p>
    <w:p>
      <w:pPr>
        <w:spacing w:after="0" w:line="23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$9.2 million. Under the agreement, the Company must maintain a base of operations in New Jersey for five years or the tax benefits must be paid back on a pro-rata basis based on the number of years completed. During the years ended December 31, 2019, 2018 and 2017, the Company recorded $2.4 million, $2.5 million and $2.7 million to other income related to the sale of these tax benefits,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In December 2016, the Company filed a new shelf registration statement with the Securities and Exchange Commission to register for sale any combination of the types of securities described in the shelf registration statement up to a maximum aggregate offering price of $250 million. Such registration statement was declared effective on February 13, 2017. In December 2019, the Company filed a new shelf registration statement with the Securities and Exchange Commission to register for sale any combination of the types of securities described in the shelf registration statement up to a maximum aggregate offering price of $150.0 million.</w:t>
      </w:r>
    </w:p>
    <w:p>
      <w:pPr>
        <w:spacing w:after="0" w:line="20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May 2016, the Company entered into an agreement with Cantor Fitzgerald &amp; Co. ("Cantor") to allow the Company to issue and sell shares of its common stock having an aggregate offering price of up to $60.0 million from time to time through Cantor, acting as agent. In November 2017, the Company filed a prospectus supplement registering the offer and sale of shares of common stock of up to an additional $75.0 million under the agreement with Cantor. During the years ended December 31, 2019, 2018 and 2017, the Company issued 5.0 million, 2.7 million and 1.2 million shares of its common stock, respectively, under this controlled equity offering sales agreement with Cantor resulting in net proceeds to the Company of $16.2 million, $29.0 million and $51.0 million, respectively, after deducting commission and offering expenses. At December 31, 2019, the Company had $20.7 million remaining in aggregate gross offering price available under the Cantor agreement. From January 1, 2020 through February 29 2020, the Company issued 520,606 shares of its common stock resulting in net proceeds to the Company of $1.2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Preferred Stock</w:t>
      </w:r>
    </w:p>
    <w:p>
      <w:pPr>
        <w:spacing w:after="0" w:line="225"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At December 31, 2019, the Company had authorized 3,000,000 shares of preferred stock all of which have been designated Class C Preferred Stock including 350,000 shares which have been designated Series C-1 Junior Participating Cumulative Preferred Stock (the "Series C-1 Preferred Stock"). No shares of Series C-1 Preferred Stock were outstanding at December 31, 2019 or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Company has the following stock-based compensation plans: the 2004 Employee Stock Purchase Plan (the "2004 ESPP Plan") and the 2008 Stock Option and Incentive Plan (the "2008 Plan").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At December 31, 2019, a total of 276,666 shares of common stock are reserved for issuance under the 2004 ESPP Plan. Under the 2004 ESPP Plan, each participating employee may purchase shares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 (Continued)</w:t>
      </w:r>
    </w:p>
    <w:p>
      <w:pPr>
        <w:spacing w:after="0" w:line="23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common stock through payroll deductions at a purchase price equal to 85% of the lower of the fair market value of the common stock at either the beginning of the offering period or the applicable exercise date. During the years ended December 31, 2019, 2018 and 2017, the Company issued 3,507, 9,524 and 5,359 shares under the 2004 ESPP Plan, respectively. At December 31, 2019, 250,159 shares were available for issuance under the 2004 ESPP Plan.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Option and Incentive Plan</w:t>
      </w:r>
    </w:p>
    <w:p>
      <w:pPr>
        <w:spacing w:after="0" w:line="225"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The 2008 Plan permits the granting of incentive stock options (intended to qualify as such under Section 422A of the Internal Revenue Code of 1986, as amended), non-qualified stock options, stock appreciation rights, performance share units, restricted stock and other awards of restricted stock in lieu of cash bonuses to employees, consultants and non-employee directors.</w:t>
      </w:r>
    </w:p>
    <w:p>
      <w:pPr>
        <w:spacing w:after="0" w:line="194" w:lineRule="exact"/>
        <w:rPr>
          <w:sz w:val="20"/>
          <w:szCs w:val="20"/>
          <w:color w:val="auto"/>
        </w:rPr>
      </w:pPr>
    </w:p>
    <w:p>
      <w:pPr>
        <w:ind w:right="80" w:firstLine="341"/>
        <w:spacing w:after="0" w:line="290" w:lineRule="auto"/>
        <w:rPr>
          <w:sz w:val="20"/>
          <w:szCs w:val="20"/>
          <w:color w:val="auto"/>
        </w:rPr>
      </w:pPr>
      <w:r>
        <w:rPr>
          <w:rFonts w:ascii="Arial" w:cs="Arial" w:eastAsia="Arial" w:hAnsi="Arial"/>
          <w:sz w:val="16"/>
          <w:szCs w:val="16"/>
          <w:color w:val="auto"/>
        </w:rPr>
        <w:t>At December 31, 2019, the 2008 Plan allowed for a maximum of 2,233,333 shares of common stock to be issued for grants of new awards until June 9, 2025 and grants of incentive stock options until April 16, 2025. The Company's Board of Directors determines the term of each option, option price, and number of shares for which each option is granted and the rate at which each option vests. Options generally vest over a period not to exceed four years. The term of each option cannot exceed ten years (five years for options granted to holders of more than 10% of the voting stock of the Company), and the exercise price of stock options cannot be less than the fair market value of the common stock at the date of grant (110% of fair market value for incentive stock options granted to holders of more than 10% of the voting stock of the Company). Vesting of all employee and non-employee director stock option awards may accelerate upon a change in control as defined in the 2008 Plan.</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stock option activity for the year ended December 31, 2019 is as follows:</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5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Weighted</w:t>
            </w: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Weighted</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Average</w:t>
            </w:r>
          </w:p>
        </w:tc>
        <w:tc>
          <w:tcPr>
            <w:tcW w:w="12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Average</w:t>
            </w: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Exercise</w:t>
            </w:r>
          </w:p>
        </w:tc>
        <w:tc>
          <w:tcPr>
            <w:tcW w:w="12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Remaining</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Price</w:t>
            </w: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Contractual</w:t>
            </w:r>
          </w:p>
        </w:tc>
        <w:tc>
          <w:tcPr>
            <w:tcW w:w="0" w:type="dxa"/>
            <w:vAlign w:val="bottom"/>
          </w:tcPr>
          <w:p>
            <w:pPr>
              <w:spacing w:after="0"/>
              <w:rPr>
                <w:sz w:val="1"/>
                <w:szCs w:val="1"/>
                <w:color w:val="auto"/>
              </w:rPr>
            </w:pPr>
          </w:p>
        </w:tc>
      </w:tr>
      <w:tr>
        <w:trPr>
          <w:trHeight w:val="161"/>
        </w:trPr>
        <w:tc>
          <w:tcPr>
            <w:tcW w:w="5840" w:type="dxa"/>
            <w:vAlign w:val="bottom"/>
          </w:tcPr>
          <w:p>
            <w:pPr>
              <w:spacing w:after="0"/>
              <w:rPr>
                <w:sz w:val="14"/>
                <w:szCs w:val="14"/>
                <w:color w:val="auto"/>
              </w:rPr>
            </w:pPr>
          </w:p>
        </w:tc>
        <w:tc>
          <w:tcPr>
            <w:tcW w:w="84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Per Share</w:t>
            </w:r>
          </w:p>
        </w:tc>
        <w:tc>
          <w:tcPr>
            <w:tcW w:w="1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Term (In Years)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Outstanding at December 31, 2018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866,132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93.70</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Granted</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940,040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2.77</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Canceled</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(106,970)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70.22</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Outstanding at December 31, 2019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1,699,202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44.87</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5840" w:type="dxa"/>
            <w:vAlign w:val="bottom"/>
            <w:vMerge w:val="restart"/>
          </w:tcPr>
          <w:p>
            <w:pPr>
              <w:ind w:left="20"/>
              <w:spacing w:after="0"/>
              <w:rPr>
                <w:sz w:val="20"/>
                <w:szCs w:val="20"/>
                <w:color w:val="auto"/>
              </w:rPr>
            </w:pPr>
            <w:r>
              <w:rPr>
                <w:rFonts w:ascii="Arial" w:cs="Arial" w:eastAsia="Arial" w:hAnsi="Arial"/>
                <w:sz w:val="18"/>
                <w:szCs w:val="18"/>
                <w:color w:val="auto"/>
              </w:rPr>
              <w:t>Options Vested and Expected to Vest at December 31, 2019</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47.90</w:t>
            </w:r>
          </w:p>
        </w:tc>
        <w:tc>
          <w:tcPr>
            <w:tcW w:w="12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line="20" w:lineRule="exact"/>
              <w:rPr>
                <w:sz w:val="1"/>
                <w:szCs w:val="1"/>
                <w:color w:val="auto"/>
              </w:rPr>
            </w:pPr>
          </w:p>
        </w:tc>
      </w:tr>
      <w:tr>
        <w:trPr>
          <w:trHeight w:val="197"/>
        </w:trPr>
        <w:tc>
          <w:tcPr>
            <w:tcW w:w="5840" w:type="dxa"/>
            <w:vAlign w:val="bottom"/>
            <w:vMerge w:val="continue"/>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1,580,780</w:t>
            </w:r>
          </w:p>
        </w:tc>
        <w:tc>
          <w:tcPr>
            <w:tcW w:w="16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Exercisable at December 31, 2019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573,996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121.76</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2"/>
        </w:trPr>
        <w:tc>
          <w:tcPr>
            <w:tcW w:w="5840" w:type="dxa"/>
            <w:vAlign w:val="bottom"/>
          </w:tcPr>
          <w:p>
            <w:pPr>
              <w:ind w:left="20"/>
              <w:spacing w:after="0"/>
              <w:rPr>
                <w:sz w:val="20"/>
                <w:szCs w:val="20"/>
                <w:color w:val="auto"/>
              </w:rPr>
            </w:pPr>
            <w:r>
              <w:rPr>
                <w:rFonts w:ascii="Arial" w:cs="Arial" w:eastAsia="Arial" w:hAnsi="Arial"/>
                <w:sz w:val="18"/>
                <w:szCs w:val="18"/>
                <w:color w:val="auto"/>
              </w:rPr>
              <w:t>Shares Available for Grant Under the 2008 Plan</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424,263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40" w:firstLine="348"/>
        <w:spacing w:after="0" w:line="335" w:lineRule="auto"/>
        <w:rPr>
          <w:sz w:val="20"/>
          <w:szCs w:val="20"/>
          <w:color w:val="auto"/>
        </w:rPr>
      </w:pPr>
      <w:r>
        <w:rPr>
          <w:rFonts w:ascii="Arial" w:cs="Arial" w:eastAsia="Arial" w:hAnsi="Arial"/>
          <w:sz w:val="15"/>
          <w:szCs w:val="15"/>
          <w:color w:val="auto"/>
        </w:rPr>
        <w:t>The total intrinsic value of stock options exercised during the years ended December 31, 2019, 2018 and 2017 was $0.0 million. The weighted average grant-date fair value of stock options granted during the years ended December 31, 2019, 2018 and 2017 was $2.08, $6.60 and $23.70, respectively. The total fair value of stock options vested during the years ended December 31, 2019, 2018 and 2017 was $4.9 million, $8.0 million and $13.4 million, respectively.</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 (Continued)</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aggregate intrinsic value of stock options outstanding at December 31, 2019 was $0.0 million. The aggregate intrinsic value of stock options vested and expected to vest at December 31, 2019 was $0.0 million. As of December 31, 2019, total compensation cost related to non-vested employee and non-employee director stock options not yet recognized was approximately $3.8 million, net of estimated forfeitures, which is expected to be recognized as expense over a weighted average period of 3.0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restricted stock activity under the 2008 Plan for the year ended December 31, 2019 is as follows: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6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Weighted</w:t>
            </w:r>
          </w:p>
        </w:tc>
      </w:tr>
      <w:tr>
        <w:trPr>
          <w:trHeight w:val="148"/>
        </w:trPr>
        <w:tc>
          <w:tcPr>
            <w:tcW w:w="6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Average</w:t>
            </w:r>
          </w:p>
        </w:tc>
      </w:tr>
      <w:tr>
        <w:trPr>
          <w:trHeight w:val="148"/>
        </w:trPr>
        <w:tc>
          <w:tcPr>
            <w:tcW w:w="6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6"/>
              </w:rPr>
              <w:t>Grant Date</w:t>
            </w:r>
          </w:p>
        </w:tc>
      </w:tr>
      <w:tr>
        <w:trPr>
          <w:trHeight w:val="149"/>
        </w:trPr>
        <w:tc>
          <w:tcPr>
            <w:tcW w:w="6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Fair Value</w:t>
            </w:r>
          </w:p>
        </w:tc>
      </w:tr>
      <w:tr>
        <w:trPr>
          <w:trHeight w:val="161"/>
        </w:trPr>
        <w:tc>
          <w:tcPr>
            <w:tcW w:w="6120" w:type="dxa"/>
            <w:vAlign w:val="bottom"/>
          </w:tcPr>
          <w:p>
            <w:pPr>
              <w:spacing w:after="0"/>
              <w:rPr>
                <w:sz w:val="14"/>
                <w:szCs w:val="14"/>
                <w:color w:val="auto"/>
              </w:rPr>
            </w:pPr>
          </w:p>
        </w:tc>
        <w:tc>
          <w:tcPr>
            <w:tcW w:w="5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b w:val="1"/>
                <w:bCs w:val="1"/>
                <w:color w:val="auto"/>
                <w:w w:val="95"/>
              </w:rPr>
              <w:t>(per share)</w:t>
            </w:r>
          </w:p>
        </w:tc>
        <w:tc>
          <w:tcPr>
            <w:tcW w:w="160" w:type="dxa"/>
            <w:vAlign w:val="bottom"/>
          </w:tcPr>
          <w:p>
            <w:pPr>
              <w:spacing w:after="0"/>
              <w:rPr>
                <w:sz w:val="14"/>
                <w:szCs w:val="14"/>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Outstanding and unvested at December 31, 2018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w:t>
            </w:r>
          </w:p>
        </w:tc>
        <w:tc>
          <w:tcPr>
            <w:tcW w:w="16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49.25</w:t>
            </w:r>
          </w:p>
        </w:tc>
        <w:tc>
          <w:tcPr>
            <w:tcW w:w="16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Canceled</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(222)</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34.83</w:t>
            </w:r>
          </w:p>
        </w:tc>
        <w:tc>
          <w:tcPr>
            <w:tcW w:w="160" w:type="dxa"/>
            <w:vAlign w:val="bottom"/>
          </w:tcPr>
          <w:p>
            <w:pPr>
              <w:spacing w:after="0"/>
              <w:rPr>
                <w:sz w:val="18"/>
                <w:szCs w:val="18"/>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Outstanding and unvested at December 31, 2019</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160" w:type="dxa"/>
            <w:vAlign w:val="bottom"/>
            <w:shd w:val="clear" w:color="auto" w:fill="CCEEFF"/>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Expenses Information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Stock-based compensation expense for the years ended December 31, 2019, 2018 and 2017 was recorded as follows:</w:t>
      </w:r>
    </w:p>
    <w:p>
      <w:pPr>
        <w:spacing w:after="0" w:line="27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6"/>
              </w:rPr>
              <w:t>2019</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4"/>
                <w:szCs w:val="14"/>
                <w:color w:val="auto"/>
              </w:rPr>
            </w:pPr>
          </w:p>
        </w:tc>
      </w:tr>
      <w:tr>
        <w:trPr>
          <w:trHeight w:val="142"/>
        </w:trPr>
        <w:tc>
          <w:tcPr>
            <w:tcW w:w="4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gridSpan w:val="3"/>
          </w:tcPr>
          <w:p>
            <w:pPr>
              <w:jc w:val="right"/>
              <w:spacing w:after="0" w:line="142" w:lineRule="exact"/>
              <w:rPr>
                <w:sz w:val="20"/>
                <w:szCs w:val="20"/>
                <w:color w:val="auto"/>
              </w:rPr>
            </w:pPr>
            <w:r>
              <w:rPr>
                <w:rFonts w:ascii="Arial" w:cs="Arial" w:eastAsia="Arial" w:hAnsi="Arial"/>
                <w:sz w:val="13"/>
                <w:szCs w:val="13"/>
                <w:b w:val="1"/>
                <w:bCs w:val="1"/>
                <w:color w:val="auto"/>
                <w:w w:val="84"/>
              </w:rPr>
              <w:t>(In thousands)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6,693</w:t>
            </w:r>
          </w:p>
        </w:tc>
        <w:tc>
          <w:tcPr>
            <w:tcW w:w="16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4,207</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5,619</w:t>
            </w:r>
          </w:p>
        </w:tc>
        <w:tc>
          <w:tcPr>
            <w:tcW w:w="160" w:type="dxa"/>
            <w:vAlign w:val="bottom"/>
          </w:tcPr>
          <w:p>
            <w:pPr>
              <w:spacing w:after="0"/>
              <w:rPr>
                <w:sz w:val="18"/>
                <w:szCs w:val="18"/>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12,312</w:t>
            </w:r>
          </w:p>
        </w:tc>
        <w:tc>
          <w:tcPr>
            <w:tcW w:w="160" w:type="dxa"/>
            <w:vAlign w:val="bottom"/>
            <w:shd w:val="clear" w:color="auto" w:fill="CCEEFF"/>
          </w:tcPr>
          <w:p>
            <w:pPr>
              <w:spacing w:after="0"/>
              <w:rPr>
                <w:sz w:val="18"/>
                <w:szCs w:val="18"/>
                <w:color w:val="auto"/>
              </w:rPr>
            </w:pPr>
          </w:p>
        </w:tc>
      </w:tr>
      <w:tr>
        <w:trPr>
          <w:trHeight w:val="20"/>
        </w:trPr>
        <w:tc>
          <w:tcPr>
            <w:tcW w:w="4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fair values of employee and director stock options granted during the years ended December 31, 2019, 2018 and 2017 were valued using the Black-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Scholes option pricing model with the following assumptions:</w:t>
      </w:r>
    </w:p>
    <w:p>
      <w:pPr>
        <w:spacing w:after="0" w:line="26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8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4"/>
                <w:szCs w:val="14"/>
                <w:color w:val="auto"/>
              </w:rPr>
            </w:pPr>
          </w:p>
        </w:tc>
        <w:tc>
          <w:tcPr>
            <w:tcW w:w="8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4"/>
                <w:szCs w:val="14"/>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90 - 91%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73 - 85%</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75 - 77%</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Expected option term</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6.0 Years</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6.0 Years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6.0 Years</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1.6 - 2.5%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2.8 - 3.1%</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2.0 - 2.3%</w:t>
            </w: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r>
    </w:tbl>
    <w:p>
      <w:pPr>
        <w:spacing w:after="0" w:line="20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Company estimates expected term based on historical exercise patterns. The Company uses its historical stock price volatility consistent with the expected term of grant as the basis for its expected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 (Continued)</w:t>
      </w:r>
    </w:p>
    <w:p>
      <w:pPr>
        <w:spacing w:after="0" w:line="231" w:lineRule="exact"/>
        <w:rPr>
          <w:sz w:val="20"/>
          <w:szCs w:val="20"/>
          <w:color w:val="auto"/>
        </w:rPr>
      </w:pPr>
    </w:p>
    <w:p>
      <w:pPr>
        <w:ind w:right="40"/>
        <w:spacing w:after="0" w:line="369" w:lineRule="auto"/>
        <w:rPr>
          <w:sz w:val="20"/>
          <w:szCs w:val="20"/>
          <w:color w:val="auto"/>
        </w:rPr>
      </w:pPr>
      <w:r>
        <w:rPr>
          <w:rFonts w:ascii="Arial" w:cs="Arial" w:eastAsia="Arial" w:hAnsi="Arial"/>
          <w:sz w:val="15"/>
          <w:szCs w:val="15"/>
          <w:color w:val="auto"/>
        </w:rPr>
        <w:t>volatility assumption. The risk-free interest rate is based upon the yield of U.S. Treasury securities consistent with the expected term of the option. The dividend yield assumption is based on the Company's history of zero dividend payouts and expectation that no dividends will be paid in the foreseeable future.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Revenue</w:t>
      </w:r>
    </w:p>
    <w:p>
      <w:pPr>
        <w:spacing w:after="0" w:line="231" w:lineRule="exact"/>
        <w:rPr>
          <w:sz w:val="20"/>
          <w:szCs w:val="20"/>
          <w:color w:val="auto"/>
        </w:rPr>
      </w:pPr>
    </w:p>
    <w:p>
      <w:pPr>
        <w:ind w:right="320" w:firstLine="351"/>
        <w:spacing w:after="0" w:line="294" w:lineRule="auto"/>
        <w:rPr>
          <w:sz w:val="20"/>
          <w:szCs w:val="20"/>
          <w:color w:val="auto"/>
        </w:rPr>
      </w:pPr>
      <w:r>
        <w:rPr>
          <w:rFonts w:ascii="Arial" w:cs="Arial" w:eastAsia="Arial" w:hAnsi="Arial"/>
          <w:sz w:val="16"/>
          <w:szCs w:val="16"/>
          <w:color w:val="auto"/>
        </w:rPr>
        <w:t>On January 1, 2018, the Company adopted a new revenue accounting standard, "</w:t>
      </w:r>
      <w:r>
        <w:rPr>
          <w:rFonts w:ascii="Arial" w:cs="Arial" w:eastAsia="Arial" w:hAnsi="Arial"/>
          <w:sz w:val="16"/>
          <w:szCs w:val="16"/>
          <w:i w:val="1"/>
          <w:iCs w:val="1"/>
          <w:color w:val="auto"/>
        </w:rPr>
        <w:t>Revenue from Contracts with Customers" (ASC 606)</w:t>
      </w:r>
      <w:r>
        <w:rPr>
          <w:rFonts w:ascii="Arial" w:cs="Arial" w:eastAsia="Arial" w:hAnsi="Arial"/>
          <w:sz w:val="16"/>
          <w:szCs w:val="16"/>
          <w:color w:val="auto"/>
        </w:rPr>
        <w:t xml:space="preserve">. Upon adoption using the modified retrospective application, the Company recognized a $1.3 million decrease to accumulated deficit, a $0.8 million decrease in deferred revenue and $0.5 million increase in accounts receivable due to the cumulative impact of adopting </w:t>
      </w:r>
      <w:r>
        <w:rPr>
          <w:rFonts w:ascii="Arial" w:cs="Arial" w:eastAsia="Arial" w:hAnsi="Arial"/>
          <w:sz w:val="16"/>
          <w:szCs w:val="16"/>
          <w:i w:val="1"/>
          <w:iCs w:val="1"/>
          <w:color w:val="auto"/>
        </w:rPr>
        <w:t>ASC 606</w:t>
      </w:r>
      <w:r>
        <w:rPr>
          <w:rFonts w:ascii="Arial" w:cs="Arial" w:eastAsia="Arial" w:hAnsi="Arial"/>
          <w:sz w:val="16"/>
          <w:szCs w:val="16"/>
          <w:color w:val="auto"/>
        </w:rPr>
        <w:t xml:space="preserve">. This impact was driven by the acceleration of revenue using a percentage-of-completion method of accounting under </w:t>
      </w:r>
      <w:r>
        <w:rPr>
          <w:rFonts w:ascii="Arial" w:cs="Arial" w:eastAsia="Arial" w:hAnsi="Arial"/>
          <w:sz w:val="16"/>
          <w:szCs w:val="16"/>
          <w:i w:val="1"/>
          <w:iCs w:val="1"/>
          <w:color w:val="auto"/>
        </w:rPr>
        <w:t>ASC 606</w:t>
      </w:r>
      <w:r>
        <w:rPr>
          <w:rFonts w:ascii="Arial" w:cs="Arial" w:eastAsia="Arial" w:hAnsi="Arial"/>
          <w:sz w:val="16"/>
          <w:szCs w:val="16"/>
          <w:color w:val="auto"/>
        </w:rPr>
        <w:t xml:space="preserve"> for an open contract that had previously been accounted for using the Contingency Adjusted Performance Model ("CAPM") under previous guidance.</w:t>
      </w:r>
    </w:p>
    <w:p>
      <w:pPr>
        <w:spacing w:after="0" w:line="16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Results for reporting periods beginning after January 1, 2018 are presented under </w:t>
      </w:r>
      <w:r>
        <w:rPr>
          <w:rFonts w:ascii="Arial" w:cs="Arial" w:eastAsia="Arial" w:hAnsi="Arial"/>
          <w:sz w:val="16"/>
          <w:szCs w:val="16"/>
          <w:i w:val="1"/>
          <w:iCs w:val="1"/>
          <w:color w:val="auto"/>
        </w:rPr>
        <w:t>ASC 606</w:t>
      </w:r>
      <w:r>
        <w:rPr>
          <w:rFonts w:ascii="Arial" w:cs="Arial" w:eastAsia="Arial" w:hAnsi="Arial"/>
          <w:sz w:val="16"/>
          <w:szCs w:val="16"/>
          <w:color w:val="auto"/>
        </w:rPr>
        <w:t xml:space="preserve"> while prior period amounts were not adjusted and continue to be reported in accordance with historic accounting under previous guidance. There was not a material impact to revenues as a result of applying </w:t>
      </w:r>
      <w:r>
        <w:rPr>
          <w:rFonts w:ascii="Arial" w:cs="Arial" w:eastAsia="Arial" w:hAnsi="Arial"/>
          <w:sz w:val="16"/>
          <w:szCs w:val="16"/>
          <w:i w:val="1"/>
          <w:iCs w:val="1"/>
          <w:color w:val="auto"/>
        </w:rPr>
        <w:t>ASC 606</w:t>
      </w:r>
      <w:r>
        <w:rPr>
          <w:rFonts w:ascii="Arial" w:cs="Arial" w:eastAsia="Arial" w:hAnsi="Arial"/>
          <w:sz w:val="16"/>
          <w:szCs w:val="16"/>
          <w:color w:val="auto"/>
        </w:rPr>
        <w:t xml:space="preserve"> for the year ended December 31, 2018, and there have not been significant changes to the Company's business processes, systems or internal controls as a result of adopting the new standard. Revenue recognition remained largely unchanged under the new standard.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25" w:lineRule="exact"/>
        <w:rPr>
          <w:sz w:val="20"/>
          <w:szCs w:val="20"/>
          <w:color w:val="auto"/>
        </w:rPr>
      </w:pPr>
    </w:p>
    <w:p>
      <w:pPr>
        <w:ind w:right="460" w:firstLine="341"/>
        <w:spacing w:after="0" w:line="306" w:lineRule="auto"/>
        <w:rPr>
          <w:sz w:val="20"/>
          <w:szCs w:val="20"/>
          <w:color w:val="auto"/>
        </w:rPr>
      </w:pPr>
      <w:r>
        <w:rPr>
          <w:rFonts w:ascii="Arial" w:cs="Arial" w:eastAsia="Arial" w:hAnsi="Arial"/>
          <w:sz w:val="16"/>
          <w:szCs w:val="16"/>
          <w:color w:val="auto"/>
        </w:rPr>
        <w:t>At December 31, 2019 and 2018, the Company's right to consideration under all contracts was considered unconditional, and as such, there were no recorded contract assets. At December 31, 2019 and 2018, the Company had $0.3 million and $1.6 million in contract liabilities recorded, respectively. Revenue recognized from contract liabilities as of December 31, 2018 during the year ended December 31, 2019 was $1.4 million.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and Licensing Revenue</w:t>
      </w:r>
    </w:p>
    <w:p>
      <w:pPr>
        <w:spacing w:after="0" w:line="225" w:lineRule="exact"/>
        <w:rPr>
          <w:sz w:val="20"/>
          <w:szCs w:val="20"/>
          <w:color w:val="auto"/>
        </w:rPr>
      </w:pPr>
    </w:p>
    <w:p>
      <w:pPr>
        <w:ind w:right="40" w:firstLine="348"/>
        <w:spacing w:after="0" w:line="285" w:lineRule="auto"/>
        <w:rPr>
          <w:sz w:val="20"/>
          <w:szCs w:val="20"/>
          <w:color w:val="auto"/>
        </w:rPr>
      </w:pPr>
      <w:r>
        <w:rPr>
          <w:rFonts w:ascii="Arial" w:cs="Arial" w:eastAsia="Arial" w:hAnsi="Arial"/>
          <w:sz w:val="16"/>
          <w:szCs w:val="16"/>
          <w:color w:val="auto"/>
        </w:rPr>
        <w:t>The Company entered into a clinical collaboration agreement with BMS in 2014 to evaluate the safety, tolerability and preliminary efficacy of varlilumab and Opdivo®, BMS's PD-1 immune checkpoint inhibitor, in a Phase 1/2 study. Under this agreement, BMS made an upfront payment to Celldex of</w:t>
      </w:r>
    </w:p>
    <w:p>
      <w:pPr>
        <w:spacing w:after="0" w:line="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$5.0 million and provides funding for 50% of the external costs incurred by the Company in connection with the clinical trial. The performance obligations under the collaboration agreement consist of intellectual property licenses and the performance of research and development services. The Company determined that the performance obligations were not separately identifiable and were not distinct (and did not have standalone value) due to the specialized nature of the services to be provided, the dependent relationship between the performance obligations and the Company's proprietary technology that makes them uniquely qualified to perform the R&amp;D services. Therefore, the Company concluded that the collaboration agreement has a single identified or combined performance obligation. As of December 31, 2019, deferred revenue related to the Company's remaining performance obligation under this arrangement was $0.0 million. The Company recorded $0.2 million, $3.3 million and $2.8 million in revenue related to this agreement during the years ended December 31, 2019, 2018 and 2017, respectively.</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Revenue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and Grants Revenue</w:t>
      </w:r>
    </w:p>
    <w:p>
      <w:pPr>
        <w:spacing w:after="0" w:line="225"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Company has entered into agreements with Rockefeller University and Duke University pursuant to which the Company performs manufacturing and research and development services on a time-and-materials basis. The Company recognized $2.6 million, $3.2 million and $2.2 million in revenue for labor hours and direct costs incurred under these agreements during the years ended December 31, 2019, 2018 and 2017, respectively.</w:t>
      </w:r>
    </w:p>
    <w:p>
      <w:pPr>
        <w:spacing w:after="0" w:line="160" w:lineRule="exact"/>
        <w:rPr>
          <w:sz w:val="20"/>
          <w:szCs w:val="20"/>
          <w:color w:val="auto"/>
        </w:rPr>
      </w:pPr>
    </w:p>
    <w:p>
      <w:pPr>
        <w:jc w:val="both"/>
        <w:ind w:right="180" w:firstLine="348"/>
        <w:spacing w:after="0" w:line="259" w:lineRule="auto"/>
        <w:rPr>
          <w:sz w:val="20"/>
          <w:szCs w:val="20"/>
          <w:color w:val="auto"/>
        </w:rPr>
      </w:pPr>
      <w:r>
        <w:rPr>
          <w:rFonts w:ascii="Arial" w:cs="Arial" w:eastAsia="Arial" w:hAnsi="Arial"/>
          <w:sz w:val="18"/>
          <w:szCs w:val="18"/>
          <w:color w:val="auto"/>
        </w:rPr>
        <w:t>The Company has entered into fixed-fee manufacturing and research and development arrangements with both the International AIDS Vaccine Initiative (IAVI) and Frontier Biotechnologies, Inc (Frontier). The Company recognized $0.3 million, $3.0 million and $6.6 million in revenue under these agreements during the years ended December 31, 2019, 2018 and 2017,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Collaboration Agreements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Company has entered into license agreements whereby the Company has received licenses or options to license technology, specified patents or patent applications. The Company's licensing and development collaboration agreements generally provide for royalty payments equal to specified percentages of product sales, annual license maintenance fees, continuing patent prosecution costs and potential future milestone payments to third parties upon the achievement of certain developmental, regulatory and/or commercial milestones. Nonrefundable license fee expense of $0.1 million, $0.7 million and $0.7 million was recorded to research and development expense for the years ended December 31, 2019, 2018 and 2017,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University of Southampton, UK (Southampton)</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Under a license agreement with Southampton, the Company acquired the rights to develop human antibodies towards CD27, a potentially important target for immunotherapy of various cancers. The Company may be required to pay Southampton milestones of up to approximately $1.0 million upon obtaining first approval for commercial sale in a first indication and royalty payments in the low-single digits on any net product sales with respect to development and commercialization of CDX-527.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Inc. (Amgen)</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Under a license agreement with Amgen, the Company acquired the exclusive rights to CDX-301 and CD40 ligand, or CD40L. CDX-301 and CD40L are immune modulating molecules that increase the numbers and activity of immune cells that control immune responses. The Company may be required to pay Amgen milestones of up to $0.9 million upon obtaining first approval for commercial sale in a first indication and royalty payments in the low-single digits on any net product sales with respect to development and commercialization of the technology licensed from Amgen, including CDX-301.</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Collaboration Agreements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Yale University (Yale)</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Under a license agreement with Yale, the Company may be required to make a one-time payment to Yale of $3.0 million with respect to each therapeutic or prophylactic RTK royalty-bearing product, including CDX-3379, that achieves a specified commercial milestone. In addition, the Company may be required to pay a low single-digit royalty on annual worldwide net sales of each RTK royalty-bearing product, including CDX-3379. Unless earlier terminated by us or Yale, the Yale license agreement is due to expire no later than May 2038 but may expire earlier on a country by country basis under specified circumstances.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MedImmune, LLC (MedImmune)</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Under a license agreement with MedImmune, the Company acquired exclusive rights to specified patent rights and know-how that are controlled by MedImmune and relate to the research, development, manufacture and commercialization of CDX-3379. The Company may be required to pay Medimmune up to $45.0 million upon obtaining specified regulatory and development milestones in the first indication of CDX-3379. In addition, the Company may be required to pay MedImmune one-time milestone payments of up to $125.0 million if specified annual net sale thresholds are met related to the first indication of CDX-3379. The Company may also be required to pay MedImmune a tiered royalty on annual net sales of CDX-3379 at rates ranging from high single-digit to low teens percentages. These royalties may be reduced in specified circumstances and are payable on a product by product and country by country basis until the later to occur of ten years after the first commercial sale of the product in that country and the expiration of MedImmune's patent rights that cover the sale of the product in that country. The Company may also be required to pay specified royalties on annual net sales of CDX-3379 at a rate in the low single digits to certain other third parties from whom MedImmune licensed certain intellectual property.</w:t>
      </w:r>
    </w:p>
    <w:p>
      <w:pPr>
        <w:spacing w:after="0" w:line="167"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income tax benefit (provision)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3"/>
                <w:szCs w:val="13"/>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3"/>
                <w:szCs w:val="13"/>
                <w:b w:val="1"/>
                <w:bCs w:val="1"/>
                <w:color w:val="auto"/>
                <w:w w:val="96"/>
              </w:rPr>
              <w:t>2017</w:t>
            </w: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w w:val="84"/>
              </w:rPr>
              <w:t>(In 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00" w:type="dxa"/>
            <w:vAlign w:val="bottom"/>
          </w:tcPr>
          <w:p>
            <w:pPr>
              <w:ind w:left="180"/>
              <w:spacing w:after="0"/>
              <w:rPr>
                <w:sz w:val="20"/>
                <w:szCs w:val="20"/>
                <w:color w:val="auto"/>
              </w:rPr>
            </w:pPr>
            <w:r>
              <w:rPr>
                <w:rFonts w:ascii="Arial" w:cs="Arial" w:eastAsia="Arial" w:hAnsi="Arial"/>
                <w:sz w:val="18"/>
                <w:szCs w:val="18"/>
                <w:color w:val="auto"/>
              </w:rPr>
              <w:t>Federal</w:t>
            </w:r>
          </w:p>
        </w:tc>
        <w:tc>
          <w:tcPr>
            <w:tcW w:w="1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13,869</w:t>
            </w:r>
          </w:p>
        </w:tc>
        <w:tc>
          <w:tcPr>
            <w:tcW w:w="100" w:type="dxa"/>
            <w:vAlign w:val="bottom"/>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22,255</w:t>
            </w:r>
          </w:p>
        </w:tc>
        <w:tc>
          <w:tcPr>
            <w:tcW w:w="100" w:type="dxa"/>
            <w:vAlign w:val="bottom"/>
          </w:tcPr>
          <w:p>
            <w:pPr>
              <w:spacing w:after="0"/>
              <w:rPr>
                <w:sz w:val="18"/>
                <w:szCs w:val="18"/>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57,547</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(2,479)</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00" w:type="dxa"/>
            <w:vAlign w:val="bottom"/>
          </w:tcPr>
          <w:p>
            <w:pPr>
              <w:ind w:left="180"/>
              <w:spacing w:after="0"/>
              <w:rPr>
                <w:sz w:val="20"/>
                <w:szCs w:val="20"/>
                <w:color w:val="auto"/>
              </w:rPr>
            </w:pPr>
            <w:r>
              <w:rPr>
                <w:rFonts w:ascii="Arial" w:cs="Arial" w:eastAsia="Arial" w:hAnsi="Arial"/>
                <w:sz w:val="18"/>
                <w:szCs w:val="18"/>
                <w:color w:val="auto"/>
              </w:rPr>
              <w:t>Foreign</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2,448</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Expiration of NOLs and R&amp;D Credit</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(18,966)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00" w:type="dxa"/>
            <w:vAlign w:val="bottom"/>
          </w:tcPr>
          <w:p>
            <w:pPr>
              <w:ind w:left="180"/>
              <w:spacing w:after="0"/>
              <w:rPr>
                <w:sz w:val="20"/>
                <w:szCs w:val="20"/>
                <w:color w:val="auto"/>
              </w:rPr>
            </w:pPr>
            <w:r>
              <w:rPr>
                <w:rFonts w:ascii="Arial" w:cs="Arial" w:eastAsia="Arial" w:hAnsi="Arial"/>
                <w:sz w:val="18"/>
                <w:szCs w:val="18"/>
                <w:color w:val="auto"/>
              </w:rPr>
              <w:t>Income Tax Rate Change</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(99,528)</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(42,012)</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Deferred Tax Valuation Allowance</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(28,809)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66,294</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24,282</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760" w:type="dxa"/>
            <w:vAlign w:val="bottom"/>
            <w:vMerge w:val="restart"/>
          </w:tcPr>
          <w:p>
            <w:pPr>
              <w:jc w:val="right"/>
              <w:ind w:right="952"/>
              <w:spacing w:after="0"/>
              <w:rPr>
                <w:sz w:val="20"/>
                <w:szCs w:val="20"/>
                <w:color w:val="auto"/>
              </w:rPr>
            </w:pPr>
            <w:r>
              <w:rPr>
                <w:rFonts w:ascii="Arial" w:cs="Arial" w:eastAsia="Arial" w:hAnsi="Arial"/>
                <w:sz w:val="18"/>
                <w:szCs w:val="18"/>
                <w:color w:val="auto"/>
              </w:rPr>
              <w:t>99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7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00" w:type="dxa"/>
            <w:vAlign w:val="bottom"/>
            <w:tcBorders>
              <w:bottom w:val="single" w:sz="8" w:color="808080"/>
            </w:tcBorders>
          </w:tcPr>
          <w:p>
            <w:pPr>
              <w:spacing w:after="0"/>
              <w:rPr>
                <w:sz w:val="19"/>
                <w:szCs w:val="19"/>
                <w:color w:val="auto"/>
              </w:rPr>
            </w:pPr>
          </w:p>
        </w:tc>
        <w:tc>
          <w:tcPr>
            <w:tcW w:w="330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w:t>
      </w:r>
    </w:p>
    <w:p>
      <w:pPr>
        <w:spacing w:after="0" w:line="23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 reconciliation between the amount of reported income tax and the amount computed using the U.S. Statutory rate is as follows:</w:t>
      </w:r>
    </w:p>
    <w:p>
      <w:pPr>
        <w:spacing w:after="0" w:line="27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w w:val="93"/>
              </w:rPr>
              <w:t>(In 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Pre-Tax Loss</w:t>
            </w:r>
          </w:p>
        </w:tc>
        <w:tc>
          <w:tcPr>
            <w:tcW w:w="160" w:type="dxa"/>
            <w:vAlign w:val="bottom"/>
            <w:gridSpan w:val="2"/>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(50,878)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(151,949)</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w w:val="93"/>
              </w:rPr>
              <w:t>(117,313)</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color w:val="auto"/>
              </w:rPr>
              <w:t>Loss at Statutory Rates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w w:val="86"/>
              </w:rPr>
              <w:t>(10,684)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(31,909)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(39,887)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Difference in Foreign Tax Rates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(1,902)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(2,056)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2"/>
              <w:spacing w:after="0"/>
              <w:rPr>
                <w:sz w:val="20"/>
                <w:szCs w:val="20"/>
                <w:color w:val="auto"/>
              </w:rPr>
            </w:pPr>
            <w:r>
              <w:rPr>
                <w:rFonts w:ascii="Arial" w:cs="Arial" w:eastAsia="Arial" w:hAnsi="Arial"/>
                <w:sz w:val="18"/>
                <w:szCs w:val="18"/>
                <w:color w:val="auto"/>
              </w:rPr>
              <w:t>(2,847)</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State Taxes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(6,406)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(6,283)</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Income Tax Rate Change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99,528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w w:val="91"/>
              </w:rPr>
              <w:t>Change in Fair Value Remeasurement of Contingent Consideration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(6,220)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Intangible Impairment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Recognition of APIC NOLs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2"/>
              <w:spacing w:after="0"/>
              <w:rPr>
                <w:sz w:val="20"/>
                <w:szCs w:val="20"/>
                <w:color w:val="auto"/>
              </w:rPr>
            </w:pPr>
            <w:r>
              <w:rPr>
                <w:rFonts w:ascii="Arial" w:cs="Arial" w:eastAsia="Arial" w:hAnsi="Arial"/>
                <w:sz w:val="18"/>
                <w:szCs w:val="18"/>
                <w:color w:val="auto"/>
              </w:rPr>
              <w:t>(5,729)</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Impact of Pass-through Entities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(2,775)</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Expiration of NOLs and R&amp;D Credit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18,966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(66,294)</w:t>
            </w:r>
          </w:p>
        </w:tc>
        <w:tc>
          <w:tcPr>
            <w:tcW w:w="0" w:type="dxa"/>
            <w:vAlign w:val="bottom"/>
          </w:tcPr>
          <w:p>
            <w:pPr>
              <w:spacing w:after="0"/>
              <w:rPr>
                <w:sz w:val="1"/>
                <w:szCs w:val="1"/>
                <w:color w:val="auto"/>
              </w:rPr>
            </w:pPr>
          </w:p>
        </w:tc>
      </w:tr>
      <w:tr>
        <w:trPr>
          <w:trHeight w:val="209"/>
        </w:trPr>
        <w:tc>
          <w:tcPr>
            <w:tcW w:w="490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(24,282</w:t>
            </w:r>
          </w:p>
        </w:tc>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360" w:firstLine="351"/>
        <w:spacing w:after="0" w:line="259" w:lineRule="auto"/>
        <w:rPr>
          <w:sz w:val="20"/>
          <w:szCs w:val="20"/>
          <w:color w:val="auto"/>
        </w:rPr>
      </w:pPr>
      <w:r>
        <w:rPr>
          <w:rFonts w:ascii="Arial" w:cs="Arial" w:eastAsia="Arial" w:hAnsi="Arial"/>
          <w:sz w:val="18"/>
          <w:szCs w:val="18"/>
          <w:color w:val="auto"/>
        </w:rPr>
        <w:t>Deferred tax assets and liabilities are recognized based on temporary differences between the financial reporting and tax basis of assets and liabilities using future expected enacted rates. The principal components of the deferred tax assets and liabilities at December 31, 2019 and 2018, respectively,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38"/>
              <w:spacing w:after="0"/>
              <w:rPr>
                <w:sz w:val="20"/>
                <w:szCs w:val="20"/>
                <w:color w:val="auto"/>
              </w:rPr>
            </w:pPr>
            <w:r>
              <w:rPr>
                <w:rFonts w:ascii="Arial" w:cs="Arial" w:eastAsia="Arial" w:hAnsi="Arial"/>
                <w:sz w:val="13"/>
                <w:szCs w:val="13"/>
                <w:b w:val="1"/>
                <w:bCs w:val="1"/>
                <w:color w:val="auto"/>
                <w:w w:val="89"/>
              </w:rPr>
              <w:t>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20" w:type="dxa"/>
            <w:vAlign w:val="bottom"/>
            <w:gridSpan w:val="3"/>
          </w:tcPr>
          <w:p>
            <w:pPr>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1"/>
        </w:trPr>
        <w:tc>
          <w:tcPr>
            <w:tcW w:w="17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76"/>
              <w:spacing w:after="0" w:line="142" w:lineRule="exact"/>
              <w:rPr>
                <w:sz w:val="20"/>
                <w:szCs w:val="20"/>
                <w:color w:val="auto"/>
              </w:rPr>
            </w:pPr>
            <w:r>
              <w:rPr>
                <w:rFonts w:ascii="Arial" w:cs="Arial" w:eastAsia="Arial" w:hAnsi="Arial"/>
                <w:sz w:val="13"/>
                <w:szCs w:val="13"/>
                <w:b w:val="1"/>
                <w:bCs w:val="1"/>
                <w:color w:val="auto"/>
              </w:rPr>
              <w:t>(In</w:t>
            </w:r>
          </w:p>
        </w:tc>
        <w:tc>
          <w:tcPr>
            <w:tcW w:w="1140" w:type="dxa"/>
            <w:vAlign w:val="bottom"/>
            <w:gridSpan w:val="4"/>
          </w:tcPr>
          <w:p>
            <w:pPr>
              <w:jc w:val="right"/>
              <w:ind w:right="555"/>
              <w:spacing w:after="0"/>
              <w:rPr>
                <w:sz w:val="20"/>
                <w:szCs w:val="20"/>
                <w:color w:val="auto"/>
              </w:rPr>
            </w:pPr>
            <w:r>
              <w:rPr>
                <w:rFonts w:ascii="Arial" w:cs="Arial" w:eastAsia="Arial" w:hAnsi="Arial"/>
                <w:sz w:val="12"/>
                <w:szCs w:val="12"/>
                <w:b w:val="1"/>
                <w:bCs w:val="1"/>
                <w:color w:val="auto"/>
                <w:w w:val="74"/>
              </w:rPr>
              <w:t>thousands)</w:t>
            </w:r>
          </w:p>
        </w:tc>
        <w:tc>
          <w:tcPr>
            <w:tcW w:w="18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Assets</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172,745</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168,239</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Net Operating Loss Carryforwards</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4,485</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Tax Credit Carryforwards</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42,642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39,761</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Deferred Research and Development Expenses</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70,042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76,555</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12,651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11,977</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Assets</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Accrued Expenses and Other</w:t>
            </w:r>
          </w:p>
        </w:tc>
        <w:tc>
          <w:tcPr>
            <w:tcW w:w="19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300,167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303,094</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Gross Deferred Tax Liabilities</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IPR&amp;D Intangibles</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(12,748)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(12,748)</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gridSpan w:val="2"/>
          </w:tcPr>
          <w:p>
            <w:pPr>
              <w:ind w:left="1700"/>
              <w:spacing w:after="0"/>
              <w:rPr>
                <w:sz w:val="20"/>
                <w:szCs w:val="20"/>
                <w:color w:val="auto"/>
              </w:rPr>
            </w:pPr>
            <w:r>
              <w:rPr>
                <w:rFonts w:ascii="Arial" w:cs="Arial" w:eastAsia="Arial" w:hAnsi="Arial"/>
                <w:sz w:val="18"/>
                <w:szCs w:val="18"/>
                <w:color w:val="auto"/>
              </w:rPr>
              <w:t>Total Deferred Tax Assets and Liabilities</w:t>
            </w:r>
          </w:p>
        </w:tc>
        <w:tc>
          <w:tcPr>
            <w:tcW w:w="19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287,419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290,346</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(290,426)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(293,353)</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gridSpan w:val="2"/>
          </w:tcPr>
          <w:p>
            <w:pPr>
              <w:ind w:left="1700"/>
              <w:spacing w:after="0"/>
              <w:rPr>
                <w:sz w:val="20"/>
                <w:szCs w:val="20"/>
                <w:color w:val="auto"/>
              </w:rPr>
            </w:pPr>
            <w:r>
              <w:rPr>
                <w:rFonts w:ascii="Arial" w:cs="Arial" w:eastAsia="Arial" w:hAnsi="Arial"/>
                <w:sz w:val="18"/>
                <w:szCs w:val="18"/>
                <w:color w:val="auto"/>
              </w:rPr>
              <w:t>Net Deferred Tax Liability</w:t>
            </w:r>
          </w:p>
        </w:tc>
        <w:tc>
          <w:tcPr>
            <w:tcW w:w="19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(3,007)</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980" w:type="dxa"/>
            <w:vAlign w:val="bottom"/>
            <w:vMerge w:val="restart"/>
          </w:tcPr>
          <w:p>
            <w:pPr>
              <w:jc w:val="right"/>
              <w:ind w:right="1472"/>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7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0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 (Continued)</w:t>
      </w:r>
    </w:p>
    <w:p>
      <w:pPr>
        <w:spacing w:after="0" w:line="231"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net deferred tax assets and considered its history of losses, ultimately concluding that it is "more likely than not" that the Company will not recognize the benefits of federal, state and foreign deferred tax assets and, as such, has maintained a full valuation allowance on its deferred tax assets.</w:t>
      </w:r>
    </w:p>
    <w:p>
      <w:pPr>
        <w:spacing w:after="0" w:line="194"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During year ended December 31, 2017, the Company's gross deferred tax assets and corresponding valuation allowance each increased by $17.7 million. This was a one-time increase due to the adoption of a new accounting standard removing the requirement to recognize excess tax benefits from the exercise of stock options in additional paid-in-capital when realized.</w:t>
      </w:r>
    </w:p>
    <w:p>
      <w:pPr>
        <w:spacing w:after="0" w:line="194"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On December 22, 2017, the Tax Cuts and Jobs Act ("TCJA") was enacted, leading to significant changes to U.S. tax law. Among other provisions, the TCJA lowered the U.S. federal corporate income tax rate from 35% to 21%, limited the deduction for net operating losses to 80% of taxable income while providing that net operating loss carryovers for years after 2017 will not expire, imposed a mandatory one-time transition tax on previously deferred foreign earnings and eliminated or reduced certain income tax deductions.</w:t>
      </w:r>
    </w:p>
    <w:p>
      <w:pPr>
        <w:spacing w:after="0" w:line="197" w:lineRule="exact"/>
        <w:rPr>
          <w:sz w:val="20"/>
          <w:szCs w:val="20"/>
          <w:color w:val="auto"/>
        </w:rPr>
      </w:pPr>
    </w:p>
    <w:p>
      <w:pPr>
        <w:ind w:right="280" w:firstLine="341"/>
        <w:spacing w:after="0" w:line="291" w:lineRule="auto"/>
        <w:rPr>
          <w:sz w:val="20"/>
          <w:szCs w:val="20"/>
          <w:color w:val="auto"/>
        </w:rPr>
      </w:pPr>
      <w:r>
        <w:rPr>
          <w:rFonts w:ascii="Arial" w:cs="Arial" w:eastAsia="Arial" w:hAnsi="Arial"/>
          <w:sz w:val="16"/>
          <w:szCs w:val="16"/>
          <w:color w:val="auto"/>
        </w:rPr>
        <w:t>As a result of the TCJA, the Company revalued its deferred tax liabilities at the new federal rate of 21%, resulting in a $6.9 million decrease and a corresponding income tax benefit. The Company also scheduled out reversals of its deferred tax assets and liabilities, determining that their reversal would create future indefinite-lived net operating losses under the TCJA. As such, the valuation allowance was reduced relating to the remaining indefinite-lived federal deferred tax liabilities balance, leading to an additional income tax benefit of $12.2 million. The Company's deferred tax asset balance was also revalued at the new 21% rate resulting in a $99.5 million decrease in the balance with a corresponding decrease to the valuation allowance. The Company's accounting for the tax effects of the TCJA was complete as of December 31, 2018.</w:t>
      </w:r>
    </w:p>
    <w:p>
      <w:pPr>
        <w:spacing w:after="0" w:line="174"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net deferred tax liability of $3.0 million at December 31, 2019 and 2018 relates to the temporary differences associated with the IPR&amp;D intangible assets acquired in previous business combinations and are not deductible for tax purposes. The Company recorded an income tax benefit of $0.8 million during the year ended December 31, 2018 due to a decrease in deferred tax liabilities resulting from the partial impairment of the anti-KIT program.</w:t>
      </w:r>
    </w:p>
    <w:p>
      <w:pPr>
        <w:spacing w:after="0" w:line="160"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As of December 31, 2019, the Company had federal and state net operating loss carryforwards of $638.9 million and $595.1 million, respectively, which may be available to offset certain future income tax liabilities and begin to expire in 2019 and 2028, respectively. Of the federal net operating loss carryforwards of $638.9 million, approximately $146.0 million are from 2018 and 2019 and have no expiration date. As of December 31, 2019, the Company also had federal and state research and development tax credit carryforwards of $33.4 million and $11.7 million, respectively, which may be available to offset future income tax liabilities and begin to expire in 2019 and 2018, respectively.</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Utilization of the net operating loss carryforwards and research and credit carryforwards may be subject to a substantial annual limitation under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Section 382 of the Internal Revenue Code of 1986, or Section 382, due to ownership changes that occurred previously or that could occur in the future.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ownership changes may limit the amount of carryforwards that can be utilized annually to offset future taxable income. In general, an ownership change,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defined by Section 382, results from transactions increasing the ownership of certain shareholders or public groups in the stock of a corporation by more than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50% over a three-year period. The Company has estimated the amounts of net operating loss and</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 (Continued)</w:t>
      </w:r>
    </w:p>
    <w:p>
      <w:pPr>
        <w:spacing w:after="0" w:line="231" w:lineRule="exact"/>
        <w:rPr>
          <w:sz w:val="20"/>
          <w:szCs w:val="20"/>
          <w:color w:val="auto"/>
        </w:rPr>
      </w:pPr>
    </w:p>
    <w:p>
      <w:pPr>
        <w:jc w:val="both"/>
        <w:ind w:right="560"/>
        <w:spacing w:after="0" w:line="259" w:lineRule="auto"/>
        <w:rPr>
          <w:sz w:val="20"/>
          <w:szCs w:val="20"/>
          <w:color w:val="auto"/>
        </w:rPr>
      </w:pPr>
      <w:r>
        <w:rPr>
          <w:rFonts w:ascii="Arial" w:cs="Arial" w:eastAsia="Arial" w:hAnsi="Arial"/>
          <w:sz w:val="18"/>
          <w:szCs w:val="18"/>
          <w:color w:val="auto"/>
        </w:rPr>
        <w:t>research and development tax credit carryforwards which will expire unutilized as a result of its estimated annual limitations under Section 382 and has excluded those amounts from the carryforward amounts disclosed above and in the deferred tax assets and liabilities table included in this footnote. The Company has concluded Section 382 studies through 2015 for Celldex generated NOLs.</w:t>
      </w:r>
    </w:p>
    <w:p>
      <w:pPr>
        <w:spacing w:after="0" w:line="194"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Company incurred a foreign pre-tax loss of $0.0 million and $3.0 million during the years ended December 31, 2019 and 2018, respectively. Beginning with the 2016 tax returns, the Company elected to classify the Australian entity as a disregarded entity for income tax purposes. The foreign pre-tax losses have been included with the Federal net operating loss carryforwards. In 2019 the Australian Subsidiary was liquidated and $14.9 million of Foreign Net Operating Loss Carryovers related to the foreign subsidiary were written off.</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2019 and 2018, the Company did not have any unrecognized tax benefits.</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Massachusetts, New Jersey, New York and Connecticut are the jurisdictions in which the Company primarily operates or has operated and has income tax nexus. The Company is not currently under examination by these or any other jurisdictions for any tax year. Generally, in U.S. federal and state taxing jurisdictions, all years which generated net operating losses and/or tax credit carryforwards remain subject to examination to the extent those carryforwards are utilized in a subsequent period.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Retirement Savings Plan</w:t>
      </w:r>
    </w:p>
    <w:p>
      <w:pPr>
        <w:spacing w:after="0" w:line="231"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The Company maintains a 401(k) Plan which is available to substantially all employees. Under the terms of the 401(k) Plan, participants may elect to contribute up to 60% of their compensation or the statutory prescribed limits. The Company may make 50% matching contributions on up to 4% of a participant's annual salary. Benefit expense for the 401(k) Plan was $0.3 million, $0.4 million and $0.5 million for the years ended December 31, 2019, 2018 and 2017,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Kolltan Acquisition</w:t>
      </w:r>
    </w:p>
    <w:p>
      <w:pPr>
        <w:spacing w:after="0" w:line="231"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On November 29, 2016, the Company acquired all of the share and debt interests of Kolltan Pharmaceuticals, Inc. ("Kolltan"), a clinical-stage biopharmaceutical company, in exchange for 1,217,200 shares of the Company's common stock plus contingent consideration in the form of development, regulatory approval and sales-based milestones ("Kolltan Milestones") of up to $172.5 million. The Kolltan Milestone payments, if any, may be made, at Celldex's sole election, in cash, in shares of Celldex's common stock or a combination of both, subject to provisions of the Merger Agreement. Certain Kolltan Milestones have been abandoned consistent with the provisions of the Merger Agreement and, because of this, as of December 31, 2019, the Company believes that the adjusted amount we may be required to pay for future consideration is up to $127.5 million contingent upon the achievement of the Kolltan Milestones.</w:t>
      </w:r>
    </w:p>
    <w:p>
      <w:pPr>
        <w:spacing w:after="0" w:line="158"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October 2019, the Company received a letter from the representative of Kolltan's former stockholders notifying the Company that it objected to the Company's abandonment of certain Kolltan Milestones relating to development, regulatory approval and sales-based milestones. The Company disagrees with their objection and believes their objection to be without merit. The Company is discussing with the representative of Kolltan's former stockholders potential amendments to the Merger Agreement with respect to the Kolltan Milestones. There can be no assurances that an amendment to the Merger Agreement will be completed on terms acceptable to the Company or at all. At this time,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Kolltan Acquisition (Continued)</w:t>
      </w:r>
    </w:p>
    <w:p>
      <w:pPr>
        <w:spacing w:after="0" w:line="231" w:lineRule="exact"/>
        <w:rPr>
          <w:sz w:val="20"/>
          <w:szCs w:val="20"/>
          <w:color w:val="auto"/>
        </w:rPr>
      </w:pPr>
    </w:p>
    <w:p>
      <w:pPr>
        <w:ind w:right="60"/>
        <w:spacing w:after="0" w:line="331" w:lineRule="auto"/>
        <w:rPr>
          <w:sz w:val="20"/>
          <w:szCs w:val="20"/>
          <w:color w:val="auto"/>
        </w:rPr>
      </w:pPr>
      <w:r>
        <w:rPr>
          <w:rFonts w:ascii="Arial" w:cs="Arial" w:eastAsia="Arial" w:hAnsi="Arial"/>
          <w:sz w:val="16"/>
          <w:szCs w:val="16"/>
          <w:color w:val="auto"/>
        </w:rPr>
        <w:t>the Company is unable to reasonably assess the ultimate outcome of the Company's disagreement with the representative of Kolltan's former stockholders over its objection to the Company's abandonment of certain Kolltan Milestones or determine an estimate of potential losses, if any.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Selected Quarterly Financial Data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gridSpan w:val="2"/>
          </w:tcPr>
          <w:p>
            <w:pPr>
              <w:ind w:left="1700"/>
              <w:spacing w:after="0"/>
              <w:rPr>
                <w:sz w:val="20"/>
                <w:szCs w:val="20"/>
                <w:color w:val="auto"/>
              </w:rPr>
            </w:pPr>
            <w:r>
              <w:rPr>
                <w:rFonts w:ascii="Arial" w:cs="Arial" w:eastAsia="Arial" w:hAnsi="Arial"/>
                <w:sz w:val="13"/>
                <w:szCs w:val="13"/>
                <w:b w:val="1"/>
                <w:bCs w:val="1"/>
                <w:color w:val="auto"/>
                <w:w w:val="82"/>
              </w:rPr>
              <w:t>2019</w:t>
            </w:r>
          </w:p>
        </w:tc>
        <w:tc>
          <w:tcPr>
            <w:tcW w:w="3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rPr>
              <w:t>Q1 2019</w:t>
            </w:r>
          </w:p>
        </w:tc>
        <w:tc>
          <w:tcPr>
            <w:tcW w:w="120" w:type="dxa"/>
            <w:vAlign w:val="bottom"/>
          </w:tcPr>
          <w:p>
            <w:pPr>
              <w:spacing w:after="0"/>
              <w:rPr>
                <w:sz w:val="14"/>
                <w:szCs w:val="14"/>
                <w:color w:val="auto"/>
              </w:rPr>
            </w:pPr>
          </w:p>
        </w:tc>
        <w:tc>
          <w:tcPr>
            <w:tcW w:w="800" w:type="dxa"/>
            <w:vAlign w:val="bottom"/>
            <w:gridSpan w:val="4"/>
          </w:tcPr>
          <w:p>
            <w:pPr>
              <w:ind w:left="20"/>
              <w:spacing w:after="0"/>
              <w:rPr>
                <w:sz w:val="20"/>
                <w:szCs w:val="20"/>
                <w:color w:val="auto"/>
              </w:rPr>
            </w:pPr>
            <w:r>
              <w:rPr>
                <w:rFonts w:ascii="Arial" w:cs="Arial" w:eastAsia="Arial" w:hAnsi="Arial"/>
                <w:sz w:val="13"/>
                <w:szCs w:val="13"/>
                <w:b w:val="1"/>
                <w:bCs w:val="1"/>
                <w:color w:val="auto"/>
              </w:rPr>
              <w:t>Q2 2019</w:t>
            </w:r>
          </w:p>
        </w:tc>
        <w:tc>
          <w:tcPr>
            <w:tcW w:w="120" w:type="dxa"/>
            <w:vAlign w:val="bottom"/>
          </w:tcPr>
          <w:p>
            <w:pPr>
              <w:spacing w:after="0"/>
              <w:rPr>
                <w:sz w:val="14"/>
                <w:szCs w:val="14"/>
                <w:color w:val="auto"/>
              </w:rPr>
            </w:pPr>
          </w:p>
        </w:tc>
        <w:tc>
          <w:tcPr>
            <w:tcW w:w="800" w:type="dxa"/>
            <w:vAlign w:val="bottom"/>
            <w:gridSpan w:val="5"/>
          </w:tcPr>
          <w:p>
            <w:pPr>
              <w:ind w:left="40"/>
              <w:spacing w:after="0"/>
              <w:rPr>
                <w:sz w:val="20"/>
                <w:szCs w:val="20"/>
                <w:color w:val="auto"/>
              </w:rPr>
            </w:pPr>
            <w:r>
              <w:rPr>
                <w:rFonts w:ascii="Arial" w:cs="Arial" w:eastAsia="Arial" w:hAnsi="Arial"/>
                <w:sz w:val="13"/>
                <w:szCs w:val="13"/>
                <w:b w:val="1"/>
                <w:bCs w:val="1"/>
                <w:color w:val="auto"/>
              </w:rPr>
              <w:t>Q3 2019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Q4 2019</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(In</w:t>
            </w:r>
          </w:p>
        </w:tc>
        <w:tc>
          <w:tcPr>
            <w:tcW w:w="160" w:type="dxa"/>
            <w:vAlign w:val="bottom"/>
            <w:vMerge w:val="continue"/>
          </w:tcPr>
          <w:p>
            <w:pPr>
              <w:spacing w:after="0"/>
              <w:rPr>
                <w:sz w:val="12"/>
                <w:szCs w:val="12"/>
                <w:color w:val="auto"/>
              </w:rPr>
            </w:pPr>
          </w:p>
        </w:tc>
        <w:tc>
          <w:tcPr>
            <w:tcW w:w="2040" w:type="dxa"/>
            <w:vAlign w:val="bottom"/>
            <w:gridSpan w:val="14"/>
          </w:tcPr>
          <w:p>
            <w:pPr>
              <w:spacing w:after="0" w:line="142" w:lineRule="exact"/>
              <w:rPr>
                <w:sz w:val="20"/>
                <w:szCs w:val="20"/>
                <w:color w:val="auto"/>
              </w:rPr>
            </w:pPr>
            <w:r>
              <w:rPr>
                <w:rFonts w:ascii="Arial" w:cs="Arial" w:eastAsia="Arial" w:hAnsi="Arial"/>
                <w:sz w:val="13"/>
                <w:szCs w:val="13"/>
                <w:b w:val="1"/>
                <w:bCs w:val="1"/>
                <w:color w:val="auto"/>
                <w:w w:val="84"/>
              </w:rPr>
              <w:t>thousands, except per share amounts)</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60" w:type="dxa"/>
            <w:vAlign w:val="bottom"/>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(17,239)</w:t>
            </w:r>
          </w:p>
        </w:tc>
        <w:tc>
          <w:tcPr>
            <w:tcW w:w="12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(11,779)</w:t>
            </w:r>
          </w:p>
        </w:tc>
        <w:tc>
          <w:tcPr>
            <w:tcW w:w="120" w:type="dxa"/>
            <w:vAlign w:val="bottom"/>
          </w:tcPr>
          <w:p>
            <w:pPr>
              <w:spacing w:after="0"/>
              <w:rPr>
                <w:sz w:val="18"/>
                <w:szCs w:val="18"/>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(11,413)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(10,447)</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Basic and diluted net loss per common share</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7"/>
        </w:trPr>
        <w:tc>
          <w:tcPr>
            <w:tcW w:w="1960" w:type="dxa"/>
            <w:vAlign w:val="bottom"/>
            <w:gridSpan w:val="2"/>
          </w:tcPr>
          <w:p>
            <w:pPr>
              <w:ind w:left="1700"/>
              <w:spacing w:after="0"/>
              <w:rPr>
                <w:sz w:val="20"/>
                <w:szCs w:val="20"/>
                <w:color w:val="auto"/>
              </w:rPr>
            </w:pPr>
            <w:r>
              <w:rPr>
                <w:rFonts w:ascii="Arial" w:cs="Arial" w:eastAsia="Arial" w:hAnsi="Arial"/>
                <w:sz w:val="13"/>
                <w:szCs w:val="13"/>
                <w:b w:val="1"/>
                <w:bCs w:val="1"/>
                <w:color w:val="auto"/>
                <w:w w:val="82"/>
              </w:rPr>
              <w:t>2018</w:t>
            </w:r>
          </w:p>
        </w:tc>
        <w:tc>
          <w:tcPr>
            <w:tcW w:w="3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Q1 2018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6"/>
              </w:rPr>
              <w:t>Q2 2018</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96"/>
              </w:rPr>
              <w:t>Q3 2018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3"/>
          </w:tcPr>
          <w:p>
            <w:pPr>
              <w:spacing w:after="0"/>
              <w:rPr>
                <w:sz w:val="20"/>
                <w:szCs w:val="20"/>
                <w:color w:val="auto"/>
              </w:rPr>
            </w:pPr>
            <w:r>
              <w:rPr>
                <w:rFonts w:ascii="Arial" w:cs="Arial" w:eastAsia="Arial" w:hAnsi="Arial"/>
                <w:sz w:val="13"/>
                <w:szCs w:val="13"/>
                <w:b w:val="1"/>
                <w:bCs w:val="1"/>
                <w:color w:val="auto"/>
              </w:rPr>
              <w:t>Q4 2018</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20"/>
              <w:spacing w:after="0" w:line="142" w:lineRule="exact"/>
              <w:rPr>
                <w:sz w:val="20"/>
                <w:szCs w:val="20"/>
                <w:color w:val="auto"/>
              </w:rPr>
            </w:pPr>
            <w:r>
              <w:rPr>
                <w:rFonts w:ascii="Arial" w:cs="Arial" w:eastAsia="Arial" w:hAnsi="Arial"/>
                <w:sz w:val="13"/>
                <w:szCs w:val="13"/>
                <w:b w:val="1"/>
                <w:bCs w:val="1"/>
                <w:color w:val="auto"/>
              </w:rPr>
              <w:t>(In</w:t>
            </w:r>
          </w:p>
        </w:tc>
        <w:tc>
          <w:tcPr>
            <w:tcW w:w="920" w:type="dxa"/>
            <w:vAlign w:val="bottom"/>
            <w:gridSpan w:val="5"/>
          </w:tcPr>
          <w:p>
            <w:pPr>
              <w:spacing w:after="0" w:line="142" w:lineRule="exact"/>
              <w:rPr>
                <w:sz w:val="20"/>
                <w:szCs w:val="20"/>
                <w:color w:val="auto"/>
              </w:rPr>
            </w:pPr>
            <w:r>
              <w:rPr>
                <w:rFonts w:ascii="Arial" w:cs="Arial" w:eastAsia="Arial" w:hAnsi="Arial"/>
                <w:sz w:val="13"/>
                <w:szCs w:val="13"/>
                <w:b w:val="1"/>
                <w:bCs w:val="1"/>
                <w:color w:val="auto"/>
                <w:w w:val="78"/>
              </w:rPr>
              <w:t>thousands, except</w:t>
            </w:r>
          </w:p>
        </w:tc>
        <w:tc>
          <w:tcPr>
            <w:tcW w:w="3560" w:type="dxa"/>
            <w:vAlign w:val="bottom"/>
            <w:gridSpan w:val="12"/>
          </w:tcPr>
          <w:p>
            <w:pPr>
              <w:ind w:left="40"/>
              <w:spacing w:after="0" w:line="142" w:lineRule="exact"/>
              <w:rPr>
                <w:sz w:val="20"/>
                <w:szCs w:val="20"/>
                <w:color w:val="auto"/>
              </w:rPr>
            </w:pPr>
            <w:r>
              <w:rPr>
                <w:rFonts w:ascii="Arial" w:cs="Arial" w:eastAsia="Arial" w:hAnsi="Arial"/>
                <w:sz w:val="13"/>
                <w:szCs w:val="13"/>
                <w:b w:val="1"/>
                <w:bCs w:val="1"/>
                <w:color w:val="auto"/>
              </w:rPr>
              <w:t>per share amounts)</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4,068</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6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(118,132)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(16,407)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(7,243)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(9,402)</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Basic and diluted net loss per common share</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(0.81)</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of December 31, 2019,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December 31, 2019.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225"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Our management is responsible for establishing and maintaining adequate internal control over our financial reporting. Internal control over financial reporting is defined in Rules 13a-15(f) and 15d-15(f) under the Exchange Act as the process designed by, or under the supervision of, our Chief Executive Officer and Chief Financial Officer, and effected by our Board of Directors, management and other personnel, to provide reasonable assurance regarding the reliability of our financial reporting and the preparation of our financial statements for external purposes in accordance with generally accepted accounting principles, and includes those policies and procedures that:</w:t>
      </w:r>
    </w:p>
    <w:p>
      <w:pPr>
        <w:spacing w:after="0" w:line="183"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assets;</w:t>
      </w:r>
    </w:p>
    <w:p>
      <w:pPr>
        <w:spacing w:after="0" w:line="275" w:lineRule="exact"/>
        <w:rPr>
          <w:rFonts w:ascii="Arial" w:cs="Arial" w:eastAsia="Arial" w:hAnsi="Arial"/>
          <w:sz w:val="16"/>
          <w:szCs w:val="16"/>
          <w:color w:val="auto"/>
        </w:rPr>
      </w:pPr>
    </w:p>
    <w:p>
      <w:pPr>
        <w:jc w:val="both"/>
        <w:ind w:left="1080" w:right="480" w:hanging="532"/>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are being made only in accordance with the authorizations of management and directors; and</w:t>
      </w:r>
    </w:p>
    <w:p>
      <w:pPr>
        <w:spacing w:after="0" w:line="207"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reasonable assurance regarding the prevention or timely detection of unauthorized acquisition, use or disposition of assets that could have a material effect on our financial statements.</w:t>
      </w:r>
    </w:p>
    <w:p>
      <w:pPr>
        <w:spacing w:after="0" w:line="186"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 xml:space="preserve">Under the supervision and with the participation of our management, including our Chief Executive Officer and Chief Financial Officer, we conducted an evaluation of the effectiveness of our internal control over financial reporting based on the framework provided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Based on this evaluation, our management concluded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 control over financial reporting was effective as of December 31,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December 31, 2019 that have materially affected, or are reasonably likely to materially affect, our internal control over financial reporting.</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tab/>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31" w:lineRule="exact"/>
        <w:rPr>
          <w:sz w:val="20"/>
          <w:szCs w:val="20"/>
          <w:color w:val="auto"/>
        </w:rPr>
      </w:pPr>
    </w:p>
    <w:p>
      <w:pPr>
        <w:ind w:right="220" w:firstLine="348"/>
        <w:spacing w:after="0" w:line="254" w:lineRule="auto"/>
        <w:rPr>
          <w:sz w:val="20"/>
          <w:szCs w:val="20"/>
          <w:color w:val="auto"/>
        </w:rPr>
      </w:pPr>
      <w:r>
        <w:rPr>
          <w:rFonts w:ascii="Arial" w:cs="Arial" w:eastAsia="Arial" w:hAnsi="Arial"/>
          <w:sz w:val="18"/>
          <w:szCs w:val="18"/>
          <w:color w:val="auto"/>
        </w:rPr>
        <w:t>The information required by this Item 10 will be included in the definitive Proxy Statement for our 2020 Annual Meeting of Stockholders, or the 2020 Proxy Statement, under "Information Regarding Our Current Directors and Executive Officers," "Delinquent Section 16(a) Reports," "Code of Business Conduct and Ethics" and "The Board of Directors and Its Committees" and is incorporated herein by reference. If the 2020 Proxy Statement is not filed with the SEC within 120 days after the end of our most recent fiscal year, we will provide such information by means of an amendment to this Annual Report on Form 10-K.</w:t>
      </w:r>
    </w:p>
    <w:p>
      <w:pPr>
        <w:spacing w:after="0" w:line="19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31"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information required by this Item 11 will be included in the 2020 Proxy Statement under "Executive Compensation," and "Compensation Committee Interlocks and Insider Participation," and is incorporated herein by reference. If the 2020 Proxy Statement is not filed with the SEC within 120 days after the end of our most recent fiscal year, we will provide such information by means of an amendment to this Annual Report on Form 10-K.</w:t>
      </w:r>
    </w:p>
    <w:p>
      <w:pPr>
        <w:spacing w:after="0" w:line="154" w:lineRule="exact"/>
        <w:rPr>
          <w:sz w:val="20"/>
          <w:szCs w:val="20"/>
          <w:color w:val="auto"/>
        </w:rPr>
      </w:pPr>
    </w:p>
    <w:p>
      <w:pPr>
        <w:ind w:right="760"/>
        <w:spacing w:after="0" w:line="275"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80"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information required by this Item 12 will be included in the 2020 Proxy Statement under "Security Ownership of Certain Beneficial Owners and Management" and "Equity Compensation Plan Information" and is incorporated herein by reference. If the 2020 Proxy Statement is not filed with the SEC within 120 days after the end of our most recent fiscal year, we will provide such information by means of an amendment to this Annual Report on Form 10-K.</w:t>
      </w:r>
    </w:p>
    <w:p>
      <w:pPr>
        <w:spacing w:after="0" w:line="15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31" w:lineRule="exact"/>
        <w:rPr>
          <w:sz w:val="20"/>
          <w:szCs w:val="20"/>
          <w:color w:val="auto"/>
        </w:rPr>
      </w:pPr>
    </w:p>
    <w:p>
      <w:pPr>
        <w:jc w:val="both"/>
        <w:ind w:right="280" w:firstLine="348"/>
        <w:spacing w:after="0" w:line="306" w:lineRule="auto"/>
        <w:rPr>
          <w:sz w:val="20"/>
          <w:szCs w:val="20"/>
          <w:color w:val="auto"/>
        </w:rPr>
      </w:pPr>
      <w:r>
        <w:rPr>
          <w:rFonts w:ascii="Arial" w:cs="Arial" w:eastAsia="Arial" w:hAnsi="Arial"/>
          <w:sz w:val="16"/>
          <w:szCs w:val="16"/>
          <w:color w:val="auto"/>
        </w:rPr>
        <w:t>The information required by this Item 13 will be included in the 2020 Proxy Statement under "Election of Directors" and "Approval of Related Person Transactions and Transactions with Related Persons" and is incorporated herein by reference. If the 2020 Proxy Statement is not filed with the SEC within 120 days after the end of our most recent fiscal year, we will provide such information by means of an amendment to this Annual Report on Form 10-K.</w:t>
      </w:r>
    </w:p>
    <w:p>
      <w:pPr>
        <w:spacing w:after="0" w:line="15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231" w:lineRule="exact"/>
        <w:rPr>
          <w:sz w:val="20"/>
          <w:szCs w:val="20"/>
          <w:color w:val="auto"/>
        </w:rPr>
      </w:pPr>
    </w:p>
    <w:p>
      <w:pPr>
        <w:jc w:val="both"/>
        <w:ind w:right="260" w:firstLine="348"/>
        <w:spacing w:after="0" w:line="259" w:lineRule="auto"/>
        <w:rPr>
          <w:sz w:val="20"/>
          <w:szCs w:val="20"/>
          <w:color w:val="auto"/>
        </w:rPr>
      </w:pPr>
      <w:r>
        <w:rPr>
          <w:rFonts w:ascii="Arial" w:cs="Arial" w:eastAsia="Arial" w:hAnsi="Arial"/>
          <w:sz w:val="18"/>
          <w:szCs w:val="18"/>
          <w:color w:val="auto"/>
        </w:rPr>
        <w:t>The information required by this Item 14 will be included in the 2020 Proxy Statement under "Independent Registered Public Accounting Firm" and is incorporated herein by reference. If the 2020 Proxy Statement is not filed with the SEC within 120 days after the end of our most recent fiscal year, we will provide such information by means of an amendment to this Annual Report on Form 10-K.</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45" w:lineRule="exact"/>
        <w:rPr>
          <w:sz w:val="20"/>
          <w:szCs w:val="20"/>
          <w:color w:val="auto"/>
        </w:rPr>
      </w:pPr>
    </w:p>
    <w:p>
      <w:pPr>
        <w:ind w:left="540" w:hanging="532"/>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Form 10-K:</w:t>
      </w:r>
    </w:p>
    <w:p>
      <w:pPr>
        <w:spacing w:after="0" w:line="200" w:lineRule="exact"/>
        <w:rPr>
          <w:sz w:val="20"/>
          <w:szCs w:val="20"/>
          <w:color w:val="auto"/>
        </w:rPr>
      </w:pPr>
    </w:p>
    <w:p>
      <w:pPr>
        <w:spacing w:after="0" w:line="268"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Financial Statements and Supplementary Data are included in Part II Item 8 of this report.</w:t>
      </w:r>
    </w:p>
    <w:p>
      <w:pPr>
        <w:spacing w:after="0" w:line="239"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 Schedules: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Schedules are omitted since the required information is not applicable or is not present in amounts sufficient to require submission of the schedule, or because the information required is included in the Financial Statements or Notes thereto.</w:t>
      </w:r>
    </w:p>
    <w:p>
      <w:pPr>
        <w:spacing w:after="0" w:line="186" w:lineRule="exact"/>
        <w:rPr>
          <w:sz w:val="20"/>
          <w:szCs w:val="20"/>
          <w:color w:val="auto"/>
        </w:rPr>
      </w:pPr>
    </w:p>
    <w:tbl>
      <w:tblPr>
        <w:tblLayout w:type="fixed"/>
        <w:tblInd w:w="540" w:type="dxa"/>
        <w:tblCellMar>
          <w:top w:w="0" w:type="dxa"/>
          <w:left w:w="0" w:type="dxa"/>
          <w:bottom w:w="0" w:type="dxa"/>
          <w:right w:w="0" w:type="dxa"/>
        </w:tblCellMar>
      </w:tblPr>
      <w:tr>
        <w:trPr>
          <w:trHeight w:val="236"/>
        </w:trPr>
        <w:tc>
          <w:tcPr>
            <w:tcW w:w="380" w:type="dxa"/>
            <w:vAlign w:val="bottom"/>
          </w:tcPr>
          <w:p>
            <w:pPr>
              <w:jc w:val="right"/>
              <w:ind w:right="72"/>
              <w:spacing w:after="0"/>
              <w:rPr>
                <w:sz w:val="20"/>
                <w:szCs w:val="20"/>
                <w:color w:val="auto"/>
              </w:rPr>
            </w:pPr>
            <w:r>
              <w:rPr>
                <w:rFonts w:ascii="Arial" w:cs="Arial" w:eastAsia="Arial" w:hAnsi="Arial"/>
                <w:sz w:val="18"/>
                <w:szCs w:val="18"/>
                <w:i w:val="1"/>
                <w:iCs w:val="1"/>
                <w:color w:val="auto"/>
                <w:w w:val="90"/>
              </w:rPr>
              <w:t>(3)</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i w:val="1"/>
                <w:iCs w:val="1"/>
                <w:color w:val="auto"/>
              </w:rPr>
              <w:t>Exhibits:</w:t>
            </w: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21"/>
        </w:trPr>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20" w:type="dxa"/>
            <w:vAlign w:val="bottom"/>
            <w:tcBorders>
              <w:bottom w:val="single" w:sz="8" w:color="auto"/>
            </w:tcBorders>
            <w:gridSpan w:val="5"/>
          </w:tcPr>
          <w:p>
            <w:pPr>
              <w:ind w:left="680"/>
              <w:spacing w:after="0"/>
              <w:rPr>
                <w:sz w:val="20"/>
                <w:szCs w:val="20"/>
                <w:color w:val="auto"/>
              </w:rPr>
            </w:pPr>
            <w:r>
              <w:rPr>
                <w:rFonts w:ascii="Arial" w:cs="Arial" w:eastAsia="Arial" w:hAnsi="Arial"/>
                <w:sz w:val="13"/>
                <w:szCs w:val="13"/>
                <w:b w:val="1"/>
                <w:bCs w:val="1"/>
                <w:color w:val="auto"/>
              </w:rPr>
              <w:t>Incorporated by Reference to</w:t>
            </w:r>
          </w:p>
        </w:tc>
      </w:tr>
      <w:tr>
        <w:trPr>
          <w:trHeight w:val="129"/>
        </w:trPr>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7"/>
              </w:rPr>
              <w:t>Form and</w:t>
            </w:r>
          </w:p>
        </w:tc>
        <w:tc>
          <w:tcPr>
            <w:tcW w:w="16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rPr>
              <w:t>Exhibit</w:t>
            </w:r>
          </w:p>
        </w:tc>
        <w:tc>
          <w:tcPr>
            <w:tcW w:w="16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7"/>
              </w:rPr>
              <w:t>SEC</w:t>
            </w:r>
          </w:p>
        </w:tc>
      </w:tr>
      <w:tr>
        <w:trPr>
          <w:trHeight w:val="161"/>
        </w:trPr>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No.</w:t>
            </w: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0" w:type="dxa"/>
            <w:vAlign w:val="bottom"/>
            <w:gridSpan w:val="15"/>
          </w:tcPr>
          <w:p>
            <w:pPr>
              <w:ind w:left="1200"/>
              <w:spacing w:after="0"/>
              <w:rPr>
                <w:sz w:val="20"/>
                <w:szCs w:val="20"/>
                <w:color w:val="auto"/>
              </w:rPr>
            </w:pPr>
            <w:r>
              <w:rPr>
                <w:rFonts w:ascii="Arial" w:cs="Arial" w:eastAsia="Arial" w:hAnsi="Arial"/>
                <w:sz w:val="13"/>
                <w:szCs w:val="13"/>
                <w:b w:val="1"/>
                <w:bCs w:val="1"/>
                <w:color w:val="auto"/>
              </w:rPr>
              <w:t>Description</w:t>
            </w: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95"/>
              </w:rPr>
              <w:t>SEC File No.</w:t>
            </w:r>
          </w:p>
        </w:tc>
        <w:tc>
          <w:tcPr>
            <w:tcW w:w="1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95"/>
              </w:rPr>
              <w:t>No.</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6"/>
              </w:rPr>
              <w:t>Filing Date</w:t>
            </w:r>
          </w:p>
        </w:tc>
      </w:tr>
      <w:tr>
        <w:trPr>
          <w:trHeight w:val="201"/>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Borders>
              <w:top w:val="single" w:sz="8" w:color="auto"/>
            </w:tcBorders>
          </w:tcPr>
          <w:p>
            <w:pPr>
              <w:ind w:left="100"/>
              <w:spacing w:after="0" w:line="201" w:lineRule="exact"/>
              <w:rPr>
                <w:sz w:val="20"/>
                <w:szCs w:val="20"/>
                <w:color w:val="auto"/>
              </w:rPr>
            </w:pPr>
            <w:r>
              <w:rPr>
                <w:rFonts w:ascii="Arial" w:cs="Arial" w:eastAsia="Arial" w:hAnsi="Arial"/>
                <w:sz w:val="18"/>
                <w:szCs w:val="18"/>
                <w:i w:val="1"/>
                <w:iCs w:val="1"/>
                <w:color w:val="auto"/>
                <w:w w:val="89"/>
              </w:rPr>
              <w:t>Plan of</w:t>
            </w:r>
          </w:p>
        </w:tc>
        <w:tc>
          <w:tcPr>
            <w:tcW w:w="180" w:type="dxa"/>
            <w:vAlign w:val="bottom"/>
          </w:tcPr>
          <w:p>
            <w:pPr>
              <w:spacing w:after="0"/>
              <w:rPr>
                <w:sz w:val="17"/>
                <w:szCs w:val="17"/>
                <w:color w:val="auto"/>
              </w:rPr>
            </w:pPr>
          </w:p>
        </w:tc>
        <w:tc>
          <w:tcPr>
            <w:tcW w:w="5000" w:type="dxa"/>
            <w:vAlign w:val="bottom"/>
            <w:tcBorders>
              <w:top w:val="single" w:sz="8" w:color="auto"/>
            </w:tcBorders>
            <w:gridSpan w:val="16"/>
          </w:tcPr>
          <w:p>
            <w:pPr>
              <w:spacing w:after="0" w:line="201" w:lineRule="exact"/>
              <w:rPr>
                <w:sz w:val="20"/>
                <w:szCs w:val="20"/>
                <w:color w:val="auto"/>
              </w:rPr>
            </w:pPr>
            <w:r>
              <w:rPr>
                <w:rFonts w:ascii="Arial" w:cs="Arial" w:eastAsia="Arial" w:hAnsi="Arial"/>
                <w:sz w:val="18"/>
                <w:szCs w:val="18"/>
                <w:i w:val="1"/>
                <w:iCs w:val="1"/>
                <w:color w:val="auto"/>
                <w:w w:val="90"/>
              </w:rPr>
              <w:t>Acquisition, Reorganization, Arrangement, Liquidation or Succession</w:t>
            </w:r>
          </w:p>
        </w:tc>
        <w:tc>
          <w:tcPr>
            <w:tcW w:w="16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r>
      <w:tr>
        <w:trPr>
          <w:trHeight w:val="184"/>
        </w:trPr>
        <w:tc>
          <w:tcPr>
            <w:tcW w:w="380" w:type="dxa"/>
            <w:vAlign w:val="bottom"/>
          </w:tcPr>
          <w:p>
            <w:pPr>
              <w:spacing w:after="0"/>
              <w:rPr>
                <w:sz w:val="15"/>
                <w:szCs w:val="15"/>
                <w:color w:val="auto"/>
              </w:rPr>
            </w:pPr>
          </w:p>
        </w:tc>
        <w:tc>
          <w:tcPr>
            <w:tcW w:w="1000" w:type="dxa"/>
            <w:vAlign w:val="bottom"/>
            <w:gridSpan w:val="3"/>
          </w:tcPr>
          <w:p>
            <w:pPr>
              <w:jc w:val="right"/>
              <w:ind w:right="160"/>
              <w:spacing w:after="0" w:line="184"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5"/>
                <w:szCs w:val="15"/>
                <w:color w:val="auto"/>
              </w:rPr>
            </w:pPr>
          </w:p>
        </w:tc>
        <w:tc>
          <w:tcPr>
            <w:tcW w:w="4920" w:type="dxa"/>
            <w:vAlign w:val="bottom"/>
            <w:tcBorders>
              <w:bottom w:val="single" w:sz="8" w:color="0000EE"/>
            </w:tcBorders>
            <w:gridSpan w:val="14"/>
          </w:tcPr>
          <w:p>
            <w:pPr>
              <w:spacing w:after="0" w:line="184" w:lineRule="exact"/>
              <w:rPr>
                <w:rFonts w:ascii="Arial" w:cs="Arial" w:eastAsia="Arial" w:hAnsi="Arial"/>
                <w:sz w:val="18"/>
                <w:szCs w:val="18"/>
                <w:color w:val="0000EE"/>
                <w:w w:val="87"/>
              </w:rPr>
            </w:pPr>
            <w:hyperlink r:id="rId126">
              <w:r>
                <w:rPr>
                  <w:rFonts w:ascii="Arial" w:cs="Arial" w:eastAsia="Arial" w:hAnsi="Arial"/>
                  <w:sz w:val="18"/>
                  <w:szCs w:val="18"/>
                  <w:color w:val="0000EE"/>
                  <w:w w:val="87"/>
                </w:rPr>
                <w:t>Agreement and Plan of Merger, dated as of November 1, 2016, by and</w:t>
              </w:r>
            </w:hyperlink>
          </w:p>
        </w:tc>
        <w:tc>
          <w:tcPr>
            <w:tcW w:w="220" w:type="dxa"/>
            <w:vAlign w:val="bottom"/>
            <w:gridSpan w:val="2"/>
          </w:tcPr>
          <w:p>
            <w:pPr>
              <w:spacing w:after="0"/>
              <w:rPr>
                <w:sz w:val="15"/>
                <w:szCs w:val="15"/>
                <w:color w:val="auto"/>
              </w:rPr>
            </w:pPr>
          </w:p>
        </w:tc>
        <w:tc>
          <w:tcPr>
            <w:tcW w:w="1480" w:type="dxa"/>
            <w:vAlign w:val="bottom"/>
          </w:tcPr>
          <w:p>
            <w:pPr>
              <w:jc w:val="center"/>
              <w:spacing w:after="0" w:line="184" w:lineRule="exact"/>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line="184" w:lineRule="exact"/>
              <w:rPr>
                <w:sz w:val="20"/>
                <w:szCs w:val="20"/>
                <w:color w:val="auto"/>
              </w:rPr>
            </w:pPr>
            <w:r>
              <w:rPr>
                <w:rFonts w:ascii="Arial" w:cs="Arial" w:eastAsia="Arial" w:hAnsi="Arial"/>
                <w:sz w:val="18"/>
                <w:szCs w:val="18"/>
                <w:color w:val="auto"/>
                <w:w w:val="87"/>
              </w:rPr>
              <w:t>2.1</w:t>
            </w:r>
          </w:p>
        </w:tc>
        <w:tc>
          <w:tcPr>
            <w:tcW w:w="880" w:type="dxa"/>
            <w:vAlign w:val="bottom"/>
            <w:gridSpan w:val="2"/>
          </w:tcPr>
          <w:p>
            <w:pPr>
              <w:jc w:val="center"/>
              <w:ind w:left="92"/>
              <w:spacing w:after="0" w:line="184" w:lineRule="exact"/>
              <w:rPr>
                <w:sz w:val="20"/>
                <w:szCs w:val="20"/>
                <w:color w:val="auto"/>
              </w:rPr>
            </w:pPr>
            <w:r>
              <w:rPr>
                <w:rFonts w:ascii="Arial" w:cs="Arial" w:eastAsia="Arial" w:hAnsi="Arial"/>
                <w:sz w:val="18"/>
                <w:szCs w:val="18"/>
                <w:color w:val="auto"/>
                <w:w w:val="89"/>
              </w:rPr>
              <w:t>11/1/16</w:t>
            </w:r>
          </w:p>
        </w:tc>
      </w:tr>
      <w:tr>
        <w:trPr>
          <w:trHeight w:val="196"/>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6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r:id="rId126">
              <w:r>
                <w:rPr>
                  <w:rFonts w:ascii="Arial" w:cs="Arial" w:eastAsia="Arial" w:hAnsi="Arial"/>
                  <w:sz w:val="18"/>
                  <w:szCs w:val="18"/>
                  <w:color w:val="0000EE"/>
                  <w:w w:val="88"/>
                </w:rPr>
                <w:t>among Kolltan Pharmaceuticals, Inc., Celldex Therapeutics, Inc.,</w:t>
              </w:r>
            </w:hyperlink>
          </w:p>
        </w:tc>
        <w:tc>
          <w:tcPr>
            <w:tcW w:w="580" w:type="dxa"/>
            <w:vAlign w:val="bottom"/>
            <w:gridSpan w:val="7"/>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Arial" w:cs="Arial" w:eastAsia="Arial" w:hAnsi="Arial"/>
                <w:sz w:val="18"/>
                <w:szCs w:val="18"/>
                <w:color w:val="auto"/>
                <w:w w:val="87"/>
              </w:rPr>
              <w:t>(000-15006)</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0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r:id="rId126">
              <w:r>
                <w:rPr>
                  <w:rFonts w:ascii="Arial" w:cs="Arial" w:eastAsia="Arial" w:hAnsi="Arial"/>
                  <w:sz w:val="18"/>
                  <w:szCs w:val="18"/>
                  <w:color w:val="0000EE"/>
                  <w:w w:val="87"/>
                </w:rPr>
                <w:t>Connemara Merger Sub 1 Inc. and Connemara Merger Sub 2 LLC.</w:t>
              </w:r>
            </w:hyperlink>
          </w:p>
        </w:tc>
        <w:tc>
          <w:tcPr>
            <w:tcW w:w="440" w:type="dxa"/>
            <w:vAlign w:val="bottom"/>
            <w:gridSpan w:val="3"/>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71"/>
        </w:trPr>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60" w:type="dxa"/>
            <w:vAlign w:val="bottom"/>
            <w:gridSpan w:val="19"/>
          </w:tcPr>
          <w:p>
            <w:pPr>
              <w:ind w:left="100"/>
              <w:spacing w:after="0"/>
              <w:rPr>
                <w:sz w:val="20"/>
                <w:szCs w:val="20"/>
                <w:color w:val="auto"/>
              </w:rPr>
            </w:pPr>
            <w:r>
              <w:rPr>
                <w:rFonts w:ascii="Arial" w:cs="Arial" w:eastAsia="Arial" w:hAnsi="Arial"/>
                <w:sz w:val="18"/>
                <w:szCs w:val="18"/>
                <w:i w:val="1"/>
                <w:iCs w:val="1"/>
                <w:color w:val="auto"/>
              </w:rPr>
              <w:t>Articles of Incorporation and By-Laws</w:t>
            </w: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84"/>
        </w:trPr>
        <w:tc>
          <w:tcPr>
            <w:tcW w:w="380" w:type="dxa"/>
            <w:vAlign w:val="bottom"/>
          </w:tcPr>
          <w:p>
            <w:pPr>
              <w:spacing w:after="0"/>
              <w:rPr>
                <w:sz w:val="15"/>
                <w:szCs w:val="15"/>
                <w:color w:val="auto"/>
              </w:rPr>
            </w:pPr>
          </w:p>
        </w:tc>
        <w:tc>
          <w:tcPr>
            <w:tcW w:w="1000" w:type="dxa"/>
            <w:vAlign w:val="bottom"/>
            <w:gridSpan w:val="3"/>
          </w:tcPr>
          <w:p>
            <w:pPr>
              <w:jc w:val="right"/>
              <w:ind w:right="160"/>
              <w:spacing w:after="0" w:line="184"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5"/>
                <w:szCs w:val="15"/>
                <w:color w:val="auto"/>
              </w:rPr>
            </w:pPr>
          </w:p>
        </w:tc>
        <w:tc>
          <w:tcPr>
            <w:tcW w:w="5140" w:type="dxa"/>
            <w:vAlign w:val="bottom"/>
            <w:gridSpan w:val="16"/>
          </w:tcPr>
          <w:p>
            <w:pPr>
              <w:spacing w:after="0" w:line="184" w:lineRule="exact"/>
              <w:rPr>
                <w:rFonts w:ascii="Arial" w:cs="Arial" w:eastAsia="Arial" w:hAnsi="Arial"/>
                <w:sz w:val="18"/>
                <w:szCs w:val="18"/>
                <w:color w:val="0000EE"/>
              </w:rPr>
            </w:pPr>
            <w:hyperlink r:id="rId127">
              <w:r>
                <w:rPr>
                  <w:rFonts w:ascii="Arial" w:cs="Arial" w:eastAsia="Arial" w:hAnsi="Arial"/>
                  <w:sz w:val="18"/>
                  <w:szCs w:val="18"/>
                  <w:color w:val="0000EE"/>
                </w:rPr>
                <w:t>Third Restated Certificate of Incorporation</w:t>
              </w:r>
            </w:hyperlink>
          </w:p>
        </w:tc>
        <w:tc>
          <w:tcPr>
            <w:tcW w:w="1480" w:type="dxa"/>
            <w:vAlign w:val="bottom"/>
          </w:tcPr>
          <w:p>
            <w:pPr>
              <w:jc w:val="center"/>
              <w:spacing w:after="0" w:line="184" w:lineRule="exact"/>
              <w:rPr>
                <w:sz w:val="20"/>
                <w:szCs w:val="20"/>
                <w:color w:val="auto"/>
              </w:rPr>
            </w:pPr>
            <w:r>
              <w:rPr>
                <w:rFonts w:ascii="Arial" w:cs="Arial" w:eastAsia="Arial" w:hAnsi="Arial"/>
                <w:sz w:val="18"/>
                <w:szCs w:val="18"/>
                <w:color w:val="auto"/>
                <w:w w:val="92"/>
              </w:rPr>
              <w:t>S-4</w:t>
            </w:r>
          </w:p>
        </w:tc>
        <w:tc>
          <w:tcPr>
            <w:tcW w:w="660" w:type="dxa"/>
            <w:vAlign w:val="bottom"/>
            <w:gridSpan w:val="2"/>
          </w:tcPr>
          <w:p>
            <w:pPr>
              <w:jc w:val="center"/>
              <w:ind w:left="72"/>
              <w:spacing w:after="0" w:line="184" w:lineRule="exact"/>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92"/>
              <w:spacing w:after="0" w:line="184" w:lineRule="exact"/>
              <w:rPr>
                <w:sz w:val="20"/>
                <w:szCs w:val="20"/>
                <w:color w:val="auto"/>
              </w:rPr>
            </w:pPr>
            <w:r>
              <w:rPr>
                <w:rFonts w:ascii="Arial" w:cs="Arial" w:eastAsia="Arial" w:hAnsi="Arial"/>
                <w:sz w:val="18"/>
                <w:szCs w:val="18"/>
                <w:color w:val="auto"/>
                <w:w w:val="89"/>
              </w:rPr>
              <w:t>7/16/98</w:t>
            </w:r>
          </w:p>
        </w:tc>
      </w:tr>
      <w:tr>
        <w:trPr>
          <w:trHeight w:val="235"/>
        </w:trPr>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top w:val="single" w:sz="8" w:color="0000EE"/>
            </w:tcBorders>
          </w:tcPr>
          <w:p>
            <w:pPr>
              <w:spacing w:after="0"/>
              <w:rPr>
                <w:sz w:val="20"/>
                <w:szCs w:val="20"/>
                <w:color w:val="auto"/>
              </w:rPr>
            </w:pPr>
          </w:p>
        </w:tc>
        <w:tc>
          <w:tcPr>
            <w:tcW w:w="18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(333-59215)</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20"/>
        </w:trPr>
        <w:tc>
          <w:tcPr>
            <w:tcW w:w="380" w:type="dxa"/>
            <w:vAlign w:val="bottom"/>
          </w:tcPr>
          <w:p>
            <w:pPr>
              <w:spacing w:after="0"/>
              <w:rPr>
                <w:sz w:val="24"/>
                <w:szCs w:val="24"/>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c>
          <w:tcPr>
            <w:tcW w:w="5140" w:type="dxa"/>
            <w:vAlign w:val="bottom"/>
            <w:gridSpan w:val="16"/>
          </w:tcPr>
          <w:p>
            <w:pPr>
              <w:spacing w:after="0"/>
              <w:rPr>
                <w:rFonts w:ascii="Arial" w:cs="Arial" w:eastAsia="Arial" w:hAnsi="Arial"/>
                <w:sz w:val="18"/>
                <w:szCs w:val="18"/>
                <w:color w:val="0000EE"/>
              </w:rPr>
            </w:pPr>
            <w:hyperlink r:id="rId127">
              <w:r>
                <w:rPr>
                  <w:rFonts w:ascii="Arial" w:cs="Arial" w:eastAsia="Arial" w:hAnsi="Arial"/>
                  <w:sz w:val="18"/>
                  <w:szCs w:val="18"/>
                  <w:color w:val="0000EE"/>
                </w:rPr>
                <w:t>Certificate of Amendment of Third Restated Certificate of</w:t>
              </w:r>
            </w:hyperlink>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7/16/98</w:t>
            </w:r>
          </w:p>
        </w:tc>
      </w:tr>
      <w:tr>
        <w:trPr>
          <w:trHeight w:val="196"/>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r:id="rId127">
              <w:r>
                <w:rPr>
                  <w:rFonts w:ascii="Arial" w:cs="Arial" w:eastAsia="Arial" w:hAnsi="Arial"/>
                  <w:sz w:val="18"/>
                  <w:szCs w:val="18"/>
                  <w:color w:val="0000EE"/>
                  <w:w w:val="87"/>
                </w:rPr>
                <w:t>Incorporation</w:t>
              </w:r>
            </w:hyperlink>
          </w:p>
        </w:tc>
        <w:tc>
          <w:tcPr>
            <w:tcW w:w="3120" w:type="dxa"/>
            <w:vAlign w:val="bottom"/>
            <w:tcBorders>
              <w:top w:val="single" w:sz="8" w:color="0000EE"/>
            </w:tcBorders>
            <w:gridSpan w:val="4"/>
          </w:tcPr>
          <w:p>
            <w:pPr>
              <w:spacing w:after="0"/>
              <w:rPr>
                <w:sz w:val="17"/>
                <w:szCs w:val="17"/>
                <w:color w:val="auto"/>
              </w:rPr>
            </w:pPr>
          </w:p>
        </w:tc>
        <w:tc>
          <w:tcPr>
            <w:tcW w:w="1080" w:type="dxa"/>
            <w:vAlign w:val="bottom"/>
            <w:gridSpan w:val="11"/>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Arial" w:cs="Arial" w:eastAsia="Arial" w:hAnsi="Arial"/>
                <w:sz w:val="18"/>
                <w:szCs w:val="18"/>
                <w:color w:val="auto"/>
                <w:w w:val="87"/>
              </w:rPr>
              <w:t>(333-59215)</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39"/>
        </w:trPr>
        <w:tc>
          <w:tcPr>
            <w:tcW w:w="380" w:type="dxa"/>
            <w:vAlign w:val="bottom"/>
          </w:tcPr>
          <w:p>
            <w:pPr>
              <w:spacing w:after="0"/>
              <w:rPr>
                <w:sz w:val="24"/>
                <w:szCs w:val="24"/>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4"/>
                <w:szCs w:val="24"/>
                <w:color w:val="auto"/>
              </w:rPr>
            </w:pPr>
          </w:p>
        </w:tc>
        <w:tc>
          <w:tcPr>
            <w:tcW w:w="5140" w:type="dxa"/>
            <w:vAlign w:val="bottom"/>
            <w:gridSpan w:val="16"/>
          </w:tcPr>
          <w:p>
            <w:pPr>
              <w:spacing w:after="0"/>
              <w:rPr>
                <w:rFonts w:ascii="Arial" w:cs="Arial" w:eastAsia="Arial" w:hAnsi="Arial"/>
                <w:sz w:val="18"/>
                <w:szCs w:val="18"/>
                <w:color w:val="0000EE"/>
                <w:w w:val="98"/>
              </w:rPr>
            </w:pPr>
            <w:hyperlink r:id="rId127">
              <w:r>
                <w:rPr>
                  <w:rFonts w:ascii="Arial" w:cs="Arial" w:eastAsia="Arial" w:hAnsi="Arial"/>
                  <w:sz w:val="18"/>
                  <w:szCs w:val="18"/>
                  <w:color w:val="0000EE"/>
                  <w:w w:val="98"/>
                </w:rPr>
                <w:t>Second Certificate of Amendment of Third Restated Certificate of</w:t>
              </w:r>
            </w:hyperlink>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3.2</w:t>
            </w:r>
          </w:p>
        </w:tc>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7/16/98</w:t>
            </w:r>
          </w:p>
        </w:tc>
      </w:tr>
      <w:tr>
        <w:trPr>
          <w:trHeight w:val="196"/>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r:id="rId127">
              <w:r>
                <w:rPr>
                  <w:rFonts w:ascii="Arial" w:cs="Arial" w:eastAsia="Arial" w:hAnsi="Arial"/>
                  <w:sz w:val="18"/>
                  <w:szCs w:val="18"/>
                  <w:color w:val="0000EE"/>
                  <w:w w:val="87"/>
                </w:rPr>
                <w:t>Incorporation</w:t>
              </w:r>
            </w:hyperlink>
          </w:p>
        </w:tc>
        <w:tc>
          <w:tcPr>
            <w:tcW w:w="3680" w:type="dxa"/>
            <w:vAlign w:val="bottom"/>
            <w:tcBorders>
              <w:top w:val="single" w:sz="8" w:color="0000EE"/>
            </w:tcBorders>
            <w:gridSpan w:val="10"/>
          </w:tcPr>
          <w:p>
            <w:pPr>
              <w:spacing w:after="0"/>
              <w:rPr>
                <w:sz w:val="17"/>
                <w:szCs w:val="17"/>
                <w:color w:val="auto"/>
              </w:rPr>
            </w:pPr>
          </w:p>
        </w:tc>
        <w:tc>
          <w:tcPr>
            <w:tcW w:w="520" w:type="dxa"/>
            <w:vAlign w:val="bottom"/>
            <w:gridSpan w:val="5"/>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Arial" w:cs="Arial" w:eastAsia="Arial" w:hAnsi="Arial"/>
                <w:sz w:val="18"/>
                <w:szCs w:val="18"/>
                <w:color w:val="auto"/>
                <w:w w:val="87"/>
              </w:rPr>
              <w:t>(333-59215)</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39"/>
        </w:trPr>
        <w:tc>
          <w:tcPr>
            <w:tcW w:w="380" w:type="dxa"/>
            <w:vAlign w:val="bottom"/>
          </w:tcPr>
          <w:p>
            <w:pPr>
              <w:spacing w:after="0"/>
              <w:rPr>
                <w:sz w:val="24"/>
                <w:szCs w:val="24"/>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4"/>
                <w:szCs w:val="24"/>
                <w:color w:val="auto"/>
              </w:rPr>
            </w:pPr>
          </w:p>
        </w:tc>
        <w:tc>
          <w:tcPr>
            <w:tcW w:w="5140" w:type="dxa"/>
            <w:vAlign w:val="bottom"/>
            <w:gridSpan w:val="16"/>
          </w:tcPr>
          <w:p>
            <w:pPr>
              <w:spacing w:after="0"/>
              <w:rPr>
                <w:rFonts w:ascii="Arial" w:cs="Arial" w:eastAsia="Arial" w:hAnsi="Arial"/>
                <w:sz w:val="18"/>
                <w:szCs w:val="18"/>
                <w:color w:val="0000EE"/>
              </w:rPr>
            </w:pPr>
            <w:hyperlink r:id="rId128">
              <w:r>
                <w:rPr>
                  <w:rFonts w:ascii="Arial" w:cs="Arial" w:eastAsia="Arial" w:hAnsi="Arial"/>
                  <w:sz w:val="18"/>
                  <w:szCs w:val="18"/>
                  <w:color w:val="0000EE"/>
                </w:rPr>
                <w:t>Third Certificate of Amendment of Third Restated Certificate of</w:t>
              </w:r>
            </w:hyperlink>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5/10/02</w:t>
            </w:r>
          </w:p>
        </w:tc>
      </w:tr>
      <w:tr>
        <w:trPr>
          <w:trHeight w:val="196"/>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r:id="rId128">
              <w:r>
                <w:rPr>
                  <w:rFonts w:ascii="Arial" w:cs="Arial" w:eastAsia="Arial" w:hAnsi="Arial"/>
                  <w:sz w:val="18"/>
                  <w:szCs w:val="18"/>
                  <w:color w:val="0000EE"/>
                  <w:w w:val="87"/>
                </w:rPr>
                <w:t>Incorporation</w:t>
              </w:r>
            </w:hyperlink>
          </w:p>
        </w:tc>
        <w:tc>
          <w:tcPr>
            <w:tcW w:w="3560" w:type="dxa"/>
            <w:vAlign w:val="bottom"/>
            <w:tcBorders>
              <w:top w:val="single" w:sz="8" w:color="0000EE"/>
            </w:tcBorders>
            <w:gridSpan w:val="7"/>
          </w:tcPr>
          <w:p>
            <w:pPr>
              <w:spacing w:after="0"/>
              <w:rPr>
                <w:sz w:val="17"/>
                <w:szCs w:val="17"/>
                <w:color w:val="auto"/>
              </w:rPr>
            </w:pPr>
          </w:p>
        </w:tc>
        <w:tc>
          <w:tcPr>
            <w:tcW w:w="640" w:type="dxa"/>
            <w:vAlign w:val="bottom"/>
            <w:gridSpan w:val="8"/>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Arial" w:cs="Arial" w:eastAsia="Arial" w:hAnsi="Arial"/>
                <w:sz w:val="18"/>
                <w:szCs w:val="18"/>
                <w:color w:val="auto"/>
                <w:w w:val="87"/>
              </w:rPr>
              <w:t>(000-15006)</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39"/>
        </w:trPr>
        <w:tc>
          <w:tcPr>
            <w:tcW w:w="380" w:type="dxa"/>
            <w:vAlign w:val="bottom"/>
          </w:tcPr>
          <w:p>
            <w:pPr>
              <w:spacing w:after="0"/>
              <w:rPr>
                <w:sz w:val="24"/>
                <w:szCs w:val="24"/>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4"/>
                <w:szCs w:val="24"/>
                <w:color w:val="auto"/>
              </w:rPr>
            </w:pPr>
          </w:p>
        </w:tc>
        <w:tc>
          <w:tcPr>
            <w:tcW w:w="4580" w:type="dxa"/>
            <w:vAlign w:val="bottom"/>
            <w:tcBorders>
              <w:bottom w:val="single" w:sz="8" w:color="0000EE"/>
            </w:tcBorders>
            <w:gridSpan w:val="10"/>
          </w:tcPr>
          <w:p>
            <w:pPr>
              <w:spacing w:after="0"/>
              <w:rPr>
                <w:rFonts w:ascii="Arial" w:cs="Arial" w:eastAsia="Arial" w:hAnsi="Arial"/>
                <w:sz w:val="18"/>
                <w:szCs w:val="18"/>
                <w:color w:val="0000EE"/>
                <w:w w:val="89"/>
              </w:rPr>
            </w:pPr>
            <w:hyperlink r:id="rId129">
              <w:r>
                <w:rPr>
                  <w:rFonts w:ascii="Arial" w:cs="Arial" w:eastAsia="Arial" w:hAnsi="Arial"/>
                  <w:sz w:val="18"/>
                  <w:szCs w:val="18"/>
                  <w:color w:val="0000EE"/>
                  <w:w w:val="89"/>
                </w:rPr>
                <w:t>Fourth Certificate of Amendment of Third Restated Certificate of</w:t>
              </w:r>
            </w:hyperlink>
          </w:p>
        </w:tc>
        <w:tc>
          <w:tcPr>
            <w:tcW w:w="560" w:type="dxa"/>
            <w:vAlign w:val="bottom"/>
            <w:gridSpan w:val="6"/>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3/11/08</w:t>
            </w:r>
          </w:p>
        </w:tc>
      </w:tr>
      <w:tr>
        <w:trPr>
          <w:trHeight w:val="196"/>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129">
              <w:r>
                <w:rPr>
                  <w:rFonts w:ascii="Arial" w:cs="Arial" w:eastAsia="Arial" w:hAnsi="Arial"/>
                  <w:sz w:val="18"/>
                  <w:szCs w:val="18"/>
                  <w:color w:val="0000EE"/>
                  <w:w w:val="87"/>
                </w:rPr>
                <w:t>Incorporation</w:t>
              </w:r>
            </w:hyperlink>
          </w:p>
        </w:tc>
        <w:tc>
          <w:tcPr>
            <w:tcW w:w="4200" w:type="dxa"/>
            <w:vAlign w:val="bottom"/>
            <w:gridSpan w:val="15"/>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Arial" w:cs="Arial" w:eastAsia="Arial" w:hAnsi="Arial"/>
                <w:sz w:val="18"/>
                <w:szCs w:val="18"/>
                <w:color w:val="auto"/>
                <w:w w:val="87"/>
              </w:rPr>
              <w:t>(000-15006)</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39"/>
        </w:trPr>
        <w:tc>
          <w:tcPr>
            <w:tcW w:w="380" w:type="dxa"/>
            <w:vAlign w:val="bottom"/>
          </w:tcPr>
          <w:p>
            <w:pPr>
              <w:spacing w:after="0"/>
              <w:rPr>
                <w:sz w:val="24"/>
                <w:szCs w:val="24"/>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4"/>
                <w:szCs w:val="24"/>
                <w:color w:val="auto"/>
              </w:rPr>
            </w:pPr>
          </w:p>
        </w:tc>
        <w:tc>
          <w:tcPr>
            <w:tcW w:w="4460" w:type="dxa"/>
            <w:vAlign w:val="bottom"/>
            <w:tcBorders>
              <w:bottom w:val="single" w:sz="8" w:color="0000EE"/>
            </w:tcBorders>
            <w:gridSpan w:val="6"/>
          </w:tcPr>
          <w:p>
            <w:pPr>
              <w:spacing w:after="0"/>
              <w:rPr>
                <w:rFonts w:ascii="Arial" w:cs="Arial" w:eastAsia="Arial" w:hAnsi="Arial"/>
                <w:sz w:val="18"/>
                <w:szCs w:val="18"/>
                <w:color w:val="0000EE"/>
                <w:w w:val="90"/>
              </w:rPr>
            </w:pPr>
            <w:hyperlink r:id="rId130">
              <w:r>
                <w:rPr>
                  <w:rFonts w:ascii="Arial" w:cs="Arial" w:eastAsia="Arial" w:hAnsi="Arial"/>
                  <w:sz w:val="18"/>
                  <w:szCs w:val="18"/>
                  <w:color w:val="0000EE"/>
                  <w:w w:val="90"/>
                </w:rPr>
                <w:t>Fifth Certificate of Amendment of Third Restated Certificate of</w:t>
              </w:r>
            </w:hyperlink>
          </w:p>
        </w:tc>
        <w:tc>
          <w:tcPr>
            <w:tcW w:w="680" w:type="dxa"/>
            <w:vAlign w:val="bottom"/>
            <w:gridSpan w:val="10"/>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3.2</w:t>
            </w:r>
          </w:p>
        </w:tc>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3/11/08</w:t>
            </w:r>
          </w:p>
        </w:tc>
      </w:tr>
      <w:tr>
        <w:trPr>
          <w:trHeight w:val="196"/>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130">
              <w:r>
                <w:rPr>
                  <w:rFonts w:ascii="Arial" w:cs="Arial" w:eastAsia="Arial" w:hAnsi="Arial"/>
                  <w:sz w:val="18"/>
                  <w:szCs w:val="18"/>
                  <w:color w:val="0000EE"/>
                  <w:w w:val="87"/>
                </w:rPr>
                <w:t>Incorporation</w:t>
              </w:r>
            </w:hyperlink>
          </w:p>
        </w:tc>
        <w:tc>
          <w:tcPr>
            <w:tcW w:w="4200" w:type="dxa"/>
            <w:vAlign w:val="bottom"/>
            <w:gridSpan w:val="15"/>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Arial" w:cs="Arial" w:eastAsia="Arial" w:hAnsi="Arial"/>
                <w:sz w:val="18"/>
                <w:szCs w:val="18"/>
                <w:color w:val="auto"/>
                <w:w w:val="87"/>
              </w:rPr>
              <w:t>(000-15006)</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39"/>
        </w:trPr>
        <w:tc>
          <w:tcPr>
            <w:tcW w:w="380" w:type="dxa"/>
            <w:vAlign w:val="bottom"/>
          </w:tcPr>
          <w:p>
            <w:pPr>
              <w:spacing w:after="0"/>
              <w:rPr>
                <w:sz w:val="24"/>
                <w:szCs w:val="24"/>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4"/>
                <w:szCs w:val="24"/>
                <w:color w:val="auto"/>
              </w:rPr>
            </w:pPr>
          </w:p>
        </w:tc>
        <w:tc>
          <w:tcPr>
            <w:tcW w:w="5140" w:type="dxa"/>
            <w:vAlign w:val="bottom"/>
            <w:gridSpan w:val="16"/>
          </w:tcPr>
          <w:p>
            <w:pPr>
              <w:spacing w:after="0"/>
              <w:rPr>
                <w:rFonts w:ascii="Arial" w:cs="Arial" w:eastAsia="Arial" w:hAnsi="Arial"/>
                <w:sz w:val="18"/>
                <w:szCs w:val="18"/>
                <w:color w:val="0000EE"/>
              </w:rPr>
            </w:pPr>
            <w:hyperlink r:id="rId131">
              <w:r>
                <w:rPr>
                  <w:rFonts w:ascii="Arial" w:cs="Arial" w:eastAsia="Arial" w:hAnsi="Arial"/>
                  <w:sz w:val="18"/>
                  <w:szCs w:val="18"/>
                  <w:color w:val="0000EE"/>
                </w:rPr>
                <w:t>Sixth Certificate of Amendment of Third Restated Certificate of</w:t>
              </w:r>
            </w:hyperlink>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3.7</w:t>
            </w:r>
          </w:p>
        </w:tc>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11/10/08</w:t>
            </w:r>
          </w:p>
        </w:tc>
      </w:tr>
      <w:tr>
        <w:trPr>
          <w:trHeight w:val="196"/>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r:id="rId131">
              <w:r>
                <w:rPr>
                  <w:rFonts w:ascii="Arial" w:cs="Arial" w:eastAsia="Arial" w:hAnsi="Arial"/>
                  <w:sz w:val="18"/>
                  <w:szCs w:val="18"/>
                  <w:color w:val="0000EE"/>
                  <w:w w:val="87"/>
                </w:rPr>
                <w:t>Incorporation</w:t>
              </w:r>
            </w:hyperlink>
          </w:p>
        </w:tc>
        <w:tc>
          <w:tcPr>
            <w:tcW w:w="3540" w:type="dxa"/>
            <w:vAlign w:val="bottom"/>
            <w:tcBorders>
              <w:top w:val="single" w:sz="8" w:color="0000EE"/>
            </w:tcBorders>
            <w:gridSpan w:val="6"/>
          </w:tcPr>
          <w:p>
            <w:pPr>
              <w:spacing w:after="0"/>
              <w:rPr>
                <w:sz w:val="17"/>
                <w:szCs w:val="17"/>
                <w:color w:val="auto"/>
              </w:rPr>
            </w:pPr>
          </w:p>
        </w:tc>
        <w:tc>
          <w:tcPr>
            <w:tcW w:w="660" w:type="dxa"/>
            <w:vAlign w:val="bottom"/>
            <w:gridSpan w:val="9"/>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Arial" w:cs="Arial" w:eastAsia="Arial" w:hAnsi="Arial"/>
                <w:sz w:val="18"/>
                <w:szCs w:val="18"/>
                <w:color w:val="auto"/>
                <w:w w:val="87"/>
              </w:rPr>
              <w:t>(000-15006)</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39"/>
        </w:trPr>
        <w:tc>
          <w:tcPr>
            <w:tcW w:w="380" w:type="dxa"/>
            <w:vAlign w:val="bottom"/>
          </w:tcPr>
          <w:p>
            <w:pPr>
              <w:spacing w:after="0"/>
              <w:rPr>
                <w:sz w:val="24"/>
                <w:szCs w:val="24"/>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4"/>
                <w:szCs w:val="24"/>
                <w:color w:val="auto"/>
              </w:rPr>
            </w:pPr>
          </w:p>
        </w:tc>
        <w:tc>
          <w:tcPr>
            <w:tcW w:w="5140" w:type="dxa"/>
            <w:vAlign w:val="bottom"/>
            <w:gridSpan w:val="16"/>
          </w:tcPr>
          <w:p>
            <w:pPr>
              <w:spacing w:after="0"/>
              <w:rPr>
                <w:rFonts w:ascii="Arial" w:cs="Arial" w:eastAsia="Arial" w:hAnsi="Arial"/>
                <w:sz w:val="18"/>
                <w:szCs w:val="18"/>
                <w:color w:val="0000EE"/>
              </w:rPr>
            </w:pPr>
            <w:hyperlink r:id="rId132">
              <w:r>
                <w:rPr>
                  <w:rFonts w:ascii="Arial" w:cs="Arial" w:eastAsia="Arial" w:hAnsi="Arial"/>
                  <w:sz w:val="18"/>
                  <w:szCs w:val="18"/>
                  <w:color w:val="0000EE"/>
                </w:rPr>
                <w:t>Amended and Restated By-Laws, dated April 7, 2014</w:t>
              </w:r>
            </w:hyperlink>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91"/>
              </w:rPr>
              <w:t>4/8/14</w:t>
            </w:r>
          </w:p>
        </w:tc>
      </w:tr>
      <w:tr>
        <w:trPr>
          <w:trHeight w:val="235"/>
        </w:trPr>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top w:val="single" w:sz="8" w:color="0000EE"/>
            </w:tcBorders>
          </w:tcPr>
          <w:p>
            <w:pPr>
              <w:spacing w:after="0"/>
              <w:rPr>
                <w:sz w:val="20"/>
                <w:szCs w:val="20"/>
                <w:color w:val="auto"/>
              </w:rPr>
            </w:pPr>
          </w:p>
        </w:tc>
        <w:tc>
          <w:tcPr>
            <w:tcW w:w="18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760" w:type="dxa"/>
            <w:vAlign w:val="bottom"/>
            <w:tcBorders>
              <w:top w:val="single" w:sz="8" w:color="0000EE"/>
            </w:tcBorders>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(000-15006)</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21"/>
        </w:trPr>
        <w:tc>
          <w:tcPr>
            <w:tcW w:w="380" w:type="dxa"/>
            <w:vAlign w:val="bottom"/>
          </w:tcPr>
          <w:p>
            <w:pPr>
              <w:spacing w:after="0"/>
              <w:rPr>
                <w:sz w:val="24"/>
                <w:szCs w:val="24"/>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4"/>
                <w:szCs w:val="24"/>
                <w:color w:val="auto"/>
              </w:rPr>
            </w:pPr>
          </w:p>
        </w:tc>
        <w:tc>
          <w:tcPr>
            <w:tcW w:w="4680" w:type="dxa"/>
            <w:vAlign w:val="bottom"/>
            <w:tcBorders>
              <w:bottom w:val="single" w:sz="8" w:color="0000EE"/>
            </w:tcBorders>
            <w:gridSpan w:val="12"/>
          </w:tcPr>
          <w:p>
            <w:pPr>
              <w:spacing w:after="0"/>
              <w:rPr>
                <w:rFonts w:ascii="Arial" w:cs="Arial" w:eastAsia="Arial" w:hAnsi="Arial"/>
                <w:sz w:val="18"/>
                <w:szCs w:val="18"/>
                <w:color w:val="0000EE"/>
                <w:w w:val="89"/>
              </w:rPr>
            </w:pPr>
            <w:hyperlink r:id="rId133">
              <w:r>
                <w:rPr>
                  <w:rFonts w:ascii="Arial" w:cs="Arial" w:eastAsia="Arial" w:hAnsi="Arial"/>
                  <w:sz w:val="18"/>
                  <w:szCs w:val="18"/>
                  <w:color w:val="0000EE"/>
                  <w:w w:val="89"/>
                </w:rPr>
                <w:t>Seventh Certificate of Amendment of Third Restated Certificate of</w:t>
              </w:r>
            </w:hyperlink>
          </w:p>
        </w:tc>
        <w:tc>
          <w:tcPr>
            <w:tcW w:w="460" w:type="dxa"/>
            <w:vAlign w:val="bottom"/>
            <w:gridSpan w:val="4"/>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91"/>
              </w:rPr>
              <w:t>2/8/19</w:t>
            </w:r>
          </w:p>
        </w:tc>
      </w:tr>
      <w:tr>
        <w:trPr>
          <w:trHeight w:val="196"/>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133">
              <w:r>
                <w:rPr>
                  <w:rFonts w:ascii="Arial" w:cs="Arial" w:eastAsia="Arial" w:hAnsi="Arial"/>
                  <w:sz w:val="18"/>
                  <w:szCs w:val="18"/>
                  <w:color w:val="0000EE"/>
                  <w:w w:val="87"/>
                </w:rPr>
                <w:t>Incorporation</w:t>
              </w:r>
            </w:hyperlink>
          </w:p>
        </w:tc>
        <w:tc>
          <w:tcPr>
            <w:tcW w:w="4200" w:type="dxa"/>
            <w:vAlign w:val="bottom"/>
            <w:gridSpan w:val="15"/>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Arial" w:cs="Arial" w:eastAsia="Arial" w:hAnsi="Arial"/>
                <w:sz w:val="18"/>
                <w:szCs w:val="18"/>
                <w:color w:val="auto"/>
                <w:w w:val="87"/>
              </w:rPr>
              <w:t>(000-15006)</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71"/>
        </w:trPr>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60" w:type="dxa"/>
            <w:vAlign w:val="bottom"/>
            <w:gridSpan w:val="19"/>
          </w:tcPr>
          <w:p>
            <w:pPr>
              <w:ind w:left="100"/>
              <w:spacing w:after="0"/>
              <w:rPr>
                <w:sz w:val="20"/>
                <w:szCs w:val="20"/>
                <w:color w:val="auto"/>
              </w:rPr>
            </w:pPr>
            <w:r>
              <w:rPr>
                <w:rFonts w:ascii="Arial" w:cs="Arial" w:eastAsia="Arial" w:hAnsi="Arial"/>
                <w:sz w:val="18"/>
                <w:szCs w:val="18"/>
                <w:i w:val="1"/>
                <w:iCs w:val="1"/>
                <w:color w:val="auto"/>
              </w:rPr>
              <w:t>Instruments Defining the Rights of Security Holders</w:t>
            </w: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84"/>
        </w:trPr>
        <w:tc>
          <w:tcPr>
            <w:tcW w:w="380" w:type="dxa"/>
            <w:vAlign w:val="bottom"/>
          </w:tcPr>
          <w:p>
            <w:pPr>
              <w:spacing w:after="0"/>
              <w:rPr>
                <w:sz w:val="15"/>
                <w:szCs w:val="15"/>
                <w:color w:val="auto"/>
              </w:rPr>
            </w:pPr>
          </w:p>
        </w:tc>
        <w:tc>
          <w:tcPr>
            <w:tcW w:w="1000" w:type="dxa"/>
            <w:vAlign w:val="bottom"/>
            <w:gridSpan w:val="3"/>
          </w:tcPr>
          <w:p>
            <w:pPr>
              <w:jc w:val="right"/>
              <w:ind w:right="160"/>
              <w:spacing w:after="0" w:line="184"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5"/>
                <w:szCs w:val="15"/>
                <w:color w:val="auto"/>
              </w:rPr>
            </w:pPr>
          </w:p>
        </w:tc>
        <w:tc>
          <w:tcPr>
            <w:tcW w:w="5140" w:type="dxa"/>
            <w:vAlign w:val="bottom"/>
            <w:gridSpan w:val="16"/>
          </w:tcPr>
          <w:p>
            <w:pPr>
              <w:spacing w:after="0" w:line="184" w:lineRule="exact"/>
              <w:rPr>
                <w:rFonts w:ascii="Arial" w:cs="Arial" w:eastAsia="Arial" w:hAnsi="Arial"/>
                <w:sz w:val="18"/>
                <w:szCs w:val="18"/>
                <w:color w:val="0000EE"/>
              </w:rPr>
            </w:pPr>
            <w:hyperlink r:id="rId134">
              <w:r>
                <w:rPr>
                  <w:rFonts w:ascii="Arial" w:cs="Arial" w:eastAsia="Arial" w:hAnsi="Arial"/>
                  <w:sz w:val="18"/>
                  <w:szCs w:val="18"/>
                  <w:color w:val="0000EE"/>
                </w:rPr>
                <w:t>Specimen of Common Stock Certificate</w:t>
              </w:r>
            </w:hyperlink>
          </w:p>
        </w:tc>
        <w:tc>
          <w:tcPr>
            <w:tcW w:w="1480" w:type="dxa"/>
            <w:vAlign w:val="bottom"/>
          </w:tcPr>
          <w:p>
            <w:pPr>
              <w:jc w:val="center"/>
              <w:spacing w:after="0" w:line="184" w:lineRule="exact"/>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line="184" w:lineRule="exact"/>
              <w:rPr>
                <w:sz w:val="20"/>
                <w:szCs w:val="20"/>
                <w:color w:val="auto"/>
              </w:rPr>
            </w:pPr>
            <w:r>
              <w:rPr>
                <w:rFonts w:ascii="Arial" w:cs="Arial" w:eastAsia="Arial" w:hAnsi="Arial"/>
                <w:sz w:val="18"/>
                <w:szCs w:val="18"/>
                <w:color w:val="auto"/>
                <w:w w:val="87"/>
              </w:rPr>
              <w:t>4.1</w:t>
            </w:r>
          </w:p>
        </w:tc>
        <w:tc>
          <w:tcPr>
            <w:tcW w:w="880" w:type="dxa"/>
            <w:vAlign w:val="bottom"/>
            <w:gridSpan w:val="2"/>
          </w:tcPr>
          <w:p>
            <w:pPr>
              <w:jc w:val="center"/>
              <w:ind w:left="92"/>
              <w:spacing w:after="0" w:line="184" w:lineRule="exact"/>
              <w:rPr>
                <w:sz w:val="20"/>
                <w:szCs w:val="20"/>
                <w:color w:val="auto"/>
              </w:rPr>
            </w:pPr>
            <w:r>
              <w:rPr>
                <w:rFonts w:ascii="Arial" w:cs="Arial" w:eastAsia="Arial" w:hAnsi="Arial"/>
                <w:sz w:val="18"/>
                <w:szCs w:val="18"/>
                <w:color w:val="auto"/>
                <w:w w:val="91"/>
              </w:rPr>
              <w:t>2/8/19</w:t>
            </w:r>
          </w:p>
        </w:tc>
      </w:tr>
      <w:tr>
        <w:trPr>
          <w:trHeight w:val="235"/>
        </w:trPr>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top w:val="single" w:sz="8" w:color="0000EE"/>
            </w:tcBorders>
          </w:tcPr>
          <w:p>
            <w:pPr>
              <w:spacing w:after="0"/>
              <w:rPr>
                <w:sz w:val="20"/>
                <w:szCs w:val="20"/>
                <w:color w:val="auto"/>
              </w:rPr>
            </w:pPr>
          </w:p>
        </w:tc>
        <w:tc>
          <w:tcPr>
            <w:tcW w:w="1840" w:type="dxa"/>
            <w:vAlign w:val="bottom"/>
            <w:tcBorders>
              <w:top w:val="single" w:sz="8" w:color="0000EE"/>
            </w:tcBorders>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(000-15006)</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0860"/>
          </w:cols>
          <w:pgMar w:left="320" w:top="131" w:right="719" w:bottom="1440" w:gutter="0" w:footer="0" w:header="0"/>
        </w:sectPr>
      </w:pPr>
    </w:p>
    <w:p>
      <w:pPr>
        <w:spacing w:after="0" w:line="10" w:lineRule="exact"/>
        <w:rPr>
          <w:sz w:val="20"/>
          <w:szCs w:val="20"/>
          <w:color w:val="auto"/>
        </w:rPr>
      </w:pPr>
    </w:p>
    <w:p>
      <w:pPr>
        <w:jc w:val="center"/>
        <w:ind w:right="-399"/>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361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860"/>
          </w:cols>
          <w:pgMar w:left="320" w:top="131" w:right="719" w:bottom="1440" w:gutter="0" w:footer="0" w:header="0"/>
          <w:type w:val="continuous"/>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5" w:lineRule="exact"/>
        <w:rPr>
          <w:sz w:val="20"/>
          <w:szCs w:val="20"/>
          <w:color w:val="auto"/>
        </w:rPr>
      </w:pPr>
    </w:p>
    <w:p>
      <w:pPr>
        <w:ind w:left="1340"/>
        <w:spacing w:after="0"/>
        <w:tabs>
          <w:tab w:leader="none" w:pos="4060" w:val="left"/>
        </w:tabs>
        <w:rPr>
          <w:sz w:val="20"/>
          <w:szCs w:val="20"/>
          <w:color w:val="auto"/>
        </w:rPr>
      </w:pPr>
      <w:r>
        <w:rPr>
          <w:rFonts w:ascii="Arial" w:cs="Arial" w:eastAsia="Arial" w:hAnsi="Arial"/>
          <w:sz w:val="13"/>
          <w:szCs w:val="13"/>
          <w:b w:val="1"/>
          <w:bCs w:val="1"/>
          <w:color w:val="auto"/>
        </w:rPr>
        <w:t>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7620</wp:posOffset>
            </wp:positionV>
            <wp:extent cx="367728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3677285" cy="8255"/>
                    </a:xfrm>
                    <a:prstGeom prst="rect">
                      <a:avLst/>
                    </a:prstGeom>
                    <a:noFill/>
                  </pic:spPr>
                </pic:pic>
              </a:graphicData>
            </a:graphic>
          </wp:anchor>
        </w:drawing>
      </w:r>
    </w:p>
    <w:p>
      <w:pPr>
        <w:spacing w:after="0" w:line="5" w:lineRule="exact"/>
        <w:rPr>
          <w:sz w:val="20"/>
          <w:szCs w:val="20"/>
          <w:color w:val="auto"/>
        </w:rPr>
      </w:pPr>
    </w:p>
    <w:p>
      <w:pPr>
        <w:jc w:val="both"/>
        <w:ind w:left="1920" w:right="380" w:hanging="380"/>
        <w:spacing w:after="0" w:line="301" w:lineRule="auto"/>
        <w:tabs>
          <w:tab w:leader="none" w:pos="1900"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r:id="rId137">
        <w:r>
          <w:rPr>
            <w:rFonts w:ascii="Arial" w:cs="Arial" w:eastAsia="Arial" w:hAnsi="Arial"/>
            <w:sz w:val="16"/>
            <w:szCs w:val="16"/>
            <w:u w:val="single" w:color="auto"/>
            <w:color w:val="0000EE"/>
          </w:rPr>
          <w:t>Certificate of Designations, Preferences and Rights of a Series of</w:t>
        </w:r>
      </w:hyperlink>
      <w:r>
        <w:rPr>
          <w:rFonts w:ascii="Arial" w:cs="Arial" w:eastAsia="Arial" w:hAnsi="Arial"/>
          <w:sz w:val="16"/>
          <w:szCs w:val="16"/>
          <w:u w:val="single" w:color="auto"/>
          <w:color w:val="0000EE"/>
        </w:rPr>
        <w:t xml:space="preserve"> </w:t>
      </w:r>
      <w:hyperlink r:id="rId137">
        <w:r>
          <w:rPr>
            <w:rFonts w:ascii="Arial" w:cs="Arial" w:eastAsia="Arial" w:hAnsi="Arial"/>
            <w:sz w:val="16"/>
            <w:szCs w:val="16"/>
            <w:u w:val="single" w:color="auto"/>
            <w:color w:val="0000EE"/>
          </w:rPr>
          <w:t>Preferred Stock classifying and designating the Series C-1 Junior</w:t>
        </w:r>
      </w:hyperlink>
      <w:r>
        <w:rPr>
          <w:rFonts w:ascii="Arial" w:cs="Arial" w:eastAsia="Arial" w:hAnsi="Arial"/>
          <w:sz w:val="16"/>
          <w:szCs w:val="16"/>
          <w:u w:val="single" w:color="auto"/>
          <w:color w:val="0000EE"/>
        </w:rPr>
        <w:t xml:space="preserve"> </w:t>
      </w:r>
      <w:hyperlink r:id="rId137">
        <w:r>
          <w:rPr>
            <w:rFonts w:ascii="Arial" w:cs="Arial" w:eastAsia="Arial" w:hAnsi="Arial"/>
            <w:sz w:val="16"/>
            <w:szCs w:val="16"/>
            <w:u w:val="single" w:color="auto"/>
            <w:color w:val="0000EE"/>
          </w:rPr>
          <w:t>Participating Cumulative Preferred Stock</w:t>
        </w:r>
      </w:hyperlink>
    </w:p>
    <w:p>
      <w:pPr>
        <w:spacing w:after="0" w:line="191" w:lineRule="exact"/>
        <w:rPr>
          <w:rFonts w:ascii="Arial" w:cs="Arial" w:eastAsia="Arial" w:hAnsi="Arial"/>
          <w:sz w:val="16"/>
          <w:szCs w:val="16"/>
          <w:u w:val="single" w:color="auto"/>
          <w:color w:val="0000EE"/>
        </w:rPr>
      </w:pPr>
    </w:p>
    <w:p>
      <w:pPr>
        <w:ind w:left="1540"/>
        <w:spacing w:after="0"/>
        <w:tabs>
          <w:tab w:leader="none" w:pos="19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Description of Securities</w:t>
      </w:r>
    </w:p>
    <w:p>
      <w:pPr>
        <w:spacing w:after="0" w:line="252" w:lineRule="exact"/>
        <w:rPr>
          <w:rFonts w:ascii="Arial" w:cs="Arial" w:eastAsia="Arial" w:hAnsi="Arial"/>
          <w:sz w:val="16"/>
          <w:szCs w:val="16"/>
          <w:u w:val="single" w:color="auto"/>
          <w:color w:val="0000EE"/>
        </w:rPr>
      </w:pPr>
    </w:p>
    <w:p>
      <w:pPr>
        <w:ind w:left="1220"/>
        <w:spacing w:after="0"/>
        <w:rPr>
          <w:sz w:val="20"/>
          <w:szCs w:val="20"/>
          <w:color w:val="auto"/>
        </w:rPr>
      </w:pPr>
      <w:r>
        <w:rPr>
          <w:rFonts w:ascii="Arial" w:cs="Arial" w:eastAsia="Arial" w:hAnsi="Arial"/>
          <w:sz w:val="18"/>
          <w:szCs w:val="18"/>
          <w:i w:val="1"/>
          <w:iCs w:val="1"/>
          <w:color w:val="auto"/>
        </w:rPr>
        <w:t>Material Contracts—Leases</w:t>
      </w:r>
    </w:p>
    <w:p>
      <w:pPr>
        <w:spacing w:after="0" w:line="15" w:lineRule="exact"/>
        <w:rPr>
          <w:rFonts w:ascii="Arial" w:cs="Arial" w:eastAsia="Arial" w:hAnsi="Arial"/>
          <w:sz w:val="16"/>
          <w:szCs w:val="16"/>
          <w:u w:val="single" w:color="auto"/>
          <w:color w:val="0000EE"/>
        </w:rPr>
      </w:pPr>
    </w:p>
    <w:p>
      <w:pPr>
        <w:ind w:left="1920" w:right="80" w:hanging="468"/>
        <w:spacing w:after="0" w:line="260" w:lineRule="auto"/>
        <w:tabs>
          <w:tab w:leader="none" w:pos="190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138">
        <w:r>
          <w:rPr>
            <w:rFonts w:ascii="Arial" w:cs="Arial" w:eastAsia="Arial" w:hAnsi="Arial"/>
            <w:sz w:val="18"/>
            <w:szCs w:val="18"/>
            <w:u w:val="single" w:color="auto"/>
            <w:color w:val="0000EE"/>
          </w:rPr>
          <w:t>Commercial Lease Agreement of May 1, 1996 between the Company</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and Fourth Avenue Ventures Limited Partnership</w:t>
        </w:r>
      </w:hyperlink>
    </w:p>
    <w:p>
      <w:pPr>
        <w:spacing w:after="0" w:line="220" w:lineRule="exact"/>
        <w:rPr>
          <w:sz w:val="20"/>
          <w:szCs w:val="20"/>
          <w:color w:val="auto"/>
        </w:rPr>
      </w:pPr>
    </w:p>
    <w:p>
      <w:pPr>
        <w:ind w:left="1920" w:right="60" w:hanging="468"/>
        <w:spacing w:after="0" w:line="306" w:lineRule="auto"/>
        <w:tabs>
          <w:tab w:leader="none" w:pos="190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r:id="rId139">
        <w:r>
          <w:rPr>
            <w:rFonts w:ascii="Arial" w:cs="Arial" w:eastAsia="Arial" w:hAnsi="Arial"/>
            <w:sz w:val="16"/>
            <w:szCs w:val="16"/>
            <w:u w:val="single" w:color="auto"/>
            <w:color w:val="0000EE"/>
          </w:rPr>
          <w:t>Extension of Lease Agreement of May 1, 1997 between the Company</w:t>
        </w:r>
      </w:hyperlink>
      <w:r>
        <w:rPr>
          <w:rFonts w:ascii="Arial" w:cs="Arial" w:eastAsia="Arial" w:hAnsi="Arial"/>
          <w:sz w:val="16"/>
          <w:szCs w:val="16"/>
          <w:u w:val="single" w:color="auto"/>
          <w:color w:val="0000EE"/>
        </w:rPr>
        <w:t xml:space="preserve"> </w:t>
      </w:r>
      <w:hyperlink r:id="rId139">
        <w:r>
          <w:rPr>
            <w:rFonts w:ascii="Arial" w:cs="Arial" w:eastAsia="Arial" w:hAnsi="Arial"/>
            <w:sz w:val="16"/>
            <w:szCs w:val="16"/>
            <w:u w:val="single" w:color="auto"/>
            <w:color w:val="0000EE"/>
          </w:rPr>
          <w:t>and DIV Needham 53 LLC (successor in interest to Fourth Avenue</w:t>
        </w:r>
      </w:hyperlink>
      <w:r>
        <w:rPr>
          <w:rFonts w:ascii="Arial" w:cs="Arial" w:eastAsia="Arial" w:hAnsi="Arial"/>
          <w:sz w:val="16"/>
          <w:szCs w:val="16"/>
          <w:u w:val="single" w:color="auto"/>
          <w:color w:val="0000EE"/>
        </w:rPr>
        <w:t xml:space="preserve"> </w:t>
      </w:r>
      <w:hyperlink r:id="rId139">
        <w:r>
          <w:rPr>
            <w:rFonts w:ascii="Arial" w:cs="Arial" w:eastAsia="Arial" w:hAnsi="Arial"/>
            <w:sz w:val="16"/>
            <w:szCs w:val="16"/>
            <w:u w:val="single" w:color="auto"/>
            <w:color w:val="0000EE"/>
          </w:rPr>
          <w:t>Ventures Limited Partnership) dated as of August 23, 2001</w:t>
        </w:r>
      </w:hyperlink>
    </w:p>
    <w:p>
      <w:pPr>
        <w:spacing w:after="0" w:line="187" w:lineRule="exact"/>
        <w:rPr>
          <w:rFonts w:ascii="Arial" w:cs="Arial" w:eastAsia="Arial" w:hAnsi="Arial"/>
          <w:sz w:val="16"/>
          <w:szCs w:val="16"/>
          <w:u w:val="single" w:color="auto"/>
          <w:color w:val="0000EE"/>
        </w:rPr>
      </w:pPr>
    </w:p>
    <w:p>
      <w:pPr>
        <w:ind w:left="1920" w:right="180" w:hanging="468"/>
        <w:spacing w:after="0" w:line="306" w:lineRule="auto"/>
        <w:tabs>
          <w:tab w:leader="none" w:pos="1900" w:val="left"/>
        </w:tabs>
        <w:rPr>
          <w:rFonts w:ascii="Arial" w:cs="Arial" w:eastAsia="Arial" w:hAnsi="Arial"/>
          <w:sz w:val="16"/>
          <w:szCs w:val="16"/>
          <w:u w:val="single" w:color="auto"/>
          <w:color w:val="0000EE"/>
        </w:rPr>
      </w:pPr>
      <w:r>
        <w:rPr>
          <w:rFonts w:ascii="Arial" w:cs="Arial" w:eastAsia="Arial" w:hAnsi="Arial"/>
          <w:sz w:val="18"/>
          <w:szCs w:val="18"/>
          <w:color w:val="auto"/>
        </w:rPr>
        <w:t>10.3</w:t>
      </w:r>
      <w:r>
        <w:rPr>
          <w:sz w:val="20"/>
          <w:szCs w:val="20"/>
          <w:color w:val="auto"/>
        </w:rPr>
        <w:tab/>
      </w:r>
      <w:hyperlink r:id="rId140">
        <w:r>
          <w:rPr>
            <w:rFonts w:ascii="Arial" w:cs="Arial" w:eastAsia="Arial" w:hAnsi="Arial"/>
            <w:sz w:val="16"/>
            <w:szCs w:val="16"/>
            <w:u w:val="single" w:color="auto"/>
            <w:color w:val="0000EE"/>
          </w:rPr>
          <w:t>First Amendment to Lease by and between the Company and DIV</w:t>
        </w:r>
      </w:hyperlink>
      <w:r>
        <w:rPr>
          <w:rFonts w:ascii="Arial" w:cs="Arial" w:eastAsia="Arial" w:hAnsi="Arial"/>
          <w:sz w:val="16"/>
          <w:szCs w:val="16"/>
          <w:u w:val="single" w:color="auto"/>
          <w:color w:val="0000EE"/>
        </w:rPr>
        <w:t xml:space="preserve"> </w:t>
      </w:r>
      <w:hyperlink r:id="rId140">
        <w:r>
          <w:rPr>
            <w:rFonts w:ascii="Arial" w:cs="Arial" w:eastAsia="Arial" w:hAnsi="Arial"/>
            <w:sz w:val="16"/>
            <w:szCs w:val="16"/>
            <w:u w:val="single" w:color="auto"/>
            <w:color w:val="0000EE"/>
          </w:rPr>
          <w:t>Needham 115 LLC (successor in interest to Fourth Avenue Ventures</w:t>
        </w:r>
      </w:hyperlink>
      <w:r>
        <w:rPr>
          <w:rFonts w:ascii="Arial" w:cs="Arial" w:eastAsia="Arial" w:hAnsi="Arial"/>
          <w:sz w:val="16"/>
          <w:szCs w:val="16"/>
          <w:u w:val="single" w:color="auto"/>
          <w:color w:val="0000EE"/>
        </w:rPr>
        <w:t xml:space="preserve"> </w:t>
      </w:r>
      <w:hyperlink r:id="rId140">
        <w:r>
          <w:rPr>
            <w:rFonts w:ascii="Arial" w:cs="Arial" w:eastAsia="Arial" w:hAnsi="Arial"/>
            <w:sz w:val="16"/>
            <w:szCs w:val="16"/>
            <w:u w:val="single" w:color="auto"/>
            <w:color w:val="0000EE"/>
          </w:rPr>
          <w:t>Limited Partnership) dated November 29, 2005</w:t>
        </w:r>
      </w:hyperlink>
    </w:p>
    <w:p>
      <w:pPr>
        <w:spacing w:after="0" w:line="187" w:lineRule="exact"/>
        <w:rPr>
          <w:rFonts w:ascii="Arial" w:cs="Arial" w:eastAsia="Arial" w:hAnsi="Arial"/>
          <w:sz w:val="16"/>
          <w:szCs w:val="16"/>
          <w:u w:val="single" w:color="auto"/>
          <w:color w:val="0000EE"/>
        </w:rPr>
      </w:pPr>
    </w:p>
    <w:p>
      <w:pPr>
        <w:ind w:left="1920" w:right="120" w:hanging="468"/>
        <w:spacing w:after="0" w:line="268" w:lineRule="auto"/>
        <w:tabs>
          <w:tab w:leader="none" w:pos="190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141">
        <w:r>
          <w:rPr>
            <w:rFonts w:ascii="Arial" w:cs="Arial" w:eastAsia="Arial" w:hAnsi="Arial"/>
            <w:sz w:val="18"/>
            <w:szCs w:val="18"/>
            <w:u w:val="single" w:color="auto"/>
            <w:color w:val="0000EE"/>
          </w:rPr>
          <w:t>Second Amendment to Lease by and between the Company and DIV</w:t>
        </w:r>
      </w:hyperlink>
      <w:r>
        <w:rPr>
          <w:rFonts w:ascii="Arial" w:cs="Arial" w:eastAsia="Arial" w:hAnsi="Arial"/>
          <w:sz w:val="18"/>
          <w:szCs w:val="18"/>
          <w:u w:val="single" w:color="auto"/>
          <w:color w:val="0000EE"/>
        </w:rPr>
        <w:t xml:space="preserve"> </w:t>
      </w:r>
      <w:hyperlink r:id="rId141">
        <w:r>
          <w:rPr>
            <w:rFonts w:ascii="Arial" w:cs="Arial" w:eastAsia="Arial" w:hAnsi="Arial"/>
            <w:sz w:val="18"/>
            <w:szCs w:val="18"/>
            <w:u w:val="single" w:color="auto"/>
            <w:color w:val="0000EE"/>
          </w:rPr>
          <w:t>Needham 115 LLC dated as of August 1, 2015</w:t>
        </w:r>
      </w:hyperlink>
    </w:p>
    <w:p>
      <w:pPr>
        <w:spacing w:after="0" w:line="213" w:lineRule="exact"/>
        <w:rPr>
          <w:sz w:val="20"/>
          <w:szCs w:val="20"/>
          <w:color w:val="auto"/>
        </w:rPr>
      </w:pPr>
    </w:p>
    <w:p>
      <w:pPr>
        <w:jc w:val="both"/>
        <w:ind w:left="1920" w:right="940" w:hanging="556"/>
        <w:spacing w:after="0" w:line="259" w:lineRule="auto"/>
        <w:tabs>
          <w:tab w:leader="none" w:pos="190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142">
        <w:r>
          <w:rPr>
            <w:rFonts w:ascii="Arial" w:cs="Arial" w:eastAsia="Arial" w:hAnsi="Arial"/>
            <w:sz w:val="18"/>
            <w:szCs w:val="18"/>
            <w:u w:val="single" w:color="auto"/>
            <w:color w:val="0000EE"/>
          </w:rPr>
          <w:t>Lease Agreement, by and between the Company and the</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Massachusetts Development Finance Agency, dated as of</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December 22, 2003</w:t>
        </w:r>
      </w:hyperlink>
    </w:p>
    <w:p>
      <w:pPr>
        <w:spacing w:after="0" w:line="221" w:lineRule="exact"/>
        <w:rPr>
          <w:rFonts w:ascii="Arial" w:cs="Arial" w:eastAsia="Arial" w:hAnsi="Arial"/>
          <w:sz w:val="18"/>
          <w:szCs w:val="18"/>
          <w:u w:val="single" w:color="auto"/>
          <w:color w:val="0000EE"/>
        </w:rPr>
      </w:pPr>
    </w:p>
    <w:p>
      <w:pPr>
        <w:ind w:left="1920" w:right="420" w:hanging="468"/>
        <w:spacing w:after="0" w:line="369" w:lineRule="auto"/>
        <w:tabs>
          <w:tab w:leader="none" w:pos="1900" w:val="left"/>
        </w:tabs>
        <w:rPr>
          <w:rFonts w:ascii="Arial" w:cs="Arial" w:eastAsia="Arial" w:hAnsi="Arial"/>
          <w:sz w:val="15"/>
          <w:szCs w:val="15"/>
          <w:u w:val="single" w:color="auto"/>
          <w:color w:val="0000EE"/>
        </w:rPr>
      </w:pPr>
      <w:r>
        <w:rPr>
          <w:rFonts w:ascii="Arial" w:cs="Arial" w:eastAsia="Arial" w:hAnsi="Arial"/>
          <w:sz w:val="18"/>
          <w:szCs w:val="18"/>
          <w:color w:val="auto"/>
        </w:rPr>
        <w:t>10.6</w:t>
      </w:r>
      <w:r>
        <w:rPr>
          <w:sz w:val="20"/>
          <w:szCs w:val="20"/>
          <w:color w:val="auto"/>
        </w:rPr>
        <w:tab/>
      </w:r>
      <w:hyperlink r:id="rId143">
        <w:r>
          <w:rPr>
            <w:rFonts w:ascii="Arial" w:cs="Arial" w:eastAsia="Arial" w:hAnsi="Arial"/>
            <w:sz w:val="15"/>
            <w:szCs w:val="15"/>
            <w:u w:val="single" w:color="auto"/>
            <w:color w:val="0000EE"/>
          </w:rPr>
          <w:t>First Amendment to Lease between Massachusetts Development</w:t>
        </w:r>
      </w:hyperlink>
      <w:r>
        <w:rPr>
          <w:rFonts w:ascii="Arial" w:cs="Arial" w:eastAsia="Arial" w:hAnsi="Arial"/>
          <w:sz w:val="15"/>
          <w:szCs w:val="15"/>
          <w:u w:val="single" w:color="auto"/>
          <w:color w:val="0000EE"/>
        </w:rPr>
        <w:t xml:space="preserve"> </w:t>
      </w:r>
      <w:hyperlink r:id="rId143">
        <w:r>
          <w:rPr>
            <w:rFonts w:ascii="Arial" w:cs="Arial" w:eastAsia="Arial" w:hAnsi="Arial"/>
            <w:sz w:val="15"/>
            <w:szCs w:val="15"/>
            <w:u w:val="single" w:color="auto"/>
            <w:color w:val="0000EE"/>
          </w:rPr>
          <w:t>Finance Agency and the Company dated March 17, 2005</w:t>
        </w:r>
      </w:hyperlink>
    </w:p>
    <w:p>
      <w:pPr>
        <w:spacing w:after="0" w:line="145" w:lineRule="exact"/>
        <w:rPr>
          <w:sz w:val="20"/>
          <w:szCs w:val="20"/>
          <w:color w:val="auto"/>
        </w:rPr>
      </w:pPr>
    </w:p>
    <w:p>
      <w:pPr>
        <w:ind w:left="1920" w:hanging="468"/>
        <w:spacing w:after="0" w:line="259" w:lineRule="auto"/>
        <w:tabs>
          <w:tab w:leader="none" w:pos="190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144">
        <w:r>
          <w:rPr>
            <w:rFonts w:ascii="Arial" w:cs="Arial" w:eastAsia="Arial" w:hAnsi="Arial"/>
            <w:sz w:val="18"/>
            <w:szCs w:val="18"/>
            <w:u w:val="single" w:color="auto"/>
            <w:color w:val="0000EE"/>
          </w:rPr>
          <w:t>Second Amendment to Lease by and between the Company and the</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Massachusetts Development Finance Agency dated as of November 4,</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2005</w:t>
        </w:r>
      </w:hyperlink>
    </w:p>
    <w:p>
      <w:pPr>
        <w:spacing w:after="0" w:line="221" w:lineRule="exact"/>
        <w:rPr>
          <w:rFonts w:ascii="Arial" w:cs="Arial" w:eastAsia="Arial" w:hAnsi="Arial"/>
          <w:sz w:val="18"/>
          <w:szCs w:val="18"/>
          <w:u w:val="single" w:color="auto"/>
          <w:color w:val="0000EE"/>
        </w:rPr>
      </w:pPr>
    </w:p>
    <w:p>
      <w:pPr>
        <w:ind w:left="1920" w:right="360" w:hanging="468"/>
        <w:spacing w:after="0" w:line="369" w:lineRule="auto"/>
        <w:tabs>
          <w:tab w:leader="none" w:pos="1900" w:val="left"/>
        </w:tabs>
        <w:rPr>
          <w:rFonts w:ascii="Arial" w:cs="Arial" w:eastAsia="Arial" w:hAnsi="Arial"/>
          <w:sz w:val="15"/>
          <w:szCs w:val="15"/>
          <w:u w:val="single" w:color="auto"/>
          <w:color w:val="0000EE"/>
        </w:rPr>
      </w:pPr>
      <w:r>
        <w:rPr>
          <w:rFonts w:ascii="Arial" w:cs="Arial" w:eastAsia="Arial" w:hAnsi="Arial"/>
          <w:sz w:val="18"/>
          <w:szCs w:val="18"/>
          <w:color w:val="auto"/>
        </w:rPr>
        <w:t>10.8</w:t>
      </w:r>
      <w:r>
        <w:rPr>
          <w:sz w:val="20"/>
          <w:szCs w:val="20"/>
          <w:color w:val="auto"/>
        </w:rPr>
        <w:tab/>
      </w:r>
      <w:hyperlink r:id="rId145">
        <w:r>
          <w:rPr>
            <w:rFonts w:ascii="Arial" w:cs="Arial" w:eastAsia="Arial" w:hAnsi="Arial"/>
            <w:sz w:val="15"/>
            <w:szCs w:val="15"/>
            <w:u w:val="single" w:color="auto"/>
            <w:color w:val="0000EE"/>
          </w:rPr>
          <w:t>Third Amendment to Lease between Massachusetts Development</w:t>
        </w:r>
      </w:hyperlink>
      <w:r>
        <w:rPr>
          <w:rFonts w:ascii="Arial" w:cs="Arial" w:eastAsia="Arial" w:hAnsi="Arial"/>
          <w:sz w:val="15"/>
          <w:szCs w:val="15"/>
          <w:u w:val="single" w:color="auto"/>
          <w:color w:val="0000EE"/>
        </w:rPr>
        <w:t xml:space="preserve"> </w:t>
      </w:r>
      <w:hyperlink r:id="rId145">
        <w:r>
          <w:rPr>
            <w:rFonts w:ascii="Arial" w:cs="Arial" w:eastAsia="Arial" w:hAnsi="Arial"/>
            <w:sz w:val="15"/>
            <w:szCs w:val="15"/>
            <w:u w:val="single" w:color="auto"/>
            <w:color w:val="0000EE"/>
          </w:rPr>
          <w:t>Finance Agency and the Company dated December 20, 2006</w:t>
        </w:r>
      </w:hyperlink>
    </w:p>
    <w:p>
      <w:pPr>
        <w:spacing w:after="0" w:line="145" w:lineRule="exact"/>
        <w:rPr>
          <w:sz w:val="20"/>
          <w:szCs w:val="20"/>
          <w:color w:val="auto"/>
        </w:rPr>
      </w:pPr>
    </w:p>
    <w:p>
      <w:pPr>
        <w:ind w:left="1920" w:right="400" w:hanging="468"/>
        <w:spacing w:after="0" w:line="369" w:lineRule="auto"/>
        <w:tabs>
          <w:tab w:leader="none" w:pos="1900" w:val="left"/>
        </w:tabs>
        <w:rPr>
          <w:rFonts w:ascii="Arial" w:cs="Arial" w:eastAsia="Arial" w:hAnsi="Arial"/>
          <w:sz w:val="15"/>
          <w:szCs w:val="15"/>
          <w:u w:val="single" w:color="auto"/>
          <w:color w:val="0000EE"/>
        </w:rPr>
      </w:pPr>
      <w:r>
        <w:rPr>
          <w:rFonts w:ascii="Arial" w:cs="Arial" w:eastAsia="Arial" w:hAnsi="Arial"/>
          <w:sz w:val="18"/>
          <w:szCs w:val="18"/>
          <w:color w:val="auto"/>
        </w:rPr>
        <w:t>10.9</w:t>
      </w:r>
      <w:r>
        <w:rPr>
          <w:sz w:val="20"/>
          <w:szCs w:val="20"/>
          <w:color w:val="auto"/>
        </w:rPr>
        <w:tab/>
      </w:r>
      <w:hyperlink r:id="rId146">
        <w:r>
          <w:rPr>
            <w:rFonts w:ascii="Arial" w:cs="Arial" w:eastAsia="Arial" w:hAnsi="Arial"/>
            <w:sz w:val="15"/>
            <w:szCs w:val="15"/>
            <w:u w:val="single" w:color="auto"/>
            <w:color w:val="0000EE"/>
          </w:rPr>
          <w:t>Fifth Amendment to Lease between Massachusetts Development</w:t>
        </w:r>
      </w:hyperlink>
      <w:r>
        <w:rPr>
          <w:rFonts w:ascii="Arial" w:cs="Arial" w:eastAsia="Arial" w:hAnsi="Arial"/>
          <w:sz w:val="15"/>
          <w:szCs w:val="15"/>
          <w:u w:val="single" w:color="auto"/>
          <w:color w:val="0000EE"/>
        </w:rPr>
        <w:t xml:space="preserve"> </w:t>
      </w:r>
      <w:hyperlink r:id="rId146">
        <w:r>
          <w:rPr>
            <w:rFonts w:ascii="Arial" w:cs="Arial" w:eastAsia="Arial" w:hAnsi="Arial"/>
            <w:sz w:val="15"/>
            <w:szCs w:val="15"/>
            <w:u w:val="single" w:color="auto"/>
            <w:color w:val="0000EE"/>
          </w:rPr>
          <w:t>Finance Agency and the Company dated October 3, 2008</w:t>
        </w:r>
      </w:hyperlink>
    </w:p>
    <w:p>
      <w:pPr>
        <w:spacing w:after="0" w:line="145" w:lineRule="exact"/>
        <w:rPr>
          <w:sz w:val="20"/>
          <w:szCs w:val="20"/>
          <w:color w:val="auto"/>
        </w:rPr>
      </w:pPr>
    </w:p>
    <w:p>
      <w:pPr>
        <w:jc w:val="center"/>
        <w:ind w:left="980"/>
        <w:spacing w:after="0"/>
        <w:tabs>
          <w:tab w:leader="none" w:pos="140" w:val="left"/>
        </w:tabs>
        <w:rPr>
          <w:rFonts w:ascii="Arial" w:cs="Arial" w:eastAsia="Arial" w:hAnsi="Arial"/>
          <w:sz w:val="15"/>
          <w:szCs w:val="15"/>
          <w:u w:val="single" w:color="auto"/>
          <w:color w:val="0000EE"/>
        </w:rPr>
      </w:pPr>
      <w:r>
        <w:rPr>
          <w:rFonts w:ascii="Arial" w:cs="Arial" w:eastAsia="Arial" w:hAnsi="Arial"/>
          <w:sz w:val="18"/>
          <w:szCs w:val="18"/>
          <w:color w:val="auto"/>
        </w:rPr>
        <w:t>10.10</w:t>
      </w:r>
      <w:r>
        <w:rPr>
          <w:sz w:val="20"/>
          <w:szCs w:val="20"/>
          <w:color w:val="auto"/>
        </w:rPr>
        <w:tab/>
      </w:r>
      <w:hyperlink r:id="rId147">
        <w:r>
          <w:rPr>
            <w:rFonts w:ascii="Arial" w:cs="Arial" w:eastAsia="Arial" w:hAnsi="Arial"/>
            <w:sz w:val="15"/>
            <w:szCs w:val="15"/>
            <w:u w:val="single" w:color="auto"/>
            <w:color w:val="0000EE"/>
          </w:rPr>
          <w:t>Sixth Amendment to Lease between Massachusetts Development</w:t>
        </w:r>
      </w:hyperlink>
    </w:p>
    <w:p>
      <w:pPr>
        <w:spacing w:after="0" w:line="15" w:lineRule="exact"/>
        <w:rPr>
          <w:sz w:val="20"/>
          <w:szCs w:val="20"/>
          <w:color w:val="auto"/>
        </w:rPr>
      </w:pPr>
    </w:p>
    <w:p>
      <w:pPr>
        <w:jc w:val="center"/>
        <w:ind w:left="1020"/>
        <w:spacing w:after="0"/>
        <w:rPr>
          <w:rFonts w:ascii="Arial" w:cs="Arial" w:eastAsia="Arial" w:hAnsi="Arial"/>
          <w:sz w:val="18"/>
          <w:szCs w:val="18"/>
          <w:u w:val="single" w:color="auto"/>
          <w:color w:val="0000EE"/>
        </w:rPr>
      </w:pPr>
      <w:hyperlink r:id="rId147">
        <w:r>
          <w:rPr>
            <w:rFonts w:ascii="Arial" w:cs="Arial" w:eastAsia="Arial" w:hAnsi="Arial"/>
            <w:sz w:val="18"/>
            <w:szCs w:val="18"/>
            <w:u w:val="single" w:color="auto"/>
            <w:color w:val="0000EE"/>
          </w:rPr>
          <w:t>Finance Agency and the Company dated August 20, 2009</w:t>
        </w:r>
      </w:hyperlink>
    </w:p>
    <w:p>
      <w:pPr>
        <w:spacing w:after="0" w:line="246" w:lineRule="exact"/>
        <w:rPr>
          <w:sz w:val="20"/>
          <w:szCs w:val="20"/>
          <w:color w:val="auto"/>
        </w:rPr>
      </w:pPr>
    </w:p>
    <w:p>
      <w:pPr>
        <w:ind w:left="1920" w:right="160" w:hanging="549"/>
        <w:spacing w:after="0" w:line="259" w:lineRule="auto"/>
        <w:tabs>
          <w:tab w:leader="none" w:pos="190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48">
        <w:r>
          <w:rPr>
            <w:rFonts w:ascii="Arial" w:cs="Arial" w:eastAsia="Arial" w:hAnsi="Arial"/>
            <w:sz w:val="18"/>
            <w:szCs w:val="18"/>
            <w:u w:val="single" w:color="auto"/>
            <w:color w:val="0000EE"/>
          </w:rPr>
          <w:t>Seventh Amendment to Lease by and between the Company and the</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Massachusetts Development Finance Agency dated as of June 22,</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2010</w:t>
        </w:r>
      </w:hyperlink>
    </w:p>
    <w:p>
      <w:pPr>
        <w:spacing w:after="0" w:line="194" w:lineRule="exact"/>
        <w:rPr>
          <w:rFonts w:ascii="Arial" w:cs="Arial" w:eastAsia="Arial" w:hAnsi="Arial"/>
          <w:sz w:val="18"/>
          <w:szCs w:val="18"/>
          <w:u w:val="single" w:color="auto"/>
          <w:color w:val="0000EE"/>
        </w:rPr>
      </w:pPr>
    </w:p>
    <w:p>
      <w:pPr>
        <w:ind w:left="5500"/>
        <w:spacing w:after="0"/>
        <w:rPr>
          <w:sz w:val="20"/>
          <w:szCs w:val="20"/>
          <w:color w:val="auto"/>
        </w:rPr>
      </w:pPr>
      <w:r>
        <w:rPr>
          <w:rFonts w:ascii="Arial" w:cs="Arial" w:eastAsia="Arial" w:hAnsi="Arial"/>
          <w:sz w:val="18"/>
          <w:szCs w:val="18"/>
          <w:color w:val="auto"/>
        </w:rPr>
        <w:t>108</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62" w:lineRule="exact"/>
        <w:rPr>
          <w:rFonts w:ascii="Arial" w:cs="Arial" w:eastAsia="Arial" w:hAnsi="Arial"/>
          <w:sz w:val="18"/>
          <w:szCs w:val="18"/>
          <w:u w:val="single" w:color="auto"/>
          <w:color w:val="0000EE"/>
        </w:rPr>
      </w:pPr>
    </w:p>
    <w:p>
      <w:pPr>
        <w:ind w:left="680"/>
        <w:spacing w:after="0"/>
        <w:rPr>
          <w:sz w:val="20"/>
          <w:szCs w:val="20"/>
          <w:color w:val="auto"/>
        </w:rPr>
      </w:pPr>
      <w:r>
        <w:rPr>
          <w:rFonts w:ascii="Arial" w:cs="Arial" w:eastAsia="Arial" w:hAnsi="Arial"/>
          <w:sz w:val="13"/>
          <w:szCs w:val="13"/>
          <w:b w:val="1"/>
          <w:bCs w:val="1"/>
          <w:color w:val="auto"/>
        </w:rPr>
        <w:t>Incorporated by Reference to</w:t>
      </w:r>
    </w:p>
    <w:p>
      <w:pPr>
        <w:spacing w:after="0" w:line="12" w:lineRule="exact"/>
        <w:rPr>
          <w:rFonts w:ascii="Arial" w:cs="Arial" w:eastAsia="Arial" w:hAnsi="Arial"/>
          <w:sz w:val="18"/>
          <w:szCs w:val="18"/>
          <w:u w:val="single" w:color="auto"/>
          <w:color w:val="0000EE"/>
        </w:rPr>
      </w:pPr>
    </w:p>
    <w:tbl>
      <w:tblPr>
        <w:tblLayout w:type="fixed"/>
        <w:tblInd w:w="0" w:type="dxa"/>
        <w:tblCellMar>
          <w:top w:w="0" w:type="dxa"/>
          <w:left w:w="0" w:type="dxa"/>
          <w:bottom w:w="0" w:type="dxa"/>
          <w:right w:w="0" w:type="dxa"/>
        </w:tblCellMar>
      </w:tblPr>
      <w:tr>
        <w:trPr>
          <w:trHeight w:val="129"/>
        </w:trPr>
        <w:tc>
          <w:tcPr>
            <w:tcW w:w="1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7"/>
              </w:rPr>
              <w:t>Form and</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Exhibit</w:t>
            </w: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7"/>
              </w:rPr>
              <w:t>SEC</w:t>
            </w:r>
          </w:p>
        </w:tc>
      </w:tr>
      <w:tr>
        <w:trPr>
          <w:trHeight w:val="161"/>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SEC File No.</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No.</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Filing Date</w:t>
            </w:r>
          </w:p>
        </w:tc>
      </w:tr>
      <w:tr>
        <w:trPr>
          <w:trHeight w:val="201"/>
        </w:trPr>
        <w:tc>
          <w:tcPr>
            <w:tcW w:w="1480" w:type="dxa"/>
            <w:vAlign w:val="bottom"/>
          </w:tcPr>
          <w:p>
            <w:pPr>
              <w:jc w:val="center"/>
              <w:spacing w:after="0" w:line="201" w:lineRule="exact"/>
              <w:rPr>
                <w:sz w:val="20"/>
                <w:szCs w:val="20"/>
                <w:color w:val="auto"/>
              </w:rPr>
            </w:pPr>
            <w:r>
              <w:rPr>
                <w:rFonts w:ascii="Arial" w:cs="Arial" w:eastAsia="Arial" w:hAnsi="Arial"/>
                <w:sz w:val="18"/>
                <w:szCs w:val="18"/>
                <w:color w:val="auto"/>
                <w:w w:val="92"/>
              </w:rPr>
              <w:t>8-A</w:t>
            </w:r>
          </w:p>
        </w:tc>
        <w:tc>
          <w:tcPr>
            <w:tcW w:w="160" w:type="dxa"/>
            <w:vAlign w:val="bottom"/>
          </w:tcPr>
          <w:p>
            <w:pPr>
              <w:spacing w:after="0"/>
              <w:rPr>
                <w:sz w:val="17"/>
                <w:szCs w:val="17"/>
                <w:color w:val="auto"/>
              </w:rPr>
            </w:pPr>
          </w:p>
        </w:tc>
        <w:tc>
          <w:tcPr>
            <w:tcW w:w="500" w:type="dxa"/>
            <w:vAlign w:val="bottom"/>
          </w:tcPr>
          <w:p>
            <w:pPr>
              <w:jc w:val="center"/>
              <w:spacing w:after="0" w:line="201" w:lineRule="exact"/>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89"/>
              </w:rPr>
              <w:t>11/8/04</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75"/>
        </w:trPr>
        <w:tc>
          <w:tcPr>
            <w:tcW w:w="148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94"/>
              </w:rPr>
              <w:t>10-Q/A</w:t>
            </w:r>
          </w:p>
        </w:tc>
        <w:tc>
          <w:tcPr>
            <w:tcW w:w="66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10.11</w:t>
            </w:r>
          </w:p>
        </w:tc>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8/23/96</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92"/>
              <w:spacing w:after="0"/>
              <w:rPr>
                <w:sz w:val="20"/>
                <w:szCs w:val="20"/>
                <w:color w:val="auto"/>
              </w:rPr>
            </w:pPr>
            <w:r>
              <w:rPr>
                <w:rFonts w:ascii="Arial" w:cs="Arial" w:eastAsia="Arial" w:hAnsi="Arial"/>
                <w:sz w:val="18"/>
                <w:szCs w:val="18"/>
                <w:color w:val="auto"/>
                <w:w w:val="91"/>
              </w:rPr>
              <w:t>10.9</w:t>
            </w:r>
          </w:p>
        </w:tc>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3/27/02</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10.40</w:t>
            </w:r>
          </w:p>
        </w:tc>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3/16/06</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92"/>
              <w:spacing w:after="0"/>
              <w:rPr>
                <w:sz w:val="20"/>
                <w:szCs w:val="20"/>
                <w:color w:val="auto"/>
              </w:rPr>
            </w:pPr>
            <w:r>
              <w:rPr>
                <w:rFonts w:ascii="Arial" w:cs="Arial" w:eastAsia="Arial" w:hAnsi="Arial"/>
                <w:sz w:val="18"/>
                <w:szCs w:val="18"/>
                <w:color w:val="auto"/>
                <w:w w:val="91"/>
              </w:rPr>
              <w:t>10.4</w:t>
            </w:r>
          </w:p>
        </w:tc>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2/25/16</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92"/>
              <w:spacing w:after="0"/>
              <w:rPr>
                <w:sz w:val="20"/>
                <w:szCs w:val="20"/>
                <w:color w:val="auto"/>
              </w:rPr>
            </w:pPr>
            <w:r>
              <w:rPr>
                <w:rFonts w:ascii="Arial" w:cs="Arial" w:eastAsia="Arial" w:hAnsi="Arial"/>
                <w:sz w:val="18"/>
                <w:szCs w:val="18"/>
                <w:color w:val="auto"/>
                <w:w w:val="91"/>
              </w:rPr>
              <w:t>10.1</w:t>
            </w:r>
          </w:p>
        </w:tc>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4/30/04</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92"/>
              <w:spacing w:after="0"/>
              <w:rPr>
                <w:sz w:val="20"/>
                <w:szCs w:val="20"/>
                <w:color w:val="auto"/>
              </w:rPr>
            </w:pPr>
            <w:r>
              <w:rPr>
                <w:rFonts w:ascii="Arial" w:cs="Arial" w:eastAsia="Arial" w:hAnsi="Arial"/>
                <w:sz w:val="18"/>
                <w:szCs w:val="18"/>
                <w:color w:val="auto"/>
                <w:w w:val="91"/>
              </w:rPr>
              <w:t>10.6</w:t>
            </w:r>
          </w:p>
        </w:tc>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12/23/10</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10.41</w:t>
            </w:r>
          </w:p>
        </w:tc>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3/16/06</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92"/>
              <w:spacing w:after="0"/>
              <w:rPr>
                <w:sz w:val="20"/>
                <w:szCs w:val="20"/>
                <w:color w:val="auto"/>
              </w:rPr>
            </w:pPr>
            <w:r>
              <w:rPr>
                <w:rFonts w:ascii="Arial" w:cs="Arial" w:eastAsia="Arial" w:hAnsi="Arial"/>
                <w:sz w:val="18"/>
                <w:szCs w:val="18"/>
                <w:color w:val="auto"/>
                <w:w w:val="91"/>
              </w:rPr>
              <w:t>10.7</w:t>
            </w:r>
          </w:p>
        </w:tc>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12/23/10</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92"/>
              <w:spacing w:after="0"/>
              <w:rPr>
                <w:sz w:val="20"/>
                <w:szCs w:val="20"/>
                <w:color w:val="auto"/>
              </w:rPr>
            </w:pPr>
            <w:r>
              <w:rPr>
                <w:rFonts w:ascii="Arial" w:cs="Arial" w:eastAsia="Arial" w:hAnsi="Arial"/>
                <w:sz w:val="18"/>
                <w:szCs w:val="18"/>
                <w:color w:val="auto"/>
                <w:w w:val="91"/>
              </w:rPr>
              <w:t>10.8</w:t>
            </w:r>
          </w:p>
        </w:tc>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12/23/10</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92"/>
              <w:spacing w:after="0"/>
              <w:rPr>
                <w:sz w:val="20"/>
                <w:szCs w:val="20"/>
                <w:color w:val="auto"/>
              </w:rPr>
            </w:pPr>
            <w:r>
              <w:rPr>
                <w:rFonts w:ascii="Arial" w:cs="Arial" w:eastAsia="Arial" w:hAnsi="Arial"/>
                <w:sz w:val="18"/>
                <w:szCs w:val="18"/>
                <w:color w:val="auto"/>
                <w:w w:val="91"/>
              </w:rPr>
              <w:t>10.9</w:t>
            </w:r>
          </w:p>
        </w:tc>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12/23/10</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92"/>
              <w:spacing w:after="0"/>
              <w:rPr>
                <w:sz w:val="20"/>
                <w:szCs w:val="20"/>
                <w:color w:val="auto"/>
              </w:rPr>
            </w:pPr>
            <w:r>
              <w:rPr>
                <w:rFonts w:ascii="Arial" w:cs="Arial" w:eastAsia="Arial" w:hAnsi="Arial"/>
                <w:sz w:val="18"/>
                <w:szCs w:val="18"/>
                <w:color w:val="auto"/>
                <w:w w:val="91"/>
              </w:rPr>
              <w:t>10.1</w:t>
            </w:r>
          </w:p>
        </w:tc>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91"/>
              </w:rPr>
              <w:t>8/5/10</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ectPr>
          <w:pgSz w:w="11900" w:h="16838" w:orient="portrait"/>
          <w:cols w:equalWidth="0" w:num="2">
            <w:col w:w="6880" w:space="200"/>
            <w:col w:w="3059"/>
          </w:cols>
          <w:pgMar w:left="320" w:top="131" w:right="1440"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5" w:lineRule="exact"/>
        <w:rPr>
          <w:sz w:val="20"/>
          <w:szCs w:val="20"/>
          <w:color w:val="auto"/>
        </w:rPr>
      </w:pPr>
    </w:p>
    <w:p>
      <w:pPr>
        <w:ind w:left="1340"/>
        <w:spacing w:after="0"/>
        <w:tabs>
          <w:tab w:leader="none" w:pos="4060" w:val="left"/>
        </w:tabs>
        <w:rPr>
          <w:sz w:val="20"/>
          <w:szCs w:val="20"/>
          <w:color w:val="auto"/>
        </w:rPr>
      </w:pPr>
      <w:r>
        <w:rPr>
          <w:rFonts w:ascii="Arial" w:cs="Arial" w:eastAsia="Arial" w:hAnsi="Arial"/>
          <w:sz w:val="13"/>
          <w:szCs w:val="13"/>
          <w:b w:val="1"/>
          <w:bCs w:val="1"/>
          <w:color w:val="auto"/>
        </w:rPr>
        <w:t>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7620</wp:posOffset>
            </wp:positionV>
            <wp:extent cx="367728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0">
                      <a:extLst>
                        <a:ext uri="{28A0092B-C50C-407E-A947-70E740481C1C}"/>
                      </a:extLst>
                    </a:blip>
                    <a:srcRect/>
                    <a:stretch>
                      <a:fillRect/>
                    </a:stretch>
                  </pic:blipFill>
                  <pic:spPr bwMode="auto">
                    <a:xfrm>
                      <a:off x="0" y="0"/>
                      <a:ext cx="3677285" cy="8255"/>
                    </a:xfrm>
                    <a:prstGeom prst="rect">
                      <a:avLst/>
                    </a:prstGeom>
                    <a:noFill/>
                  </pic:spPr>
                </pic:pic>
              </a:graphicData>
            </a:graphic>
          </wp:anchor>
        </w:drawing>
      </w:r>
    </w:p>
    <w:p>
      <w:pPr>
        <w:spacing w:after="0" w:line="5" w:lineRule="exact"/>
        <w:rPr>
          <w:sz w:val="20"/>
          <w:szCs w:val="20"/>
          <w:color w:val="auto"/>
        </w:rPr>
      </w:pPr>
    </w:p>
    <w:p>
      <w:pPr>
        <w:ind w:left="1920" w:right="120" w:hanging="556"/>
        <w:spacing w:after="0" w:line="359" w:lineRule="auto"/>
        <w:tabs>
          <w:tab w:leader="none" w:pos="1900" w:val="left"/>
        </w:tabs>
        <w:rPr>
          <w:rFonts w:ascii="Arial" w:cs="Arial" w:eastAsia="Arial" w:hAnsi="Arial"/>
          <w:sz w:val="15"/>
          <w:szCs w:val="15"/>
          <w:u w:val="single" w:color="auto"/>
          <w:color w:val="0000EE"/>
        </w:rPr>
      </w:pPr>
      <w:r>
        <w:rPr>
          <w:rFonts w:ascii="Arial" w:cs="Arial" w:eastAsia="Arial" w:hAnsi="Arial"/>
          <w:sz w:val="18"/>
          <w:szCs w:val="18"/>
          <w:color w:val="auto"/>
        </w:rPr>
        <w:t>10.12</w:t>
      </w:r>
      <w:r>
        <w:rPr>
          <w:sz w:val="20"/>
          <w:szCs w:val="20"/>
          <w:color w:val="auto"/>
        </w:rPr>
        <w:tab/>
      </w:r>
      <w:hyperlink r:id="rId151">
        <w:r>
          <w:rPr>
            <w:rFonts w:ascii="Arial" w:cs="Arial" w:eastAsia="Arial" w:hAnsi="Arial"/>
            <w:sz w:val="15"/>
            <w:szCs w:val="15"/>
            <w:u w:val="single" w:color="auto"/>
            <w:color w:val="0000EE"/>
          </w:rPr>
          <w:t>Eighth Amendment to Lease by and between the Company and</w:t>
        </w:r>
      </w:hyperlink>
      <w:r>
        <w:rPr>
          <w:rFonts w:ascii="Arial" w:cs="Arial" w:eastAsia="Arial" w:hAnsi="Arial"/>
          <w:sz w:val="15"/>
          <w:szCs w:val="15"/>
          <w:u w:val="single" w:color="auto"/>
          <w:color w:val="0000EE"/>
        </w:rPr>
        <w:t xml:space="preserve"> </w:t>
      </w:r>
      <w:hyperlink r:id="rId151">
        <w:r>
          <w:rPr>
            <w:rFonts w:ascii="Arial" w:cs="Arial" w:eastAsia="Arial" w:hAnsi="Arial"/>
            <w:sz w:val="15"/>
            <w:szCs w:val="15"/>
            <w:u w:val="single" w:color="auto"/>
            <w:color w:val="0000EE"/>
          </w:rPr>
          <w:t>University of Massachusetts Dartmouth dated as of November 1, 2015</w:t>
        </w:r>
      </w:hyperlink>
    </w:p>
    <w:p>
      <w:pPr>
        <w:spacing w:after="0" w:line="151" w:lineRule="exact"/>
        <w:rPr>
          <w:sz w:val="20"/>
          <w:szCs w:val="20"/>
          <w:color w:val="auto"/>
        </w:rPr>
      </w:pPr>
    </w:p>
    <w:p>
      <w:pPr>
        <w:ind w:left="1920" w:right="300" w:hanging="556"/>
        <w:spacing w:after="0" w:line="369" w:lineRule="auto"/>
        <w:tabs>
          <w:tab w:leader="none" w:pos="1900" w:val="left"/>
        </w:tabs>
        <w:rPr>
          <w:rFonts w:ascii="Arial" w:cs="Arial" w:eastAsia="Arial" w:hAnsi="Arial"/>
          <w:sz w:val="15"/>
          <w:szCs w:val="15"/>
          <w:u w:val="single" w:color="auto"/>
          <w:color w:val="0000EE"/>
        </w:rPr>
      </w:pPr>
      <w:r>
        <w:rPr>
          <w:rFonts w:ascii="Arial" w:cs="Arial" w:eastAsia="Arial" w:hAnsi="Arial"/>
          <w:sz w:val="18"/>
          <w:szCs w:val="18"/>
          <w:color w:val="auto"/>
        </w:rPr>
        <w:t>10.13</w:t>
      </w:r>
      <w:r>
        <w:rPr>
          <w:sz w:val="20"/>
          <w:szCs w:val="20"/>
          <w:color w:val="auto"/>
        </w:rPr>
        <w:tab/>
      </w:r>
      <w:hyperlink w:anchor="page120">
        <w:r>
          <w:rPr>
            <w:rFonts w:ascii="Arial" w:cs="Arial" w:eastAsia="Arial" w:hAnsi="Arial"/>
            <w:sz w:val="15"/>
            <w:szCs w:val="15"/>
            <w:u w:val="single" w:color="auto"/>
            <w:color w:val="0000EE"/>
          </w:rPr>
          <w:t>Ninth Amendment to Lease by and between the Company and</w:t>
        </w:r>
      </w:hyperlink>
      <w:r>
        <w:rPr>
          <w:rFonts w:ascii="Arial" w:cs="Arial" w:eastAsia="Arial" w:hAnsi="Arial"/>
          <w:sz w:val="15"/>
          <w:szCs w:val="15"/>
          <w:u w:val="single" w:color="auto"/>
          <w:color w:val="0000EE"/>
        </w:rPr>
        <w:t xml:space="preserve"> </w:t>
      </w:r>
      <w:hyperlink w:anchor="page120">
        <w:r>
          <w:rPr>
            <w:rFonts w:ascii="Arial" w:cs="Arial" w:eastAsia="Arial" w:hAnsi="Arial"/>
            <w:sz w:val="15"/>
            <w:szCs w:val="15"/>
            <w:u w:val="single" w:color="auto"/>
            <w:color w:val="0000EE"/>
          </w:rPr>
          <w:t>University of Massachusetts Dartmouth dated as of October 1, 2019</w:t>
        </w:r>
      </w:hyperlink>
    </w:p>
    <w:p>
      <w:pPr>
        <w:spacing w:after="0" w:line="145" w:lineRule="exact"/>
        <w:rPr>
          <w:sz w:val="20"/>
          <w:szCs w:val="20"/>
          <w:color w:val="auto"/>
        </w:rPr>
      </w:pPr>
    </w:p>
    <w:p>
      <w:pPr>
        <w:ind w:left="1920" w:right="440" w:hanging="556"/>
        <w:spacing w:after="0" w:line="268" w:lineRule="auto"/>
        <w:tabs>
          <w:tab w:leader="none" w:pos="190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52">
        <w:r>
          <w:rPr>
            <w:rFonts w:ascii="Arial" w:cs="Arial" w:eastAsia="Arial" w:hAnsi="Arial"/>
            <w:sz w:val="18"/>
            <w:szCs w:val="18"/>
            <w:u w:val="single" w:color="auto"/>
            <w:color w:val="0000EE"/>
          </w:rPr>
          <w:t>Lease Agreement dated as of May 1, 2013 by and between Crown</w:t>
        </w:r>
      </w:hyperlink>
      <w:r>
        <w:rPr>
          <w:rFonts w:ascii="Arial" w:cs="Arial" w:eastAsia="Arial" w:hAnsi="Arial"/>
          <w:sz w:val="18"/>
          <w:szCs w:val="18"/>
          <w:u w:val="single" w:color="auto"/>
          <w:color w:val="0000EE"/>
        </w:rPr>
        <w:t xml:space="preserve"> </w:t>
      </w:r>
      <w:hyperlink r:id="rId152">
        <w:r>
          <w:rPr>
            <w:rFonts w:ascii="Arial" w:cs="Arial" w:eastAsia="Arial" w:hAnsi="Arial"/>
            <w:sz w:val="18"/>
            <w:szCs w:val="18"/>
            <w:u w:val="single" w:color="auto"/>
            <w:color w:val="0000EE"/>
          </w:rPr>
          <w:t>Perryville, LLC and the Company.</w:t>
        </w:r>
      </w:hyperlink>
    </w:p>
    <w:p>
      <w:pPr>
        <w:spacing w:after="0" w:line="213" w:lineRule="exact"/>
        <w:rPr>
          <w:sz w:val="20"/>
          <w:szCs w:val="20"/>
          <w:color w:val="auto"/>
        </w:rPr>
      </w:pPr>
    </w:p>
    <w:p>
      <w:pPr>
        <w:ind w:left="1920" w:right="1040" w:hanging="556"/>
        <w:spacing w:after="0" w:line="268" w:lineRule="auto"/>
        <w:tabs>
          <w:tab w:leader="none" w:pos="190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153">
        <w:r>
          <w:rPr>
            <w:rFonts w:ascii="Arial" w:cs="Arial" w:eastAsia="Arial" w:hAnsi="Arial"/>
            <w:sz w:val="18"/>
            <w:szCs w:val="18"/>
            <w:u w:val="single" w:color="auto"/>
            <w:color w:val="0000EE"/>
          </w:rPr>
          <w:t>First Amendment to Lease between Company and Crown</w:t>
        </w:r>
      </w:hyperlink>
      <w:r>
        <w:rPr>
          <w:rFonts w:ascii="Arial" w:cs="Arial" w:eastAsia="Arial" w:hAnsi="Arial"/>
          <w:sz w:val="18"/>
          <w:szCs w:val="18"/>
          <w:u w:val="single" w:color="auto"/>
          <w:color w:val="0000EE"/>
        </w:rPr>
        <w:t xml:space="preserve"> </w:t>
      </w:r>
      <w:hyperlink r:id="rId153">
        <w:r>
          <w:rPr>
            <w:rFonts w:ascii="Arial" w:cs="Arial" w:eastAsia="Arial" w:hAnsi="Arial"/>
            <w:sz w:val="18"/>
            <w:szCs w:val="18"/>
            <w:u w:val="single" w:color="auto"/>
            <w:color w:val="0000EE"/>
          </w:rPr>
          <w:t>Perryville, LLC dated as of June 17, 2015</w:t>
        </w:r>
      </w:hyperlink>
    </w:p>
    <w:p>
      <w:pPr>
        <w:spacing w:after="0" w:line="213" w:lineRule="exact"/>
        <w:rPr>
          <w:sz w:val="20"/>
          <w:szCs w:val="20"/>
          <w:color w:val="auto"/>
        </w:rPr>
      </w:pPr>
    </w:p>
    <w:p>
      <w:pPr>
        <w:ind w:left="1920" w:right="280" w:hanging="556"/>
        <w:spacing w:after="0" w:line="331" w:lineRule="auto"/>
        <w:tabs>
          <w:tab w:leader="none" w:pos="1900" w:val="left"/>
        </w:tabs>
        <w:rPr>
          <w:rFonts w:ascii="Arial" w:cs="Arial" w:eastAsia="Arial" w:hAnsi="Arial"/>
          <w:sz w:val="16"/>
          <w:szCs w:val="16"/>
          <w:u w:val="single" w:color="auto"/>
          <w:color w:val="0000EE"/>
        </w:rPr>
      </w:pPr>
      <w:r>
        <w:rPr>
          <w:rFonts w:ascii="Arial" w:cs="Arial" w:eastAsia="Arial" w:hAnsi="Arial"/>
          <w:sz w:val="18"/>
          <w:szCs w:val="18"/>
          <w:color w:val="auto"/>
        </w:rPr>
        <w:t>10.16</w:t>
      </w:r>
      <w:r>
        <w:rPr>
          <w:sz w:val="20"/>
          <w:szCs w:val="20"/>
          <w:color w:val="auto"/>
        </w:rPr>
        <w:tab/>
      </w:r>
      <w:hyperlink r:id="rId154">
        <w:r>
          <w:rPr>
            <w:rFonts w:ascii="Arial" w:cs="Arial" w:eastAsia="Arial" w:hAnsi="Arial"/>
            <w:sz w:val="16"/>
            <w:szCs w:val="16"/>
            <w:u w:val="single" w:color="auto"/>
            <w:color w:val="0000EE"/>
          </w:rPr>
          <w:t>Second Amendment to Lease Agreement between the Company and</w:t>
        </w:r>
      </w:hyperlink>
      <w:r>
        <w:rPr>
          <w:rFonts w:ascii="Arial" w:cs="Arial" w:eastAsia="Arial" w:hAnsi="Arial"/>
          <w:sz w:val="16"/>
          <w:szCs w:val="16"/>
          <w:u w:val="single" w:color="auto"/>
          <w:color w:val="0000EE"/>
        </w:rPr>
        <w:t xml:space="preserve"> </w:t>
      </w:r>
      <w:hyperlink r:id="rId154">
        <w:r>
          <w:rPr>
            <w:rFonts w:ascii="Arial" w:cs="Arial" w:eastAsia="Arial" w:hAnsi="Arial"/>
            <w:sz w:val="16"/>
            <w:szCs w:val="16"/>
            <w:u w:val="single" w:color="auto"/>
            <w:color w:val="0000EE"/>
          </w:rPr>
          <w:t>Crown Perryville, LLC dated as of March 8, 2019</w:t>
        </w:r>
      </w:hyperlink>
    </w:p>
    <w:p>
      <w:pPr>
        <w:spacing w:after="0" w:line="168" w:lineRule="exact"/>
        <w:rPr>
          <w:sz w:val="20"/>
          <w:szCs w:val="20"/>
          <w:color w:val="auto"/>
        </w:rPr>
      </w:pPr>
    </w:p>
    <w:p>
      <w:pPr>
        <w:ind w:left="1280" w:hanging="43"/>
        <w:spacing w:after="0" w:line="285" w:lineRule="auto"/>
        <w:rPr>
          <w:rFonts w:ascii="Arial" w:cs="Arial" w:eastAsia="Arial" w:hAnsi="Arial"/>
          <w:sz w:val="16"/>
          <w:szCs w:val="16"/>
          <w:color w:val="auto"/>
        </w:rPr>
      </w:pPr>
      <w:r>
        <w:rPr>
          <w:rFonts w:ascii="Arial" w:cs="Arial" w:eastAsia="Arial" w:hAnsi="Arial"/>
          <w:sz w:val="16"/>
          <w:szCs w:val="16"/>
          <w:i w:val="1"/>
          <w:iCs w:val="1"/>
          <w:color w:val="auto"/>
        </w:rPr>
        <w:t xml:space="preserve">Material Contracts—License, Collaboration, Supply and Distribution Agreements </w:t>
      </w:r>
      <w:r>
        <w:rPr>
          <w:rFonts w:ascii="Arial" w:cs="Arial" w:eastAsia="Arial" w:hAnsi="Arial"/>
          <w:sz w:val="16"/>
          <w:szCs w:val="16"/>
          <w:color w:val="auto"/>
        </w:rPr>
        <w:t xml:space="preserve">*10.17 </w:t>
      </w:r>
      <w:hyperlink r:id="rId155">
        <w:r>
          <w:rPr>
            <w:rFonts w:ascii="Arial" w:cs="Arial" w:eastAsia="Arial" w:hAnsi="Arial"/>
            <w:sz w:val="16"/>
            <w:szCs w:val="16"/>
            <w:u w:val="single" w:color="auto"/>
            <w:color w:val="0000EE"/>
          </w:rPr>
          <w:t>Exclusive Patent and Know-How License Agreement dated as of</w:t>
        </w:r>
      </w:hyperlink>
    </w:p>
    <w:p>
      <w:pPr>
        <w:spacing w:after="0" w:line="1" w:lineRule="exact"/>
        <w:rPr>
          <w:sz w:val="20"/>
          <w:szCs w:val="20"/>
          <w:color w:val="auto"/>
        </w:rPr>
      </w:pPr>
    </w:p>
    <w:p>
      <w:pPr>
        <w:ind w:left="1920" w:right="620"/>
        <w:spacing w:after="0" w:line="260" w:lineRule="auto"/>
        <w:rPr>
          <w:rFonts w:ascii="Arial" w:cs="Arial" w:eastAsia="Arial" w:hAnsi="Arial"/>
          <w:sz w:val="18"/>
          <w:szCs w:val="18"/>
          <w:u w:val="single" w:color="auto"/>
          <w:color w:val="0000EE"/>
        </w:rPr>
      </w:pPr>
      <w:hyperlink r:id="rId155">
        <w:r>
          <w:rPr>
            <w:rFonts w:ascii="Arial" w:cs="Arial" w:eastAsia="Arial" w:hAnsi="Arial"/>
            <w:sz w:val="18"/>
            <w:szCs w:val="18"/>
            <w:u w:val="single" w:color="auto"/>
            <w:color w:val="0000EE"/>
          </w:rPr>
          <w:t>November 5, 2008 between the Company and the University of</w:t>
        </w:r>
      </w:hyperlink>
      <w:r>
        <w:rPr>
          <w:rFonts w:ascii="Arial" w:cs="Arial" w:eastAsia="Arial" w:hAnsi="Arial"/>
          <w:sz w:val="18"/>
          <w:szCs w:val="18"/>
          <w:u w:val="single" w:color="auto"/>
          <w:color w:val="0000EE"/>
        </w:rPr>
        <w:t xml:space="preserve"> </w:t>
      </w:r>
      <w:hyperlink r:id="rId155">
        <w:r>
          <w:rPr>
            <w:rFonts w:ascii="Arial" w:cs="Arial" w:eastAsia="Arial" w:hAnsi="Arial"/>
            <w:sz w:val="18"/>
            <w:szCs w:val="18"/>
            <w:u w:val="single" w:color="auto"/>
            <w:color w:val="0000EE"/>
          </w:rPr>
          <w:t>Southampton</w:t>
        </w:r>
      </w:hyperlink>
    </w:p>
    <w:p>
      <w:pPr>
        <w:spacing w:after="0" w:line="220" w:lineRule="exact"/>
        <w:rPr>
          <w:sz w:val="20"/>
          <w:szCs w:val="20"/>
          <w:color w:val="auto"/>
        </w:rPr>
      </w:pPr>
    </w:p>
    <w:p>
      <w:pPr>
        <w:ind w:left="1920" w:right="440" w:hanging="644"/>
        <w:spacing w:after="0" w:line="268" w:lineRule="auto"/>
        <w:tabs>
          <w:tab w:leader="none" w:pos="190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156">
        <w:r>
          <w:rPr>
            <w:rFonts w:ascii="Arial" w:cs="Arial" w:eastAsia="Arial" w:hAnsi="Arial"/>
            <w:sz w:val="18"/>
            <w:szCs w:val="18"/>
            <w:u w:val="single" w:color="auto"/>
            <w:color w:val="0000EE"/>
          </w:rPr>
          <w:t>License and Assignment Agreement, between Amgen Inc. and the</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Company dated March 16, 2009</w:t>
        </w:r>
      </w:hyperlink>
    </w:p>
    <w:p>
      <w:pPr>
        <w:spacing w:after="0" w:line="213" w:lineRule="exact"/>
        <w:rPr>
          <w:sz w:val="20"/>
          <w:szCs w:val="20"/>
          <w:color w:val="auto"/>
        </w:rPr>
      </w:pPr>
    </w:p>
    <w:p>
      <w:pPr>
        <w:jc w:val="center"/>
        <w:ind w:left="920"/>
        <w:spacing w:after="0"/>
        <w:tabs>
          <w:tab w:leader="none" w:pos="140" w:val="left"/>
        </w:tabs>
        <w:rPr>
          <w:rFonts w:ascii="Arial" w:cs="Arial" w:eastAsia="Arial" w:hAnsi="Arial"/>
          <w:sz w:val="16"/>
          <w:szCs w:val="16"/>
          <w:u w:val="single" w:color="auto"/>
          <w:color w:val="0000EE"/>
        </w:rPr>
      </w:pPr>
      <w:r>
        <w:rPr>
          <w:rFonts w:ascii="Arial" w:cs="Arial" w:eastAsia="Arial" w:hAnsi="Arial"/>
          <w:sz w:val="18"/>
          <w:szCs w:val="18"/>
          <w:color w:val="auto"/>
        </w:rPr>
        <w:t>*10.19</w:t>
      </w:r>
      <w:r>
        <w:rPr>
          <w:sz w:val="20"/>
          <w:szCs w:val="20"/>
          <w:color w:val="auto"/>
        </w:rPr>
        <w:tab/>
      </w:r>
      <w:hyperlink r:id="rId157">
        <w:r>
          <w:rPr>
            <w:rFonts w:ascii="Arial" w:cs="Arial" w:eastAsia="Arial" w:hAnsi="Arial"/>
            <w:sz w:val="16"/>
            <w:szCs w:val="16"/>
            <w:u w:val="single" w:color="auto"/>
            <w:color w:val="0000EE"/>
          </w:rPr>
          <w:t>License and Option Agreement by and between MedImmune, LLC</w:t>
        </w:r>
      </w:hyperlink>
    </w:p>
    <w:p>
      <w:pPr>
        <w:spacing w:after="0" w:line="15" w:lineRule="exact"/>
        <w:rPr>
          <w:sz w:val="20"/>
          <w:szCs w:val="20"/>
          <w:color w:val="auto"/>
        </w:rPr>
      </w:pPr>
    </w:p>
    <w:p>
      <w:pPr>
        <w:ind w:left="1920" w:right="1000"/>
        <w:spacing w:after="0" w:line="323" w:lineRule="auto"/>
        <w:rPr>
          <w:rFonts w:ascii="Arial" w:cs="Arial" w:eastAsia="Arial" w:hAnsi="Arial"/>
          <w:sz w:val="16"/>
          <w:szCs w:val="16"/>
          <w:u w:val="single" w:color="auto"/>
          <w:color w:val="0000EE"/>
        </w:rPr>
      </w:pPr>
      <w:hyperlink r:id="rId157">
        <w:r>
          <w:rPr>
            <w:rFonts w:ascii="Arial" w:cs="Arial" w:eastAsia="Arial" w:hAnsi="Arial"/>
            <w:sz w:val="16"/>
            <w:szCs w:val="16"/>
            <w:u w:val="single" w:color="auto"/>
            <w:color w:val="0000EE"/>
          </w:rPr>
          <w:t>and the Company, dated July 24, 2013, as amended by the</w:t>
        </w:r>
      </w:hyperlink>
      <w:r>
        <w:rPr>
          <w:rFonts w:ascii="Arial" w:cs="Arial" w:eastAsia="Arial" w:hAnsi="Arial"/>
          <w:sz w:val="16"/>
          <w:szCs w:val="16"/>
          <w:u w:val="single" w:color="auto"/>
          <w:color w:val="0000EE"/>
        </w:rPr>
        <w:t xml:space="preserve"> </w:t>
      </w:r>
      <w:hyperlink r:id="rId157">
        <w:r>
          <w:rPr>
            <w:rFonts w:ascii="Arial" w:cs="Arial" w:eastAsia="Arial" w:hAnsi="Arial"/>
            <w:sz w:val="16"/>
            <w:szCs w:val="16"/>
            <w:u w:val="single" w:color="auto"/>
            <w:color w:val="0000EE"/>
          </w:rPr>
          <w:t>Amendment, dated October 27, 2015</w:t>
        </w:r>
      </w:hyperlink>
    </w:p>
    <w:p>
      <w:pPr>
        <w:spacing w:after="0" w:line="173" w:lineRule="exact"/>
        <w:rPr>
          <w:sz w:val="20"/>
          <w:szCs w:val="20"/>
          <w:color w:val="auto"/>
        </w:rPr>
      </w:pPr>
    </w:p>
    <w:p>
      <w:pPr>
        <w:ind w:left="1920" w:right="100" w:hanging="644"/>
        <w:spacing w:after="0" w:line="335" w:lineRule="auto"/>
        <w:tabs>
          <w:tab w:leader="none" w:pos="1900" w:val="left"/>
        </w:tabs>
        <w:rPr>
          <w:rFonts w:ascii="Arial" w:cs="Arial" w:eastAsia="Arial" w:hAnsi="Arial"/>
          <w:sz w:val="15"/>
          <w:szCs w:val="15"/>
          <w:u w:val="single" w:color="auto"/>
          <w:color w:val="0000EE"/>
        </w:rPr>
      </w:pPr>
      <w:r>
        <w:rPr>
          <w:rFonts w:ascii="Arial" w:cs="Arial" w:eastAsia="Arial" w:hAnsi="Arial"/>
          <w:sz w:val="18"/>
          <w:szCs w:val="18"/>
          <w:color w:val="auto"/>
        </w:rPr>
        <w:t>*10.20</w:t>
      </w:r>
      <w:r>
        <w:rPr>
          <w:sz w:val="20"/>
          <w:szCs w:val="20"/>
          <w:color w:val="auto"/>
        </w:rPr>
        <w:tab/>
      </w:r>
      <w:hyperlink r:id="rId158">
        <w:r>
          <w:rPr>
            <w:rFonts w:ascii="Arial" w:cs="Arial" w:eastAsia="Arial" w:hAnsi="Arial"/>
            <w:sz w:val="15"/>
            <w:szCs w:val="15"/>
            <w:u w:val="single" w:color="auto"/>
            <w:color w:val="0000EE"/>
          </w:rPr>
          <w:t>Third Amended and Restated License Agreement by and between Yale</w:t>
        </w:r>
      </w:hyperlink>
      <w:r>
        <w:rPr>
          <w:rFonts w:ascii="Arial" w:cs="Arial" w:eastAsia="Arial" w:hAnsi="Arial"/>
          <w:sz w:val="15"/>
          <w:szCs w:val="15"/>
          <w:u w:val="single" w:color="auto"/>
          <w:color w:val="0000EE"/>
        </w:rPr>
        <w:t xml:space="preserve"> </w:t>
      </w:r>
      <w:hyperlink r:id="rId158">
        <w:r>
          <w:rPr>
            <w:rFonts w:ascii="Arial" w:cs="Arial" w:eastAsia="Arial" w:hAnsi="Arial"/>
            <w:sz w:val="15"/>
            <w:szCs w:val="15"/>
            <w:u w:val="single" w:color="auto"/>
            <w:color w:val="0000EE"/>
          </w:rPr>
          <w:t>University and the Company, dated March 14, 2013, as amended by</w:t>
        </w:r>
      </w:hyperlink>
      <w:r>
        <w:rPr>
          <w:rFonts w:ascii="Arial" w:cs="Arial" w:eastAsia="Arial" w:hAnsi="Arial"/>
          <w:sz w:val="15"/>
          <w:szCs w:val="15"/>
          <w:u w:val="single" w:color="auto"/>
          <w:color w:val="0000EE"/>
        </w:rPr>
        <w:t xml:space="preserve"> </w:t>
      </w:r>
      <w:hyperlink r:id="rId158">
        <w:r>
          <w:rPr>
            <w:rFonts w:ascii="Arial" w:cs="Arial" w:eastAsia="Arial" w:hAnsi="Arial"/>
            <w:sz w:val="15"/>
            <w:szCs w:val="15"/>
            <w:u w:val="single" w:color="auto"/>
            <w:color w:val="0000EE"/>
          </w:rPr>
          <w:t>the Amendments, dated March 21, 2014 and December 1, 2014</w:t>
        </w:r>
      </w:hyperlink>
    </w:p>
    <w:p>
      <w:pPr>
        <w:spacing w:after="0" w:line="169" w:lineRule="exact"/>
        <w:rPr>
          <w:rFonts w:ascii="Arial" w:cs="Arial" w:eastAsia="Arial" w:hAnsi="Arial"/>
          <w:sz w:val="15"/>
          <w:szCs w:val="15"/>
          <w:u w:val="single" w:color="auto"/>
          <w:color w:val="0000EE"/>
        </w:rPr>
      </w:pPr>
    </w:p>
    <w:p>
      <w:pPr>
        <w:ind w:left="1360" w:right="620" w:hanging="131"/>
        <w:spacing w:after="0" w:line="285" w:lineRule="auto"/>
        <w:rPr>
          <w:rFonts w:ascii="Arial" w:cs="Arial" w:eastAsia="Arial" w:hAnsi="Arial"/>
          <w:sz w:val="16"/>
          <w:szCs w:val="16"/>
          <w:color w:val="auto"/>
        </w:rPr>
      </w:pPr>
      <w:r>
        <w:rPr>
          <w:rFonts w:ascii="Arial" w:cs="Arial" w:eastAsia="Arial" w:hAnsi="Arial"/>
          <w:sz w:val="16"/>
          <w:szCs w:val="16"/>
          <w:i w:val="1"/>
          <w:iCs w:val="1"/>
          <w:color w:val="auto"/>
        </w:rPr>
        <w:t xml:space="preserve">Material Contracts—Stock Purchase, Financing and Credit Agreements </w:t>
      </w:r>
      <w:r>
        <w:rPr>
          <w:rFonts w:ascii="Arial" w:cs="Arial" w:eastAsia="Arial" w:hAnsi="Arial"/>
          <w:sz w:val="16"/>
          <w:szCs w:val="16"/>
          <w:color w:val="auto"/>
        </w:rPr>
        <w:t xml:space="preserve">10.21 </w:t>
      </w:r>
      <w:hyperlink r:id="rId159">
        <w:r>
          <w:rPr>
            <w:rFonts w:ascii="Arial" w:cs="Arial" w:eastAsia="Arial" w:hAnsi="Arial"/>
            <w:sz w:val="16"/>
            <w:szCs w:val="16"/>
            <w:u w:val="single" w:color="auto"/>
            <w:color w:val="0000EE"/>
          </w:rPr>
          <w:t>Sales Agreement, dated May 19, 2016, by and between Celldex</w:t>
        </w:r>
      </w:hyperlink>
    </w:p>
    <w:p>
      <w:pPr>
        <w:spacing w:after="0" w:line="1" w:lineRule="exact"/>
        <w:rPr>
          <w:rFonts w:ascii="Arial" w:cs="Arial" w:eastAsia="Arial" w:hAnsi="Arial"/>
          <w:sz w:val="15"/>
          <w:szCs w:val="15"/>
          <w:u w:val="single" w:color="auto"/>
          <w:color w:val="0000EE"/>
        </w:rPr>
      </w:pPr>
    </w:p>
    <w:p>
      <w:pPr>
        <w:jc w:val="center"/>
        <w:ind w:left="160"/>
        <w:spacing w:after="0"/>
        <w:rPr>
          <w:rFonts w:ascii="Arial" w:cs="Arial" w:eastAsia="Arial" w:hAnsi="Arial"/>
          <w:sz w:val="18"/>
          <w:szCs w:val="18"/>
          <w:u w:val="single" w:color="auto"/>
          <w:color w:val="0000EE"/>
        </w:rPr>
      </w:pPr>
      <w:hyperlink r:id="rId159">
        <w:r>
          <w:rPr>
            <w:rFonts w:ascii="Arial" w:cs="Arial" w:eastAsia="Arial" w:hAnsi="Arial"/>
            <w:sz w:val="18"/>
            <w:szCs w:val="18"/>
            <w:u w:val="single" w:color="auto"/>
            <w:color w:val="0000EE"/>
          </w:rPr>
          <w:t>Therapeutics, Inc. and Cantor Fitzgerald &amp; Co.</w:t>
        </w:r>
      </w:hyperlink>
    </w:p>
    <w:p>
      <w:pPr>
        <w:spacing w:after="0" w:line="246" w:lineRule="exact"/>
        <w:rPr>
          <w:rFonts w:ascii="Arial" w:cs="Arial" w:eastAsia="Arial" w:hAnsi="Arial"/>
          <w:sz w:val="15"/>
          <w:szCs w:val="15"/>
          <w:u w:val="single" w:color="auto"/>
          <w:color w:val="0000EE"/>
        </w:rPr>
      </w:pPr>
    </w:p>
    <w:p>
      <w:pPr>
        <w:ind w:left="1220"/>
        <w:spacing w:after="0"/>
        <w:rPr>
          <w:sz w:val="20"/>
          <w:szCs w:val="20"/>
          <w:color w:val="auto"/>
        </w:rPr>
      </w:pPr>
      <w:r>
        <w:rPr>
          <w:rFonts w:ascii="Arial" w:cs="Arial" w:eastAsia="Arial" w:hAnsi="Arial"/>
          <w:sz w:val="18"/>
          <w:szCs w:val="18"/>
          <w:i w:val="1"/>
          <w:iCs w:val="1"/>
          <w:color w:val="auto"/>
        </w:rPr>
        <w:t>Material Contracts—Management Contracts and Compensatory Plans</w:t>
      </w:r>
    </w:p>
    <w:p>
      <w:pPr>
        <w:spacing w:after="0" w:line="15" w:lineRule="exact"/>
        <w:rPr>
          <w:rFonts w:ascii="Arial" w:cs="Arial" w:eastAsia="Arial" w:hAnsi="Arial"/>
          <w:sz w:val="15"/>
          <w:szCs w:val="15"/>
          <w:u w:val="single" w:color="auto"/>
          <w:color w:val="0000EE"/>
        </w:rPr>
      </w:pPr>
    </w:p>
    <w:p>
      <w:pPr>
        <w:ind w:left="1920" w:right="180" w:hanging="639"/>
        <w:spacing w:after="0" w:line="361" w:lineRule="auto"/>
        <w:tabs>
          <w:tab w:leader="none" w:pos="1900" w:val="left"/>
        </w:tabs>
        <w:rPr>
          <w:rFonts w:ascii="Arial" w:cs="Arial" w:eastAsia="Arial" w:hAnsi="Arial"/>
          <w:sz w:val="15"/>
          <w:szCs w:val="15"/>
          <w:u w:val="single" w:color="auto"/>
          <w:color w:val="0000EE"/>
        </w:rPr>
      </w:pPr>
      <w:r>
        <w:rPr>
          <w:rFonts w:ascii="Arial" w:cs="Arial" w:eastAsia="Arial" w:hAnsi="Arial"/>
          <w:sz w:val="15"/>
          <w:szCs w:val="15"/>
          <w:color w:val="auto"/>
        </w:rPr>
        <w:t>†10.22</w:t>
      </w:r>
      <w:r>
        <w:rPr>
          <w:sz w:val="20"/>
          <w:szCs w:val="20"/>
          <w:color w:val="auto"/>
        </w:rPr>
        <w:tab/>
      </w:r>
      <w:hyperlink r:id="rId160">
        <w:r>
          <w:rPr>
            <w:rFonts w:ascii="Arial" w:cs="Arial" w:eastAsia="Arial" w:hAnsi="Arial"/>
            <w:sz w:val="15"/>
            <w:szCs w:val="15"/>
            <w:u w:val="single" w:color="auto"/>
            <w:color w:val="0000EE"/>
          </w:rPr>
          <w:t>Celldex Therapeutics, Inc. Amended and Restated 2008 Stock Option</w:t>
        </w:r>
      </w:hyperlink>
      <w:r>
        <w:rPr>
          <w:rFonts w:ascii="Arial" w:cs="Arial" w:eastAsia="Arial" w:hAnsi="Arial"/>
          <w:sz w:val="15"/>
          <w:szCs w:val="15"/>
          <w:u w:val="single" w:color="auto"/>
          <w:color w:val="0000EE"/>
        </w:rPr>
        <w:t xml:space="preserve"> </w:t>
      </w:r>
      <w:hyperlink r:id="rId160">
        <w:r>
          <w:rPr>
            <w:rFonts w:ascii="Arial" w:cs="Arial" w:eastAsia="Arial" w:hAnsi="Arial"/>
            <w:sz w:val="15"/>
            <w:szCs w:val="15"/>
            <w:u w:val="single" w:color="auto"/>
            <w:color w:val="0000EE"/>
          </w:rPr>
          <w:t>and Incentive Plan (as amended, effective as of June 19, 2019)</w:t>
        </w:r>
      </w:hyperlink>
    </w:p>
    <w:p>
      <w:pPr>
        <w:spacing w:after="0" w:line="150" w:lineRule="exact"/>
        <w:rPr>
          <w:sz w:val="20"/>
          <w:szCs w:val="20"/>
          <w:color w:val="auto"/>
        </w:rPr>
      </w:pPr>
    </w:p>
    <w:p>
      <w:pPr>
        <w:ind w:left="1920" w:right="400" w:hanging="639"/>
        <w:spacing w:after="0" w:line="331" w:lineRule="auto"/>
        <w:tabs>
          <w:tab w:leader="none" w:pos="1900" w:val="left"/>
        </w:tabs>
        <w:rPr>
          <w:rFonts w:ascii="Arial" w:cs="Arial" w:eastAsia="Arial" w:hAnsi="Arial"/>
          <w:sz w:val="16"/>
          <w:szCs w:val="16"/>
          <w:u w:val="single" w:color="auto"/>
          <w:color w:val="0000EE"/>
        </w:rPr>
      </w:pPr>
      <w:r>
        <w:rPr>
          <w:rFonts w:ascii="Arial" w:cs="Arial" w:eastAsia="Arial" w:hAnsi="Arial"/>
          <w:sz w:val="16"/>
          <w:szCs w:val="16"/>
          <w:color w:val="auto"/>
        </w:rPr>
        <w:t>†10.23</w:t>
      </w:r>
      <w:r>
        <w:rPr>
          <w:sz w:val="20"/>
          <w:szCs w:val="20"/>
          <w:color w:val="auto"/>
        </w:rPr>
        <w:tab/>
      </w:r>
      <w:hyperlink r:id="rId161">
        <w:r>
          <w:rPr>
            <w:rFonts w:ascii="Arial" w:cs="Arial" w:eastAsia="Arial" w:hAnsi="Arial"/>
            <w:sz w:val="16"/>
            <w:szCs w:val="16"/>
            <w:u w:val="single" w:color="auto"/>
            <w:color w:val="0000EE"/>
          </w:rPr>
          <w:t>Celldex Therapeutics, Inc. Amended and Restated 2004 Employee</w:t>
        </w:r>
      </w:hyperlink>
      <w:r>
        <w:rPr>
          <w:rFonts w:ascii="Arial" w:cs="Arial" w:eastAsia="Arial" w:hAnsi="Arial"/>
          <w:sz w:val="16"/>
          <w:szCs w:val="16"/>
          <w:u w:val="single" w:color="auto"/>
          <w:color w:val="0000EE"/>
        </w:rPr>
        <w:t xml:space="preserve"> </w:t>
      </w:r>
      <w:hyperlink r:id="rId161">
        <w:r>
          <w:rPr>
            <w:rFonts w:ascii="Arial" w:cs="Arial" w:eastAsia="Arial" w:hAnsi="Arial"/>
            <w:sz w:val="16"/>
            <w:szCs w:val="16"/>
            <w:u w:val="single" w:color="auto"/>
            <w:color w:val="0000EE"/>
          </w:rPr>
          <w:t>Stock Purchase Plan (effective as of June 19, 2019)</w:t>
        </w:r>
      </w:hyperlink>
    </w:p>
    <w:p>
      <w:pPr>
        <w:spacing w:after="0" w:line="168" w:lineRule="exact"/>
        <w:rPr>
          <w:sz w:val="20"/>
          <w:szCs w:val="20"/>
          <w:color w:val="auto"/>
        </w:rPr>
      </w:pPr>
    </w:p>
    <w:p>
      <w:pPr>
        <w:ind w:left="1280"/>
        <w:spacing w:after="0"/>
        <w:tabs>
          <w:tab w:leader="none" w:pos="1900" w:val="left"/>
        </w:tabs>
        <w:rPr>
          <w:rFonts w:ascii="Arial" w:cs="Arial" w:eastAsia="Arial" w:hAnsi="Arial"/>
          <w:sz w:val="15"/>
          <w:szCs w:val="15"/>
          <w:u w:val="single" w:color="auto"/>
          <w:color w:val="0000EE"/>
        </w:rPr>
      </w:pPr>
      <w:r>
        <w:rPr>
          <w:rFonts w:ascii="Arial" w:cs="Arial" w:eastAsia="Arial" w:hAnsi="Arial"/>
          <w:sz w:val="18"/>
          <w:szCs w:val="18"/>
          <w:color w:val="auto"/>
        </w:rPr>
        <w:t>†10.24</w:t>
      </w:r>
      <w:r>
        <w:rPr>
          <w:sz w:val="20"/>
          <w:szCs w:val="20"/>
          <w:color w:val="auto"/>
        </w:rPr>
        <w:tab/>
      </w:r>
      <w:hyperlink r:id="rId162">
        <w:r>
          <w:rPr>
            <w:rFonts w:ascii="Arial" w:cs="Arial" w:eastAsia="Arial" w:hAnsi="Arial"/>
            <w:sz w:val="15"/>
            <w:szCs w:val="15"/>
            <w:u w:val="single" w:color="auto"/>
            <w:color w:val="0000EE"/>
          </w:rPr>
          <w:t>2008 Stock Option and Incentive Plan, as amended and restated</w:t>
        </w:r>
      </w:hyperlink>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Incorporated by Reference to</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1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7"/>
              </w:rPr>
              <w:t>Form and</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Exhibit</w:t>
            </w: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7"/>
              </w:rPr>
              <w:t>SEC</w:t>
            </w:r>
          </w:p>
        </w:tc>
      </w:tr>
      <w:tr>
        <w:trPr>
          <w:trHeight w:val="161"/>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SEC File No.</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No.</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Filing Date</w:t>
            </w:r>
          </w:p>
        </w:tc>
      </w:tr>
      <w:tr>
        <w:trPr>
          <w:trHeight w:val="201"/>
        </w:trPr>
        <w:tc>
          <w:tcPr>
            <w:tcW w:w="1480" w:type="dxa"/>
            <w:vAlign w:val="bottom"/>
          </w:tcPr>
          <w:p>
            <w:pPr>
              <w:jc w:val="center"/>
              <w:spacing w:after="0" w:line="201" w:lineRule="exact"/>
              <w:rPr>
                <w:sz w:val="20"/>
                <w:szCs w:val="20"/>
                <w:color w:val="auto"/>
              </w:rPr>
            </w:pPr>
            <w:r>
              <w:rPr>
                <w:rFonts w:ascii="Arial" w:cs="Arial" w:eastAsia="Arial" w:hAnsi="Arial"/>
                <w:sz w:val="18"/>
                <w:szCs w:val="18"/>
                <w:color w:val="auto"/>
                <w:w w:val="98"/>
              </w:rPr>
              <w:t>10-K/A</w:t>
            </w:r>
          </w:p>
        </w:tc>
        <w:tc>
          <w:tcPr>
            <w:tcW w:w="160" w:type="dxa"/>
            <w:vAlign w:val="bottom"/>
          </w:tcPr>
          <w:p>
            <w:pPr>
              <w:spacing w:after="0"/>
              <w:rPr>
                <w:sz w:val="17"/>
                <w:szCs w:val="17"/>
                <w:color w:val="auto"/>
              </w:rPr>
            </w:pPr>
          </w:p>
        </w:tc>
        <w:tc>
          <w:tcPr>
            <w:tcW w:w="500" w:type="dxa"/>
            <w:vAlign w:val="bottom"/>
          </w:tcPr>
          <w:p>
            <w:pPr>
              <w:jc w:val="center"/>
              <w:spacing w:after="0" w:line="201" w:lineRule="exact"/>
              <w:rPr>
                <w:sz w:val="20"/>
                <w:szCs w:val="20"/>
                <w:color w:val="auto"/>
              </w:rPr>
            </w:pPr>
            <w:r>
              <w:rPr>
                <w:rFonts w:ascii="Arial" w:cs="Arial" w:eastAsia="Arial" w:hAnsi="Arial"/>
                <w:sz w:val="18"/>
                <w:szCs w:val="18"/>
                <w:color w:val="auto"/>
                <w:w w:val="88"/>
              </w:rPr>
              <w:t>10.12</w:t>
            </w:r>
          </w:p>
        </w:tc>
        <w:tc>
          <w:tcPr>
            <w:tcW w:w="16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89"/>
              </w:rPr>
              <w:t>2/25/16</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9"/>
        </w:trPr>
        <w:tc>
          <w:tcPr>
            <w:tcW w:w="148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92"/>
              <w:spacing w:after="0"/>
              <w:rPr>
                <w:sz w:val="20"/>
                <w:szCs w:val="20"/>
                <w:color w:val="auto"/>
              </w:rPr>
            </w:pPr>
            <w:r>
              <w:rPr>
                <w:rFonts w:ascii="Arial" w:cs="Arial" w:eastAsia="Arial" w:hAnsi="Arial"/>
                <w:sz w:val="18"/>
                <w:szCs w:val="18"/>
                <w:color w:val="auto"/>
                <w:w w:val="91"/>
              </w:rPr>
              <w:t>10.1</w:t>
            </w:r>
          </w:p>
        </w:tc>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5/03/13</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92"/>
              <w:spacing w:after="0"/>
              <w:rPr>
                <w:sz w:val="20"/>
                <w:szCs w:val="20"/>
                <w:color w:val="auto"/>
              </w:rPr>
            </w:pPr>
            <w:r>
              <w:rPr>
                <w:rFonts w:ascii="Arial" w:cs="Arial" w:eastAsia="Arial" w:hAnsi="Arial"/>
                <w:sz w:val="18"/>
                <w:szCs w:val="18"/>
                <w:color w:val="auto"/>
                <w:w w:val="91"/>
              </w:rPr>
              <w:t>10.2</w:t>
            </w:r>
          </w:p>
        </w:tc>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8/10/15</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92"/>
              <w:spacing w:after="0"/>
              <w:rPr>
                <w:sz w:val="20"/>
                <w:szCs w:val="20"/>
                <w:color w:val="auto"/>
              </w:rPr>
            </w:pPr>
            <w:r>
              <w:rPr>
                <w:rFonts w:ascii="Arial" w:cs="Arial" w:eastAsia="Arial" w:hAnsi="Arial"/>
                <w:sz w:val="18"/>
                <w:szCs w:val="18"/>
                <w:color w:val="auto"/>
                <w:w w:val="91"/>
              </w:rPr>
              <w:t>10.1</w:t>
            </w:r>
          </w:p>
        </w:tc>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91"/>
              </w:rPr>
              <w:t>5/7/19</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10.47</w:t>
            </w:r>
          </w:p>
        </w:tc>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91"/>
              </w:rPr>
              <w:t>3/2/09</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92"/>
              <w:spacing w:after="0"/>
              <w:rPr>
                <w:sz w:val="20"/>
                <w:szCs w:val="20"/>
                <w:color w:val="auto"/>
              </w:rPr>
            </w:pPr>
            <w:r>
              <w:rPr>
                <w:rFonts w:ascii="Arial" w:cs="Arial" w:eastAsia="Arial" w:hAnsi="Arial"/>
                <w:sz w:val="18"/>
                <w:szCs w:val="18"/>
                <w:color w:val="auto"/>
                <w:w w:val="91"/>
              </w:rPr>
              <w:t>10.1</w:t>
            </w:r>
          </w:p>
        </w:tc>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12/23/10</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10.24</w:t>
            </w:r>
          </w:p>
        </w:tc>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91"/>
              </w:rPr>
              <w:t>3/7/18</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10.25</w:t>
            </w:r>
          </w:p>
        </w:tc>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91"/>
              </w:rPr>
              <w:t>3/7/18</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885"/>
        </w:trPr>
        <w:tc>
          <w:tcPr>
            <w:tcW w:w="148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1.1</w:t>
            </w:r>
          </w:p>
        </w:tc>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5/19/16</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92"/>
              <w:spacing w:after="0"/>
              <w:rPr>
                <w:sz w:val="20"/>
                <w:szCs w:val="20"/>
                <w:color w:val="auto"/>
              </w:rPr>
            </w:pPr>
            <w:r>
              <w:rPr>
                <w:rFonts w:ascii="Arial" w:cs="Arial" w:eastAsia="Arial" w:hAnsi="Arial"/>
                <w:sz w:val="18"/>
                <w:szCs w:val="18"/>
                <w:color w:val="auto"/>
                <w:w w:val="91"/>
              </w:rPr>
              <w:t>10.1</w:t>
            </w:r>
          </w:p>
        </w:tc>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6/19/19</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92"/>
              <w:spacing w:after="0"/>
              <w:rPr>
                <w:sz w:val="20"/>
                <w:szCs w:val="20"/>
                <w:color w:val="auto"/>
              </w:rPr>
            </w:pPr>
            <w:r>
              <w:rPr>
                <w:rFonts w:ascii="Arial" w:cs="Arial" w:eastAsia="Arial" w:hAnsi="Arial"/>
                <w:sz w:val="18"/>
                <w:szCs w:val="18"/>
                <w:color w:val="auto"/>
                <w:w w:val="91"/>
              </w:rPr>
              <w:t>10.2</w:t>
            </w:r>
          </w:p>
        </w:tc>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6/19/19</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10.27</w:t>
            </w:r>
          </w:p>
        </w:tc>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91"/>
              </w:rPr>
              <w:t>3/7/18</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ectPr>
          <w:pgSz w:w="11900" w:h="16838" w:orient="portrait"/>
          <w:cols w:equalWidth="0" w:num="2">
            <w:col w:w="7000" w:space="80"/>
            <w:col w:w="3059"/>
          </w:cols>
          <w:pgMar w:left="320" w:top="131" w:right="1440"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5" w:lineRule="exact"/>
        <w:rPr>
          <w:sz w:val="20"/>
          <w:szCs w:val="20"/>
          <w:color w:val="auto"/>
        </w:rPr>
      </w:pPr>
    </w:p>
    <w:p>
      <w:pPr>
        <w:ind w:left="1340"/>
        <w:spacing w:after="0"/>
        <w:tabs>
          <w:tab w:leader="none" w:pos="4060" w:val="left"/>
        </w:tabs>
        <w:rPr>
          <w:sz w:val="20"/>
          <w:szCs w:val="20"/>
          <w:color w:val="auto"/>
        </w:rPr>
      </w:pPr>
      <w:r>
        <w:rPr>
          <w:rFonts w:ascii="Arial" w:cs="Arial" w:eastAsia="Arial" w:hAnsi="Arial"/>
          <w:sz w:val="13"/>
          <w:szCs w:val="13"/>
          <w:b w:val="1"/>
          <w:bCs w:val="1"/>
          <w:color w:val="auto"/>
        </w:rPr>
        <w:t>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7620</wp:posOffset>
            </wp:positionV>
            <wp:extent cx="367728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4">
                      <a:extLst>
                        <a:ext uri="{28A0092B-C50C-407E-A947-70E740481C1C}"/>
                      </a:extLst>
                    </a:blip>
                    <a:srcRect/>
                    <a:stretch>
                      <a:fillRect/>
                    </a:stretch>
                  </pic:blipFill>
                  <pic:spPr bwMode="auto">
                    <a:xfrm>
                      <a:off x="0" y="0"/>
                      <a:ext cx="3677285" cy="8255"/>
                    </a:xfrm>
                    <a:prstGeom prst="rect">
                      <a:avLst/>
                    </a:prstGeom>
                    <a:noFill/>
                  </pic:spPr>
                </pic:pic>
              </a:graphicData>
            </a:graphic>
          </wp:anchor>
        </w:drawing>
      </w:r>
    </w:p>
    <w:p>
      <w:pPr>
        <w:spacing w:after="0" w:line="5" w:lineRule="exact"/>
        <w:rPr>
          <w:sz w:val="20"/>
          <w:szCs w:val="20"/>
          <w:color w:val="auto"/>
        </w:rPr>
      </w:pPr>
    </w:p>
    <w:p>
      <w:pPr>
        <w:ind w:left="1280"/>
        <w:spacing w:after="0"/>
        <w:tabs>
          <w:tab w:leader="none" w:pos="1900" w:val="left"/>
        </w:tabs>
        <w:rPr>
          <w:rFonts w:ascii="Arial" w:cs="Arial" w:eastAsia="Arial" w:hAnsi="Arial"/>
          <w:sz w:val="15"/>
          <w:szCs w:val="15"/>
          <w:u w:val="single" w:color="auto"/>
          <w:color w:val="0000EE"/>
        </w:rPr>
      </w:pPr>
      <w:r>
        <w:rPr>
          <w:rFonts w:ascii="Arial" w:cs="Arial" w:eastAsia="Arial" w:hAnsi="Arial"/>
          <w:sz w:val="18"/>
          <w:szCs w:val="18"/>
          <w:color w:val="auto"/>
        </w:rPr>
        <w:t>†10.25</w:t>
      </w:r>
      <w:r>
        <w:rPr>
          <w:sz w:val="20"/>
          <w:szCs w:val="20"/>
          <w:color w:val="auto"/>
        </w:rPr>
        <w:tab/>
      </w:r>
      <w:hyperlink r:id="rId165">
        <w:r>
          <w:rPr>
            <w:rFonts w:ascii="Arial" w:cs="Arial" w:eastAsia="Arial" w:hAnsi="Arial"/>
            <w:sz w:val="15"/>
            <w:szCs w:val="15"/>
            <w:u w:val="single" w:color="auto"/>
            <w:color w:val="0000EE"/>
          </w:rPr>
          <w:t>2004 Employee Stock Purchase Plan, as amended and restated</w:t>
        </w:r>
      </w:hyperlink>
    </w:p>
    <w:p>
      <w:pPr>
        <w:spacing w:after="0" w:line="200" w:lineRule="exact"/>
        <w:rPr>
          <w:sz w:val="20"/>
          <w:szCs w:val="20"/>
          <w:color w:val="auto"/>
        </w:rPr>
      </w:pPr>
    </w:p>
    <w:p>
      <w:pPr>
        <w:spacing w:after="0" w:line="260" w:lineRule="exact"/>
        <w:rPr>
          <w:sz w:val="20"/>
          <w:szCs w:val="20"/>
          <w:color w:val="auto"/>
        </w:rPr>
      </w:pPr>
    </w:p>
    <w:p>
      <w:pPr>
        <w:ind w:left="1920" w:right="440" w:hanging="639"/>
        <w:spacing w:after="0" w:line="259" w:lineRule="auto"/>
        <w:tabs>
          <w:tab w:leader="none" w:pos="1900" w:val="left"/>
        </w:tabs>
        <w:rPr>
          <w:rFonts w:ascii="Arial" w:cs="Arial" w:eastAsia="Arial" w:hAnsi="Arial"/>
          <w:sz w:val="18"/>
          <w:szCs w:val="18"/>
          <w:u w:val="single" w:color="auto"/>
          <w:color w:val="0000EE"/>
        </w:rPr>
      </w:pPr>
      <w:r>
        <w:rPr>
          <w:rFonts w:ascii="Arial" w:cs="Arial" w:eastAsia="Arial" w:hAnsi="Arial"/>
          <w:sz w:val="18"/>
          <w:szCs w:val="18"/>
          <w:color w:val="auto"/>
        </w:rPr>
        <w:t>†10.26</w:t>
      </w:r>
      <w:r>
        <w:rPr>
          <w:sz w:val="20"/>
          <w:szCs w:val="20"/>
          <w:color w:val="auto"/>
        </w:rPr>
        <w:tab/>
      </w:r>
      <w:hyperlink r:id="rId166">
        <w:r>
          <w:rPr>
            <w:rFonts w:ascii="Arial" w:cs="Arial" w:eastAsia="Arial" w:hAnsi="Arial"/>
            <w:sz w:val="18"/>
            <w:szCs w:val="18"/>
            <w:u w:val="single" w:color="auto"/>
            <w:color w:val="0000EE"/>
          </w:rPr>
          <w:t>Amended and Restated Employment Agreement, dated as of</w:t>
        </w:r>
      </w:hyperlink>
      <w:r>
        <w:rPr>
          <w:rFonts w:ascii="Arial" w:cs="Arial" w:eastAsia="Arial" w:hAnsi="Arial"/>
          <w:sz w:val="18"/>
          <w:szCs w:val="18"/>
          <w:u w:val="single" w:color="auto"/>
          <w:color w:val="0000EE"/>
        </w:rPr>
        <w:t xml:space="preserve"> </w:t>
      </w:r>
      <w:hyperlink r:id="rId166">
        <w:r>
          <w:rPr>
            <w:rFonts w:ascii="Arial" w:cs="Arial" w:eastAsia="Arial" w:hAnsi="Arial"/>
            <w:sz w:val="18"/>
            <w:szCs w:val="18"/>
            <w:u w:val="single" w:color="auto"/>
            <w:color w:val="0000EE"/>
          </w:rPr>
          <w:t>January 1, 2018, by and between Celldex Therapeutics, Inc. and</w:t>
        </w:r>
      </w:hyperlink>
      <w:r>
        <w:rPr>
          <w:rFonts w:ascii="Arial" w:cs="Arial" w:eastAsia="Arial" w:hAnsi="Arial"/>
          <w:sz w:val="18"/>
          <w:szCs w:val="18"/>
          <w:u w:val="single" w:color="auto"/>
          <w:color w:val="0000EE"/>
        </w:rPr>
        <w:t xml:space="preserve"> </w:t>
      </w:r>
      <w:hyperlink r:id="rId166">
        <w:r>
          <w:rPr>
            <w:rFonts w:ascii="Arial" w:cs="Arial" w:eastAsia="Arial" w:hAnsi="Arial"/>
            <w:sz w:val="18"/>
            <w:szCs w:val="18"/>
            <w:u w:val="single" w:color="auto"/>
            <w:color w:val="0000EE"/>
          </w:rPr>
          <w:t>Anthony S. Marucci</w:t>
        </w:r>
      </w:hyperlink>
    </w:p>
    <w:p>
      <w:pPr>
        <w:spacing w:after="0" w:line="221" w:lineRule="exact"/>
        <w:rPr>
          <w:rFonts w:ascii="Arial" w:cs="Arial" w:eastAsia="Arial" w:hAnsi="Arial"/>
          <w:sz w:val="18"/>
          <w:szCs w:val="18"/>
          <w:u w:val="single" w:color="auto"/>
          <w:color w:val="0000EE"/>
        </w:rPr>
      </w:pPr>
    </w:p>
    <w:p>
      <w:pPr>
        <w:ind w:left="1280"/>
        <w:spacing w:after="0"/>
        <w:tabs>
          <w:tab w:leader="none" w:pos="1900" w:val="left"/>
        </w:tabs>
        <w:rPr>
          <w:rFonts w:ascii="Arial" w:cs="Arial" w:eastAsia="Arial" w:hAnsi="Arial"/>
          <w:sz w:val="15"/>
          <w:szCs w:val="15"/>
          <w:u w:val="single" w:color="auto"/>
          <w:color w:val="0000EE"/>
        </w:rPr>
      </w:pPr>
      <w:r>
        <w:rPr>
          <w:rFonts w:ascii="Arial" w:cs="Arial" w:eastAsia="Arial" w:hAnsi="Arial"/>
          <w:sz w:val="18"/>
          <w:szCs w:val="18"/>
          <w:color w:val="auto"/>
        </w:rPr>
        <w:t>†10.27</w:t>
      </w:r>
      <w:r>
        <w:rPr>
          <w:sz w:val="20"/>
          <w:szCs w:val="20"/>
          <w:color w:val="auto"/>
        </w:rPr>
        <w:tab/>
      </w:r>
      <w:hyperlink r:id="rId167">
        <w:r>
          <w:rPr>
            <w:rFonts w:ascii="Arial" w:cs="Arial" w:eastAsia="Arial" w:hAnsi="Arial"/>
            <w:sz w:val="15"/>
            <w:szCs w:val="15"/>
            <w:u w:val="single" w:color="auto"/>
            <w:color w:val="0000EE"/>
          </w:rPr>
          <w:t>Amended and Restated Employment Agreement, dated as of</w:t>
        </w:r>
      </w:hyperlink>
    </w:p>
    <w:p>
      <w:pPr>
        <w:spacing w:after="0" w:line="15" w:lineRule="exact"/>
        <w:rPr>
          <w:rFonts w:ascii="Arial" w:cs="Arial" w:eastAsia="Arial" w:hAnsi="Arial"/>
          <w:sz w:val="18"/>
          <w:szCs w:val="18"/>
          <w:u w:val="single" w:color="auto"/>
          <w:color w:val="0000EE"/>
        </w:rPr>
      </w:pPr>
    </w:p>
    <w:p>
      <w:pPr>
        <w:ind w:left="1920"/>
        <w:spacing w:after="0"/>
        <w:rPr>
          <w:rFonts w:ascii="Arial" w:cs="Arial" w:eastAsia="Arial" w:hAnsi="Arial"/>
          <w:sz w:val="16"/>
          <w:szCs w:val="16"/>
          <w:u w:val="single" w:color="auto"/>
          <w:color w:val="0000EE"/>
        </w:rPr>
      </w:pPr>
      <w:hyperlink r:id="rId167">
        <w:r>
          <w:rPr>
            <w:rFonts w:ascii="Arial" w:cs="Arial" w:eastAsia="Arial" w:hAnsi="Arial"/>
            <w:sz w:val="16"/>
            <w:szCs w:val="16"/>
            <w:u w:val="single" w:color="auto"/>
            <w:color w:val="0000EE"/>
          </w:rPr>
          <w:t>January 1, 2018, by and between Celldex Therapeutics, Inc. and Sam</w:t>
        </w:r>
      </w:hyperlink>
    </w:p>
    <w:p>
      <w:pPr>
        <w:spacing w:after="0" w:line="32" w:lineRule="exact"/>
        <w:rPr>
          <w:rFonts w:ascii="Arial" w:cs="Arial" w:eastAsia="Arial" w:hAnsi="Arial"/>
          <w:sz w:val="18"/>
          <w:szCs w:val="18"/>
          <w:u w:val="single" w:color="auto"/>
          <w:color w:val="0000EE"/>
        </w:rPr>
      </w:pPr>
    </w:p>
    <w:p>
      <w:pPr>
        <w:ind w:left="1920"/>
        <w:spacing w:after="0"/>
        <w:rPr>
          <w:rFonts w:ascii="Arial" w:cs="Arial" w:eastAsia="Arial" w:hAnsi="Arial"/>
          <w:sz w:val="18"/>
          <w:szCs w:val="18"/>
          <w:u w:val="single" w:color="auto"/>
          <w:color w:val="0000EE"/>
        </w:rPr>
      </w:pPr>
      <w:hyperlink r:id="rId167">
        <w:r>
          <w:rPr>
            <w:rFonts w:ascii="Arial" w:cs="Arial" w:eastAsia="Arial" w:hAnsi="Arial"/>
            <w:sz w:val="18"/>
            <w:szCs w:val="18"/>
            <w:u w:val="single" w:color="auto"/>
            <w:color w:val="0000EE"/>
          </w:rPr>
          <w:t>Martin</w:t>
        </w:r>
      </w:hyperlink>
    </w:p>
    <w:p>
      <w:pPr>
        <w:spacing w:after="0" w:line="246" w:lineRule="exact"/>
        <w:rPr>
          <w:rFonts w:ascii="Arial" w:cs="Arial" w:eastAsia="Arial" w:hAnsi="Arial"/>
          <w:sz w:val="18"/>
          <w:szCs w:val="18"/>
          <w:u w:val="single" w:color="auto"/>
          <w:color w:val="0000EE"/>
        </w:rPr>
      </w:pPr>
    </w:p>
    <w:p>
      <w:pPr>
        <w:ind w:left="1280"/>
        <w:spacing w:after="0"/>
        <w:tabs>
          <w:tab w:leader="none" w:pos="1900" w:val="left"/>
        </w:tabs>
        <w:rPr>
          <w:rFonts w:ascii="Arial" w:cs="Arial" w:eastAsia="Arial" w:hAnsi="Arial"/>
          <w:sz w:val="15"/>
          <w:szCs w:val="15"/>
          <w:u w:val="single" w:color="auto"/>
          <w:color w:val="0000EE"/>
        </w:rPr>
      </w:pPr>
      <w:r>
        <w:rPr>
          <w:rFonts w:ascii="Arial" w:cs="Arial" w:eastAsia="Arial" w:hAnsi="Arial"/>
          <w:sz w:val="18"/>
          <w:szCs w:val="18"/>
          <w:color w:val="auto"/>
        </w:rPr>
        <w:t>†10.28</w:t>
      </w:r>
      <w:r>
        <w:rPr>
          <w:sz w:val="20"/>
          <w:szCs w:val="20"/>
          <w:color w:val="auto"/>
        </w:rPr>
        <w:tab/>
      </w:r>
      <w:hyperlink r:id="rId168">
        <w:r>
          <w:rPr>
            <w:rFonts w:ascii="Arial" w:cs="Arial" w:eastAsia="Arial" w:hAnsi="Arial"/>
            <w:sz w:val="15"/>
            <w:szCs w:val="15"/>
            <w:u w:val="single" w:color="auto"/>
            <w:color w:val="0000EE"/>
          </w:rPr>
          <w:t>Amended and Restated Employment Agreement, dated as of</w:t>
        </w:r>
      </w:hyperlink>
    </w:p>
    <w:p>
      <w:pPr>
        <w:spacing w:after="0" w:line="15" w:lineRule="exact"/>
        <w:rPr>
          <w:rFonts w:ascii="Arial" w:cs="Arial" w:eastAsia="Arial" w:hAnsi="Arial"/>
          <w:sz w:val="18"/>
          <w:szCs w:val="18"/>
          <w:u w:val="single" w:color="auto"/>
          <w:color w:val="0000EE"/>
        </w:rPr>
      </w:pPr>
    </w:p>
    <w:p>
      <w:pPr>
        <w:ind w:left="1920"/>
        <w:spacing w:after="0"/>
        <w:rPr>
          <w:rFonts w:ascii="Arial" w:cs="Arial" w:eastAsia="Arial" w:hAnsi="Arial"/>
          <w:sz w:val="15"/>
          <w:szCs w:val="15"/>
          <w:u w:val="single" w:color="auto"/>
          <w:color w:val="0000EE"/>
        </w:rPr>
      </w:pPr>
      <w:hyperlink r:id="rId168">
        <w:r>
          <w:rPr>
            <w:rFonts w:ascii="Arial" w:cs="Arial" w:eastAsia="Arial" w:hAnsi="Arial"/>
            <w:sz w:val="15"/>
            <w:szCs w:val="15"/>
            <w:u w:val="single" w:color="auto"/>
            <w:color w:val="0000EE"/>
          </w:rPr>
          <w:t>January 1, 2018, by and between Celldex Therapeutics, Inc. and Tibor</w:t>
        </w:r>
      </w:hyperlink>
    </w:p>
    <w:p>
      <w:pPr>
        <w:spacing w:after="0" w:line="44" w:lineRule="exact"/>
        <w:rPr>
          <w:rFonts w:ascii="Arial" w:cs="Arial" w:eastAsia="Arial" w:hAnsi="Arial"/>
          <w:sz w:val="18"/>
          <w:szCs w:val="18"/>
          <w:u w:val="single" w:color="auto"/>
          <w:color w:val="0000EE"/>
        </w:rPr>
      </w:pPr>
    </w:p>
    <w:p>
      <w:pPr>
        <w:ind w:left="1920"/>
        <w:spacing w:after="0"/>
        <w:rPr>
          <w:rFonts w:ascii="Arial" w:cs="Arial" w:eastAsia="Arial" w:hAnsi="Arial"/>
          <w:sz w:val="18"/>
          <w:szCs w:val="18"/>
          <w:u w:val="single" w:color="auto"/>
          <w:color w:val="0000EE"/>
        </w:rPr>
      </w:pPr>
      <w:hyperlink r:id="rId168">
        <w:r>
          <w:rPr>
            <w:rFonts w:ascii="Arial" w:cs="Arial" w:eastAsia="Arial" w:hAnsi="Arial"/>
            <w:sz w:val="18"/>
            <w:szCs w:val="18"/>
            <w:u w:val="single" w:color="auto"/>
            <w:color w:val="0000EE"/>
          </w:rPr>
          <w:t>Keler, Ph.D.</w:t>
        </w:r>
      </w:hyperlink>
    </w:p>
    <w:p>
      <w:pPr>
        <w:spacing w:after="0" w:line="246" w:lineRule="exact"/>
        <w:rPr>
          <w:rFonts w:ascii="Arial" w:cs="Arial" w:eastAsia="Arial" w:hAnsi="Arial"/>
          <w:sz w:val="18"/>
          <w:szCs w:val="18"/>
          <w:u w:val="single" w:color="auto"/>
          <w:color w:val="0000EE"/>
        </w:rPr>
      </w:pPr>
    </w:p>
    <w:p>
      <w:pPr>
        <w:ind w:left="1920" w:right="440" w:hanging="639"/>
        <w:spacing w:after="0" w:line="259" w:lineRule="auto"/>
        <w:tabs>
          <w:tab w:leader="none" w:pos="1900" w:val="left"/>
        </w:tabs>
        <w:rPr>
          <w:rFonts w:ascii="Arial" w:cs="Arial" w:eastAsia="Arial" w:hAnsi="Arial"/>
          <w:sz w:val="18"/>
          <w:szCs w:val="18"/>
          <w:u w:val="single" w:color="auto"/>
          <w:color w:val="0000EE"/>
        </w:rPr>
      </w:pPr>
      <w:r>
        <w:rPr>
          <w:rFonts w:ascii="Arial" w:cs="Arial" w:eastAsia="Arial" w:hAnsi="Arial"/>
          <w:sz w:val="18"/>
          <w:szCs w:val="18"/>
          <w:color w:val="auto"/>
        </w:rPr>
        <w:t>†10.29</w:t>
      </w:r>
      <w:r>
        <w:rPr>
          <w:sz w:val="20"/>
          <w:szCs w:val="20"/>
          <w:color w:val="auto"/>
        </w:rPr>
        <w:tab/>
      </w:r>
      <w:hyperlink r:id="rId169">
        <w:r>
          <w:rPr>
            <w:rFonts w:ascii="Arial" w:cs="Arial" w:eastAsia="Arial" w:hAnsi="Arial"/>
            <w:sz w:val="18"/>
            <w:szCs w:val="18"/>
            <w:u w:val="single" w:color="auto"/>
            <w:color w:val="0000EE"/>
          </w:rPr>
          <w:t>Amended and Restated Employment Agreement, dated as of</w:t>
        </w:r>
      </w:hyperlink>
      <w:r>
        <w:rPr>
          <w:rFonts w:ascii="Arial" w:cs="Arial" w:eastAsia="Arial" w:hAnsi="Arial"/>
          <w:sz w:val="18"/>
          <w:szCs w:val="18"/>
          <w:u w:val="single" w:color="auto"/>
          <w:color w:val="0000EE"/>
        </w:rPr>
        <w:t xml:space="preserve"> </w:t>
      </w:r>
      <w:hyperlink r:id="rId169">
        <w:r>
          <w:rPr>
            <w:rFonts w:ascii="Arial" w:cs="Arial" w:eastAsia="Arial" w:hAnsi="Arial"/>
            <w:sz w:val="18"/>
            <w:szCs w:val="18"/>
            <w:u w:val="single" w:color="auto"/>
            <w:color w:val="0000EE"/>
          </w:rPr>
          <w:t>January 1, 2018, by and between Celldex Therapeutics, Inc. and</w:t>
        </w:r>
      </w:hyperlink>
      <w:r>
        <w:rPr>
          <w:rFonts w:ascii="Arial" w:cs="Arial" w:eastAsia="Arial" w:hAnsi="Arial"/>
          <w:sz w:val="18"/>
          <w:szCs w:val="18"/>
          <w:u w:val="single" w:color="auto"/>
          <w:color w:val="0000EE"/>
        </w:rPr>
        <w:t xml:space="preserve"> </w:t>
      </w:r>
      <w:hyperlink r:id="rId169">
        <w:r>
          <w:rPr>
            <w:rFonts w:ascii="Arial" w:cs="Arial" w:eastAsia="Arial" w:hAnsi="Arial"/>
            <w:sz w:val="18"/>
            <w:szCs w:val="18"/>
            <w:u w:val="single" w:color="auto"/>
            <w:color w:val="0000EE"/>
          </w:rPr>
          <w:t>Ronald Pepin, Ph.D.</w:t>
        </w:r>
      </w:hyperlink>
    </w:p>
    <w:p>
      <w:pPr>
        <w:spacing w:after="0" w:line="221" w:lineRule="exact"/>
        <w:rPr>
          <w:rFonts w:ascii="Arial" w:cs="Arial" w:eastAsia="Arial" w:hAnsi="Arial"/>
          <w:sz w:val="18"/>
          <w:szCs w:val="18"/>
          <w:u w:val="single" w:color="auto"/>
          <w:color w:val="0000EE"/>
        </w:rPr>
      </w:pPr>
    </w:p>
    <w:p>
      <w:pPr>
        <w:ind w:left="1280"/>
        <w:spacing w:after="0"/>
        <w:tabs>
          <w:tab w:leader="none" w:pos="1900" w:val="left"/>
        </w:tabs>
        <w:rPr>
          <w:rFonts w:ascii="Arial" w:cs="Arial" w:eastAsia="Arial" w:hAnsi="Arial"/>
          <w:sz w:val="15"/>
          <w:szCs w:val="15"/>
          <w:u w:val="single" w:color="auto"/>
          <w:color w:val="0000EE"/>
        </w:rPr>
      </w:pPr>
      <w:r>
        <w:rPr>
          <w:rFonts w:ascii="Arial" w:cs="Arial" w:eastAsia="Arial" w:hAnsi="Arial"/>
          <w:sz w:val="18"/>
          <w:szCs w:val="18"/>
          <w:color w:val="auto"/>
        </w:rPr>
        <w:t>†10.30</w:t>
      </w:r>
      <w:r>
        <w:rPr>
          <w:sz w:val="20"/>
          <w:szCs w:val="20"/>
          <w:color w:val="auto"/>
        </w:rPr>
        <w:tab/>
      </w:r>
      <w:hyperlink r:id="rId170">
        <w:r>
          <w:rPr>
            <w:rFonts w:ascii="Arial" w:cs="Arial" w:eastAsia="Arial" w:hAnsi="Arial"/>
            <w:sz w:val="15"/>
            <w:szCs w:val="15"/>
            <w:u w:val="single" w:color="auto"/>
            <w:color w:val="0000EE"/>
          </w:rPr>
          <w:t>Amended and Restated Employment Agreement, dated as of</w:t>
        </w:r>
      </w:hyperlink>
    </w:p>
    <w:p>
      <w:pPr>
        <w:spacing w:after="0" w:line="15" w:lineRule="exact"/>
        <w:rPr>
          <w:rFonts w:ascii="Arial" w:cs="Arial" w:eastAsia="Arial" w:hAnsi="Arial"/>
          <w:sz w:val="18"/>
          <w:szCs w:val="18"/>
          <w:u w:val="single" w:color="auto"/>
          <w:color w:val="0000EE"/>
        </w:rPr>
      </w:pPr>
    </w:p>
    <w:p>
      <w:pPr>
        <w:ind w:left="1920"/>
        <w:spacing w:after="0"/>
        <w:rPr>
          <w:rFonts w:ascii="Arial" w:cs="Arial" w:eastAsia="Arial" w:hAnsi="Arial"/>
          <w:sz w:val="15"/>
          <w:szCs w:val="15"/>
          <w:u w:val="single" w:color="auto"/>
          <w:color w:val="0000EE"/>
        </w:rPr>
      </w:pPr>
      <w:hyperlink r:id="rId170">
        <w:r>
          <w:rPr>
            <w:rFonts w:ascii="Arial" w:cs="Arial" w:eastAsia="Arial" w:hAnsi="Arial"/>
            <w:sz w:val="15"/>
            <w:szCs w:val="15"/>
            <w:u w:val="single" w:color="auto"/>
            <w:color w:val="0000EE"/>
          </w:rPr>
          <w:t>January 1, 2018, by and between Celldex Therapeutics, Inc. and Sarah</w:t>
        </w:r>
      </w:hyperlink>
    </w:p>
    <w:p>
      <w:pPr>
        <w:spacing w:after="0" w:line="44" w:lineRule="exact"/>
        <w:rPr>
          <w:rFonts w:ascii="Arial" w:cs="Arial" w:eastAsia="Arial" w:hAnsi="Arial"/>
          <w:sz w:val="18"/>
          <w:szCs w:val="18"/>
          <w:u w:val="single" w:color="auto"/>
          <w:color w:val="0000EE"/>
        </w:rPr>
      </w:pPr>
    </w:p>
    <w:p>
      <w:pPr>
        <w:ind w:left="1920"/>
        <w:spacing w:after="0"/>
        <w:rPr>
          <w:rFonts w:ascii="Arial" w:cs="Arial" w:eastAsia="Arial" w:hAnsi="Arial"/>
          <w:sz w:val="18"/>
          <w:szCs w:val="18"/>
          <w:u w:val="single" w:color="auto"/>
          <w:color w:val="0000EE"/>
        </w:rPr>
      </w:pPr>
      <w:hyperlink r:id="rId170">
        <w:r>
          <w:rPr>
            <w:rFonts w:ascii="Arial" w:cs="Arial" w:eastAsia="Arial" w:hAnsi="Arial"/>
            <w:sz w:val="18"/>
            <w:szCs w:val="18"/>
            <w:u w:val="single" w:color="auto"/>
            <w:color w:val="0000EE"/>
          </w:rPr>
          <w:t>Cavanaugh</w:t>
        </w:r>
      </w:hyperlink>
    </w:p>
    <w:p>
      <w:pPr>
        <w:spacing w:after="0" w:line="246" w:lineRule="exact"/>
        <w:rPr>
          <w:rFonts w:ascii="Arial" w:cs="Arial" w:eastAsia="Arial" w:hAnsi="Arial"/>
          <w:sz w:val="18"/>
          <w:szCs w:val="18"/>
          <w:u w:val="single" w:color="auto"/>
          <w:color w:val="0000EE"/>
        </w:rPr>
      </w:pPr>
    </w:p>
    <w:p>
      <w:pPr>
        <w:ind w:left="1920" w:right="440" w:hanging="639"/>
        <w:spacing w:after="0" w:line="259" w:lineRule="auto"/>
        <w:tabs>
          <w:tab w:leader="none" w:pos="1900" w:val="left"/>
        </w:tabs>
        <w:rPr>
          <w:rFonts w:ascii="Arial" w:cs="Arial" w:eastAsia="Arial" w:hAnsi="Arial"/>
          <w:sz w:val="18"/>
          <w:szCs w:val="18"/>
          <w:u w:val="single" w:color="auto"/>
          <w:color w:val="0000EE"/>
        </w:rPr>
      </w:pPr>
      <w:r>
        <w:rPr>
          <w:rFonts w:ascii="Arial" w:cs="Arial" w:eastAsia="Arial" w:hAnsi="Arial"/>
          <w:sz w:val="18"/>
          <w:szCs w:val="18"/>
          <w:color w:val="auto"/>
        </w:rPr>
        <w:t>†10.31</w:t>
      </w:r>
      <w:r>
        <w:rPr>
          <w:sz w:val="20"/>
          <w:szCs w:val="20"/>
          <w:color w:val="auto"/>
        </w:rPr>
        <w:tab/>
      </w:r>
      <w:hyperlink r:id="rId171">
        <w:r>
          <w:rPr>
            <w:rFonts w:ascii="Arial" w:cs="Arial" w:eastAsia="Arial" w:hAnsi="Arial"/>
            <w:sz w:val="18"/>
            <w:szCs w:val="18"/>
            <w:u w:val="single" w:color="auto"/>
            <w:color w:val="0000EE"/>
          </w:rPr>
          <w:t>Amended and Restated Employment Agreement, dated as of</w:t>
        </w:r>
      </w:hyperlink>
      <w:r>
        <w:rPr>
          <w:rFonts w:ascii="Arial" w:cs="Arial" w:eastAsia="Arial" w:hAnsi="Arial"/>
          <w:sz w:val="18"/>
          <w:szCs w:val="18"/>
          <w:u w:val="single" w:color="auto"/>
          <w:color w:val="0000EE"/>
        </w:rPr>
        <w:t xml:space="preserve"> </w:t>
      </w:r>
      <w:hyperlink r:id="rId171">
        <w:r>
          <w:rPr>
            <w:rFonts w:ascii="Arial" w:cs="Arial" w:eastAsia="Arial" w:hAnsi="Arial"/>
            <w:sz w:val="18"/>
            <w:szCs w:val="18"/>
            <w:u w:val="single" w:color="auto"/>
            <w:color w:val="0000EE"/>
          </w:rPr>
          <w:t>January 1, 2018, by and between Celldex Therapeutics, Inc. and</w:t>
        </w:r>
      </w:hyperlink>
      <w:r>
        <w:rPr>
          <w:rFonts w:ascii="Arial" w:cs="Arial" w:eastAsia="Arial" w:hAnsi="Arial"/>
          <w:sz w:val="18"/>
          <w:szCs w:val="18"/>
          <w:u w:val="single" w:color="auto"/>
          <w:color w:val="0000EE"/>
        </w:rPr>
        <w:t xml:space="preserve"> </w:t>
      </w:r>
      <w:hyperlink r:id="rId171">
        <w:r>
          <w:rPr>
            <w:rFonts w:ascii="Arial" w:cs="Arial" w:eastAsia="Arial" w:hAnsi="Arial"/>
            <w:sz w:val="18"/>
            <w:szCs w:val="18"/>
            <w:u w:val="single" w:color="auto"/>
            <w:color w:val="0000EE"/>
          </w:rPr>
          <w:t>Margo Heath-Chiozzi, M.D.</w:t>
        </w:r>
      </w:hyperlink>
    </w:p>
    <w:p>
      <w:pPr>
        <w:spacing w:after="0" w:line="221" w:lineRule="exact"/>
        <w:rPr>
          <w:rFonts w:ascii="Arial" w:cs="Arial" w:eastAsia="Arial" w:hAnsi="Arial"/>
          <w:sz w:val="18"/>
          <w:szCs w:val="18"/>
          <w:u w:val="single" w:color="auto"/>
          <w:color w:val="0000EE"/>
        </w:rPr>
      </w:pPr>
    </w:p>
    <w:p>
      <w:pPr>
        <w:ind w:left="1920" w:right="440" w:hanging="639"/>
        <w:spacing w:after="0" w:line="259" w:lineRule="auto"/>
        <w:tabs>
          <w:tab w:leader="none" w:pos="1900" w:val="left"/>
        </w:tabs>
        <w:rPr>
          <w:rFonts w:ascii="Arial" w:cs="Arial" w:eastAsia="Arial" w:hAnsi="Arial"/>
          <w:sz w:val="18"/>
          <w:szCs w:val="18"/>
          <w:u w:val="single" w:color="auto"/>
          <w:color w:val="0000EE"/>
        </w:rPr>
      </w:pPr>
      <w:r>
        <w:rPr>
          <w:rFonts w:ascii="Arial" w:cs="Arial" w:eastAsia="Arial" w:hAnsi="Arial"/>
          <w:sz w:val="18"/>
          <w:szCs w:val="18"/>
          <w:color w:val="auto"/>
        </w:rPr>
        <w:t>†10.32</w:t>
      </w:r>
      <w:r>
        <w:rPr>
          <w:sz w:val="20"/>
          <w:szCs w:val="20"/>
          <w:color w:val="auto"/>
        </w:rPr>
        <w:tab/>
      </w:r>
      <w:hyperlink r:id="rId172">
        <w:r>
          <w:rPr>
            <w:rFonts w:ascii="Arial" w:cs="Arial" w:eastAsia="Arial" w:hAnsi="Arial"/>
            <w:sz w:val="18"/>
            <w:szCs w:val="18"/>
            <w:u w:val="single" w:color="auto"/>
            <w:color w:val="0000EE"/>
          </w:rPr>
          <w:t>Amended and Restated Employment Agreement, dated as of</w:t>
        </w:r>
      </w:hyperlink>
      <w:r>
        <w:rPr>
          <w:rFonts w:ascii="Arial" w:cs="Arial" w:eastAsia="Arial" w:hAnsi="Arial"/>
          <w:sz w:val="18"/>
          <w:szCs w:val="18"/>
          <w:u w:val="single" w:color="auto"/>
          <w:color w:val="0000EE"/>
        </w:rPr>
        <w:t xml:space="preserve"> </w:t>
      </w:r>
      <w:hyperlink r:id="rId172">
        <w:r>
          <w:rPr>
            <w:rFonts w:ascii="Arial" w:cs="Arial" w:eastAsia="Arial" w:hAnsi="Arial"/>
            <w:sz w:val="18"/>
            <w:szCs w:val="18"/>
            <w:u w:val="single" w:color="auto"/>
            <w:color w:val="0000EE"/>
          </w:rPr>
          <w:t>January 1, 2018, by and between Celldex Therapeutics, Inc. and</w:t>
        </w:r>
      </w:hyperlink>
      <w:r>
        <w:rPr>
          <w:rFonts w:ascii="Arial" w:cs="Arial" w:eastAsia="Arial" w:hAnsi="Arial"/>
          <w:sz w:val="18"/>
          <w:szCs w:val="18"/>
          <w:u w:val="single" w:color="auto"/>
          <w:color w:val="0000EE"/>
        </w:rPr>
        <w:t xml:space="preserve"> </w:t>
      </w:r>
      <w:hyperlink r:id="rId172">
        <w:r>
          <w:rPr>
            <w:rFonts w:ascii="Arial" w:cs="Arial" w:eastAsia="Arial" w:hAnsi="Arial"/>
            <w:sz w:val="18"/>
            <w:szCs w:val="18"/>
            <w:u w:val="single" w:color="auto"/>
            <w:color w:val="0000EE"/>
          </w:rPr>
          <w:t>Elizabeth Crowley</w:t>
        </w:r>
      </w:hyperlink>
    </w:p>
    <w:p>
      <w:pPr>
        <w:spacing w:after="0" w:line="221" w:lineRule="exact"/>
        <w:rPr>
          <w:rFonts w:ascii="Arial" w:cs="Arial" w:eastAsia="Arial" w:hAnsi="Arial"/>
          <w:sz w:val="18"/>
          <w:szCs w:val="18"/>
          <w:u w:val="single" w:color="auto"/>
          <w:color w:val="0000EE"/>
        </w:rPr>
      </w:pPr>
    </w:p>
    <w:p>
      <w:pPr>
        <w:ind w:left="1920" w:right="440" w:hanging="639"/>
        <w:spacing w:after="0" w:line="259" w:lineRule="auto"/>
        <w:tabs>
          <w:tab w:leader="none" w:pos="1900" w:val="left"/>
        </w:tabs>
        <w:rPr>
          <w:rFonts w:ascii="Arial" w:cs="Arial" w:eastAsia="Arial" w:hAnsi="Arial"/>
          <w:sz w:val="18"/>
          <w:szCs w:val="18"/>
          <w:u w:val="single" w:color="auto"/>
          <w:color w:val="0000EE"/>
        </w:rPr>
      </w:pPr>
      <w:r>
        <w:rPr>
          <w:rFonts w:ascii="Arial" w:cs="Arial" w:eastAsia="Arial" w:hAnsi="Arial"/>
          <w:sz w:val="18"/>
          <w:szCs w:val="18"/>
          <w:color w:val="auto"/>
        </w:rPr>
        <w:t>†10.33</w:t>
      </w:r>
      <w:r>
        <w:rPr>
          <w:sz w:val="20"/>
          <w:szCs w:val="20"/>
          <w:color w:val="auto"/>
        </w:rPr>
        <w:tab/>
      </w:r>
      <w:hyperlink r:id="rId173">
        <w:r>
          <w:rPr>
            <w:rFonts w:ascii="Arial" w:cs="Arial" w:eastAsia="Arial" w:hAnsi="Arial"/>
            <w:sz w:val="18"/>
            <w:szCs w:val="18"/>
            <w:u w:val="single" w:color="auto"/>
            <w:color w:val="0000EE"/>
          </w:rPr>
          <w:t>Amended and Restated Employment Agreement, dated as of</w:t>
        </w:r>
      </w:hyperlink>
      <w:r>
        <w:rPr>
          <w:rFonts w:ascii="Arial" w:cs="Arial" w:eastAsia="Arial" w:hAnsi="Arial"/>
          <w:sz w:val="18"/>
          <w:szCs w:val="18"/>
          <w:u w:val="single" w:color="auto"/>
          <w:color w:val="0000EE"/>
        </w:rPr>
        <w:t xml:space="preserve"> </w:t>
      </w:r>
      <w:hyperlink r:id="rId173">
        <w:r>
          <w:rPr>
            <w:rFonts w:ascii="Arial" w:cs="Arial" w:eastAsia="Arial" w:hAnsi="Arial"/>
            <w:sz w:val="18"/>
            <w:szCs w:val="18"/>
            <w:u w:val="single" w:color="auto"/>
            <w:color w:val="0000EE"/>
          </w:rPr>
          <w:t>January 1, 2018, by and between Celldex Therapeutics, Inc. and</w:t>
        </w:r>
      </w:hyperlink>
      <w:r>
        <w:rPr>
          <w:rFonts w:ascii="Arial" w:cs="Arial" w:eastAsia="Arial" w:hAnsi="Arial"/>
          <w:sz w:val="18"/>
          <w:szCs w:val="18"/>
          <w:u w:val="single" w:color="auto"/>
          <w:color w:val="0000EE"/>
        </w:rPr>
        <w:t xml:space="preserve"> </w:t>
      </w:r>
      <w:hyperlink r:id="rId173">
        <w:r>
          <w:rPr>
            <w:rFonts w:ascii="Arial" w:cs="Arial" w:eastAsia="Arial" w:hAnsi="Arial"/>
            <w:sz w:val="18"/>
            <w:szCs w:val="18"/>
            <w:u w:val="single" w:color="auto"/>
            <w:color w:val="0000EE"/>
          </w:rPr>
          <w:t>Richard Wright, Ph.D.</w:t>
        </w:r>
      </w:hyperlink>
    </w:p>
    <w:p>
      <w:pPr>
        <w:spacing w:after="0" w:line="221" w:lineRule="exact"/>
        <w:rPr>
          <w:rFonts w:ascii="Arial" w:cs="Arial" w:eastAsia="Arial" w:hAnsi="Arial"/>
          <w:sz w:val="18"/>
          <w:szCs w:val="18"/>
          <w:u w:val="single" w:color="auto"/>
          <w:color w:val="0000EE"/>
        </w:rPr>
      </w:pPr>
    </w:p>
    <w:p>
      <w:pPr>
        <w:ind w:left="1920" w:right="300" w:hanging="639"/>
        <w:spacing w:after="0" w:line="268" w:lineRule="auto"/>
        <w:tabs>
          <w:tab w:leader="none" w:pos="1900" w:val="left"/>
        </w:tabs>
        <w:rPr>
          <w:rFonts w:ascii="Arial" w:cs="Arial" w:eastAsia="Arial" w:hAnsi="Arial"/>
          <w:sz w:val="18"/>
          <w:szCs w:val="18"/>
          <w:u w:val="single" w:color="auto"/>
          <w:color w:val="0000EE"/>
        </w:rPr>
      </w:pPr>
      <w:r>
        <w:rPr>
          <w:rFonts w:ascii="Arial" w:cs="Arial" w:eastAsia="Arial" w:hAnsi="Arial"/>
          <w:sz w:val="18"/>
          <w:szCs w:val="18"/>
          <w:color w:val="auto"/>
        </w:rPr>
        <w:t>†10.34</w:t>
      </w:r>
      <w:r>
        <w:rPr>
          <w:sz w:val="20"/>
          <w:szCs w:val="20"/>
          <w:color w:val="auto"/>
        </w:rPr>
        <w:tab/>
      </w:r>
      <w:hyperlink r:id="rId174">
        <w:r>
          <w:rPr>
            <w:rFonts w:ascii="Arial" w:cs="Arial" w:eastAsia="Arial" w:hAnsi="Arial"/>
            <w:sz w:val="18"/>
            <w:szCs w:val="18"/>
            <w:u w:val="single" w:color="auto"/>
            <w:color w:val="0000EE"/>
          </w:rPr>
          <w:t>Employment Agreement, dated as of July 8, 2019, by and between</w:t>
        </w:r>
      </w:hyperlink>
      <w:r>
        <w:rPr>
          <w:rFonts w:ascii="Arial" w:cs="Arial" w:eastAsia="Arial" w:hAnsi="Arial"/>
          <w:sz w:val="18"/>
          <w:szCs w:val="18"/>
          <w:u w:val="single" w:color="auto"/>
          <w:color w:val="0000EE"/>
        </w:rPr>
        <w:t xml:space="preserve"> </w:t>
      </w:r>
      <w:hyperlink r:id="rId174">
        <w:r>
          <w:rPr>
            <w:rFonts w:ascii="Arial" w:cs="Arial" w:eastAsia="Arial" w:hAnsi="Arial"/>
            <w:sz w:val="18"/>
            <w:szCs w:val="18"/>
            <w:u w:val="single" w:color="auto"/>
            <w:color w:val="0000EE"/>
          </w:rPr>
          <w:t>Diane Young and Celldex Therapeutics., Inc.</w:t>
        </w:r>
      </w:hyperlink>
    </w:p>
    <w:p>
      <w:pPr>
        <w:spacing w:after="0" w:line="213" w:lineRule="exact"/>
        <w:rPr>
          <w:sz w:val="20"/>
          <w:szCs w:val="20"/>
          <w:color w:val="auto"/>
        </w:rPr>
      </w:pPr>
    </w:p>
    <w:p>
      <w:pPr>
        <w:ind w:left="1280"/>
        <w:spacing w:after="0"/>
        <w:tabs>
          <w:tab w:leader="none" w:pos="1900" w:val="left"/>
        </w:tabs>
        <w:rPr>
          <w:rFonts w:ascii="Arial" w:cs="Arial" w:eastAsia="Arial" w:hAnsi="Arial"/>
          <w:sz w:val="16"/>
          <w:szCs w:val="16"/>
          <w:u w:val="single" w:color="auto"/>
          <w:color w:val="0000EE"/>
        </w:rPr>
      </w:pPr>
      <w:r>
        <w:rPr>
          <w:rFonts w:ascii="Arial" w:cs="Arial" w:eastAsia="Arial" w:hAnsi="Arial"/>
          <w:sz w:val="18"/>
          <w:szCs w:val="18"/>
          <w:color w:val="auto"/>
        </w:rPr>
        <w:t>†10.35</w:t>
      </w:r>
      <w:r>
        <w:rPr>
          <w:sz w:val="20"/>
          <w:szCs w:val="20"/>
          <w:color w:val="auto"/>
        </w:rPr>
        <w:tab/>
      </w:r>
      <w:hyperlink r:id="rId175">
        <w:r>
          <w:rPr>
            <w:rFonts w:ascii="Arial" w:cs="Arial" w:eastAsia="Arial" w:hAnsi="Arial"/>
            <w:sz w:val="16"/>
            <w:szCs w:val="16"/>
            <w:u w:val="single" w:color="auto"/>
            <w:color w:val="0000EE"/>
          </w:rPr>
          <w:t>Form of Stock Option Agreement</w:t>
        </w:r>
      </w:hyperlink>
    </w:p>
    <w:p>
      <w:pPr>
        <w:spacing w:after="0" w:line="200" w:lineRule="exact"/>
        <w:rPr>
          <w:sz w:val="20"/>
          <w:szCs w:val="20"/>
          <w:color w:val="auto"/>
        </w:rPr>
      </w:pPr>
    </w:p>
    <w:p>
      <w:pPr>
        <w:spacing w:after="0" w:line="268" w:lineRule="exact"/>
        <w:rPr>
          <w:sz w:val="20"/>
          <w:szCs w:val="20"/>
          <w:color w:val="auto"/>
        </w:rPr>
      </w:pPr>
    </w:p>
    <w:p>
      <w:pPr>
        <w:ind w:left="1280"/>
        <w:spacing w:after="0"/>
        <w:tabs>
          <w:tab w:leader="none" w:pos="1900" w:val="left"/>
        </w:tabs>
        <w:rPr>
          <w:rFonts w:ascii="Arial" w:cs="Arial" w:eastAsia="Arial" w:hAnsi="Arial"/>
          <w:sz w:val="16"/>
          <w:szCs w:val="16"/>
          <w:u w:val="single" w:color="auto"/>
          <w:color w:val="0000EE"/>
        </w:rPr>
      </w:pPr>
      <w:r>
        <w:rPr>
          <w:rFonts w:ascii="Arial" w:cs="Arial" w:eastAsia="Arial" w:hAnsi="Arial"/>
          <w:sz w:val="18"/>
          <w:szCs w:val="18"/>
          <w:color w:val="auto"/>
        </w:rPr>
        <w:t>†10.36</w:t>
      </w:r>
      <w:r>
        <w:rPr>
          <w:sz w:val="20"/>
          <w:szCs w:val="20"/>
          <w:color w:val="auto"/>
        </w:rPr>
        <w:tab/>
      </w:r>
      <w:hyperlink r:id="rId176">
        <w:r>
          <w:rPr>
            <w:rFonts w:ascii="Arial" w:cs="Arial" w:eastAsia="Arial" w:hAnsi="Arial"/>
            <w:sz w:val="16"/>
            <w:szCs w:val="16"/>
            <w:u w:val="single" w:color="auto"/>
            <w:color w:val="0000EE"/>
          </w:rPr>
          <w:t>Form of Restricted Stock Award</w:t>
        </w:r>
      </w:hyperlink>
    </w:p>
    <w:p>
      <w:pPr>
        <w:spacing w:after="0" w:line="200" w:lineRule="exact"/>
        <w:rPr>
          <w:sz w:val="20"/>
          <w:szCs w:val="20"/>
          <w:color w:val="auto"/>
        </w:rPr>
      </w:pPr>
    </w:p>
    <w:p>
      <w:pPr>
        <w:spacing w:after="0" w:line="268" w:lineRule="exact"/>
        <w:rPr>
          <w:sz w:val="20"/>
          <w:szCs w:val="20"/>
          <w:color w:val="auto"/>
        </w:rPr>
      </w:pPr>
    </w:p>
    <w:p>
      <w:pPr>
        <w:ind w:left="1440"/>
        <w:spacing w:after="0"/>
        <w:tabs>
          <w:tab w:leader="none" w:pos="1900" w:val="left"/>
        </w:tabs>
        <w:rPr>
          <w:rFonts w:ascii="Arial" w:cs="Arial" w:eastAsia="Arial" w:hAnsi="Arial"/>
          <w:sz w:val="15"/>
          <w:szCs w:val="15"/>
          <w:u w:val="single" w:color="auto"/>
          <w:color w:val="0000EE"/>
        </w:rPr>
      </w:pPr>
      <w:r>
        <w:rPr>
          <w:rFonts w:ascii="Arial" w:cs="Arial" w:eastAsia="Arial" w:hAnsi="Arial"/>
          <w:sz w:val="18"/>
          <w:szCs w:val="18"/>
          <w:color w:val="auto"/>
        </w:rPr>
        <w:t>21.1</w:t>
      </w:r>
      <w:r>
        <w:rPr>
          <w:sz w:val="20"/>
          <w:szCs w:val="20"/>
          <w:color w:val="auto"/>
        </w:rPr>
        <w:tab/>
      </w:r>
      <w:hyperlink w:anchor="page130">
        <w:r>
          <w:rPr>
            <w:rFonts w:ascii="Arial" w:cs="Arial" w:eastAsia="Arial" w:hAnsi="Arial"/>
            <w:sz w:val="15"/>
            <w:szCs w:val="15"/>
            <w:u w:val="single" w:color="auto"/>
            <w:color w:val="0000EE"/>
          </w:rPr>
          <w:t>Subsidiaries of Celldex Therapeutics, Inc.</w:t>
        </w:r>
      </w:hyperlink>
    </w:p>
    <w:p>
      <w:pPr>
        <w:spacing w:after="0" w:line="252" w:lineRule="exact"/>
        <w:rPr>
          <w:sz w:val="20"/>
          <w:szCs w:val="20"/>
          <w:color w:val="auto"/>
        </w:rPr>
      </w:pPr>
    </w:p>
    <w:p>
      <w:pPr>
        <w:ind w:left="1920" w:right="140" w:hanging="468"/>
        <w:spacing w:after="0" w:line="268" w:lineRule="auto"/>
        <w:tabs>
          <w:tab w:leader="none" w:pos="1900" w:val="left"/>
        </w:tabs>
        <w:rPr>
          <w:rFonts w:ascii="Arial" w:cs="Arial" w:eastAsia="Arial" w:hAnsi="Arial"/>
          <w:sz w:val="18"/>
          <w:szCs w:val="18"/>
          <w:u w:val="single" w:color="auto"/>
          <w:color w:val="0000EE"/>
        </w:rPr>
      </w:pPr>
      <w:r>
        <w:rPr>
          <w:rFonts w:ascii="Arial" w:cs="Arial" w:eastAsia="Arial" w:hAnsi="Arial"/>
          <w:sz w:val="18"/>
          <w:szCs w:val="18"/>
          <w:color w:val="auto"/>
        </w:rPr>
        <w:t>23.1</w:t>
      </w:r>
      <w:r>
        <w:rPr>
          <w:sz w:val="20"/>
          <w:szCs w:val="20"/>
          <w:color w:val="auto"/>
        </w:rPr>
        <w:tab/>
      </w:r>
      <w:hyperlink w:anchor="page132">
        <w:r>
          <w:rPr>
            <w:rFonts w:ascii="Arial" w:cs="Arial" w:eastAsia="Arial" w:hAnsi="Arial"/>
            <w:sz w:val="18"/>
            <w:szCs w:val="18"/>
            <w:u w:val="single" w:color="auto"/>
            <w:color w:val="0000EE"/>
          </w:rPr>
          <w:t>Consent of PricewaterhouseCoopers LLP, an Independent Registered</w:t>
        </w:r>
      </w:hyperlink>
      <w:r>
        <w:rPr>
          <w:rFonts w:ascii="Arial" w:cs="Arial" w:eastAsia="Arial" w:hAnsi="Arial"/>
          <w:sz w:val="18"/>
          <w:szCs w:val="18"/>
          <w:u w:val="single" w:color="auto"/>
          <w:color w:val="0000EE"/>
        </w:rPr>
        <w:t xml:space="preserve"> </w:t>
      </w:r>
      <w:hyperlink w:anchor="page132">
        <w:r>
          <w:rPr>
            <w:rFonts w:ascii="Arial" w:cs="Arial" w:eastAsia="Arial" w:hAnsi="Arial"/>
            <w:sz w:val="18"/>
            <w:szCs w:val="18"/>
            <w:u w:val="single" w:color="auto"/>
            <w:color w:val="0000EE"/>
          </w:rPr>
          <w:t>Public Accounting Firm</w:t>
        </w:r>
      </w:hyperlink>
    </w:p>
    <w:p>
      <w:pPr>
        <w:spacing w:after="0" w:line="213" w:lineRule="exact"/>
        <w:rPr>
          <w:sz w:val="20"/>
          <w:szCs w:val="20"/>
          <w:color w:val="auto"/>
        </w:rPr>
      </w:pPr>
    </w:p>
    <w:p>
      <w:pPr>
        <w:ind w:left="1440"/>
        <w:spacing w:after="0"/>
        <w:tabs>
          <w:tab w:leader="none" w:pos="190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134">
        <w:r>
          <w:rPr>
            <w:rFonts w:ascii="Arial" w:cs="Arial" w:eastAsia="Arial" w:hAnsi="Arial"/>
            <w:sz w:val="16"/>
            <w:szCs w:val="16"/>
            <w:u w:val="single" w:color="auto"/>
            <w:color w:val="0000EE"/>
          </w:rPr>
          <w:t>Certification of President and Chief Executive Officer</w:t>
        </w:r>
      </w:hyperlink>
    </w:p>
    <w:p>
      <w:pPr>
        <w:spacing w:after="0" w:line="252" w:lineRule="exact"/>
        <w:rPr>
          <w:sz w:val="20"/>
          <w:szCs w:val="20"/>
          <w:color w:val="auto"/>
        </w:rPr>
      </w:pPr>
    </w:p>
    <w:p>
      <w:pPr>
        <w:ind w:left="1440"/>
        <w:spacing w:after="0"/>
        <w:tabs>
          <w:tab w:leader="none" w:pos="190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136">
        <w:r>
          <w:rPr>
            <w:rFonts w:ascii="Arial" w:cs="Arial" w:eastAsia="Arial" w:hAnsi="Arial"/>
            <w:sz w:val="16"/>
            <w:szCs w:val="16"/>
            <w:u w:val="single" w:color="auto"/>
            <w:color w:val="0000EE"/>
          </w:rPr>
          <w:t>Certification of Senior Vice President and Chief Financial Officer</w:t>
        </w:r>
      </w:hyperlink>
    </w:p>
    <w:p>
      <w:pPr>
        <w:spacing w:after="0" w:line="252" w:lineRule="exact"/>
        <w:rPr>
          <w:sz w:val="20"/>
          <w:szCs w:val="20"/>
          <w:color w:val="auto"/>
        </w:rPr>
      </w:pPr>
    </w:p>
    <w:p>
      <w:pPr>
        <w:ind w:left="1920" w:hanging="339"/>
        <w:spacing w:after="0"/>
        <w:tabs>
          <w:tab w:leader="none" w:pos="1920" w:val="left"/>
        </w:tabs>
        <w:numPr>
          <w:ilvl w:val="0"/>
          <w:numId w:val="49"/>
        </w:numPr>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Section 1350 Certifications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Incorporated by Reference to</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1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7"/>
              </w:rPr>
              <w:t>Form and</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Exhibit</w:t>
            </w: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7"/>
              </w:rPr>
              <w:t>SEC</w:t>
            </w:r>
          </w:p>
        </w:tc>
      </w:tr>
      <w:tr>
        <w:trPr>
          <w:trHeight w:val="161"/>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SEC File No.</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No.</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Filing Date</w:t>
            </w:r>
          </w:p>
        </w:tc>
      </w:tr>
      <w:tr>
        <w:trPr>
          <w:trHeight w:val="201"/>
        </w:trPr>
        <w:tc>
          <w:tcPr>
            <w:tcW w:w="1480" w:type="dxa"/>
            <w:vAlign w:val="bottom"/>
          </w:tcPr>
          <w:p>
            <w:pPr>
              <w:jc w:val="center"/>
              <w:spacing w:after="0" w:line="201" w:lineRule="exact"/>
              <w:rPr>
                <w:sz w:val="20"/>
                <w:szCs w:val="20"/>
                <w:color w:val="auto"/>
              </w:rPr>
            </w:pPr>
            <w:r>
              <w:rPr>
                <w:rFonts w:ascii="Arial" w:cs="Arial" w:eastAsia="Arial" w:hAnsi="Arial"/>
                <w:sz w:val="18"/>
                <w:szCs w:val="18"/>
                <w:color w:val="auto"/>
                <w:w w:val="94"/>
              </w:rPr>
              <w:t>10-K</w:t>
            </w:r>
          </w:p>
        </w:tc>
        <w:tc>
          <w:tcPr>
            <w:tcW w:w="160" w:type="dxa"/>
            <w:vAlign w:val="bottom"/>
          </w:tcPr>
          <w:p>
            <w:pPr>
              <w:spacing w:after="0"/>
              <w:rPr>
                <w:sz w:val="17"/>
                <w:szCs w:val="17"/>
                <w:color w:val="auto"/>
              </w:rPr>
            </w:pPr>
          </w:p>
        </w:tc>
        <w:tc>
          <w:tcPr>
            <w:tcW w:w="500" w:type="dxa"/>
            <w:vAlign w:val="bottom"/>
          </w:tcPr>
          <w:p>
            <w:pPr>
              <w:jc w:val="center"/>
              <w:spacing w:after="0" w:line="201" w:lineRule="exact"/>
              <w:rPr>
                <w:sz w:val="20"/>
                <w:szCs w:val="20"/>
                <w:color w:val="auto"/>
              </w:rPr>
            </w:pPr>
            <w:r>
              <w:rPr>
                <w:rFonts w:ascii="Arial" w:cs="Arial" w:eastAsia="Arial" w:hAnsi="Arial"/>
                <w:sz w:val="18"/>
                <w:szCs w:val="18"/>
                <w:color w:val="auto"/>
                <w:w w:val="88"/>
              </w:rPr>
              <w:t>10.28</w:t>
            </w:r>
          </w:p>
        </w:tc>
        <w:tc>
          <w:tcPr>
            <w:tcW w:w="16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1"/>
              </w:rPr>
              <w:t>3/7/18</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92"/>
              <w:spacing w:after="0"/>
              <w:rPr>
                <w:sz w:val="20"/>
                <w:szCs w:val="20"/>
                <w:color w:val="auto"/>
              </w:rPr>
            </w:pPr>
            <w:r>
              <w:rPr>
                <w:rFonts w:ascii="Arial" w:cs="Arial" w:eastAsia="Arial" w:hAnsi="Arial"/>
                <w:sz w:val="18"/>
                <w:szCs w:val="18"/>
                <w:color w:val="auto"/>
                <w:w w:val="91"/>
              </w:rPr>
              <w:t>10.1</w:t>
            </w:r>
          </w:p>
        </w:tc>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12/29/17</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92"/>
              <w:spacing w:after="0"/>
              <w:rPr>
                <w:sz w:val="20"/>
                <w:szCs w:val="20"/>
                <w:color w:val="auto"/>
              </w:rPr>
            </w:pPr>
            <w:r>
              <w:rPr>
                <w:rFonts w:ascii="Arial" w:cs="Arial" w:eastAsia="Arial" w:hAnsi="Arial"/>
                <w:sz w:val="18"/>
                <w:szCs w:val="18"/>
                <w:color w:val="auto"/>
                <w:w w:val="91"/>
              </w:rPr>
              <w:t>10.2</w:t>
            </w:r>
          </w:p>
        </w:tc>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12/29/17</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92"/>
              <w:spacing w:after="0"/>
              <w:rPr>
                <w:sz w:val="20"/>
                <w:szCs w:val="20"/>
                <w:color w:val="auto"/>
              </w:rPr>
            </w:pPr>
            <w:r>
              <w:rPr>
                <w:rFonts w:ascii="Arial" w:cs="Arial" w:eastAsia="Arial" w:hAnsi="Arial"/>
                <w:sz w:val="18"/>
                <w:szCs w:val="18"/>
                <w:color w:val="auto"/>
                <w:w w:val="91"/>
              </w:rPr>
              <w:t>10.3</w:t>
            </w:r>
          </w:p>
        </w:tc>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12/29/17</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92"/>
              <w:spacing w:after="0"/>
              <w:rPr>
                <w:sz w:val="20"/>
                <w:szCs w:val="20"/>
                <w:color w:val="auto"/>
              </w:rPr>
            </w:pPr>
            <w:r>
              <w:rPr>
                <w:rFonts w:ascii="Arial" w:cs="Arial" w:eastAsia="Arial" w:hAnsi="Arial"/>
                <w:sz w:val="18"/>
                <w:szCs w:val="18"/>
                <w:color w:val="auto"/>
                <w:w w:val="91"/>
              </w:rPr>
              <w:t>10.4</w:t>
            </w:r>
          </w:p>
        </w:tc>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12/29/17</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92"/>
              <w:spacing w:after="0"/>
              <w:rPr>
                <w:sz w:val="20"/>
                <w:szCs w:val="20"/>
                <w:color w:val="auto"/>
              </w:rPr>
            </w:pPr>
            <w:r>
              <w:rPr>
                <w:rFonts w:ascii="Arial" w:cs="Arial" w:eastAsia="Arial" w:hAnsi="Arial"/>
                <w:sz w:val="18"/>
                <w:szCs w:val="18"/>
                <w:color w:val="auto"/>
                <w:w w:val="91"/>
              </w:rPr>
              <w:t>10.5</w:t>
            </w:r>
          </w:p>
        </w:tc>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12/29/17</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92"/>
              <w:spacing w:after="0"/>
              <w:rPr>
                <w:sz w:val="20"/>
                <w:szCs w:val="20"/>
                <w:color w:val="auto"/>
              </w:rPr>
            </w:pPr>
            <w:r>
              <w:rPr>
                <w:rFonts w:ascii="Arial" w:cs="Arial" w:eastAsia="Arial" w:hAnsi="Arial"/>
                <w:sz w:val="18"/>
                <w:szCs w:val="18"/>
                <w:color w:val="auto"/>
                <w:w w:val="91"/>
              </w:rPr>
              <w:t>10.6</w:t>
            </w:r>
          </w:p>
        </w:tc>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12/29/17</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92"/>
              <w:spacing w:after="0"/>
              <w:rPr>
                <w:sz w:val="20"/>
                <w:szCs w:val="20"/>
                <w:color w:val="auto"/>
              </w:rPr>
            </w:pPr>
            <w:r>
              <w:rPr>
                <w:rFonts w:ascii="Arial" w:cs="Arial" w:eastAsia="Arial" w:hAnsi="Arial"/>
                <w:sz w:val="18"/>
                <w:szCs w:val="18"/>
                <w:color w:val="auto"/>
                <w:w w:val="91"/>
              </w:rPr>
              <w:t>10.7</w:t>
            </w:r>
          </w:p>
        </w:tc>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12/29/17</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92"/>
              <w:spacing w:after="0"/>
              <w:rPr>
                <w:sz w:val="20"/>
                <w:szCs w:val="20"/>
                <w:color w:val="auto"/>
              </w:rPr>
            </w:pPr>
            <w:r>
              <w:rPr>
                <w:rFonts w:ascii="Arial" w:cs="Arial" w:eastAsia="Arial" w:hAnsi="Arial"/>
                <w:sz w:val="18"/>
                <w:szCs w:val="18"/>
                <w:color w:val="auto"/>
                <w:w w:val="91"/>
              </w:rPr>
              <w:t>10.8</w:t>
            </w:r>
          </w:p>
        </w:tc>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12/29/17</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92"/>
              <w:spacing w:after="0"/>
              <w:rPr>
                <w:sz w:val="20"/>
                <w:szCs w:val="20"/>
                <w:color w:val="auto"/>
              </w:rPr>
            </w:pPr>
            <w:r>
              <w:rPr>
                <w:rFonts w:ascii="Arial" w:cs="Arial" w:eastAsia="Arial" w:hAnsi="Arial"/>
                <w:sz w:val="18"/>
                <w:szCs w:val="18"/>
                <w:color w:val="auto"/>
                <w:w w:val="91"/>
              </w:rPr>
              <w:t>10.1</w:t>
            </w:r>
          </w:p>
        </w:tc>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6/24/19</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92"/>
              <w:spacing w:after="0"/>
              <w:rPr>
                <w:sz w:val="20"/>
                <w:szCs w:val="20"/>
                <w:color w:val="auto"/>
              </w:rPr>
            </w:pPr>
            <w:r>
              <w:rPr>
                <w:rFonts w:ascii="Arial" w:cs="Arial" w:eastAsia="Arial" w:hAnsi="Arial"/>
                <w:sz w:val="18"/>
                <w:szCs w:val="18"/>
                <w:color w:val="auto"/>
                <w:w w:val="91"/>
              </w:rPr>
              <w:t>10.1</w:t>
            </w:r>
          </w:p>
        </w:tc>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8/08/18</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9"/>
        </w:trPr>
        <w:tc>
          <w:tcPr>
            <w:tcW w:w="14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10.42</w:t>
            </w:r>
          </w:p>
        </w:tc>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3/12/10</w:t>
            </w:r>
          </w:p>
        </w:tc>
      </w:tr>
    </w:tbl>
    <w:p>
      <w:pPr>
        <w:jc w:val="center"/>
        <w:ind w:right="1559"/>
        <w:spacing w:after="0"/>
        <w:rPr>
          <w:sz w:val="20"/>
          <w:szCs w:val="20"/>
          <w:color w:val="auto"/>
        </w:rPr>
      </w:pPr>
      <w:r>
        <w:rPr>
          <w:rFonts w:ascii="Arial" w:cs="Arial" w:eastAsia="Arial" w:hAnsi="Arial"/>
          <w:sz w:val="18"/>
          <w:szCs w:val="18"/>
          <w:color w:val="auto"/>
        </w:rPr>
        <w:t>(000-15006)</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Filed herewith</w:t>
      </w:r>
    </w:p>
    <w:p>
      <w:pPr>
        <w:spacing w:after="0" w:line="252" w:lineRule="exact"/>
        <w:rPr>
          <w:sz w:val="20"/>
          <w:szCs w:val="20"/>
          <w:color w:val="auto"/>
        </w:rPr>
      </w:pPr>
    </w:p>
    <w:p>
      <w:pPr>
        <w:jc w:val="center"/>
        <w:ind w:right="1559"/>
        <w:spacing w:after="0"/>
        <w:rPr>
          <w:sz w:val="20"/>
          <w:szCs w:val="20"/>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80"/>
        <w:spacing w:after="0"/>
        <w:rPr>
          <w:sz w:val="20"/>
          <w:szCs w:val="20"/>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ectPr>
          <w:pgSz w:w="11900" w:h="16838" w:orient="portrait"/>
          <w:cols w:equalWidth="0" w:num="2">
            <w:col w:w="6900" w:space="180"/>
            <w:col w:w="3059"/>
          </w:cols>
          <w:pgMar w:left="320" w:top="131" w:right="1440" w:bottom="1440" w:gutter="0" w:footer="0" w:header="0"/>
        </w:sectPr>
      </w:pPr>
    </w:p>
    <w:p>
      <w:pPr>
        <w:spacing w:after="0" w:line="2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361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20" w:type="dxa"/>
            <w:vAlign w:val="bottom"/>
            <w:tcBorders>
              <w:bottom w:val="single" w:sz="8" w:color="auto"/>
            </w:tcBorders>
            <w:gridSpan w:val="5"/>
          </w:tcPr>
          <w:p>
            <w:pPr>
              <w:ind w:left="680"/>
              <w:spacing w:after="0"/>
              <w:rPr>
                <w:sz w:val="20"/>
                <w:szCs w:val="20"/>
                <w:color w:val="auto"/>
              </w:rPr>
            </w:pPr>
            <w:r>
              <w:rPr>
                <w:rFonts w:ascii="Arial" w:cs="Arial" w:eastAsia="Arial" w:hAnsi="Arial"/>
                <w:sz w:val="13"/>
                <w:szCs w:val="13"/>
                <w:b w:val="1"/>
                <w:bCs w:val="1"/>
                <w:color w:val="auto"/>
              </w:rPr>
              <w:t>Incorporated by Reference to</w:t>
            </w:r>
          </w:p>
        </w:tc>
      </w:tr>
      <w:tr>
        <w:trPr>
          <w:trHeight w:val="129"/>
        </w:trPr>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7"/>
              </w:rPr>
              <w:t>Form and</w:t>
            </w:r>
          </w:p>
        </w:tc>
        <w:tc>
          <w:tcPr>
            <w:tcW w:w="16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rPr>
              <w:t>Exhibit</w:t>
            </w:r>
          </w:p>
        </w:tc>
        <w:tc>
          <w:tcPr>
            <w:tcW w:w="16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7"/>
              </w:rPr>
              <w:t>SEC</w:t>
            </w:r>
          </w:p>
        </w:tc>
      </w:tr>
      <w:tr>
        <w:trPr>
          <w:trHeight w:val="161"/>
        </w:trPr>
        <w:tc>
          <w:tcPr>
            <w:tcW w:w="800" w:type="dxa"/>
            <w:vAlign w:val="bottom"/>
            <w:gridSpan w:val="2"/>
          </w:tcPr>
          <w:p>
            <w:pPr>
              <w:ind w:left="220"/>
              <w:spacing w:after="0"/>
              <w:rPr>
                <w:sz w:val="20"/>
                <w:szCs w:val="20"/>
                <w:color w:val="auto"/>
              </w:rPr>
            </w:pPr>
            <w:r>
              <w:rPr>
                <w:rFonts w:ascii="Arial" w:cs="Arial" w:eastAsia="Arial" w:hAnsi="Arial"/>
                <w:sz w:val="13"/>
                <w:szCs w:val="13"/>
                <w:b w:val="1"/>
                <w:bCs w:val="1"/>
                <w:color w:val="auto"/>
              </w:rPr>
              <w:t>No.</w:t>
            </w:r>
          </w:p>
        </w:tc>
        <w:tc>
          <w:tcPr>
            <w:tcW w:w="1580" w:type="dxa"/>
            <w:vAlign w:val="bottom"/>
          </w:tcPr>
          <w:p>
            <w:pPr>
              <w:spacing w:after="0"/>
              <w:rPr>
                <w:sz w:val="14"/>
                <w:szCs w:val="14"/>
                <w:color w:val="auto"/>
              </w:rPr>
            </w:pPr>
          </w:p>
        </w:tc>
        <w:tc>
          <w:tcPr>
            <w:tcW w:w="3580" w:type="dxa"/>
            <w:vAlign w:val="bottom"/>
            <w:gridSpan w:val="2"/>
          </w:tcPr>
          <w:p>
            <w:pPr>
              <w:ind w:left="580"/>
              <w:spacing w:after="0"/>
              <w:rPr>
                <w:sz w:val="20"/>
                <w:szCs w:val="20"/>
                <w:color w:val="auto"/>
              </w:rPr>
            </w:pPr>
            <w:r>
              <w:rPr>
                <w:rFonts w:ascii="Arial" w:cs="Arial" w:eastAsia="Arial" w:hAnsi="Arial"/>
                <w:sz w:val="13"/>
                <w:szCs w:val="13"/>
                <w:b w:val="1"/>
                <w:bCs w:val="1"/>
                <w:color w:val="auto"/>
              </w:rPr>
              <w:t>Description</w:t>
            </w: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95"/>
              </w:rPr>
              <w:t>SEC File No.</w:t>
            </w:r>
          </w:p>
        </w:tc>
        <w:tc>
          <w:tcPr>
            <w:tcW w:w="1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95"/>
              </w:rPr>
              <w:t>No.</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6"/>
              </w:rPr>
              <w:t>Filing Date</w:t>
            </w:r>
          </w:p>
        </w:tc>
      </w:tr>
      <w:tr>
        <w:trPr>
          <w:trHeight w:val="216"/>
        </w:trPr>
        <w:tc>
          <w:tcPr>
            <w:tcW w:w="6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w w:val="73"/>
              </w:rPr>
              <w:t>101</w:t>
            </w:r>
          </w:p>
        </w:tc>
        <w:tc>
          <w:tcPr>
            <w:tcW w:w="180" w:type="dxa"/>
            <w:vAlign w:val="bottom"/>
          </w:tcPr>
          <w:p>
            <w:pPr>
              <w:spacing w:after="0"/>
              <w:rPr>
                <w:sz w:val="18"/>
                <w:szCs w:val="18"/>
                <w:color w:val="auto"/>
              </w:rPr>
            </w:pPr>
          </w:p>
        </w:tc>
        <w:tc>
          <w:tcPr>
            <w:tcW w:w="50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XBRL Instance Document</w:t>
            </w:r>
          </w:p>
        </w:tc>
        <w:tc>
          <w:tcPr>
            <w:tcW w:w="160" w:type="dxa"/>
            <w:vAlign w:val="bottom"/>
          </w:tcPr>
          <w:p>
            <w:pPr>
              <w:spacing w:after="0"/>
              <w:rPr>
                <w:sz w:val="18"/>
                <w:szCs w:val="18"/>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r>
      <w:tr>
        <w:trPr>
          <w:trHeight w:val="451"/>
        </w:trPr>
        <w:tc>
          <w:tcPr>
            <w:tcW w:w="800" w:type="dxa"/>
            <w:vAlign w:val="bottom"/>
            <w:gridSpan w:val="2"/>
          </w:tcPr>
          <w:p>
            <w:pPr>
              <w:ind w:left="380"/>
              <w:spacing w:after="0"/>
              <w:rPr>
                <w:sz w:val="20"/>
                <w:szCs w:val="20"/>
                <w:color w:val="auto"/>
              </w:rPr>
            </w:pPr>
            <w:r>
              <w:rPr>
                <w:rFonts w:ascii="Arial" w:cs="Arial" w:eastAsia="Arial" w:hAnsi="Arial"/>
                <w:sz w:val="18"/>
                <w:szCs w:val="18"/>
                <w:color w:val="auto"/>
              </w:rPr>
              <w:t>101</w:t>
            </w:r>
          </w:p>
        </w:tc>
        <w:tc>
          <w:tcPr>
            <w:tcW w:w="516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800" w:type="dxa"/>
            <w:vAlign w:val="bottom"/>
            <w:gridSpan w:val="2"/>
          </w:tcPr>
          <w:p>
            <w:pPr>
              <w:ind w:left="380"/>
              <w:spacing w:after="0"/>
              <w:rPr>
                <w:sz w:val="20"/>
                <w:szCs w:val="20"/>
                <w:color w:val="auto"/>
              </w:rPr>
            </w:pPr>
            <w:r>
              <w:rPr>
                <w:rFonts w:ascii="Arial" w:cs="Arial" w:eastAsia="Arial" w:hAnsi="Arial"/>
                <w:sz w:val="18"/>
                <w:szCs w:val="18"/>
                <w:color w:val="auto"/>
              </w:rPr>
              <w:t>101</w:t>
            </w:r>
          </w:p>
        </w:tc>
        <w:tc>
          <w:tcPr>
            <w:tcW w:w="516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800" w:type="dxa"/>
            <w:vAlign w:val="bottom"/>
            <w:gridSpan w:val="2"/>
          </w:tcPr>
          <w:p>
            <w:pPr>
              <w:ind w:left="380"/>
              <w:spacing w:after="0"/>
              <w:rPr>
                <w:sz w:val="20"/>
                <w:szCs w:val="20"/>
                <w:color w:val="auto"/>
              </w:rPr>
            </w:pPr>
            <w:r>
              <w:rPr>
                <w:rFonts w:ascii="Arial" w:cs="Arial" w:eastAsia="Arial" w:hAnsi="Arial"/>
                <w:sz w:val="18"/>
                <w:szCs w:val="18"/>
                <w:color w:val="auto"/>
              </w:rPr>
              <w:t>101</w:t>
            </w:r>
          </w:p>
        </w:tc>
        <w:tc>
          <w:tcPr>
            <w:tcW w:w="516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800" w:type="dxa"/>
            <w:vAlign w:val="bottom"/>
            <w:gridSpan w:val="2"/>
          </w:tcPr>
          <w:p>
            <w:pPr>
              <w:ind w:left="380"/>
              <w:spacing w:after="0"/>
              <w:rPr>
                <w:sz w:val="20"/>
                <w:szCs w:val="20"/>
                <w:color w:val="auto"/>
              </w:rPr>
            </w:pPr>
            <w:r>
              <w:rPr>
                <w:rFonts w:ascii="Arial" w:cs="Arial" w:eastAsia="Arial" w:hAnsi="Arial"/>
                <w:sz w:val="18"/>
                <w:szCs w:val="18"/>
                <w:color w:val="auto"/>
              </w:rPr>
              <w:t>101</w:t>
            </w:r>
          </w:p>
        </w:tc>
        <w:tc>
          <w:tcPr>
            <w:tcW w:w="516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Document</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800" w:type="dxa"/>
            <w:vAlign w:val="bottom"/>
            <w:gridSpan w:val="2"/>
          </w:tcPr>
          <w:p>
            <w:pPr>
              <w:ind w:left="380"/>
              <w:spacing w:after="0"/>
              <w:rPr>
                <w:sz w:val="20"/>
                <w:szCs w:val="20"/>
                <w:color w:val="auto"/>
              </w:rPr>
            </w:pPr>
            <w:r>
              <w:rPr>
                <w:rFonts w:ascii="Arial" w:cs="Arial" w:eastAsia="Arial" w:hAnsi="Arial"/>
                <w:sz w:val="18"/>
                <w:szCs w:val="18"/>
                <w:color w:val="auto"/>
              </w:rPr>
              <w:t>101</w:t>
            </w:r>
          </w:p>
        </w:tc>
        <w:tc>
          <w:tcPr>
            <w:tcW w:w="516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10"/>
        </w:trPr>
        <w:tc>
          <w:tcPr>
            <w:tcW w:w="6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3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r>
    </w:tbl>
    <w:p>
      <w:pPr>
        <w:spacing w:after="0" w:line="221" w:lineRule="exact"/>
        <w:rPr>
          <w:sz w:val="20"/>
          <w:szCs w:val="20"/>
          <w:color w:val="auto"/>
        </w:rPr>
      </w:pPr>
    </w:p>
    <w:p>
      <w:pPr>
        <w:ind w:left="1680" w:hanging="549"/>
        <w:spacing w:after="0" w:line="268" w:lineRule="auto"/>
        <w:tabs>
          <w:tab w:leader="none" w:pos="1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Confidential treatment has been requested for certain provisions of this Exhibit pursuant to Rule 24b-2 promulgated under the Securities Exchange Act of 1934, as amended.</w:t>
      </w:r>
    </w:p>
    <w:p>
      <w:pPr>
        <w:spacing w:after="0" w:line="213" w:lineRule="exact"/>
        <w:rPr>
          <w:sz w:val="20"/>
          <w:szCs w:val="20"/>
          <w:color w:val="auto"/>
        </w:rPr>
      </w:pPr>
    </w:p>
    <w:p>
      <w:pPr>
        <w:ind w:left="1680" w:hanging="549"/>
        <w:spacing w:after="0"/>
        <w:tabs>
          <w:tab w:leader="none" w:pos="1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Indicates a management contract or compensation plan, contract or arrangement.</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500"/>
          </w:cols>
          <w:pgMar w:left="320" w:top="131" w:right="107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8"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CELLDEX THERAPEUTICS, INC.</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4920" w:type="dxa"/>
            <w:vAlign w:val="bottom"/>
          </w:tcPr>
          <w:p>
            <w:pPr>
              <w:ind w:left="4560"/>
              <w:spacing w:after="0"/>
              <w:rPr>
                <w:sz w:val="20"/>
                <w:szCs w:val="20"/>
                <w:color w:val="auto"/>
              </w:rPr>
            </w:pPr>
            <w:r>
              <w:rPr>
                <w:rFonts w:ascii="Arial" w:cs="Arial" w:eastAsia="Arial" w:hAnsi="Arial"/>
                <w:sz w:val="18"/>
                <w:szCs w:val="18"/>
                <w:color w:val="auto"/>
              </w:rPr>
              <w:t>By:</w:t>
            </w:r>
          </w:p>
        </w:tc>
        <w:tc>
          <w:tcPr>
            <w:tcW w:w="4080" w:type="dxa"/>
            <w:vAlign w:val="bottom"/>
          </w:tcPr>
          <w:p>
            <w:pPr>
              <w:jc w:val="center"/>
              <w:spacing w:after="0"/>
              <w:rPr>
                <w:sz w:val="20"/>
                <w:szCs w:val="20"/>
                <w:color w:val="auto"/>
              </w:rPr>
            </w:pPr>
            <w:r>
              <w:rPr>
                <w:rFonts w:ascii="Arial" w:cs="Arial" w:eastAsia="Arial" w:hAnsi="Arial"/>
                <w:sz w:val="18"/>
                <w:szCs w:val="18"/>
                <w:color w:val="auto"/>
                <w:w w:val="95"/>
              </w:rPr>
              <w:t>/s/ ANTHONY S. MARUCCI</w:t>
            </w:r>
          </w:p>
        </w:tc>
        <w:tc>
          <w:tcPr>
            <w:tcW w:w="0" w:type="dxa"/>
            <w:vAlign w:val="bottom"/>
          </w:tcPr>
          <w:p>
            <w:pPr>
              <w:spacing w:after="0"/>
              <w:rPr>
                <w:sz w:val="1"/>
                <w:szCs w:val="1"/>
                <w:color w:val="auto"/>
              </w:rPr>
            </w:pPr>
          </w:p>
        </w:tc>
      </w:tr>
      <w:tr>
        <w:trPr>
          <w:trHeight w:val="218"/>
        </w:trPr>
        <w:tc>
          <w:tcPr>
            <w:tcW w:w="4920" w:type="dxa"/>
            <w:vAlign w:val="bottom"/>
            <w:vMerge w:val="restart"/>
          </w:tcPr>
          <w:p>
            <w:pPr>
              <w:spacing w:after="0"/>
              <w:rPr>
                <w:sz w:val="20"/>
                <w:szCs w:val="20"/>
                <w:color w:val="auto"/>
              </w:rPr>
            </w:pPr>
            <w:r>
              <w:rPr>
                <w:rFonts w:ascii="Arial" w:cs="Arial" w:eastAsia="Arial" w:hAnsi="Arial"/>
                <w:sz w:val="18"/>
                <w:szCs w:val="18"/>
                <w:b w:val="1"/>
                <w:bCs w:val="1"/>
                <w:color w:val="auto"/>
              </w:rPr>
              <w:t>Date</w:t>
            </w:r>
          </w:p>
        </w:tc>
        <w:tc>
          <w:tcPr>
            <w:tcW w:w="4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4920" w:type="dxa"/>
            <w:vAlign w:val="bottom"/>
            <w:vMerge w:val="continue"/>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0"/>
              </w:rPr>
              <w:t>Anthony S. Marucci</w:t>
            </w:r>
          </w:p>
        </w:tc>
        <w:tc>
          <w:tcPr>
            <w:tcW w:w="0" w:type="dxa"/>
            <w:vAlign w:val="bottom"/>
          </w:tcPr>
          <w:p>
            <w:pPr>
              <w:spacing w:after="0"/>
              <w:rPr>
                <w:sz w:val="1"/>
                <w:szCs w:val="1"/>
                <w:color w:val="auto"/>
              </w:rPr>
            </w:pP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March 26, 2020</w:t>
            </w:r>
          </w:p>
        </w:tc>
        <w:tc>
          <w:tcPr>
            <w:tcW w:w="4080" w:type="dxa"/>
            <w:vAlign w:val="bottom"/>
          </w:tcPr>
          <w:p>
            <w:pPr>
              <w:jc w:val="center"/>
              <w:spacing w:after="0"/>
              <w:rPr>
                <w:sz w:val="20"/>
                <w:szCs w:val="20"/>
                <w:color w:val="auto"/>
              </w:rPr>
            </w:pPr>
            <w:r>
              <w:rPr>
                <w:rFonts w:ascii="Arial" w:cs="Arial" w:eastAsia="Arial" w:hAnsi="Arial"/>
                <w:sz w:val="18"/>
                <w:szCs w:val="18"/>
                <w:i w:val="1"/>
                <w:iCs w:val="1"/>
                <w:color w:val="auto"/>
                <w:w w:val="88"/>
              </w:rPr>
              <w:t>President and Chief Executive Officer</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81" w:lineRule="exact"/>
        <w:rPr>
          <w:sz w:val="20"/>
          <w:szCs w:val="20"/>
          <w:color w:val="auto"/>
        </w:rPr>
      </w:pPr>
    </w:p>
    <w:p>
      <w:pPr>
        <w:ind w:left="2320"/>
        <w:spacing w:after="0"/>
        <w:tabs>
          <w:tab w:leader="none" w:pos="6340" w:val="left"/>
          <w:tab w:leader="none" w:pos="936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ectPr>
          <w:pgSz w:w="11900" w:h="16838" w:orient="portrait"/>
          <w:cols w:equalWidth="0" w:num="1">
            <w:col w:w="11080"/>
          </w:cols>
          <w:pgMar w:left="320" w:top="131" w:right="49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left="1540"/>
        <w:spacing w:after="0"/>
        <w:rPr>
          <w:sz w:val="20"/>
          <w:szCs w:val="20"/>
          <w:color w:val="auto"/>
        </w:rPr>
      </w:pPr>
      <w:r>
        <w:rPr>
          <w:rFonts w:ascii="Arial" w:cs="Arial" w:eastAsia="Arial" w:hAnsi="Arial"/>
          <w:sz w:val="16"/>
          <w:szCs w:val="16"/>
          <w:color w:val="auto"/>
        </w:rPr>
        <w:t>/s/ 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85725</wp:posOffset>
            </wp:positionV>
            <wp:extent cx="18859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9">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01"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Anthony S. Marucci</w:t>
      </w:r>
    </w:p>
    <w:p>
      <w:pPr>
        <w:spacing w:after="0" w:line="252" w:lineRule="exact"/>
        <w:rPr>
          <w:sz w:val="20"/>
          <w:szCs w:val="20"/>
          <w:color w:val="auto"/>
        </w:rPr>
      </w:pPr>
    </w:p>
    <w:p>
      <w:pPr>
        <w:jc w:val="center"/>
        <w:ind w:left="1540"/>
        <w:spacing w:after="0"/>
        <w:rPr>
          <w:sz w:val="20"/>
          <w:szCs w:val="20"/>
          <w:color w:val="auto"/>
        </w:rPr>
      </w:pPr>
      <w:r>
        <w:rPr>
          <w:rFonts w:ascii="Arial" w:cs="Arial" w:eastAsia="Arial" w:hAnsi="Arial"/>
          <w:sz w:val="18"/>
          <w:szCs w:val="18"/>
          <w:color w:val="auto"/>
        </w:rPr>
        <w:t>/s/ SAM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71120</wp:posOffset>
            </wp:positionV>
            <wp:extent cx="188595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0">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178" w:lineRule="exact"/>
        <w:rPr>
          <w:sz w:val="20"/>
          <w:szCs w:val="20"/>
          <w:color w:val="auto"/>
        </w:rPr>
      </w:pPr>
    </w:p>
    <w:p>
      <w:pPr>
        <w:jc w:val="center"/>
        <w:ind w:left="1540"/>
        <w:spacing w:after="0"/>
        <w:rPr>
          <w:sz w:val="20"/>
          <w:szCs w:val="20"/>
          <w:color w:val="auto"/>
        </w:rPr>
      </w:pPr>
      <w:r>
        <w:rPr>
          <w:rFonts w:ascii="Arial" w:cs="Arial" w:eastAsia="Arial" w:hAnsi="Arial"/>
          <w:sz w:val="18"/>
          <w:szCs w:val="18"/>
          <w:color w:val="auto"/>
        </w:rPr>
        <w:t>Sam Martin</w:t>
      </w:r>
    </w:p>
    <w:p>
      <w:pPr>
        <w:spacing w:after="0" w:line="252" w:lineRule="exact"/>
        <w:rPr>
          <w:sz w:val="20"/>
          <w:szCs w:val="20"/>
          <w:color w:val="auto"/>
        </w:rPr>
      </w:pPr>
    </w:p>
    <w:p>
      <w:pPr>
        <w:jc w:val="center"/>
        <w:ind w:left="1540"/>
        <w:spacing w:after="0"/>
        <w:rPr>
          <w:sz w:val="20"/>
          <w:szCs w:val="20"/>
          <w:color w:val="auto"/>
        </w:rPr>
      </w:pPr>
      <w:r>
        <w:rPr>
          <w:rFonts w:ascii="Arial" w:cs="Arial" w:eastAsia="Arial" w:hAnsi="Arial"/>
          <w:sz w:val="18"/>
          <w:szCs w:val="18"/>
          <w:color w:val="auto"/>
        </w:rPr>
        <w:t>/s/ KAREN L. SHOOS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71120</wp:posOffset>
            </wp:positionV>
            <wp:extent cx="188595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1">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178" w:lineRule="exact"/>
        <w:rPr>
          <w:sz w:val="20"/>
          <w:szCs w:val="20"/>
          <w:color w:val="auto"/>
        </w:rPr>
      </w:pPr>
    </w:p>
    <w:p>
      <w:pPr>
        <w:jc w:val="center"/>
        <w:ind w:left="1540"/>
        <w:spacing w:after="0"/>
        <w:rPr>
          <w:sz w:val="20"/>
          <w:szCs w:val="20"/>
          <w:color w:val="auto"/>
        </w:rPr>
      </w:pPr>
      <w:r>
        <w:rPr>
          <w:rFonts w:ascii="Arial" w:cs="Arial" w:eastAsia="Arial" w:hAnsi="Arial"/>
          <w:sz w:val="18"/>
          <w:szCs w:val="18"/>
          <w:color w:val="auto"/>
        </w:rPr>
        <w:t>Karen L. Shoos</w:t>
      </w:r>
    </w:p>
    <w:p>
      <w:pPr>
        <w:spacing w:after="0" w:line="252" w:lineRule="exact"/>
        <w:rPr>
          <w:sz w:val="20"/>
          <w:szCs w:val="20"/>
          <w:color w:val="auto"/>
        </w:rPr>
      </w:pPr>
    </w:p>
    <w:p>
      <w:pPr>
        <w:jc w:val="center"/>
        <w:ind w:left="1540"/>
        <w:spacing w:after="0"/>
        <w:rPr>
          <w:sz w:val="20"/>
          <w:szCs w:val="20"/>
          <w:color w:val="auto"/>
        </w:rPr>
      </w:pPr>
      <w:r>
        <w:rPr>
          <w:rFonts w:ascii="Arial" w:cs="Arial" w:eastAsia="Arial" w:hAnsi="Arial"/>
          <w:sz w:val="18"/>
          <w:szCs w:val="18"/>
          <w:color w:val="auto"/>
        </w:rPr>
        <w:t>/s/ KEITH L. BROWNLIE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71120</wp:posOffset>
            </wp:positionV>
            <wp:extent cx="188595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2">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78" w:lineRule="exact"/>
        <w:rPr>
          <w:sz w:val="20"/>
          <w:szCs w:val="20"/>
          <w:color w:val="auto"/>
        </w:rPr>
      </w:pPr>
    </w:p>
    <w:p>
      <w:pPr>
        <w:jc w:val="center"/>
        <w:ind w:left="1540"/>
        <w:spacing w:after="0"/>
        <w:rPr>
          <w:sz w:val="20"/>
          <w:szCs w:val="20"/>
          <w:color w:val="auto"/>
        </w:rPr>
      </w:pPr>
      <w:r>
        <w:rPr>
          <w:rFonts w:ascii="Arial" w:cs="Arial" w:eastAsia="Arial" w:hAnsi="Arial"/>
          <w:sz w:val="18"/>
          <w:szCs w:val="18"/>
          <w:color w:val="auto"/>
        </w:rPr>
        <w:t>Keith L. Brownlie</w:t>
      </w:r>
    </w:p>
    <w:p>
      <w:pPr>
        <w:spacing w:after="0" w:line="252" w:lineRule="exact"/>
        <w:rPr>
          <w:sz w:val="20"/>
          <w:szCs w:val="20"/>
          <w:color w:val="auto"/>
        </w:rPr>
      </w:pPr>
    </w:p>
    <w:p>
      <w:pPr>
        <w:jc w:val="center"/>
        <w:ind w:left="1540"/>
        <w:spacing w:after="0"/>
        <w:rPr>
          <w:sz w:val="20"/>
          <w:szCs w:val="20"/>
          <w:color w:val="auto"/>
        </w:rPr>
      </w:pPr>
      <w:r>
        <w:rPr>
          <w:rFonts w:ascii="Arial" w:cs="Arial" w:eastAsia="Arial" w:hAnsi="Arial"/>
          <w:sz w:val="16"/>
          <w:szCs w:val="16"/>
          <w:color w:val="auto"/>
        </w:rPr>
        <w:t>/s/ HERBERT J. CONRAD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85725</wp:posOffset>
            </wp:positionV>
            <wp:extent cx="188595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3">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201" w:lineRule="exact"/>
        <w:rPr>
          <w:sz w:val="20"/>
          <w:szCs w:val="20"/>
          <w:color w:val="auto"/>
        </w:rPr>
      </w:pPr>
    </w:p>
    <w:p>
      <w:pPr>
        <w:jc w:val="center"/>
        <w:ind w:left="1540"/>
        <w:spacing w:after="0"/>
        <w:rPr>
          <w:sz w:val="20"/>
          <w:szCs w:val="20"/>
          <w:color w:val="auto"/>
        </w:rPr>
      </w:pPr>
      <w:r>
        <w:rPr>
          <w:rFonts w:ascii="Arial" w:cs="Arial" w:eastAsia="Arial" w:hAnsi="Arial"/>
          <w:sz w:val="18"/>
          <w:szCs w:val="18"/>
          <w:color w:val="auto"/>
        </w:rPr>
        <w:t>Herbert J. Conrad</w:t>
      </w:r>
    </w:p>
    <w:p>
      <w:pPr>
        <w:spacing w:after="0" w:line="252" w:lineRule="exact"/>
        <w:rPr>
          <w:sz w:val="20"/>
          <w:szCs w:val="20"/>
          <w:color w:val="auto"/>
        </w:rPr>
      </w:pPr>
    </w:p>
    <w:p>
      <w:pPr>
        <w:jc w:val="center"/>
        <w:ind w:left="1540"/>
        <w:spacing w:after="0"/>
        <w:rPr>
          <w:sz w:val="20"/>
          <w:szCs w:val="20"/>
          <w:color w:val="auto"/>
        </w:rPr>
      </w:pPr>
      <w:r>
        <w:rPr>
          <w:rFonts w:ascii="Arial" w:cs="Arial" w:eastAsia="Arial" w:hAnsi="Arial"/>
          <w:sz w:val="18"/>
          <w:szCs w:val="18"/>
          <w:color w:val="auto"/>
        </w:rPr>
        <w:t>/s/ JAMES J. MARINO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71120</wp:posOffset>
            </wp:positionV>
            <wp:extent cx="18859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4">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78" w:lineRule="exact"/>
        <w:rPr>
          <w:sz w:val="20"/>
          <w:szCs w:val="20"/>
          <w:color w:val="auto"/>
        </w:rPr>
      </w:pPr>
    </w:p>
    <w:p>
      <w:pPr>
        <w:jc w:val="center"/>
        <w:ind w:left="1540"/>
        <w:spacing w:after="0"/>
        <w:rPr>
          <w:sz w:val="20"/>
          <w:szCs w:val="20"/>
          <w:color w:val="auto"/>
        </w:rPr>
      </w:pPr>
      <w:r>
        <w:rPr>
          <w:rFonts w:ascii="Arial" w:cs="Arial" w:eastAsia="Arial" w:hAnsi="Arial"/>
          <w:sz w:val="18"/>
          <w:szCs w:val="18"/>
          <w:color w:val="auto"/>
        </w:rPr>
        <w:t>James J. Marino</w:t>
      </w:r>
    </w:p>
    <w:p>
      <w:pPr>
        <w:spacing w:after="0" w:line="252" w:lineRule="exact"/>
        <w:rPr>
          <w:sz w:val="20"/>
          <w:szCs w:val="20"/>
          <w:color w:val="auto"/>
        </w:rPr>
      </w:pPr>
    </w:p>
    <w:p>
      <w:pPr>
        <w:jc w:val="center"/>
        <w:ind w:left="1540"/>
        <w:spacing w:after="0"/>
        <w:rPr>
          <w:sz w:val="20"/>
          <w:szCs w:val="20"/>
          <w:color w:val="auto"/>
        </w:rPr>
      </w:pPr>
      <w:r>
        <w:rPr>
          <w:rFonts w:ascii="Arial" w:cs="Arial" w:eastAsia="Arial" w:hAnsi="Arial"/>
          <w:sz w:val="16"/>
          <w:szCs w:val="16"/>
          <w:color w:val="auto"/>
        </w:rPr>
        <w:t>/s/ HARRY H. PENNER,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85725</wp:posOffset>
            </wp:positionV>
            <wp:extent cx="18859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5">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01"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Harry H. Penner, Jr.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auto"/>
        </w:rPr>
        <w:t>President, Chief Executive Officer, and Director (Principal Executive Officer)</w:t>
      </w:r>
    </w:p>
    <w:p>
      <w:pPr>
        <w:spacing w:after="0" w:line="200" w:lineRule="exact"/>
        <w:rPr>
          <w:sz w:val="20"/>
          <w:szCs w:val="20"/>
          <w:color w:val="auto"/>
        </w:rPr>
      </w:pPr>
    </w:p>
    <w:p>
      <w:pPr>
        <w:spacing w:after="0" w:line="202" w:lineRule="exact"/>
        <w:rPr>
          <w:sz w:val="20"/>
          <w:szCs w:val="20"/>
          <w:color w:val="auto"/>
        </w:rPr>
      </w:pPr>
    </w:p>
    <w:p>
      <w:pPr>
        <w:spacing w:after="0" w:line="331" w:lineRule="auto"/>
        <w:rPr>
          <w:sz w:val="20"/>
          <w:szCs w:val="20"/>
          <w:color w:val="auto"/>
        </w:rPr>
      </w:pPr>
      <w:r>
        <w:rPr>
          <w:rFonts w:ascii="Arial" w:cs="Arial" w:eastAsia="Arial" w:hAnsi="Arial"/>
          <w:sz w:val="16"/>
          <w:szCs w:val="16"/>
          <w:color w:val="auto"/>
        </w:rPr>
        <w:t>Senior Vice President, Chief Financial Officer and Treasurer (Principal Financial and Accounting Officer)</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Director, Chair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146050</wp:posOffset>
            </wp:positionV>
            <wp:extent cx="71361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March 26, 2020</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March 26, 2020</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March 26, 2020</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March 26, 2020</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March 26, 2020</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March 26, 2020</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March 26, 2020</w:t>
      </w:r>
    </w:p>
    <w:p>
      <w:pPr>
        <w:sectPr>
          <w:pgSz w:w="11900" w:h="16838" w:orient="portrait"/>
          <w:cols w:equalWidth="0" w:num="3">
            <w:col w:w="3660" w:space="580"/>
            <w:col w:w="4240" w:space="480"/>
            <w:col w:w="2120"/>
          </w:cols>
          <w:pgMar w:left="320" w:top="131" w:right="499" w:bottom="1440" w:gutter="0" w:footer="0" w:header="0"/>
          <w:type w:val="continuous"/>
        </w:sectPr>
      </w:pPr>
    </w:p>
    <w:bookmarkStart w:id="117" w:name="page118"/>
    <w:bookmarkEnd w:id="11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8" w:name="page119"/>
    <w:bookmarkEnd w:id="118"/>
    <w:p>
      <w:pPr>
        <w:ind w:left="10400"/>
        <w:spacing w:after="0"/>
        <w:rPr>
          <w:sz w:val="20"/>
          <w:szCs w:val="20"/>
          <w:color w:val="auto"/>
        </w:rPr>
      </w:pPr>
      <w:r>
        <w:rPr>
          <w:rFonts w:ascii="Arial" w:cs="Arial" w:eastAsia="Arial" w:hAnsi="Arial"/>
          <w:sz w:val="16"/>
          <w:szCs w:val="16"/>
          <w:b w:val="1"/>
          <w:bCs w:val="1"/>
          <w:color w:val="auto"/>
        </w:rPr>
        <w:t>Exhibit 4.3</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DESCRIPTION OF THE REGISTRANT’S SECURITIES REGISTERED PURSUANT TO SECTION 12 OF THE SECURITIES EXCHANGE ACT OF 1934</w:t>
      </w:r>
    </w:p>
    <w:p>
      <w:pPr>
        <w:spacing w:after="0" w:line="16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following description of our common stock summarizes the material terms and provisions of our common stock. The following description of our capital stock does not purport to be complete and is subject to, and qualified in its entirety by, our Third Restated Certificate of Incorporation, as amended, (the “Certificate of Incorporation”) and our Amended and Restated By-Laws (the “Bylaws”) which are exhibits to the Annual Report on Form 10-K filed with the Securities and Exchange Commission, of which this Exhibit 4.3 forms a part. The terms of our common stock may also be affected by Delaware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are authorized to issue up to 297,000,000 shares of common stock, $0.001 par value per share. We are also authorized to issue up to 3,000,000 shares of preferred stock, all of which have been designated as Class C Preferred Stock, including 350,000 shares which have been designated as Series C-1 Junior Participating Cumulative Preferred Stock, the terms of which are to be determined by our Board of Directors.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Capital Market under the symbol “CLDX”.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Board of Directors may, out of funds legally available, at any regular or special meeting, declare dividends to the holders of shares of our common stock as and when they deem expedient, subject to the rights of holders of the preferred stock, if 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Voting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Each share of common stock entitles the holders to one vote per share on all matters requiring a vote of the stockholders, including the election of directors.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holders of shares of common stock shall have the right to vote such shares cumulatively in any election for the Board of Directors.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Rights Upon </w:t>
      </w:r>
      <w:r>
        <w:rPr>
          <w:rFonts w:ascii="Arial" w:cs="Arial" w:eastAsia="Arial" w:hAnsi="Arial"/>
          <w:sz w:val="17"/>
          <w:szCs w:val="17"/>
          <w:b w:val="1"/>
          <w:bCs w:val="1"/>
          <w:i w:val="1"/>
          <w:iCs w:val="1"/>
          <w:color w:val="auto"/>
        </w:rPr>
        <w:t>Liquidation</w:t>
      </w:r>
    </w:p>
    <w:p>
      <w:pPr>
        <w:spacing w:after="0" w:line="22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 the event of our voluntary or involuntary liquidation, dissolution, or winding up, the holders of our common stock will be entitled to share equally in our assets available for distribution after payment in full of all debts and after the holders of preferred stock, if any, have received their liquidation preferences in full.</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Miscellaneous</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No holders of shares of our common stock shall have any preemptive rights to subscribe for, purchase or receive any shares of any class, whether now or hereafter authorized, or any options or warrants to purchase any such shares, or any securities convertible into or exchanged for any such shares, which may at any time be issued, sold or offered for sale by Celldex.</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225"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Certain provisions in our third restated certificate of incorporation, as amended, and applicable Delaware corporate law, may have the effect of discouraging a change of control of Celldex, even if such a transaction is favored by some of our stockholders and could result in stockholders receiving a substantial premium over the current market price of our shares. The primary purpose of these provisions is to encourage negotiations with our management by persons interested in acquiring control of our corporation. These provisions may also tend to perpetuate present management and make it difficult for stockholders owning less than a majority of the shares to be able to elect even a single director.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Computershare Trust Company, N.A. is presently the transfer agent and registrar for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NINTH AMENDMENT TO LEASE</w:t>
      </w:r>
    </w:p>
    <w:p>
      <w:pPr>
        <w:spacing w:after="0" w:line="225"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This NINTH AMENDMENT TO LEASE (this “</w:t>
      </w:r>
      <w:r>
        <w:rPr>
          <w:rFonts w:ascii="Arial" w:cs="Arial" w:eastAsia="Arial" w:hAnsi="Arial"/>
          <w:sz w:val="18"/>
          <w:szCs w:val="18"/>
          <w:b w:val="1"/>
          <w:bCs w:val="1"/>
          <w:color w:val="auto"/>
        </w:rPr>
        <w:t>Amendment</w:t>
      </w:r>
      <w:r>
        <w:rPr>
          <w:rFonts w:ascii="Arial" w:cs="Arial" w:eastAsia="Arial" w:hAnsi="Arial"/>
          <w:sz w:val="18"/>
          <w:szCs w:val="18"/>
          <w:color w:val="auto"/>
        </w:rPr>
        <w:t>”) is made as of the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day of October 2019,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UNIVERSITY OF MASSACHUSETTS DARTMOUTH</w:t>
      </w:r>
      <w:r>
        <w:rPr>
          <w:rFonts w:ascii="Arial" w:cs="Arial" w:eastAsia="Arial" w:hAnsi="Arial"/>
          <w:sz w:val="18"/>
          <w:szCs w:val="18"/>
          <w:color w:val="auto"/>
        </w:rPr>
        <w:t>, an institution of Higher Education of the Commonwealth of Massachusetts, with an address of</w:t>
      </w:r>
      <w:r>
        <w:rPr>
          <w:rFonts w:ascii="Arial" w:cs="Arial" w:eastAsia="Arial" w:hAnsi="Arial"/>
          <w:sz w:val="18"/>
          <w:szCs w:val="18"/>
          <w:b w:val="1"/>
          <w:bCs w:val="1"/>
          <w:color w:val="auto"/>
        </w:rPr>
        <w:t xml:space="preserve"> </w:t>
      </w:r>
      <w:r>
        <w:rPr>
          <w:rFonts w:ascii="Arial" w:cs="Arial" w:eastAsia="Arial" w:hAnsi="Arial"/>
          <w:sz w:val="18"/>
          <w:szCs w:val="18"/>
          <w:color w:val="auto"/>
        </w:rPr>
        <w:t>285 Old Westport Rd. North Dartmouth Massachusetts 02747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CELLDEX THERAPEUTICS, IN</w:t>
      </w:r>
      <w:r>
        <w:rPr>
          <w:rFonts w:ascii="Arial" w:cs="Arial" w:eastAsia="Arial" w:hAnsi="Arial"/>
          <w:sz w:val="18"/>
          <w:szCs w:val="18"/>
          <w:color w:val="auto"/>
        </w:rPr>
        <w:t>C. (formerly AVANT Immunotherapeutics, Inc.), a Delaware corporation, with an address of 53 Frontage Road, Hampton NJ 08827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Tenant and the Massachusetts Development Finance Agency (“MDFA”) entered into a certain Lease dated effective December 22,</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2003 ( the “Lease), as amended by that certain First Amendment to Lease dated as of March 17, 2005 (the “</w:t>
      </w:r>
      <w:r>
        <w:rPr>
          <w:rFonts w:ascii="Arial" w:cs="Arial" w:eastAsia="Arial" w:hAnsi="Arial"/>
          <w:sz w:val="17"/>
          <w:szCs w:val="17"/>
          <w:b w:val="1"/>
          <w:bCs w:val="1"/>
          <w:color w:val="auto"/>
        </w:rPr>
        <w:t>First Amendment</w:t>
      </w:r>
      <w:r>
        <w:rPr>
          <w:rFonts w:ascii="Arial" w:cs="Arial" w:eastAsia="Arial" w:hAnsi="Arial"/>
          <w:sz w:val="17"/>
          <w:szCs w:val="17"/>
          <w:color w:val="auto"/>
        </w:rPr>
        <w:t>”), that certain Second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Amendment to Lease dated as of November 4, 2005 (the “</w:t>
      </w:r>
      <w:r>
        <w:rPr>
          <w:rFonts w:ascii="Arial" w:cs="Arial" w:eastAsia="Arial" w:hAnsi="Arial"/>
          <w:sz w:val="16"/>
          <w:szCs w:val="16"/>
          <w:b w:val="1"/>
          <w:bCs w:val="1"/>
          <w:color w:val="auto"/>
        </w:rPr>
        <w:t>Second Amendment</w:t>
      </w:r>
      <w:r>
        <w:rPr>
          <w:rFonts w:ascii="Arial" w:cs="Arial" w:eastAsia="Arial" w:hAnsi="Arial"/>
          <w:sz w:val="16"/>
          <w:szCs w:val="16"/>
          <w:color w:val="auto"/>
        </w:rPr>
        <w:t>”), that certain Third Amendment To Lease dated as of December 20, 2006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Third Amendment</w:t>
      </w:r>
      <w:r>
        <w:rPr>
          <w:rFonts w:ascii="Arial" w:cs="Arial" w:eastAsia="Arial" w:hAnsi="Arial"/>
          <w:sz w:val="16"/>
          <w:szCs w:val="16"/>
          <w:color w:val="auto"/>
        </w:rPr>
        <w:t>”), that certain Fourth Amendment to Lease dated as of July 18, 2008 (the “</w:t>
      </w:r>
      <w:r>
        <w:rPr>
          <w:rFonts w:ascii="Arial" w:cs="Arial" w:eastAsia="Arial" w:hAnsi="Arial"/>
          <w:sz w:val="16"/>
          <w:szCs w:val="16"/>
          <w:b w:val="1"/>
          <w:bCs w:val="1"/>
          <w:color w:val="auto"/>
        </w:rPr>
        <w:t>Fourth Amendment</w:t>
      </w:r>
      <w:r>
        <w:rPr>
          <w:rFonts w:ascii="Arial" w:cs="Arial" w:eastAsia="Arial" w:hAnsi="Arial"/>
          <w:sz w:val="16"/>
          <w:szCs w:val="16"/>
          <w:color w:val="auto"/>
        </w:rPr>
        <w:t>”), that certain Fifth Amendment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Lease dated as of October 3, 2008 (the “</w:t>
      </w:r>
      <w:r>
        <w:rPr>
          <w:rFonts w:ascii="Arial" w:cs="Arial" w:eastAsia="Arial" w:hAnsi="Arial"/>
          <w:sz w:val="17"/>
          <w:szCs w:val="17"/>
          <w:b w:val="1"/>
          <w:bCs w:val="1"/>
          <w:color w:val="auto"/>
        </w:rPr>
        <w:t>Fifth Amendment</w:t>
      </w:r>
      <w:r>
        <w:rPr>
          <w:rFonts w:ascii="Arial" w:cs="Arial" w:eastAsia="Arial" w:hAnsi="Arial"/>
          <w:sz w:val="17"/>
          <w:szCs w:val="17"/>
          <w:color w:val="auto"/>
        </w:rPr>
        <w:t>”), that certain Sixth Amendment to Lease dated as of August 20, 2009 (the “</w:t>
      </w:r>
      <w:r>
        <w:rPr>
          <w:rFonts w:ascii="Arial" w:cs="Arial" w:eastAsia="Arial" w:hAnsi="Arial"/>
          <w:sz w:val="17"/>
          <w:szCs w:val="17"/>
          <w:b w:val="1"/>
          <w:bCs w:val="1"/>
          <w:color w:val="auto"/>
        </w:rPr>
        <w:t>Sixth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Amendment</w:t>
      </w:r>
      <w:r>
        <w:rPr>
          <w:rFonts w:ascii="Arial" w:cs="Arial" w:eastAsia="Arial" w:hAnsi="Arial"/>
          <w:sz w:val="16"/>
          <w:szCs w:val="16"/>
          <w:color w:val="auto"/>
        </w:rPr>
        <w:t>”), that certain Seventh Amendment to Lease dated June 22, 2010 (the “</w:t>
      </w:r>
      <w:r>
        <w:rPr>
          <w:rFonts w:ascii="Arial" w:cs="Arial" w:eastAsia="Arial" w:hAnsi="Arial"/>
          <w:sz w:val="16"/>
          <w:szCs w:val="16"/>
          <w:b w:val="1"/>
          <w:bCs w:val="1"/>
          <w:color w:val="auto"/>
        </w:rPr>
        <w:t>Seventh Amendment</w:t>
      </w:r>
      <w:r>
        <w:rPr>
          <w:rFonts w:ascii="Arial" w:cs="Arial" w:eastAsia="Arial" w:hAnsi="Arial"/>
          <w:sz w:val="16"/>
          <w:szCs w:val="16"/>
          <w:color w:val="auto"/>
        </w:rPr>
        <w:t>”) and that certain Eight Amendment to lease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dated November 15, 2015 (the “</w:t>
      </w:r>
      <w:r>
        <w:rPr>
          <w:rFonts w:ascii="Arial" w:cs="Arial" w:eastAsia="Arial" w:hAnsi="Arial"/>
          <w:sz w:val="17"/>
          <w:szCs w:val="17"/>
          <w:b w:val="1"/>
          <w:bCs w:val="1"/>
          <w:color w:val="auto"/>
        </w:rPr>
        <w:t>Eight Amendment</w:t>
      </w:r>
      <w:r>
        <w:rPr>
          <w:rFonts w:ascii="Arial" w:cs="Arial" w:eastAsia="Arial" w:hAnsi="Arial"/>
          <w:sz w:val="17"/>
          <w:szCs w:val="17"/>
          <w:color w:val="auto"/>
        </w:rPr>
        <w:t>”) of certain premises consisting of approximately 23,413 rentable square feet of space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Premises</w:t>
      </w:r>
      <w:r>
        <w:rPr>
          <w:rFonts w:ascii="Arial" w:cs="Arial" w:eastAsia="Arial" w:hAnsi="Arial"/>
          <w:sz w:val="17"/>
          <w:szCs w:val="17"/>
          <w:color w:val="auto"/>
        </w:rPr>
        <w:t>”) in the building (the “</w:t>
      </w:r>
      <w:r>
        <w:rPr>
          <w:rFonts w:ascii="Arial" w:cs="Arial" w:eastAsia="Arial" w:hAnsi="Arial"/>
          <w:sz w:val="17"/>
          <w:szCs w:val="17"/>
          <w:b w:val="1"/>
          <w:bCs w:val="1"/>
          <w:color w:val="auto"/>
        </w:rPr>
        <w:t>Building</w:t>
      </w:r>
      <w:r>
        <w:rPr>
          <w:rFonts w:ascii="Arial" w:cs="Arial" w:eastAsia="Arial" w:hAnsi="Arial"/>
          <w:sz w:val="17"/>
          <w:szCs w:val="17"/>
          <w:color w:val="auto"/>
        </w:rPr>
        <w:t>”) located at 151 Martine Street, Fall River, Massachusetts (the “</w:t>
      </w:r>
      <w:r>
        <w:rPr>
          <w:rFonts w:ascii="Arial" w:cs="Arial" w:eastAsia="Arial" w:hAnsi="Arial"/>
          <w:sz w:val="17"/>
          <w:szCs w:val="17"/>
          <w:b w:val="1"/>
          <w:bCs w:val="1"/>
          <w:color w:val="auto"/>
        </w:rPr>
        <w:t>Property</w:t>
      </w:r>
      <w:r>
        <w:rPr>
          <w:rFonts w:ascii="Arial" w:cs="Arial" w:eastAsia="Arial" w:hAnsi="Arial"/>
          <w:sz w:val="17"/>
          <w:szCs w:val="17"/>
          <w:color w:val="auto"/>
        </w:rPr>
        <w:t>”) in the South Coast Research &amp;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Technology Park (the “</w:t>
      </w:r>
      <w:r>
        <w:rPr>
          <w:rFonts w:ascii="Arial" w:cs="Arial" w:eastAsia="Arial" w:hAnsi="Arial"/>
          <w:sz w:val="18"/>
          <w:szCs w:val="18"/>
          <w:b w:val="1"/>
          <w:bCs w:val="1"/>
          <w:color w:val="auto"/>
        </w:rPr>
        <w:t>Park</w:t>
      </w:r>
      <w:r>
        <w:rPr>
          <w:rFonts w:ascii="Arial" w:cs="Arial" w:eastAsia="Arial" w:hAnsi="Arial"/>
          <w:sz w:val="18"/>
          <w:szCs w:val="18"/>
          <w:color w:val="auto"/>
        </w:rPr>
        <w:t>”); and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0" w:name="page121"/>
    <w:bookmarkEnd w:id="120"/>
    <w:p>
      <w:pPr>
        <w:ind w:left="660"/>
        <w:spacing w:after="0"/>
        <w:rPr>
          <w:sz w:val="20"/>
          <w:szCs w:val="20"/>
          <w:color w:val="auto"/>
        </w:rPr>
      </w:pPr>
      <w:r>
        <w:rPr>
          <w:rFonts w:ascii="Arial" w:cs="Arial" w:eastAsia="Arial" w:hAnsi="Arial"/>
          <w:sz w:val="17"/>
          <w:szCs w:val="17"/>
          <w:color w:val="auto"/>
        </w:rPr>
        <w:t>WHEREAS, on June 24, 2014, MDFA conveyed all of its rights, title and interest in the Building and assigned the Lease to Landlord; and</w:t>
      </w:r>
    </w:p>
    <w:p>
      <w:pPr>
        <w:spacing w:after="0" w:line="237" w:lineRule="exact"/>
        <w:rPr>
          <w:sz w:val="20"/>
          <w:szCs w:val="20"/>
          <w:color w:val="auto"/>
        </w:rPr>
      </w:pPr>
    </w:p>
    <w:p>
      <w:pPr>
        <w:ind w:firstLine="648"/>
        <w:spacing w:after="0" w:line="261" w:lineRule="auto"/>
        <w:rPr>
          <w:sz w:val="20"/>
          <w:szCs w:val="20"/>
          <w:color w:val="auto"/>
        </w:rPr>
      </w:pPr>
      <w:r>
        <w:rPr>
          <w:rFonts w:ascii="Arial" w:cs="Arial" w:eastAsia="Arial" w:hAnsi="Arial"/>
          <w:sz w:val="17"/>
          <w:szCs w:val="17"/>
          <w:color w:val="auto"/>
        </w:rPr>
        <w:t>WHEREAS, the Premises is comprised of: (i) the original premises demised by the Lease, as amended through the Third Amendment, being 11,756 rentable square feet on the second (2nd) floor of the Building, (ii) the Additional Space (as defined in the First Amendment) demised by the First Amendment, being 71 rentable square feet on the first (1st) floor of the Building, (iii) the Expansion Premises (as defined in the Second Amendment), being 2,487 rentable square feet on the second (2nd) floor of the Building; (iv) the Second Expansion Premises (as defined in the Third Amendment), being 1,853 rentable square feet on the second (2nd) floor of the Building; (v) the Substitute Third Expansion Premises (as defined in the Fifth Amendment), being 4,864 rentable square feet of space on the second floor of the Building (referred to therein as the “Third Expansion Premises”); (vi) the Fourth Expansion Premises (as defined in the Sixth Amendment), being 2,382 rentable square feet on the second (2nd) floor of the Building; and (v) the Fifth Expansion Premises (as defined in the Eight Amendment), being 5,511 rentable square feet on the second (2</w:t>
      </w:r>
      <w:r>
        <w:rPr>
          <w:rFonts w:ascii="Arial" w:cs="Arial" w:eastAsia="Arial" w:hAnsi="Arial"/>
          <w:sz w:val="22"/>
          <w:szCs w:val="22"/>
          <w:color w:val="auto"/>
          <w:vertAlign w:val="superscript"/>
        </w:rPr>
        <w:t>nd</w:t>
      </w:r>
      <w:r>
        <w:rPr>
          <w:rFonts w:ascii="Arial" w:cs="Arial" w:eastAsia="Arial" w:hAnsi="Arial"/>
          <w:sz w:val="17"/>
          <w:szCs w:val="17"/>
          <w:color w:val="auto"/>
        </w:rPr>
        <w:t>) floor of the Building such that the “Premises Square Footage” (as stated in the Eight Amendment) is defined to be 28,924 rentable square feet; and</w:t>
      </w:r>
    </w:p>
    <w:p>
      <w:pPr>
        <w:spacing w:after="0" w:line="184"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WHEREAS, Landlord and Tenant have agreed to enter into this Ninth Amendment to Lease to extend the term of the Lease and to amended certain additional provisions to the Lease,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for good and valuable consideration, the receipt and sufficiency of which is hereby mutually acknowledged, Landlord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Tenant agree as follows:</w:t>
      </w:r>
    </w:p>
    <w:p>
      <w:pPr>
        <w:spacing w:after="0" w:line="211" w:lineRule="exact"/>
        <w:rPr>
          <w:sz w:val="20"/>
          <w:szCs w:val="20"/>
          <w:color w:val="auto"/>
        </w:rPr>
      </w:pPr>
    </w:p>
    <w:p>
      <w:pPr>
        <w:ind w:right="80" w:firstLine="656"/>
        <w:spacing w:after="0" w:line="277" w:lineRule="auto"/>
        <w:tabs>
          <w:tab w:leader="none" w:pos="873"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Unless otherwise defined herein, all capitalized terms used in this Amendment shall have the meanings ascribed to them in the Lease, and all references in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1" w:name="page122"/>
    <w:bookmarkEnd w:id="121"/>
    <w:p>
      <w:pPr>
        <w:ind w:right="40"/>
        <w:spacing w:after="0" w:line="277" w:lineRule="auto"/>
        <w:rPr>
          <w:sz w:val="20"/>
          <w:szCs w:val="20"/>
          <w:color w:val="auto"/>
        </w:rPr>
      </w:pPr>
      <w:r>
        <w:rPr>
          <w:rFonts w:ascii="Arial" w:cs="Arial" w:eastAsia="Arial" w:hAnsi="Arial"/>
          <w:sz w:val="18"/>
          <w:szCs w:val="18"/>
          <w:color w:val="auto"/>
        </w:rPr>
        <w:t>Lease to the “Lease” or “this Lease” or “herein” or “hereunder” or similar terms or to any Section thereof shall, after the Effective Date, mean the Lease, or such Section thereof, as amended by this Amendment.</w:t>
      </w:r>
    </w:p>
    <w:p>
      <w:pPr>
        <w:spacing w:after="0" w:line="170" w:lineRule="exact"/>
        <w:rPr>
          <w:sz w:val="20"/>
          <w:szCs w:val="20"/>
          <w:color w:val="auto"/>
        </w:rPr>
      </w:pPr>
    </w:p>
    <w:p>
      <w:pPr>
        <w:ind w:firstLine="656"/>
        <w:spacing w:after="0" w:line="256" w:lineRule="auto"/>
        <w:tabs>
          <w:tab w:leader="none" w:pos="873"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Demise of Sixth Expansion Premises</w:t>
      </w:r>
      <w:r>
        <w:rPr>
          <w:rFonts w:ascii="Arial" w:cs="Arial" w:eastAsia="Arial" w:hAnsi="Arial"/>
          <w:sz w:val="17"/>
          <w:szCs w:val="17"/>
          <w:color w:val="auto"/>
        </w:rPr>
        <w:t>. Commencing on January 1, 2020, Landlord does hereby lease to Tenant and Tenant does lease from Landlord the approximately 5,007 rentable square feet - 4,686 rentable square feet on the first (1</w:t>
      </w:r>
      <w:r>
        <w:rPr>
          <w:rFonts w:ascii="Arial" w:cs="Arial" w:eastAsia="Arial" w:hAnsi="Arial"/>
          <w:sz w:val="22"/>
          <w:szCs w:val="22"/>
          <w:color w:val="auto"/>
          <w:vertAlign w:val="superscript"/>
        </w:rPr>
        <w:t>st</w:t>
      </w:r>
      <w:r>
        <w:rPr>
          <w:rFonts w:ascii="Arial" w:cs="Arial" w:eastAsia="Arial" w:hAnsi="Arial"/>
          <w:sz w:val="17"/>
          <w:szCs w:val="17"/>
          <w:color w:val="auto"/>
        </w:rPr>
        <w:t>) floor of the building and 321 rentable square feet on the second (2</w:t>
      </w:r>
      <w:r>
        <w:rPr>
          <w:rFonts w:ascii="Arial" w:cs="Arial" w:eastAsia="Arial" w:hAnsi="Arial"/>
          <w:sz w:val="22"/>
          <w:szCs w:val="22"/>
          <w:color w:val="auto"/>
          <w:vertAlign w:val="superscript"/>
        </w:rPr>
        <w:t>nd</w:t>
      </w:r>
      <w:r>
        <w:rPr>
          <w:rFonts w:ascii="Arial" w:cs="Arial" w:eastAsia="Arial" w:hAnsi="Arial"/>
          <w:sz w:val="17"/>
          <w:szCs w:val="17"/>
          <w:color w:val="auto"/>
        </w:rPr>
        <w:t xml:space="preserve">) floor of the Building, as shown on the floor plan attached hereto as </w:t>
      </w:r>
      <w:r>
        <w:rPr>
          <w:rFonts w:ascii="Arial" w:cs="Arial" w:eastAsia="Arial" w:hAnsi="Arial"/>
          <w:sz w:val="17"/>
          <w:szCs w:val="17"/>
          <w:u w:val="single" w:color="auto"/>
          <w:color w:val="auto"/>
        </w:rPr>
        <w:t>Exhibit A-9</w:t>
      </w:r>
      <w:r>
        <w:rPr>
          <w:rFonts w:ascii="Arial" w:cs="Arial" w:eastAsia="Arial" w:hAnsi="Arial"/>
          <w:sz w:val="17"/>
          <w:szCs w:val="17"/>
          <w:color w:val="auto"/>
        </w:rPr>
        <w:t xml:space="preserve"> (the “Sixth Expansion Premises”) to have and to hold for the remainder of the Lease Term as set forth in the Lease. Tenant shall have access to the Sixth Expansion Premises as of October 1, 2019. Rental fee shall commence three months after all Sixth Expansion Premises has been made available or January 1, 2020. Any delay in access to all Sixth Expansion Premises will result in similar delay in rent commencement. Except as otherwise expressly provided herein, Tenant’s lease of the Sixth Expansion Premises shall be on all of the terms and conditions of the Lease (including, without limitation, extension rights of Tenant for Extension Terms) and the term of the Lease with respect to the Sixth Expansion Premises shall be coterminous with the Term (and, if exercised, Extension Terms) of the Lease for the Existing Premises. As of the Sixth Expansion Premises Commencement Date, all references in the Lease to (i) the “Premises” and/or premises demised by the Lease shall mean the Existing Premises and the Sixth Expansion Premises collectively as shown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the Lease, </w:t>
      </w:r>
      <w:r>
        <w:rPr>
          <w:rFonts w:ascii="Arial" w:cs="Arial" w:eastAsia="Arial" w:hAnsi="Arial"/>
          <w:sz w:val="17"/>
          <w:szCs w:val="17"/>
          <w:u w:val="single" w:color="auto"/>
          <w:color w:val="auto"/>
        </w:rPr>
        <w:t>Exhibit A-1</w:t>
      </w:r>
      <w:r>
        <w:rPr>
          <w:rFonts w:ascii="Arial" w:cs="Arial" w:eastAsia="Arial" w:hAnsi="Arial"/>
          <w:sz w:val="17"/>
          <w:szCs w:val="17"/>
          <w:color w:val="auto"/>
        </w:rPr>
        <w:t xml:space="preserve">, attached to the First Amendment , </w:t>
      </w:r>
      <w:r>
        <w:rPr>
          <w:rFonts w:ascii="Arial" w:cs="Arial" w:eastAsia="Arial" w:hAnsi="Arial"/>
          <w:sz w:val="17"/>
          <w:szCs w:val="17"/>
          <w:u w:val="single" w:color="auto"/>
          <w:color w:val="auto"/>
        </w:rPr>
        <w:t>Exhibit A-2</w:t>
      </w:r>
      <w:r>
        <w:rPr>
          <w:rFonts w:ascii="Arial" w:cs="Arial" w:eastAsia="Arial" w:hAnsi="Arial"/>
          <w:sz w:val="17"/>
          <w:szCs w:val="17"/>
          <w:color w:val="auto"/>
        </w:rPr>
        <w:t xml:space="preserve">, attached to the Second Amendment, </w:t>
      </w:r>
      <w:r>
        <w:rPr>
          <w:rFonts w:ascii="Arial" w:cs="Arial" w:eastAsia="Arial" w:hAnsi="Arial"/>
          <w:sz w:val="17"/>
          <w:szCs w:val="17"/>
          <w:u w:val="single" w:color="auto"/>
          <w:color w:val="auto"/>
        </w:rPr>
        <w:t>Exhibit A-3</w:t>
      </w:r>
      <w:r>
        <w:rPr>
          <w:rFonts w:ascii="Arial" w:cs="Arial" w:eastAsia="Arial" w:hAnsi="Arial"/>
          <w:sz w:val="17"/>
          <w:szCs w:val="17"/>
          <w:color w:val="auto"/>
        </w:rPr>
        <w:t xml:space="preserve">, attached to the Third Amendment, and on </w:t>
      </w:r>
      <w:r>
        <w:rPr>
          <w:rFonts w:ascii="Arial" w:cs="Arial" w:eastAsia="Arial" w:hAnsi="Arial"/>
          <w:sz w:val="17"/>
          <w:szCs w:val="17"/>
          <w:u w:val="single" w:color="auto"/>
          <w:color w:val="auto"/>
        </w:rPr>
        <w:t>Exhibit A-5</w:t>
      </w:r>
      <w:r>
        <w:rPr>
          <w:rFonts w:ascii="Arial" w:cs="Arial" w:eastAsia="Arial" w:hAnsi="Arial"/>
          <w:sz w:val="17"/>
          <w:szCs w:val="17"/>
          <w:color w:val="auto"/>
        </w:rPr>
        <w:t xml:space="preserve">, attached to the Fifth Amendment, </w:t>
      </w:r>
      <w:r>
        <w:rPr>
          <w:rFonts w:ascii="Arial" w:cs="Arial" w:eastAsia="Arial" w:hAnsi="Arial"/>
          <w:sz w:val="17"/>
          <w:szCs w:val="17"/>
          <w:u w:val="single" w:color="auto"/>
          <w:color w:val="auto"/>
        </w:rPr>
        <w:t>Exhibit A-6</w:t>
      </w:r>
      <w:r>
        <w:rPr>
          <w:rFonts w:ascii="Arial" w:cs="Arial" w:eastAsia="Arial" w:hAnsi="Arial"/>
          <w:sz w:val="17"/>
          <w:szCs w:val="17"/>
          <w:color w:val="auto"/>
        </w:rPr>
        <w:t xml:space="preserve">, attached to the Sixth Amendment, </w:t>
      </w:r>
      <w:r>
        <w:rPr>
          <w:rFonts w:ascii="Arial" w:cs="Arial" w:eastAsia="Arial" w:hAnsi="Arial"/>
          <w:sz w:val="17"/>
          <w:szCs w:val="17"/>
          <w:u w:val="single" w:color="auto"/>
          <w:color w:val="auto"/>
        </w:rPr>
        <w:t>Exhibit A-7</w:t>
      </w:r>
      <w:r>
        <w:rPr>
          <w:rFonts w:ascii="Arial" w:cs="Arial" w:eastAsia="Arial" w:hAnsi="Arial"/>
          <w:sz w:val="17"/>
          <w:szCs w:val="17"/>
          <w:color w:val="auto"/>
        </w:rPr>
        <w:t xml:space="preserve">, attached to the Seventh Amendment, Exhibit A-8 attached to the Eight Amendment and </w:t>
      </w:r>
      <w:r>
        <w:rPr>
          <w:rFonts w:ascii="Arial" w:cs="Arial" w:eastAsia="Arial" w:hAnsi="Arial"/>
          <w:sz w:val="17"/>
          <w:szCs w:val="17"/>
          <w:u w:val="single" w:color="auto"/>
          <w:color w:val="auto"/>
        </w:rPr>
        <w:t>Exhibit A-9</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2" w:name="page123"/>
    <w:bookmarkEnd w:id="122"/>
    <w:p>
      <w:pPr>
        <w:jc w:val="both"/>
        <w:ind w:right="100"/>
        <w:spacing w:after="0" w:line="263" w:lineRule="auto"/>
        <w:rPr>
          <w:sz w:val="20"/>
          <w:szCs w:val="20"/>
          <w:color w:val="auto"/>
        </w:rPr>
      </w:pPr>
      <w:r>
        <w:rPr>
          <w:rFonts w:ascii="Arial" w:cs="Arial" w:eastAsia="Arial" w:hAnsi="Arial"/>
          <w:sz w:val="18"/>
          <w:szCs w:val="18"/>
          <w:color w:val="auto"/>
        </w:rPr>
        <w:t>attached to this Amendment; (ii) the “Tenant’s Proportionate Fraction” shall mean 59.03% which is calculated by adding the Premises Square Footage as set forth in the Eight Amendment and the Sixth Expansion Premises and dividing the Building’s rentable square foot into that sum; and (iii) the “Premises Square Footage shall mean 33,931 rentable square feet.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w:t>
      </w:r>
      <w:r>
        <w:rPr>
          <w:rFonts w:ascii="Arial" w:cs="Arial" w:eastAsia="Arial" w:hAnsi="Arial"/>
          <w:sz w:val="18"/>
          <w:szCs w:val="18"/>
          <w:u w:val="single" w:color="auto"/>
          <w:color w:val="auto"/>
        </w:rPr>
        <w:t>Term</w:t>
      </w:r>
      <w:r>
        <w:rPr>
          <w:rFonts w:ascii="Arial" w:cs="Arial" w:eastAsia="Arial" w:hAnsi="Arial"/>
          <w:sz w:val="18"/>
          <w:szCs w:val="18"/>
          <w:color w:val="auto"/>
        </w:rPr>
        <w:t>. Section 2.2 of the Lease shall be amended as of August 1, 2019 to read as follows:</w:t>
      </w:r>
    </w:p>
    <w:p>
      <w:pPr>
        <w:spacing w:after="0" w:line="225" w:lineRule="exact"/>
        <w:rPr>
          <w:sz w:val="20"/>
          <w:szCs w:val="20"/>
          <w:color w:val="auto"/>
        </w:rPr>
      </w:pPr>
    </w:p>
    <w:p>
      <w:pPr>
        <w:ind w:left="1300" w:right="40"/>
        <w:spacing w:after="0" w:line="342" w:lineRule="auto"/>
        <w:rPr>
          <w:sz w:val="20"/>
          <w:szCs w:val="20"/>
          <w:color w:val="auto"/>
        </w:rPr>
      </w:pP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w:t>
      </w:r>
      <w:r>
        <w:rPr>
          <w:rFonts w:ascii="Arial" w:cs="Arial" w:eastAsia="Arial" w:hAnsi="Arial"/>
          <w:sz w:val="16"/>
          <w:szCs w:val="16"/>
          <w:u w:val="single" w:color="auto"/>
          <w:color w:val="auto"/>
        </w:rPr>
        <w:t>Term</w:t>
      </w:r>
      <w:r>
        <w:rPr>
          <w:rFonts w:ascii="Arial" w:cs="Arial" w:eastAsia="Arial" w:hAnsi="Arial"/>
          <w:sz w:val="16"/>
          <w:szCs w:val="16"/>
          <w:color w:val="auto"/>
        </w:rPr>
        <w:t>. TO HAVE AND TO HOLD for a term (the “Term”) beginning on the Term Commencement Date which shall be November 1, 2015 and expiring on July 31, 2021 (the “Term Expiration Date”), unless earlier terminated as provided for in Section 2.4.”</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w:t>
      </w:r>
      <w:r>
        <w:rPr>
          <w:rFonts w:ascii="Arial" w:cs="Arial" w:eastAsia="Arial" w:hAnsi="Arial"/>
          <w:sz w:val="18"/>
          <w:szCs w:val="18"/>
          <w:u w:val="single" w:color="auto"/>
          <w:color w:val="auto"/>
        </w:rPr>
        <w:t>Renewal Term</w:t>
      </w:r>
      <w:r>
        <w:rPr>
          <w:rFonts w:ascii="Arial" w:cs="Arial" w:eastAsia="Arial" w:hAnsi="Arial"/>
          <w:sz w:val="18"/>
          <w:szCs w:val="18"/>
          <w:color w:val="auto"/>
        </w:rPr>
        <w:t>. Section 2.3 of the Lease is hereby deleted in its entirety and replaced with the following provision:</w:t>
      </w:r>
    </w:p>
    <w:p>
      <w:pPr>
        <w:spacing w:after="0" w:line="225" w:lineRule="exact"/>
        <w:rPr>
          <w:sz w:val="20"/>
          <w:szCs w:val="20"/>
          <w:color w:val="auto"/>
        </w:rPr>
      </w:pPr>
    </w:p>
    <w:p>
      <w:pPr>
        <w:ind w:left="1300"/>
        <w:spacing w:after="0" w:line="286" w:lineRule="auto"/>
        <w:rPr>
          <w:sz w:val="20"/>
          <w:szCs w:val="20"/>
          <w:color w:val="auto"/>
        </w:rPr>
      </w:pP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w:t>
      </w:r>
      <w:r>
        <w:rPr>
          <w:rFonts w:ascii="Arial" w:cs="Arial" w:eastAsia="Arial" w:hAnsi="Arial"/>
          <w:sz w:val="16"/>
          <w:szCs w:val="16"/>
          <w:u w:val="single" w:color="auto"/>
          <w:color w:val="auto"/>
        </w:rPr>
        <w:t>Option to Extend Term for Extension Terms</w:t>
      </w:r>
      <w:r>
        <w:rPr>
          <w:rFonts w:ascii="Arial" w:cs="Arial" w:eastAsia="Arial" w:hAnsi="Arial"/>
          <w:sz w:val="16"/>
          <w:szCs w:val="16"/>
          <w:color w:val="auto"/>
        </w:rPr>
        <w:t>. Tenant shall have three (3) separate options to extend the Lease Term for two (2) two (2) year terms, and an additional five (5) year period (i.e., for a total, if all three such options are exercised as provided herein, of nine (9) successive years beyond the Term) beyond the Term or the first Extension Term, as the case may be (each extension period being referred to herein as an “Extension Term”), provided (i) Tenant shall give notice to Landlord of its exercise of such option not less than twelve (12) months prior to the expiration of the Term or the first Extension Term, as the case may be, and (ii) no default beyond any applicable grace period in the obligations of Tenant under this Lease shall exist at the time each such notice is given. All of the terms and provisions of this Lease, as amended, shall be applicable to each Extension Term except that Tenant shall have no option to extend the Lease Term beyond the third Extension Term. Landlord and Tenant have determined the Annual Fixed Rental Rate for the first two (2) year extension term. Landlord and Tenant must determine the Annual Fixed Rental Rate for each remaining Extension Term at the time of each such notice, using an independent fair market rental value analysis for comparable buildings used for research and development, of similar age, quality, size, construction and appearance, with similar services and amenities, and in comparable locations within Massachusetts, but outside of the Greater-Boston MSA , excluding therefrom any cost to renovate such space for a tenant’s occupancy for advertising and lease negotiation costs, free rent or other inducements, and any other items which would normally be offered to a new tenant but which a continuing tenant would not seek. The cost of the independent analysis will be shared equally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23" w:name="page124"/>
    <w:bookmarkEnd w:id="123"/>
    <w:p>
      <w:pPr>
        <w:ind w:left="1300" w:right="20"/>
        <w:spacing w:after="0" w:line="257" w:lineRule="auto"/>
        <w:rPr>
          <w:sz w:val="20"/>
          <w:szCs w:val="20"/>
          <w:color w:val="auto"/>
        </w:rPr>
      </w:pPr>
      <w:r>
        <w:rPr>
          <w:rFonts w:ascii="Arial" w:cs="Arial" w:eastAsia="Arial" w:hAnsi="Arial"/>
          <w:sz w:val="18"/>
          <w:szCs w:val="18"/>
          <w:color w:val="auto"/>
        </w:rPr>
        <w:t>between the parties. Notwithstanding the provisions of Section 10.13 of the Lease, at the end of the Term or either Extension Term, Tenant shall be entitled to hold over within the Premises for up to three (3) months, and the Annual Fixed Rental Rate shall be one hundred and twenty-five (125%) percent of the Annual Fixed Rental Rate which was payable during the last month of the Term or either Extension Term, as the case may be, and one hundred and fifty (150%) percent thereof for the period beyond three (3) months and up to a total of six (6) months. “</w:t>
      </w:r>
    </w:p>
    <w:p>
      <w:pPr>
        <w:spacing w:after="0" w:line="188" w:lineRule="exact"/>
        <w:rPr>
          <w:sz w:val="20"/>
          <w:szCs w:val="20"/>
          <w:color w:val="auto"/>
        </w:rPr>
      </w:pPr>
    </w:p>
    <w:p>
      <w:pPr>
        <w:ind w:right="440" w:firstLine="656"/>
        <w:spacing w:after="0" w:line="277" w:lineRule="auto"/>
        <w:tabs>
          <w:tab w:leader="none" w:pos="873"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Annual Fixed Rental Rate</w:t>
      </w:r>
      <w:r>
        <w:rPr>
          <w:rFonts w:ascii="Arial" w:cs="Arial" w:eastAsia="Arial" w:hAnsi="Arial"/>
          <w:sz w:val="18"/>
          <w:szCs w:val="18"/>
          <w:color w:val="auto"/>
        </w:rPr>
        <w:t>. Section 1.1 of the Lease is amended by deleting the provisions regarding the “Annual Fixed Rental Rate” and inserting, the following language:</w:t>
      </w:r>
    </w:p>
    <w:p>
      <w:pPr>
        <w:sectPr>
          <w:pgSz w:w="11900" w:h="16838" w:orient="portrait"/>
          <w:cols w:equalWidth="0" w:num="1">
            <w:col w:w="11220"/>
          </w:cols>
          <w:pgMar w:left="320" w:top="341" w:right="35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Annual Fixed Rental Rate: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August 1, 2019 and through July 31, 2021: $18.59 per rentable square foot per annum for the Premises not including the Sixth Expansion Premises. Rental fee shall commence for the Sixth Expansion Premises three months after all Sixth Expansion Premises has been made available or January 1, 2020. Any delay in access to all Sixth Expansion Premises will result in similar delay in rent commencement.</w:t>
      </w:r>
    </w:p>
    <w:p>
      <w:pPr>
        <w:spacing w:after="0" w:line="188" w:lineRule="exact"/>
        <w:rPr>
          <w:sz w:val="20"/>
          <w:szCs w:val="20"/>
          <w:color w:val="auto"/>
        </w:rPr>
      </w:pPr>
    </w:p>
    <w:p>
      <w:pPr>
        <w:sectPr>
          <w:pgSz w:w="11900" w:h="16838" w:orient="portrait"/>
          <w:cols w:equalWidth="0" w:num="2">
            <w:col w:w="3580" w:space="720"/>
            <w:col w:w="6920"/>
          </w:cols>
          <w:pgMar w:left="320" w:top="341" w:right="359" w:bottom="1440" w:gutter="0" w:footer="0" w:header="0"/>
          <w:type w:val="continuous"/>
        </w:sectPr>
      </w:pPr>
    </w:p>
    <w:p>
      <w:pPr>
        <w:ind w:left="4300" w:right="560"/>
        <w:spacing w:after="0" w:line="277" w:lineRule="auto"/>
        <w:rPr>
          <w:sz w:val="20"/>
          <w:szCs w:val="20"/>
          <w:color w:val="auto"/>
        </w:rPr>
      </w:pPr>
      <w:r>
        <w:rPr>
          <w:rFonts w:ascii="Arial" w:cs="Arial" w:eastAsia="Arial" w:hAnsi="Arial"/>
          <w:sz w:val="18"/>
          <w:szCs w:val="18"/>
          <w:color w:val="auto"/>
        </w:rPr>
        <w:t>First two (2) year extension, as of August 1, 2021 and through July 31, 2023: $19.52 per rentable square foot.</w:t>
      </w:r>
    </w:p>
    <w:p>
      <w:pPr>
        <w:sectPr>
          <w:pgSz w:w="11900" w:h="16838" w:orient="portrait"/>
          <w:cols w:equalWidth="0" w:num="1">
            <w:col w:w="11220"/>
          </w:cols>
          <w:pgMar w:left="320" w:top="341" w:right="359" w:bottom="1440" w:gutter="0" w:footer="0" w:header="0"/>
          <w:type w:val="continuous"/>
        </w:sectPr>
      </w:pPr>
    </w:p>
    <w:p>
      <w:pPr>
        <w:spacing w:after="0" w:line="170" w:lineRule="exact"/>
        <w:rPr>
          <w:sz w:val="20"/>
          <w:szCs w:val="20"/>
          <w:color w:val="auto"/>
        </w:rPr>
      </w:pPr>
    </w:p>
    <w:p>
      <w:pPr>
        <w:ind w:right="20" w:firstLine="656"/>
        <w:spacing w:after="0" w:line="311" w:lineRule="auto"/>
        <w:tabs>
          <w:tab w:leader="none" w:pos="873"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Landlord Work</w:t>
      </w:r>
      <w:r>
        <w:rPr>
          <w:rFonts w:ascii="Arial" w:cs="Arial" w:eastAsia="Arial" w:hAnsi="Arial"/>
          <w:sz w:val="16"/>
          <w:szCs w:val="16"/>
          <w:color w:val="auto"/>
        </w:rPr>
        <w:t>. Prior to the commencement of work by Tenant in the Sixth Expansion Premises, Landlord shall, at Landlord’s sole cost and expense, deliver same to Tenant vacant and in broom clean condition. Landlord shall make the Sixth Expansion Premises available to Tenant on October 1, 2019, to allow for Tenant’s installation of Tenant’s furniture, fixtures, carpeting and voice/data systems as well as warehouse storage and equipment rooms.</w:t>
      </w:r>
    </w:p>
    <w:p>
      <w:pPr>
        <w:spacing w:after="0" w:line="14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Landlord shall also be solely responsible to deliver same to Tenant in compliance with all fire, life safety, environmental and occupational health and safety laws, regulations and ordinances (including, but not limited to, the Americans with Disabilities Act). Landlord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type w:val="continuous"/>
        </w:sectPr>
      </w:pPr>
    </w:p>
    <w:bookmarkStart w:id="124" w:name="page125"/>
    <w:bookmarkEnd w:id="124"/>
    <w:p>
      <w:pPr>
        <w:ind w:right="480"/>
        <w:spacing w:after="0" w:line="342" w:lineRule="auto"/>
        <w:rPr>
          <w:sz w:val="20"/>
          <w:szCs w:val="20"/>
          <w:color w:val="auto"/>
        </w:rPr>
      </w:pPr>
      <w:r>
        <w:rPr>
          <w:rFonts w:ascii="Arial" w:cs="Arial" w:eastAsia="Arial" w:hAnsi="Arial"/>
          <w:sz w:val="16"/>
          <w:szCs w:val="16"/>
          <w:color w:val="auto"/>
        </w:rPr>
        <w:t>represents that the Sixth Expansion Premises, as well as the Building, the Premises and the public areas of the Building also comply with such laws, regulations and ordinances and, if they do not, that Landlord shall, at its sole cost and expanse, promptly cause same to so comply.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addition, as of the Effective Date of this Amendment Landlord shall promptly repair all affected exterior windows in the Tenant’s premises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 Section 10.4 Tenant Work: Shall be amended by adding the following:</w:t>
      </w:r>
    </w:p>
    <w:p>
      <w:pPr>
        <w:spacing w:after="0" w:line="225" w:lineRule="exact"/>
        <w:rPr>
          <w:sz w:val="20"/>
          <w:szCs w:val="20"/>
          <w:color w:val="auto"/>
        </w:rPr>
      </w:pPr>
    </w:p>
    <w:p>
      <w:pPr>
        <w:jc w:val="both"/>
        <w:ind w:left="1300" w:right="80"/>
        <w:spacing w:after="0" w:line="311" w:lineRule="auto"/>
        <w:rPr>
          <w:sz w:val="20"/>
          <w:szCs w:val="20"/>
          <w:color w:val="auto"/>
        </w:rPr>
      </w:pPr>
      <w:r>
        <w:rPr>
          <w:rFonts w:ascii="Arial" w:cs="Arial" w:eastAsia="Arial" w:hAnsi="Arial"/>
          <w:sz w:val="16"/>
          <w:szCs w:val="16"/>
          <w:color w:val="auto"/>
        </w:rPr>
        <w:t>“10.4.1 Tenant Work Sixth Expansion Premise: Landlord in accordance with section 10.4 consents to Tenant building out the space on the First Floor portion of the Sixth Expansion Premises, at the sole expense of Tenant to include installation of drop ceilings, carpeting and voice/data as well as warehouse storage and equipment rooms, in accordance with provisions of section 10.4.”</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 Section 14.14 and related Exhibit G Parking Rights: Shall be replaced in its entirety as follows:</w:t>
      </w:r>
    </w:p>
    <w:p>
      <w:pPr>
        <w:spacing w:after="0" w:line="225" w:lineRule="exact"/>
        <w:rPr>
          <w:sz w:val="20"/>
          <w:szCs w:val="20"/>
          <w:color w:val="auto"/>
        </w:rPr>
      </w:pPr>
    </w:p>
    <w:p>
      <w:pPr>
        <w:ind w:left="1300"/>
        <w:spacing w:after="0" w:line="291" w:lineRule="auto"/>
        <w:rPr>
          <w:sz w:val="20"/>
          <w:szCs w:val="20"/>
          <w:color w:val="auto"/>
        </w:rPr>
      </w:pPr>
      <w:r>
        <w:rPr>
          <w:rFonts w:ascii="Arial" w:cs="Arial" w:eastAsia="Arial" w:hAnsi="Arial"/>
          <w:sz w:val="16"/>
          <w:szCs w:val="16"/>
          <w:color w:val="auto"/>
        </w:rPr>
        <w:t>“Subject to the below provisions of this Section 14.14, Tenant shall have a non-exclusive revocable license to use Tenant’s Proportionate Fraction of the parking spaces at no additional charge (except to the extent of Tenant’s share of the common area maintenance expenses relating to such spaces) in common with other tenants of the Building, located on the Lot on a “first-come, first served” basis. Landlord shall employ various means, including but not limited to the use of signage and decals to direct third parties that are given access to the facility from time to time to park in the North Parking Areas such that Tenant is given priority to the parking adjacent to the Building (“Primary Parking Area for 151 Martine Street”). In the event that Tenant shall not be able to use such percentage of spaces on the Lot, Tenant shall have the right to make up such deficient percentage by using the North Parking Areas to cover such deficiency, in</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40"/>
          </w:cols>
          <w:pgMar w:left="320" w:top="341" w:right="439" w:bottom="1440" w:gutter="0" w:footer="0" w:header="0"/>
        </w:sectPr>
      </w:pPr>
    </w:p>
    <w:bookmarkStart w:id="125" w:name="page126"/>
    <w:bookmarkEnd w:id="125"/>
    <w:p>
      <w:pPr>
        <w:ind w:left="1200"/>
        <w:spacing w:after="0" w:line="290" w:lineRule="auto"/>
        <w:rPr>
          <w:sz w:val="20"/>
          <w:szCs w:val="20"/>
          <w:color w:val="auto"/>
        </w:rPr>
      </w:pPr>
      <w:r>
        <w:rPr>
          <w:rFonts w:ascii="Arial" w:cs="Arial" w:eastAsia="Arial" w:hAnsi="Arial"/>
          <w:sz w:val="16"/>
          <w:szCs w:val="16"/>
          <w:color w:val="auto"/>
        </w:rPr>
        <w:t>common with other tenants of the Park, on a “first-come first served” basis. Landlord shall have the right in its sole discretion to adopt and subsequently amend rules and regulations regarding the use of parking spaces on the Lot and on the North Parking Areas. Landlord also reserves the right to relocate, reconfigure, restripe or reduce the parking spaces on the Lot and the North Parking Areas, subject to the terms and conditions set forth in this Lease, including without limitation, Section 2.1. Additionally, Landlord reserves the right to designate certain parking spaces or parking areas on the Lot or the North Parking Areas for parking by particular tenants and if Landlord does so, Landlord shall similarly designate certain parking spaces or parking areas for Tenant’s use; provided that Landlord shall not provide unfavorable treatment to Tenant in designating such parking spaces or parking areas. As used in this Lease, the term “North Parking Areas” and “Primary Parking Area for 151 Martine Street” shall mean these areas as shown on as Exhibit G attached hereto.”</w:t>
      </w:r>
    </w:p>
    <w:p>
      <w:pPr>
        <w:spacing w:after="0" w:line="165" w:lineRule="exact"/>
        <w:rPr>
          <w:sz w:val="20"/>
          <w:szCs w:val="20"/>
          <w:color w:val="auto"/>
        </w:rPr>
      </w:pPr>
    </w:p>
    <w:p>
      <w:pPr>
        <w:ind w:left="-100" w:firstLine="656"/>
        <w:spacing w:after="0" w:line="263" w:lineRule="auto"/>
        <w:tabs>
          <w:tab w:leader="none" w:pos="773"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Landlord Representation Regarding Environmental Hazards</w:t>
      </w:r>
      <w:r>
        <w:rPr>
          <w:rFonts w:ascii="Arial" w:cs="Arial" w:eastAsia="Arial" w:hAnsi="Arial"/>
          <w:sz w:val="18"/>
          <w:szCs w:val="18"/>
          <w:color w:val="auto"/>
        </w:rPr>
        <w:t>. To its knowledge, Landlord represents that there are no environmental hazards or violations of any environmental laws, regulations or ordinances in or around the Building which violations might pose a present danger to health, life or safety.</w:t>
      </w:r>
    </w:p>
    <w:p>
      <w:pPr>
        <w:spacing w:after="0" w:line="183" w:lineRule="exact"/>
        <w:rPr>
          <w:rFonts w:ascii="Arial" w:cs="Arial" w:eastAsia="Arial" w:hAnsi="Arial"/>
          <w:sz w:val="18"/>
          <w:szCs w:val="18"/>
          <w:color w:val="auto"/>
        </w:rPr>
      </w:pPr>
    </w:p>
    <w:p>
      <w:pPr>
        <w:jc w:val="both"/>
        <w:ind w:left="-100" w:right="240" w:firstLine="656"/>
        <w:spacing w:after="0" w:line="263" w:lineRule="auto"/>
        <w:tabs>
          <w:tab w:leader="none" w:pos="908"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Non-disturbance of Tenancy</w:t>
      </w:r>
      <w:r>
        <w:rPr>
          <w:rFonts w:ascii="Arial" w:cs="Arial" w:eastAsia="Arial" w:hAnsi="Arial"/>
          <w:sz w:val="18"/>
          <w:szCs w:val="18"/>
          <w:color w:val="auto"/>
        </w:rPr>
        <w:t>. Landlord represents that it has no financing on the Building whereby Landlord’s lender would be entitled to disturb the tenancy of Tenant upon a default therein Landlord. Landlord further represents that it shall not enter into any such financing, but rather shall negotiate with any such lender so as to permit Tenant to remain 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1532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40"/>
          </w:cols>
          <w:pgMar w:left="420" w:top="341" w:right="439" w:bottom="1440" w:gutter="0" w:footer="0" w:header="0"/>
        </w:sectPr>
      </w:pPr>
    </w:p>
    <w:bookmarkStart w:id="126" w:name="page127"/>
    <w:bookmarkEnd w:id="126"/>
    <w:p>
      <w:pPr>
        <w:spacing w:after="0"/>
        <w:rPr>
          <w:sz w:val="20"/>
          <w:szCs w:val="20"/>
          <w:color w:val="auto"/>
        </w:rPr>
      </w:pPr>
      <w:r>
        <w:rPr>
          <w:rFonts w:ascii="Arial" w:cs="Arial" w:eastAsia="Arial" w:hAnsi="Arial"/>
          <w:sz w:val="17"/>
          <w:szCs w:val="17"/>
          <w:color w:val="auto"/>
        </w:rPr>
        <w:t>possession of the Premises on a direct rental relationship with such lender so long as Tenant is not in default of its obligations under this Lease.</w:t>
      </w:r>
    </w:p>
    <w:p>
      <w:pPr>
        <w:spacing w:after="0" w:line="237" w:lineRule="exact"/>
        <w:rPr>
          <w:sz w:val="20"/>
          <w:szCs w:val="20"/>
          <w:color w:val="auto"/>
        </w:rPr>
      </w:pPr>
    </w:p>
    <w:p>
      <w:pPr>
        <w:ind w:firstLine="656"/>
        <w:spacing w:after="0" w:line="293" w:lineRule="auto"/>
        <w:tabs>
          <w:tab w:leader="none" w:pos="1001"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Restoration Obligation</w:t>
      </w:r>
      <w:r>
        <w:rPr>
          <w:rFonts w:ascii="Arial" w:cs="Arial" w:eastAsia="Arial" w:hAnsi="Arial"/>
          <w:sz w:val="16"/>
          <w:szCs w:val="16"/>
          <w:color w:val="auto"/>
        </w:rPr>
        <w:t>. The Parties agree that, notwithstanding anything to the contrary in the original Lease or prior Amendments, Tenant’s restoration obligations as to all Premises are as follows: regarding mechanical equipment installed by it shall be governed by this Section 11. In the case of the Sixth Expansion Premises, if the Tenant migrates controls from Landlord’s existing HVAC equipment to Tenant’s management system during the Term, upon Tenant’s vacation of the Sixth Expansion Premises, Tenant shall return the controls to Landlord’s management system. Furthermore, should Tenant vacate the entire Premises, Tenant shall leave its building management system installed for Landlord’s use, at Tenant’s cost, and shall surrender all right title and interest in said system to Landlord, which shall be Tenant’s sole responsibility regarding restoration.</w:t>
      </w:r>
    </w:p>
    <w:p>
      <w:pPr>
        <w:spacing w:after="0" w:line="164" w:lineRule="exact"/>
        <w:rPr>
          <w:rFonts w:ascii="Arial" w:cs="Arial" w:eastAsia="Arial" w:hAnsi="Arial"/>
          <w:sz w:val="16"/>
          <w:szCs w:val="16"/>
          <w:color w:val="auto"/>
        </w:rPr>
      </w:pPr>
    </w:p>
    <w:p>
      <w:pPr>
        <w:jc w:val="both"/>
        <w:ind w:firstLine="656"/>
        <w:spacing w:after="0" w:line="286" w:lineRule="auto"/>
        <w:tabs>
          <w:tab w:leader="none" w:pos="963"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Ratification</w:t>
      </w:r>
      <w:r>
        <w:rPr>
          <w:rFonts w:ascii="Arial" w:cs="Arial" w:eastAsia="Arial" w:hAnsi="Arial"/>
          <w:sz w:val="17"/>
          <w:szCs w:val="17"/>
          <w:color w:val="auto"/>
        </w:rPr>
        <w:t>. Except as expressly modified by this Amendment, the Lease shall remain in full force and effect, and as further modified by this Amendment, is expressly ratified and confirmed by the parties hereto. This Amendment shall be binding upon and inure to the benefit of the parties hereto and their respective successors and assigns, subject to the provisions of the Lease regarding assignment and subletting.</w:t>
      </w:r>
    </w:p>
    <w:p>
      <w:pPr>
        <w:spacing w:after="0" w:line="165" w:lineRule="exact"/>
        <w:rPr>
          <w:rFonts w:ascii="Arial" w:cs="Arial" w:eastAsia="Arial" w:hAnsi="Arial"/>
          <w:sz w:val="17"/>
          <w:szCs w:val="17"/>
          <w:color w:val="auto"/>
        </w:rPr>
      </w:pPr>
    </w:p>
    <w:p>
      <w:pPr>
        <w:ind w:right="20" w:firstLine="656"/>
        <w:spacing w:after="0" w:line="279" w:lineRule="auto"/>
        <w:tabs>
          <w:tab w:leader="none" w:pos="963"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Governing Law; Interpretation; and Partial Invalidity</w:t>
      </w:r>
      <w:r>
        <w:rPr>
          <w:rFonts w:ascii="Arial" w:cs="Arial" w:eastAsia="Arial" w:hAnsi="Arial"/>
          <w:sz w:val="17"/>
          <w:szCs w:val="17"/>
          <w:color w:val="auto"/>
        </w:rPr>
        <w:t>. This Amendment shall be governed and construed in accordance with the laws of the Commonwealth of Massachusetts. If any term of this Amendment, or the application thereof to any person or circumstances, shall to any extent be invalid or unenforceable, the remainder of this Amendment, or the application of such term to persons or circumstances other than those as to which it is invalid or unenforceable, shall not be affected thereby, and each term of this Amendment shall be valid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27" w:name="page128"/>
    <w:bookmarkEnd w:id="127"/>
    <w:p>
      <w:pPr>
        <w:ind w:right="40"/>
        <w:spacing w:after="0" w:line="255" w:lineRule="auto"/>
        <w:rPr>
          <w:sz w:val="20"/>
          <w:szCs w:val="20"/>
          <w:color w:val="auto"/>
        </w:rPr>
      </w:pPr>
      <w:r>
        <w:rPr>
          <w:rFonts w:ascii="Arial" w:cs="Arial" w:eastAsia="Arial" w:hAnsi="Arial"/>
          <w:sz w:val="18"/>
          <w:szCs w:val="18"/>
          <w:color w:val="auto"/>
        </w:rPr>
        <w:t>and enforceable to the fullest extent permitted by law. The titles for the paragraphs are for convenience only and not to be considered in construing this Amendment. This Amendment contains all of the agreements of the parties with respect to the subject matter hereof, and supersedes all prior dealings between them with respect to such subject matter. No delay or omission on the part of either party to this Amendment in requiring performance by the other party or exercising any right hereunder shall operate as a waiver of any provision hereof or any rights hereunder, and no waiver, omission or delay in requiring performance or exercising any right hereunder on any one occasion shall be construed as a bar to or waiver of such performance or right on any future occasion.</w:t>
      </w:r>
    </w:p>
    <w:p>
      <w:pPr>
        <w:spacing w:after="0" w:line="192" w:lineRule="exact"/>
        <w:rPr>
          <w:sz w:val="20"/>
          <w:szCs w:val="20"/>
          <w:color w:val="auto"/>
        </w:rPr>
      </w:pPr>
    </w:p>
    <w:p>
      <w:pPr>
        <w:ind w:firstLine="656"/>
        <w:spacing w:after="0" w:line="259" w:lineRule="auto"/>
        <w:tabs>
          <w:tab w:leader="none" w:pos="963"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Counterparts and Authority, This Amendment may be executed in multiple counterparts, each of which shall be deemed an original and all of which together shall constitute one and the same document. Landlord and Tenant each warrant to the other that the person or persons executing this Amendment on its behalf has or have authority to do so and that such execution has fully obligated and bound such party to all terms and provisions of this Amendment.</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color w:val="auto"/>
        </w:rPr>
        <w:t>IN WITNESS WHEREOF, the undersigned executed this Amendment as of the date and year first written above.</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LANDLORD:</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University Of Massachusetts Dartmouth</w:t>
      </w:r>
    </w:p>
    <w:p>
      <w:pPr>
        <w:spacing w:after="0" w:line="225" w:lineRule="exact"/>
        <w:rPr>
          <w:sz w:val="20"/>
          <w:szCs w:val="20"/>
          <w:color w:val="auto"/>
        </w:rPr>
      </w:pPr>
    </w:p>
    <w:p>
      <w:pPr>
        <w:ind w:left="5020"/>
        <w:spacing w:after="0"/>
        <w:tabs>
          <w:tab w:leader="none" w:pos="5460" w:val="left"/>
        </w:tabs>
        <w:rPr>
          <w:sz w:val="20"/>
          <w:szCs w:val="20"/>
          <w:color w:val="auto"/>
        </w:rPr>
      </w:pPr>
      <w:r>
        <w:rPr>
          <w:rFonts w:ascii="Arial" w:cs="Arial" w:eastAsia="Arial" w:hAnsi="Arial"/>
          <w:sz w:val="18"/>
          <w:szCs w:val="18"/>
          <w:color w:val="auto"/>
        </w:rPr>
        <w:t>By:</w:t>
        <w:tab/>
        <w:t>/s/ Robert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14605</wp:posOffset>
            </wp:positionV>
            <wp:extent cx="324040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7">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 w:lineRule="exact"/>
        <w:rPr>
          <w:sz w:val="20"/>
          <w:szCs w:val="20"/>
          <w:color w:val="auto"/>
        </w:rPr>
      </w:pPr>
    </w:p>
    <w:p>
      <w:pPr>
        <w:ind w:left="5480"/>
        <w:spacing w:after="0"/>
        <w:tabs>
          <w:tab w:leader="none" w:pos="6180" w:val="left"/>
        </w:tabs>
        <w:rPr>
          <w:sz w:val="20"/>
          <w:szCs w:val="20"/>
          <w:color w:val="auto"/>
        </w:rPr>
      </w:pPr>
      <w:r>
        <w:rPr>
          <w:rFonts w:ascii="Arial" w:cs="Arial" w:eastAsia="Arial" w:hAnsi="Arial"/>
          <w:sz w:val="18"/>
          <w:szCs w:val="18"/>
          <w:color w:val="auto"/>
        </w:rPr>
        <w:t>Name:</w:t>
        <w:tab/>
        <w:t>Robert Johnson</w:t>
      </w:r>
    </w:p>
    <w:p>
      <w:pPr>
        <w:spacing w:after="0" w:line="23" w:lineRule="exact"/>
        <w:rPr>
          <w:sz w:val="20"/>
          <w:szCs w:val="20"/>
          <w:color w:val="auto"/>
        </w:rPr>
      </w:pPr>
    </w:p>
    <w:p>
      <w:pPr>
        <w:ind w:left="548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Chancellor</w:t>
      </w:r>
    </w:p>
    <w:p>
      <w:pPr>
        <w:spacing w:after="0" w:line="200" w:lineRule="exact"/>
        <w:rPr>
          <w:sz w:val="20"/>
          <w:szCs w:val="20"/>
          <w:color w:val="auto"/>
        </w:rPr>
      </w:pPr>
    </w:p>
    <w:p>
      <w:pPr>
        <w:spacing w:after="0" w:line="22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TENANT:</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CELLDEX THERAPEUTICS, INC.,</w:t>
      </w:r>
    </w:p>
    <w:p>
      <w:pPr>
        <w:spacing w:after="0" w:line="225" w:lineRule="exact"/>
        <w:rPr>
          <w:sz w:val="20"/>
          <w:szCs w:val="20"/>
          <w:color w:val="auto"/>
        </w:rPr>
      </w:pPr>
    </w:p>
    <w:p>
      <w:pPr>
        <w:ind w:left="5020"/>
        <w:spacing w:after="0"/>
        <w:tabs>
          <w:tab w:leader="none" w:pos="5460" w:val="left"/>
        </w:tabs>
        <w:rPr>
          <w:sz w:val="20"/>
          <w:szCs w:val="20"/>
          <w:color w:val="auto"/>
        </w:rPr>
      </w:pPr>
      <w:r>
        <w:rPr>
          <w:rFonts w:ascii="Arial" w:cs="Arial" w:eastAsia="Arial" w:hAnsi="Arial"/>
          <w:sz w:val="18"/>
          <w:szCs w:val="18"/>
          <w:color w:val="auto"/>
        </w:rPr>
        <w:t>By:</w:t>
        <w:tab/>
        <w:t>/s/ Anthony S. Marucci</w:t>
      </w:r>
    </w:p>
    <w:p>
      <w:pPr>
        <w:spacing w:after="0" w:line="23" w:lineRule="exact"/>
        <w:rPr>
          <w:sz w:val="20"/>
          <w:szCs w:val="20"/>
          <w:color w:val="auto"/>
        </w:rPr>
      </w:pPr>
    </w:p>
    <w:tbl>
      <w:tblPr>
        <w:tblLayout w:type="fixed"/>
        <w:tblInd w:w="548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Anthony S. Marucci</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20"/>
              <w:spacing w:after="0"/>
              <w:rPr>
                <w:sz w:val="20"/>
                <w:szCs w:val="20"/>
                <w:color w:val="auto"/>
              </w:rPr>
            </w:pPr>
            <w:r>
              <w:rPr>
                <w:rFonts w:ascii="Arial" w:cs="Arial" w:eastAsia="Arial" w:hAnsi="Arial"/>
                <w:sz w:val="18"/>
                <w:szCs w:val="18"/>
                <w:color w:val="auto"/>
              </w:rPr>
              <w:t>President and CEO</w:t>
            </w:r>
          </w:p>
        </w:tc>
      </w:tr>
    </w:tbl>
    <w:p>
      <w:pPr>
        <w:spacing w:after="0" w:line="20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1532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580"/>
          </w:cols>
          <w:pgMar w:left="980" w:top="341" w:right="339" w:bottom="1440" w:gutter="0" w:footer="0" w:header="0"/>
        </w:sectPr>
      </w:pPr>
    </w:p>
    <w:bookmarkStart w:id="129" w:name="page130"/>
    <w:bookmarkEnd w:id="129"/>
    <w:p>
      <w:pPr>
        <w:spacing w:after="0"/>
        <w:rPr>
          <w:rFonts w:ascii="Arial" w:cs="Arial" w:eastAsia="Arial" w:hAnsi="Arial"/>
          <w:sz w:val="22"/>
          <w:szCs w:val="22"/>
          <w:color w:val="0000EE"/>
        </w:rPr>
      </w:pPr>
      <w:hyperlink w:anchor="page13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6"/>
          <w:szCs w:val="16"/>
          <w:b w:val="1"/>
          <w:bCs w:val="1"/>
          <w:color w:val="auto"/>
        </w:rPr>
        <w:t>Exhibit 21.1</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SUBSIDIARIES OF CELLDEX THERAPEUTICS, INC.</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3"/>
              </w:rPr>
              <w:t>Jurisdiction of</w:t>
            </w:r>
          </w:p>
        </w:tc>
        <w:tc>
          <w:tcPr>
            <w:tcW w:w="160" w:type="dxa"/>
            <w:vAlign w:val="bottom"/>
          </w:tcPr>
          <w:p>
            <w:pPr>
              <w:spacing w:after="0"/>
              <w:rPr>
                <w:sz w:val="13"/>
                <w:szCs w:val="13"/>
                <w:color w:val="auto"/>
              </w:rPr>
            </w:pPr>
          </w:p>
        </w:tc>
        <w:tc>
          <w:tcPr>
            <w:tcW w:w="2640" w:type="dxa"/>
            <w:vAlign w:val="bottom"/>
            <w:gridSpan w:val="3"/>
          </w:tcPr>
          <w:p>
            <w:pPr>
              <w:ind w:left="80"/>
              <w:spacing w:after="0"/>
              <w:rPr>
                <w:sz w:val="20"/>
                <w:szCs w:val="20"/>
                <w:color w:val="auto"/>
              </w:rPr>
            </w:pPr>
            <w:r>
              <w:rPr>
                <w:rFonts w:ascii="Arial" w:cs="Arial" w:eastAsia="Arial" w:hAnsi="Arial"/>
                <w:sz w:val="13"/>
                <w:szCs w:val="13"/>
                <w:b w:val="1"/>
                <w:bCs w:val="1"/>
                <w:color w:val="auto"/>
              </w:rPr>
              <w:t>Ownership</w:t>
            </w:r>
          </w:p>
        </w:tc>
        <w:tc>
          <w:tcPr>
            <w:tcW w:w="0" w:type="dxa"/>
            <w:vAlign w:val="bottom"/>
          </w:tcPr>
          <w:p>
            <w:pPr>
              <w:spacing w:after="0"/>
              <w:rPr>
                <w:sz w:val="1"/>
                <w:szCs w:val="1"/>
                <w:color w:val="auto"/>
              </w:rPr>
            </w:pPr>
          </w:p>
        </w:tc>
      </w:tr>
      <w:tr>
        <w:trPr>
          <w:trHeight w:val="161"/>
        </w:trPr>
        <w:tc>
          <w:tcPr>
            <w:tcW w:w="7520" w:type="dxa"/>
            <w:vAlign w:val="bottom"/>
            <w:gridSpan w:val="3"/>
          </w:tcPr>
          <w:p>
            <w:pPr>
              <w:ind w:left="1700"/>
              <w:spacing w:after="0"/>
              <w:rPr>
                <w:sz w:val="20"/>
                <w:szCs w:val="20"/>
                <w:color w:val="auto"/>
              </w:rPr>
            </w:pPr>
            <w:r>
              <w:rPr>
                <w:rFonts w:ascii="Arial" w:cs="Arial" w:eastAsia="Arial" w:hAnsi="Arial"/>
                <w:sz w:val="13"/>
                <w:szCs w:val="13"/>
                <w:b w:val="1"/>
                <w:bCs w:val="1"/>
                <w:color w:val="auto"/>
              </w:rPr>
              <w:t>Name</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5"/>
              </w:rPr>
              <w:t>Organization</w:t>
            </w:r>
          </w:p>
        </w:tc>
        <w:tc>
          <w:tcPr>
            <w:tcW w:w="160" w:type="dxa"/>
            <w:vAlign w:val="bottom"/>
          </w:tcPr>
          <w:p>
            <w:pPr>
              <w:spacing w:after="0"/>
              <w:rPr>
                <w:sz w:val="14"/>
                <w:szCs w:val="14"/>
                <w:color w:val="auto"/>
              </w:rPr>
            </w:pPr>
          </w:p>
        </w:tc>
        <w:tc>
          <w:tcPr>
            <w:tcW w:w="2640" w:type="dxa"/>
            <w:vAlign w:val="bottom"/>
            <w:gridSpan w:val="3"/>
          </w:tcPr>
          <w:p>
            <w:pPr>
              <w:ind w:left="8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Celldex Therapeutics Switzerland GmbH</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Switzerland</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7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4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0" w:name="page131"/>
    <w:bookmarkEnd w:id="13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Exhibit 21.1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30">
        <w:r>
          <w:rPr>
            <w:rFonts w:ascii="Arial" w:cs="Arial" w:eastAsia="Arial" w:hAnsi="Arial"/>
            <w:sz w:val="16"/>
            <w:szCs w:val="16"/>
            <w:u w:val="single" w:color="auto"/>
            <w:color w:val="0000EE"/>
          </w:rPr>
          <w:t>SUBSIDIARIES OF CELLDEX THERAPEUTICS, INC.</w:t>
        </w:r>
      </w:hyperlink>
    </w:p>
    <w:p>
      <w:pPr>
        <w:sectPr>
          <w:pgSz w:w="11900" w:h="16838" w:orient="portrait"/>
          <w:cols w:equalWidth="0" w:num="1">
            <w:col w:w="10139"/>
          </w:cols>
          <w:pgMar w:left="320" w:top="820" w:right="1440" w:bottom="1440" w:gutter="0" w:footer="0" w:header="0"/>
        </w:sectPr>
      </w:pPr>
    </w:p>
    <w:bookmarkStart w:id="131" w:name="page132"/>
    <w:bookmarkEnd w:id="131"/>
    <w:p>
      <w:pPr>
        <w:spacing w:after="0"/>
        <w:rPr>
          <w:rFonts w:ascii="Arial" w:cs="Arial" w:eastAsia="Arial" w:hAnsi="Arial"/>
          <w:sz w:val="22"/>
          <w:szCs w:val="22"/>
          <w:color w:val="0000EE"/>
        </w:rPr>
      </w:pPr>
      <w:hyperlink w:anchor="page13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333-232253, 333-232255, 333-219867, 333-219869, 333-205694, 333-189336, 333-151728 and 333-117602) and on Form S-3 (Nos. 333-214882 and 333-215747) of Celldex Therapeutics, Inc. of our report dated March 26, 2020 relating to the financial statements, which appears in this Form 10-K.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36130"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132" w:name="page133"/>
    <w:bookmarkEnd w:id="13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32">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139"/>
          </w:cols>
          <w:pgMar w:left="320" w:top="820" w:right="1440" w:bottom="1440" w:gutter="0" w:footer="0" w:header="0"/>
        </w:sectPr>
      </w:pPr>
    </w:p>
    <w:bookmarkStart w:id="133" w:name="page134"/>
    <w:bookmarkEnd w:id="133"/>
    <w:p>
      <w:pPr>
        <w:spacing w:after="0"/>
        <w:rPr>
          <w:rFonts w:ascii="Arial" w:cs="Arial" w:eastAsia="Arial" w:hAnsi="Arial"/>
          <w:sz w:val="22"/>
          <w:szCs w:val="22"/>
          <w:color w:val="0000EE"/>
        </w:rPr>
      </w:pPr>
      <w:hyperlink w:anchor="page13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720" w:hanging="361"/>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Celldex Therapeutics, Inc.;</w:t>
      </w:r>
    </w:p>
    <w:p>
      <w:pPr>
        <w:spacing w:after="0" w:line="225" w:lineRule="exact"/>
        <w:rPr>
          <w:rFonts w:ascii="Arial" w:cs="Arial" w:eastAsia="Arial" w:hAnsi="Arial"/>
          <w:sz w:val="18"/>
          <w:szCs w:val="18"/>
          <w:color w:val="auto"/>
        </w:rPr>
      </w:pPr>
    </w:p>
    <w:p>
      <w:pPr>
        <w:ind w:right="320" w:firstLine="359"/>
        <w:spacing w:after="0" w:line="369" w:lineRule="auto"/>
        <w:tabs>
          <w:tab w:leader="none" w:pos="702" w:val="left"/>
        </w:tabs>
        <w:numPr>
          <w:ilvl w:val="0"/>
          <w:numId w:val="5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Arial" w:cs="Arial" w:eastAsia="Arial" w:hAnsi="Arial"/>
          <w:sz w:val="15"/>
          <w:szCs w:val="15"/>
          <w:color w:val="auto"/>
        </w:rPr>
      </w:pPr>
    </w:p>
    <w:p>
      <w:pPr>
        <w:ind w:right="280" w:firstLine="359"/>
        <w:spacing w:after="0" w:line="331" w:lineRule="auto"/>
        <w:tabs>
          <w:tab w:leader="none" w:pos="702"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6"/>
          <w:szCs w:val="16"/>
          <w:color w:val="auto"/>
        </w:rPr>
      </w:pPr>
    </w:p>
    <w:p>
      <w:pPr>
        <w:ind w:right="100" w:firstLine="359"/>
        <w:spacing w:after="0" w:line="259" w:lineRule="auto"/>
        <w:tabs>
          <w:tab w:leader="none" w:pos="699"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spacing w:after="0" w:line="193" w:lineRule="exact"/>
        <w:rPr>
          <w:rFonts w:ascii="Arial" w:cs="Arial" w:eastAsia="Arial" w:hAnsi="Arial"/>
          <w:sz w:val="18"/>
          <w:szCs w:val="18"/>
          <w:color w:val="auto"/>
        </w:rPr>
      </w:pPr>
    </w:p>
    <w:p>
      <w:pPr>
        <w:ind w:left="540" w:right="60" w:firstLine="359"/>
        <w:spacing w:after="0" w:line="259" w:lineRule="auto"/>
        <w:tabs>
          <w:tab w:leader="none" w:pos="1217"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Arial" w:cs="Arial" w:eastAsia="Arial" w:hAnsi="Arial"/>
          <w:sz w:val="18"/>
          <w:szCs w:val="18"/>
          <w:color w:val="auto"/>
        </w:rPr>
      </w:pPr>
    </w:p>
    <w:p>
      <w:pPr>
        <w:jc w:val="both"/>
        <w:ind w:left="540" w:right="440" w:firstLine="359"/>
        <w:spacing w:after="0" w:line="259" w:lineRule="auto"/>
        <w:tabs>
          <w:tab w:leader="none" w:pos="1227"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Arial" w:cs="Arial" w:eastAsia="Arial" w:hAnsi="Arial"/>
          <w:sz w:val="18"/>
          <w:szCs w:val="18"/>
          <w:color w:val="auto"/>
        </w:rPr>
      </w:pPr>
    </w:p>
    <w:p>
      <w:pPr>
        <w:ind w:left="540" w:right="560" w:firstLine="359"/>
        <w:spacing w:after="0" w:line="331" w:lineRule="auto"/>
        <w:tabs>
          <w:tab w:leader="none" w:pos="1217"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6"/>
          <w:szCs w:val="16"/>
          <w:color w:val="auto"/>
        </w:rPr>
      </w:pPr>
    </w:p>
    <w:p>
      <w:pPr>
        <w:ind w:left="540" w:right="80" w:firstLine="359"/>
        <w:spacing w:after="0" w:line="259" w:lineRule="auto"/>
        <w:tabs>
          <w:tab w:leader="none" w:pos="1227"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rFonts w:ascii="Arial" w:cs="Arial" w:eastAsia="Arial" w:hAnsi="Arial"/>
          <w:sz w:val="18"/>
          <w:szCs w:val="18"/>
          <w:color w:val="auto"/>
        </w:rPr>
      </w:pPr>
    </w:p>
    <w:p>
      <w:pPr>
        <w:ind w:right="240" w:firstLine="359"/>
        <w:spacing w:after="0" w:line="331" w:lineRule="auto"/>
        <w:tabs>
          <w:tab w:leader="none" w:pos="699"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6"/>
          <w:szCs w:val="16"/>
          <w:color w:val="auto"/>
        </w:rPr>
      </w:pPr>
    </w:p>
    <w:p>
      <w:pPr>
        <w:ind w:left="540" w:right="780" w:firstLine="359"/>
        <w:spacing w:after="0" w:line="331" w:lineRule="auto"/>
        <w:tabs>
          <w:tab w:leader="none" w:pos="1208"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6"/>
          <w:szCs w:val="16"/>
          <w:color w:val="auto"/>
        </w:rPr>
      </w:pPr>
    </w:p>
    <w:p>
      <w:pPr>
        <w:ind w:left="540" w:right="480" w:firstLine="359"/>
        <w:spacing w:after="0" w:line="268" w:lineRule="auto"/>
        <w:tabs>
          <w:tab w:leader="none" w:pos="1218"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00" w:type="dxa"/>
            <w:vAlign w:val="bottom"/>
          </w:tcPr>
          <w:p>
            <w:pPr>
              <w:ind w:left="1140"/>
              <w:spacing w:after="0"/>
              <w:rPr>
                <w:sz w:val="20"/>
                <w:szCs w:val="20"/>
                <w:color w:val="auto"/>
              </w:rPr>
            </w:pPr>
            <w:r>
              <w:rPr>
                <w:rFonts w:ascii="Arial" w:cs="Arial" w:eastAsia="Arial" w:hAnsi="Arial"/>
                <w:sz w:val="18"/>
                <w:szCs w:val="18"/>
                <w:color w:val="auto"/>
              </w:rPr>
              <w:t>Date: March 26, 2020</w:t>
            </w:r>
          </w:p>
        </w:tc>
        <w:tc>
          <w:tcPr>
            <w:tcW w:w="7140" w:type="dxa"/>
            <w:vAlign w:val="bottom"/>
            <w:gridSpan w:val="4"/>
          </w:tcPr>
          <w:p>
            <w:pPr>
              <w:ind w:left="1400"/>
              <w:spacing w:after="0"/>
              <w:rPr>
                <w:sz w:val="20"/>
                <w:szCs w:val="20"/>
                <w:color w:val="auto"/>
              </w:rPr>
            </w:pPr>
            <w:r>
              <w:rPr>
                <w:rFonts w:ascii="Arial" w:cs="Arial" w:eastAsia="Arial" w:hAnsi="Arial"/>
                <w:sz w:val="18"/>
                <w:szCs w:val="18"/>
                <w:color w:val="auto"/>
              </w:rPr>
              <w:t>By:  /s/ ANTHONY S. MARUCCI</w:t>
            </w:r>
          </w:p>
        </w:tc>
      </w:tr>
      <w:tr>
        <w:trPr>
          <w:trHeight w:val="96"/>
        </w:trPr>
        <w:tc>
          <w:tcPr>
            <w:tcW w:w="41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56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r>
      <w:tr>
        <w:trPr>
          <w:trHeight w:val="282"/>
        </w:trPr>
        <w:tc>
          <w:tcPr>
            <w:tcW w:w="4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Anthony S. Marucci</w:t>
            </w:r>
          </w:p>
        </w:tc>
      </w:tr>
      <w:tr>
        <w:trPr>
          <w:trHeight w:val="222"/>
        </w:trPr>
        <w:tc>
          <w:tcPr>
            <w:tcW w:w="4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gridSpan w:val="2"/>
          </w:tcPr>
          <w:p>
            <w:pPr>
              <w:ind w:left="14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120"/>
        </w:trPr>
        <w:tc>
          <w:tcPr>
            <w:tcW w:w="410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35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4" w:name="page135"/>
    <w:bookmarkEnd w:id="13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6"/>
          <w:szCs w:val="16"/>
          <w:u w:val="single" w:color="auto"/>
          <w:color w:val="0000EE"/>
        </w:rPr>
      </w:pPr>
      <w:hyperlink w:anchor="page134">
        <w:r>
          <w:rPr>
            <w:rFonts w:ascii="Arial" w:cs="Arial" w:eastAsia="Arial" w:hAnsi="Arial"/>
            <w:sz w:val="16"/>
            <w:szCs w:val="16"/>
            <w:u w:val="single" w:color="auto"/>
            <w:color w:val="0000EE"/>
          </w:rPr>
          <w:t>Exhibit 31.1</w:t>
        </w:r>
      </w:hyperlink>
    </w:p>
    <w:p>
      <w:pPr>
        <w:spacing w:after="0" w:line="248" w:lineRule="exact"/>
        <w:rPr>
          <w:sz w:val="20"/>
          <w:szCs w:val="20"/>
          <w:color w:val="auto"/>
        </w:rPr>
      </w:pPr>
    </w:p>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CERTIFICATION</w:t>
        </w:r>
      </w:hyperlink>
    </w:p>
    <w:p>
      <w:pPr>
        <w:sectPr>
          <w:pgSz w:w="11900" w:h="16838" w:orient="portrait"/>
          <w:cols w:equalWidth="0" w:num="1">
            <w:col w:w="10139"/>
          </w:cols>
          <w:pgMar w:left="320" w:top="820" w:right="1440" w:bottom="1440" w:gutter="0" w:footer="0" w:header="0"/>
        </w:sectPr>
      </w:pPr>
    </w:p>
    <w:bookmarkStart w:id="135" w:name="page136"/>
    <w:bookmarkEnd w:id="135"/>
    <w:p>
      <w:pPr>
        <w:spacing w:after="0"/>
        <w:rPr>
          <w:rFonts w:ascii="Arial" w:cs="Arial" w:eastAsia="Arial" w:hAnsi="Arial"/>
          <w:sz w:val="22"/>
          <w:szCs w:val="22"/>
          <w:color w:val="0000EE"/>
        </w:rPr>
      </w:pPr>
      <w:hyperlink w:anchor="page13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Sam Martin, certify that:</w:t>
      </w:r>
    </w:p>
    <w:p>
      <w:pPr>
        <w:spacing w:after="0" w:line="225" w:lineRule="exact"/>
        <w:rPr>
          <w:sz w:val="20"/>
          <w:szCs w:val="20"/>
          <w:color w:val="auto"/>
        </w:rPr>
      </w:pPr>
    </w:p>
    <w:p>
      <w:pPr>
        <w:ind w:left="720" w:hanging="361"/>
        <w:spacing w:after="0"/>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Celldex Therapeutics, Inc.;</w:t>
      </w:r>
    </w:p>
    <w:p>
      <w:pPr>
        <w:spacing w:after="0" w:line="225" w:lineRule="exact"/>
        <w:rPr>
          <w:rFonts w:ascii="Arial" w:cs="Arial" w:eastAsia="Arial" w:hAnsi="Arial"/>
          <w:sz w:val="18"/>
          <w:szCs w:val="18"/>
          <w:color w:val="auto"/>
        </w:rPr>
      </w:pPr>
    </w:p>
    <w:p>
      <w:pPr>
        <w:ind w:right="320" w:firstLine="359"/>
        <w:spacing w:after="0" w:line="369" w:lineRule="auto"/>
        <w:tabs>
          <w:tab w:leader="none" w:pos="702" w:val="left"/>
        </w:tabs>
        <w:numPr>
          <w:ilvl w:val="0"/>
          <w:numId w:val="6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Arial" w:cs="Arial" w:eastAsia="Arial" w:hAnsi="Arial"/>
          <w:sz w:val="15"/>
          <w:szCs w:val="15"/>
          <w:color w:val="auto"/>
        </w:rPr>
      </w:pPr>
    </w:p>
    <w:p>
      <w:pPr>
        <w:ind w:right="280" w:firstLine="359"/>
        <w:spacing w:after="0" w:line="331" w:lineRule="auto"/>
        <w:tabs>
          <w:tab w:leader="none" w:pos="702"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6"/>
          <w:szCs w:val="16"/>
          <w:color w:val="auto"/>
        </w:rPr>
      </w:pPr>
    </w:p>
    <w:p>
      <w:pPr>
        <w:ind w:right="100" w:firstLine="359"/>
        <w:spacing w:after="0" w:line="259" w:lineRule="auto"/>
        <w:tabs>
          <w:tab w:leader="none" w:pos="699"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spacing w:after="0" w:line="193" w:lineRule="exact"/>
        <w:rPr>
          <w:rFonts w:ascii="Arial" w:cs="Arial" w:eastAsia="Arial" w:hAnsi="Arial"/>
          <w:sz w:val="18"/>
          <w:szCs w:val="18"/>
          <w:color w:val="auto"/>
        </w:rPr>
      </w:pPr>
    </w:p>
    <w:p>
      <w:pPr>
        <w:ind w:left="540" w:right="60" w:firstLine="359"/>
        <w:spacing w:after="0" w:line="259" w:lineRule="auto"/>
        <w:tabs>
          <w:tab w:leader="none" w:pos="1217"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Arial" w:cs="Arial" w:eastAsia="Arial" w:hAnsi="Arial"/>
          <w:sz w:val="18"/>
          <w:szCs w:val="18"/>
          <w:color w:val="auto"/>
        </w:rPr>
      </w:pPr>
    </w:p>
    <w:p>
      <w:pPr>
        <w:jc w:val="both"/>
        <w:ind w:left="540" w:right="440" w:firstLine="359"/>
        <w:spacing w:after="0" w:line="259" w:lineRule="auto"/>
        <w:tabs>
          <w:tab w:leader="none" w:pos="1227"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Arial" w:cs="Arial" w:eastAsia="Arial" w:hAnsi="Arial"/>
          <w:sz w:val="18"/>
          <w:szCs w:val="18"/>
          <w:color w:val="auto"/>
        </w:rPr>
      </w:pPr>
    </w:p>
    <w:p>
      <w:pPr>
        <w:ind w:left="540" w:right="560" w:firstLine="359"/>
        <w:spacing w:after="0" w:line="331" w:lineRule="auto"/>
        <w:tabs>
          <w:tab w:leader="none" w:pos="1217"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6"/>
          <w:szCs w:val="16"/>
          <w:color w:val="auto"/>
        </w:rPr>
      </w:pPr>
    </w:p>
    <w:p>
      <w:pPr>
        <w:ind w:left="540" w:right="80" w:firstLine="359"/>
        <w:spacing w:after="0" w:line="259" w:lineRule="auto"/>
        <w:tabs>
          <w:tab w:leader="none" w:pos="1227"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rFonts w:ascii="Arial" w:cs="Arial" w:eastAsia="Arial" w:hAnsi="Arial"/>
          <w:sz w:val="18"/>
          <w:szCs w:val="18"/>
          <w:color w:val="auto"/>
        </w:rPr>
      </w:pPr>
    </w:p>
    <w:p>
      <w:pPr>
        <w:ind w:right="240" w:firstLine="359"/>
        <w:spacing w:after="0" w:line="331" w:lineRule="auto"/>
        <w:tabs>
          <w:tab w:leader="none" w:pos="699"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6"/>
          <w:szCs w:val="16"/>
          <w:color w:val="auto"/>
        </w:rPr>
      </w:pPr>
    </w:p>
    <w:p>
      <w:pPr>
        <w:ind w:left="540" w:right="780" w:firstLine="359"/>
        <w:spacing w:after="0" w:line="331" w:lineRule="auto"/>
        <w:tabs>
          <w:tab w:leader="none" w:pos="1208" w:val="left"/>
        </w:tabs>
        <w:numPr>
          <w:ilvl w:val="1"/>
          <w:numId w:val="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6"/>
          <w:szCs w:val="16"/>
          <w:color w:val="auto"/>
        </w:rPr>
      </w:pPr>
    </w:p>
    <w:p>
      <w:pPr>
        <w:ind w:left="540" w:right="480" w:firstLine="359"/>
        <w:spacing w:after="0" w:line="268" w:lineRule="auto"/>
        <w:tabs>
          <w:tab w:leader="none" w:pos="1218"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00" w:type="dxa"/>
            <w:vAlign w:val="bottom"/>
          </w:tcPr>
          <w:p>
            <w:pPr>
              <w:ind w:left="1140"/>
              <w:spacing w:after="0"/>
              <w:rPr>
                <w:sz w:val="20"/>
                <w:szCs w:val="20"/>
                <w:color w:val="auto"/>
              </w:rPr>
            </w:pPr>
            <w:r>
              <w:rPr>
                <w:rFonts w:ascii="Arial" w:cs="Arial" w:eastAsia="Arial" w:hAnsi="Arial"/>
                <w:sz w:val="18"/>
                <w:szCs w:val="18"/>
                <w:color w:val="auto"/>
              </w:rPr>
              <w:t>Date: March 26, 2020</w:t>
            </w:r>
          </w:p>
        </w:tc>
        <w:tc>
          <w:tcPr>
            <w:tcW w:w="7140" w:type="dxa"/>
            <w:vAlign w:val="bottom"/>
            <w:gridSpan w:val="4"/>
          </w:tcPr>
          <w:p>
            <w:pPr>
              <w:ind w:left="1400"/>
              <w:spacing w:after="0"/>
              <w:rPr>
                <w:sz w:val="20"/>
                <w:szCs w:val="20"/>
                <w:color w:val="auto"/>
              </w:rPr>
            </w:pPr>
            <w:r>
              <w:rPr>
                <w:rFonts w:ascii="Arial" w:cs="Arial" w:eastAsia="Arial" w:hAnsi="Arial"/>
                <w:sz w:val="18"/>
                <w:szCs w:val="18"/>
                <w:color w:val="auto"/>
              </w:rPr>
              <w:t>By:  /s/ SAM MARTIN</w:t>
            </w:r>
          </w:p>
        </w:tc>
      </w:tr>
      <w:tr>
        <w:trPr>
          <w:trHeight w:val="96"/>
        </w:trPr>
        <w:tc>
          <w:tcPr>
            <w:tcW w:w="41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56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r>
      <w:tr>
        <w:trPr>
          <w:trHeight w:val="282"/>
        </w:trPr>
        <w:tc>
          <w:tcPr>
            <w:tcW w:w="4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Sam Martin</w:t>
            </w:r>
          </w:p>
        </w:tc>
      </w:tr>
      <w:tr>
        <w:trPr>
          <w:trHeight w:val="216"/>
        </w:trPr>
        <w:tc>
          <w:tcPr>
            <w:tcW w:w="4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gridSpan w:val="2"/>
          </w:tcPr>
          <w:p>
            <w:pPr>
              <w:ind w:left="140"/>
              <w:spacing w:after="0"/>
              <w:rPr>
                <w:sz w:val="20"/>
                <w:szCs w:val="20"/>
                <w:color w:val="auto"/>
              </w:rPr>
            </w:pPr>
            <w:r>
              <w:rPr>
                <w:rFonts w:ascii="Arial" w:cs="Arial" w:eastAsia="Arial" w:hAnsi="Arial"/>
                <w:sz w:val="18"/>
                <w:szCs w:val="18"/>
                <w:i w:val="1"/>
                <w:iCs w:val="1"/>
                <w:color w:val="auto"/>
              </w:rPr>
              <w:t>Senior Vice President and</w:t>
            </w:r>
          </w:p>
        </w:tc>
      </w:tr>
      <w:tr>
        <w:trPr>
          <w:trHeight w:val="222"/>
        </w:trPr>
        <w:tc>
          <w:tcPr>
            <w:tcW w:w="4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i w:val="1"/>
                <w:iCs w:val="1"/>
                <w:color w:val="auto"/>
              </w:rPr>
              <w:t>Chief Financial Officer</w:t>
            </w:r>
          </w:p>
        </w:tc>
      </w:tr>
      <w:tr>
        <w:trPr>
          <w:trHeight w:val="120"/>
        </w:trPr>
        <w:tc>
          <w:tcPr>
            <w:tcW w:w="410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35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6" w:name="page137"/>
    <w:bookmarkEnd w:id="13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6"/>
          <w:szCs w:val="16"/>
          <w:u w:val="single" w:color="auto"/>
          <w:color w:val="0000EE"/>
        </w:rPr>
      </w:pPr>
      <w:hyperlink w:anchor="page136">
        <w:r>
          <w:rPr>
            <w:rFonts w:ascii="Arial" w:cs="Arial" w:eastAsia="Arial" w:hAnsi="Arial"/>
            <w:sz w:val="16"/>
            <w:szCs w:val="16"/>
            <w:u w:val="single" w:color="auto"/>
            <w:color w:val="0000EE"/>
          </w:rPr>
          <w:t>Exhibit 31.2</w:t>
        </w:r>
      </w:hyperlink>
    </w:p>
    <w:p>
      <w:pPr>
        <w:spacing w:after="0" w:line="248" w:lineRule="exact"/>
        <w:rPr>
          <w:sz w:val="20"/>
          <w:szCs w:val="20"/>
          <w:color w:val="auto"/>
        </w:rPr>
      </w:pPr>
    </w:p>
    <w:p>
      <w:pPr>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CERTIFICATION</w:t>
        </w:r>
      </w:hyperlink>
    </w:p>
    <w:p>
      <w:pPr>
        <w:sectPr>
          <w:pgSz w:w="11900" w:h="16838" w:orient="portrait"/>
          <w:cols w:equalWidth="0" w:num="1">
            <w:col w:w="10139"/>
          </w:cols>
          <w:pgMar w:left="320" w:top="820" w:right="1440" w:bottom="1440" w:gutter="0" w:footer="0" w:header="0"/>
        </w:sectPr>
      </w:pPr>
    </w:p>
    <w:bookmarkStart w:id="137" w:name="page138"/>
    <w:bookmarkEnd w:id="137"/>
    <w:p>
      <w:pPr>
        <w:spacing w:after="0"/>
        <w:rPr>
          <w:rFonts w:ascii="Arial" w:cs="Arial" w:eastAsia="Arial" w:hAnsi="Arial"/>
          <w:sz w:val="22"/>
          <w:szCs w:val="22"/>
          <w:color w:val="0000EE"/>
        </w:rPr>
      </w:pPr>
      <w:hyperlink w:anchor="page13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20"/>
        <w:spacing w:after="0"/>
        <w:rPr>
          <w:sz w:val="20"/>
          <w:szCs w:val="20"/>
          <w:color w:val="auto"/>
        </w:rPr>
      </w:pPr>
      <w:r>
        <w:rPr>
          <w:rFonts w:ascii="Arial" w:cs="Arial" w:eastAsia="Arial" w:hAnsi="Arial"/>
          <w:sz w:val="16"/>
          <w:szCs w:val="16"/>
          <w:b w:val="1"/>
          <w:bCs w:val="1"/>
          <w:color w:val="auto"/>
        </w:rPr>
        <w:t>Exhibit 32</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CHIEF FINANCIAL OFFICER PURSUANT TO</w:t>
      </w:r>
    </w:p>
    <w:p>
      <w:pPr>
        <w:spacing w:after="0" w:line="9"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Each of the undersigned hereby certifies, pursuant to 18 U.S.C. Section 1350, as adopted pursuant to Section 906 of the Sarbanes-Oxley Act of 2002, in his capacity as an officer of Celldex Therapeutics, Inc. (the "Company"), that, to his knowledge, the Annual Report of the Company on Form 10-K for the period ended December 31, 2019 (the "Form 10-K"), fully complies with the requirements of Section 13(a) or 15(d) of the Securities Exchange Act of 1934 (15 U.S.C. §78m or 78o(d)) and that the information contained in such report fairly presents, in all material respects, the financial condition and results of operations of the Company. This written statement is being furnished to the Securities and Exchange Commission as an exhibit to the Form 10-K. A signed original of this statement has been provided to the Company and will be retained by the Company and furnished to the Securities and Exchange Commission or its staff upon request.</w:t>
      </w: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960" w:type="dxa"/>
            <w:vAlign w:val="bottom"/>
          </w:tcPr>
          <w:p>
            <w:pPr>
              <w:spacing w:after="0"/>
              <w:rPr>
                <w:sz w:val="20"/>
                <w:szCs w:val="20"/>
                <w:color w:val="auto"/>
              </w:rPr>
            </w:pPr>
            <w:r>
              <w:rPr>
                <w:rFonts w:ascii="Arial" w:cs="Arial" w:eastAsia="Arial" w:hAnsi="Arial"/>
                <w:sz w:val="18"/>
                <w:szCs w:val="18"/>
                <w:color w:val="auto"/>
              </w:rPr>
              <w:t>Date: March 26, 2020</w:t>
            </w:r>
          </w:p>
        </w:tc>
        <w:tc>
          <w:tcPr>
            <w:tcW w:w="1860" w:type="dxa"/>
            <w:vAlign w:val="bottom"/>
          </w:tcPr>
          <w:p>
            <w:pPr>
              <w:ind w:left="1400"/>
              <w:spacing w:after="0"/>
              <w:rPr>
                <w:sz w:val="20"/>
                <w:szCs w:val="20"/>
                <w:color w:val="auto"/>
              </w:rPr>
            </w:pPr>
            <w:r>
              <w:rPr>
                <w:rFonts w:ascii="Arial" w:cs="Arial" w:eastAsia="Arial" w:hAnsi="Arial"/>
                <w:sz w:val="18"/>
                <w:szCs w:val="18"/>
                <w:color w:val="auto"/>
              </w:rPr>
              <w:t>By:</w:t>
            </w:r>
          </w:p>
        </w:tc>
        <w:tc>
          <w:tcPr>
            <w:tcW w:w="4180" w:type="dxa"/>
            <w:vAlign w:val="bottom"/>
            <w:gridSpan w:val="2"/>
          </w:tcPr>
          <w:p>
            <w:pPr>
              <w:spacing w:after="0"/>
              <w:rPr>
                <w:sz w:val="20"/>
                <w:szCs w:val="20"/>
                <w:color w:val="auto"/>
              </w:rPr>
            </w:pPr>
            <w:r>
              <w:rPr>
                <w:rFonts w:ascii="Arial" w:cs="Arial" w:eastAsia="Arial" w:hAnsi="Arial"/>
                <w:sz w:val="18"/>
                <w:szCs w:val="18"/>
                <w:color w:val="auto"/>
              </w:rPr>
              <w:t>/s/ ANTHONY S. MARUCCI</w:t>
            </w:r>
          </w:p>
        </w:tc>
      </w:tr>
      <w:tr>
        <w:trPr>
          <w:trHeight w:val="97"/>
        </w:trPr>
        <w:tc>
          <w:tcPr>
            <w:tcW w:w="29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560" w:type="dxa"/>
            <w:vAlign w:val="bottom"/>
            <w:tcBorders>
              <w:bottom w:val="single" w:sz="8" w:color="auto"/>
            </w:tcBorders>
          </w:tcPr>
          <w:p>
            <w:pPr>
              <w:spacing w:after="0"/>
              <w:rPr>
                <w:sz w:val="8"/>
                <w:szCs w:val="8"/>
                <w:color w:val="auto"/>
              </w:rPr>
            </w:pPr>
          </w:p>
        </w:tc>
      </w:tr>
      <w:tr>
        <w:trPr>
          <w:trHeight w:val="282"/>
        </w:trPr>
        <w:tc>
          <w:tcPr>
            <w:tcW w:w="29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560" w:type="dxa"/>
            <w:vAlign w:val="bottom"/>
          </w:tcPr>
          <w:p>
            <w:pPr>
              <w:ind w:left="140"/>
              <w:spacing w:after="0"/>
              <w:rPr>
                <w:sz w:val="20"/>
                <w:szCs w:val="20"/>
                <w:color w:val="auto"/>
              </w:rPr>
            </w:pPr>
            <w:r>
              <w:rPr>
                <w:rFonts w:ascii="Arial" w:cs="Arial" w:eastAsia="Arial" w:hAnsi="Arial"/>
                <w:sz w:val="18"/>
                <w:szCs w:val="18"/>
                <w:color w:val="auto"/>
              </w:rPr>
              <w:t>Anthony S. Marucci</w:t>
            </w:r>
          </w:p>
        </w:tc>
      </w:tr>
      <w:tr>
        <w:trPr>
          <w:trHeight w:val="216"/>
        </w:trPr>
        <w:tc>
          <w:tcPr>
            <w:tcW w:w="29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560" w:type="dxa"/>
            <w:vAlign w:val="bottom"/>
          </w:tcPr>
          <w:p>
            <w:pPr>
              <w:ind w:left="14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22"/>
        </w:trPr>
        <w:tc>
          <w:tcPr>
            <w:tcW w:w="2960" w:type="dxa"/>
            <w:vAlign w:val="bottom"/>
          </w:tcPr>
          <w:p>
            <w:pPr>
              <w:spacing w:after="0"/>
              <w:rPr>
                <w:sz w:val="20"/>
                <w:szCs w:val="20"/>
                <w:color w:val="auto"/>
              </w:rPr>
            </w:pPr>
            <w:r>
              <w:rPr>
                <w:rFonts w:ascii="Arial" w:cs="Arial" w:eastAsia="Arial" w:hAnsi="Arial"/>
                <w:sz w:val="18"/>
                <w:szCs w:val="18"/>
                <w:color w:val="auto"/>
              </w:rPr>
              <w:t>Date: March 26, 2020</w:t>
            </w:r>
          </w:p>
        </w:tc>
        <w:tc>
          <w:tcPr>
            <w:tcW w:w="1860" w:type="dxa"/>
            <w:vAlign w:val="bottom"/>
          </w:tcPr>
          <w:p>
            <w:pPr>
              <w:ind w:left="1400"/>
              <w:spacing w:after="0"/>
              <w:rPr>
                <w:sz w:val="20"/>
                <w:szCs w:val="20"/>
                <w:color w:val="auto"/>
              </w:rPr>
            </w:pPr>
            <w:r>
              <w:rPr>
                <w:rFonts w:ascii="Arial" w:cs="Arial" w:eastAsia="Arial" w:hAnsi="Arial"/>
                <w:sz w:val="18"/>
                <w:szCs w:val="18"/>
                <w:color w:val="auto"/>
              </w:rPr>
              <w:t>By:</w:t>
            </w:r>
          </w:p>
        </w:tc>
        <w:tc>
          <w:tcPr>
            <w:tcW w:w="4180" w:type="dxa"/>
            <w:vAlign w:val="bottom"/>
            <w:gridSpan w:val="2"/>
          </w:tcPr>
          <w:p>
            <w:pPr>
              <w:spacing w:after="0"/>
              <w:rPr>
                <w:sz w:val="20"/>
                <w:szCs w:val="20"/>
                <w:color w:val="auto"/>
              </w:rPr>
            </w:pPr>
            <w:r>
              <w:rPr>
                <w:rFonts w:ascii="Arial" w:cs="Arial" w:eastAsia="Arial" w:hAnsi="Arial"/>
                <w:sz w:val="18"/>
                <w:szCs w:val="18"/>
                <w:color w:val="auto"/>
              </w:rPr>
              <w:t>/s/ SAM MARTIN</w:t>
            </w:r>
          </w:p>
        </w:tc>
      </w:tr>
      <w:tr>
        <w:trPr>
          <w:trHeight w:val="97"/>
        </w:trPr>
        <w:tc>
          <w:tcPr>
            <w:tcW w:w="29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560" w:type="dxa"/>
            <w:vAlign w:val="bottom"/>
            <w:tcBorders>
              <w:bottom w:val="single" w:sz="8" w:color="auto"/>
            </w:tcBorders>
          </w:tcPr>
          <w:p>
            <w:pPr>
              <w:spacing w:after="0"/>
              <w:rPr>
                <w:sz w:val="8"/>
                <w:szCs w:val="8"/>
                <w:color w:val="auto"/>
              </w:rPr>
            </w:pPr>
          </w:p>
        </w:tc>
      </w:tr>
      <w:tr>
        <w:trPr>
          <w:trHeight w:val="282"/>
        </w:trPr>
        <w:tc>
          <w:tcPr>
            <w:tcW w:w="29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560" w:type="dxa"/>
            <w:vAlign w:val="bottom"/>
          </w:tcPr>
          <w:p>
            <w:pPr>
              <w:ind w:left="140"/>
              <w:spacing w:after="0"/>
              <w:rPr>
                <w:sz w:val="20"/>
                <w:szCs w:val="20"/>
                <w:color w:val="auto"/>
              </w:rPr>
            </w:pPr>
            <w:r>
              <w:rPr>
                <w:rFonts w:ascii="Arial" w:cs="Arial" w:eastAsia="Arial" w:hAnsi="Arial"/>
                <w:sz w:val="18"/>
                <w:szCs w:val="18"/>
                <w:color w:val="auto"/>
              </w:rPr>
              <w:t>Sam Martin</w:t>
            </w:r>
          </w:p>
        </w:tc>
      </w:tr>
      <w:tr>
        <w:trPr>
          <w:trHeight w:val="216"/>
        </w:trPr>
        <w:tc>
          <w:tcPr>
            <w:tcW w:w="29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560" w:type="dxa"/>
            <w:vAlign w:val="bottom"/>
          </w:tcPr>
          <w:p>
            <w:pPr>
              <w:ind w:left="140"/>
              <w:spacing w:after="0"/>
              <w:rPr>
                <w:sz w:val="20"/>
                <w:szCs w:val="20"/>
                <w:color w:val="auto"/>
              </w:rPr>
            </w:pPr>
            <w:r>
              <w:rPr>
                <w:rFonts w:ascii="Arial" w:cs="Arial" w:eastAsia="Arial" w:hAnsi="Arial"/>
                <w:sz w:val="18"/>
                <w:szCs w:val="18"/>
                <w:i w:val="1"/>
                <w:iCs w:val="1"/>
                <w:color w:val="auto"/>
              </w:rPr>
              <w:t>Senior Vice President and</w:t>
            </w:r>
          </w:p>
        </w:tc>
      </w:tr>
      <w:tr>
        <w:trPr>
          <w:trHeight w:val="222"/>
        </w:trPr>
        <w:tc>
          <w:tcPr>
            <w:tcW w:w="29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560" w:type="dxa"/>
            <w:vAlign w:val="bottom"/>
          </w:tcPr>
          <w:p>
            <w:pPr>
              <w:ind w:left="140"/>
              <w:spacing w:after="0"/>
              <w:rPr>
                <w:sz w:val="20"/>
                <w:szCs w:val="20"/>
                <w:color w:val="auto"/>
              </w:rPr>
            </w:pPr>
            <w:r>
              <w:rPr>
                <w:rFonts w:ascii="Arial" w:cs="Arial" w:eastAsia="Arial" w:hAnsi="Arial"/>
                <w:sz w:val="18"/>
                <w:szCs w:val="18"/>
                <w:i w:val="1"/>
                <w:iCs w:val="1"/>
                <w:color w:val="auto"/>
              </w:rPr>
              <w:t>Chief Financial Officer</w:t>
            </w:r>
          </w:p>
        </w:tc>
      </w:tr>
    </w:tbl>
    <w:p>
      <w:pPr>
        <w:spacing w:after="0" w:line="210"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36130"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8" w:name="page139"/>
    <w:bookmarkEnd w:id="13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Exhibit 32</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CERTIFICATION OF CHIEF EXECUTIVE OFFICER AND CHIEF FINANCIAL OFFICER PURSUANT TO 18 U.S.C. SECTION 1350, AS ADOPTED</w:t>
        </w:r>
      </w:hyperlink>
      <w:r>
        <w:rPr>
          <w:rFonts w:ascii="Arial" w:cs="Arial" w:eastAsia="Arial" w:hAnsi="Arial"/>
          <w:sz w:val="18"/>
          <w:szCs w:val="18"/>
          <w:u w:val="single" w:color="auto"/>
          <w:color w:val="0000EE"/>
        </w:rPr>
        <w:t xml:space="preserve"> </w:t>
      </w:r>
      <w:hyperlink w:anchor="page138">
        <w:r>
          <w:rPr>
            <w:rFonts w:ascii="Arial" w:cs="Arial" w:eastAsia="Arial" w:hAnsi="Arial"/>
            <w:sz w:val="18"/>
            <w:szCs w:val="18"/>
            <w:u w:val="single" w:color="auto"/>
            <w:color w:val="0000EE"/>
          </w:rPr>
          <w:t>PURSUANT TO SECTION 906 OF THE SARBANES-OXLEY ACT OF 2002</w:t>
        </w:r>
      </w:hyperlink>
    </w:p>
    <w:sectPr>
      <w:pgSz w:w="11900" w:h="16838" w:orient="portrait"/>
      <w:cols w:equalWidth="0" w:num="1">
        <w:col w:w="10980"/>
      </w:cols>
      <w:pgMar w:left="320" w:top="82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o"/>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1)"/>
      <w:numFmt w:val="decimal"/>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1)"/>
      <w:numFmt w:val="decimal"/>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1)"/>
      <w:numFmt w:val="decimal"/>
      <w:start w:val="15"/>
    </w:lvl>
  </w:abstractNum>
  <w:abstractNum w:abstractNumId="43">
    <w:nsid w:val="75C6C33A"/>
    <w:multiLevelType w:val="hybridMultilevel"/>
    <w:lvl w:ilvl="0">
      <w:lvlJc w:val="left"/>
      <w:lvlText w:val="(%1)"/>
      <w:numFmt w:val="decimal"/>
      <w:start w:val="15"/>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1)"/>
      <w:numFmt w:val="upperLetter"/>
      <w:start w:val="1"/>
    </w:lvl>
  </w:abstractNum>
  <w:abstractNum w:abstractNumId="46">
    <w:nsid w:val="520EEDD1"/>
    <w:multiLevelType w:val="hybridMultilevel"/>
    <w:lvl w:ilvl="0">
      <w:lvlJc w:val="left"/>
      <w:lvlText w:val="(%1)"/>
      <w:numFmt w:val="decimal"/>
      <w:start w:val="1"/>
    </w:lvl>
  </w:abstractNum>
  <w:abstractNum w:abstractNumId="47">
    <w:nsid w:val="374A3FE6"/>
    <w:multiLevelType w:val="hybridMultilevel"/>
    <w:lvl w:ilvl="0">
      <w:lvlJc w:val="left"/>
      <w:lvlText w:val="(%1)"/>
      <w:numFmt w:val="decimal"/>
      <w:start w:val="2"/>
    </w:lvl>
  </w:abstractNum>
  <w:abstractNum w:abstractNumId="48">
    <w:nsid w:val="4F4EF005"/>
    <w:multiLevelType w:val="hybridMultilevel"/>
    <w:lvl w:ilvl="0">
      <w:lvlJc w:val="left"/>
      <w:lvlText w:val="%1"/>
      <w:numFmt w:val="decimal"/>
      <w:start w:val="32"/>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1."/>
      <w:numFmt w:val="decimal"/>
      <w:start w:val="1"/>
    </w:lvl>
  </w:abstractNum>
  <w:abstractNum w:abstractNumId="52">
    <w:nsid w:val="39386575"/>
    <w:multiLevelType w:val="hybridMultilevel"/>
    <w:lvl w:ilvl="0">
      <w:lvlJc w:val="left"/>
      <w:lvlText w:val="%1."/>
      <w:numFmt w:val="decimal"/>
      <w:start w:val="2"/>
    </w:lvl>
  </w:abstractNum>
  <w:abstractNum w:abstractNumId="53">
    <w:nsid w:val="1CF10FD8"/>
    <w:multiLevelType w:val="hybridMultilevel"/>
    <w:lvl w:ilvl="0">
      <w:lvlJc w:val="left"/>
      <w:lvlText w:val="%1."/>
      <w:numFmt w:val="decimal"/>
      <w:start w:val="5"/>
    </w:lvl>
  </w:abstractNum>
  <w:abstractNum w:abstractNumId="54">
    <w:nsid w:val="180115BE"/>
    <w:multiLevelType w:val="hybridMultilevel"/>
    <w:lvl w:ilvl="0">
      <w:lvlJc w:val="left"/>
      <w:lvlText w:val="%1."/>
      <w:numFmt w:val="decimal"/>
      <w:start w:val="6"/>
    </w:lvl>
  </w:abstractNum>
  <w:abstractNum w:abstractNumId="55">
    <w:nsid w:val="235BA861"/>
    <w:multiLevelType w:val="hybridMultilevel"/>
    <w:lvl w:ilvl="0">
      <w:lvlJc w:val="left"/>
      <w:lvlText w:val="%1."/>
      <w:numFmt w:val="decimal"/>
      <w:start w:val="9"/>
    </w:lvl>
  </w:abstractNum>
  <w:abstractNum w:abstractNumId="56">
    <w:nsid w:val="47398C89"/>
    <w:multiLevelType w:val="hybridMultilevel"/>
    <w:lvl w:ilvl="0">
      <w:lvlJc w:val="left"/>
      <w:lvlText w:val="%1."/>
      <w:numFmt w:val="decimal"/>
      <w:start w:val="11"/>
    </w:lvl>
  </w:abstractNum>
  <w:abstractNum w:abstractNumId="57">
    <w:nsid w:val="354FE9F9"/>
    <w:multiLevelType w:val="hybridMultilevel"/>
    <w:lvl w:ilvl="0">
      <w:lvlJc w:val="left"/>
      <w:lvlText w:val="%1."/>
      <w:numFmt w:val="decimal"/>
      <w:start w:val="14"/>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49" Type="http://schemas.openxmlformats.org/officeDocument/2006/relationships/image" Target="media/image121.png"/><Relationship Id="rId150" Type="http://schemas.openxmlformats.org/officeDocument/2006/relationships/image" Target="media/image122.png"/><Relationship Id="rId163" Type="http://schemas.openxmlformats.org/officeDocument/2006/relationships/image" Target="media/image123.png"/><Relationship Id="rId164" Type="http://schemas.openxmlformats.org/officeDocument/2006/relationships/image" Target="media/image124.png"/><Relationship Id="rId177" Type="http://schemas.openxmlformats.org/officeDocument/2006/relationships/image" Target="media/image125.png"/><Relationship Id="rId178" Type="http://schemas.openxmlformats.org/officeDocument/2006/relationships/image" Target="media/image126.png"/><Relationship Id="rId179" Type="http://schemas.openxmlformats.org/officeDocument/2006/relationships/image" Target="media/image127.png"/><Relationship Id="rId180" Type="http://schemas.openxmlformats.org/officeDocument/2006/relationships/image" Target="media/image128.png"/><Relationship Id="rId181" Type="http://schemas.openxmlformats.org/officeDocument/2006/relationships/image" Target="media/image129.png"/><Relationship Id="rId182" Type="http://schemas.openxmlformats.org/officeDocument/2006/relationships/image" Target="media/image130.png"/><Relationship Id="rId183" Type="http://schemas.openxmlformats.org/officeDocument/2006/relationships/image" Target="media/image131.png"/><Relationship Id="rId184" Type="http://schemas.openxmlformats.org/officeDocument/2006/relationships/image" Target="media/image132.png"/><Relationship Id="rId185" Type="http://schemas.openxmlformats.org/officeDocument/2006/relationships/image" Target="media/image133.png"/><Relationship Id="rId186" Type="http://schemas.openxmlformats.org/officeDocument/2006/relationships/image" Target="media/image134.png"/><Relationship Id="rId187" Type="http://schemas.openxmlformats.org/officeDocument/2006/relationships/image" Target="media/image135.png"/><Relationship Id="rId188" Type="http://schemas.openxmlformats.org/officeDocument/2006/relationships/image" Target="media/image136.png"/><Relationship Id="rId189" Type="http://schemas.openxmlformats.org/officeDocument/2006/relationships/image" Target="media/image137.png"/><Relationship Id="rId190" Type="http://schemas.openxmlformats.org/officeDocument/2006/relationships/image" Target="media/image138.png"/><Relationship Id="rId191" Type="http://schemas.openxmlformats.org/officeDocument/2006/relationships/image" Target="media/image139.png"/><Relationship Id="rId192" Type="http://schemas.openxmlformats.org/officeDocument/2006/relationships/image" Target="media/image140.png"/><Relationship Id="rId193" Type="http://schemas.openxmlformats.org/officeDocument/2006/relationships/image" Target="media/image141.png"/><Relationship Id="rId194" Type="http://schemas.openxmlformats.org/officeDocument/2006/relationships/image" Target="media/image142.png"/><Relationship Id="rId195" Type="http://schemas.openxmlformats.org/officeDocument/2006/relationships/image" Target="media/image143.png"/><Relationship Id="rId196" Type="http://schemas.openxmlformats.org/officeDocument/2006/relationships/image" Target="media/image144.png"/><Relationship Id="rId197" Type="http://schemas.openxmlformats.org/officeDocument/2006/relationships/image" Target="media/image145.png"/><Relationship Id="rId198" Type="http://schemas.openxmlformats.org/officeDocument/2006/relationships/image" Target="media/image146.png"/><Relationship Id="rId199" Type="http://schemas.openxmlformats.org/officeDocument/2006/relationships/image" Target="media/image147.png"/><Relationship Id="rId200" Type="http://schemas.openxmlformats.org/officeDocument/2006/relationships/image" Target="media/image148.png"/><Relationship Id="rId201" Type="http://schemas.openxmlformats.org/officeDocument/2006/relationships/image" Target="media/image149.png"/><Relationship Id="rId202" Type="http://schemas.openxmlformats.org/officeDocument/2006/relationships/image" Target="media/image150.png"/><Relationship Id="rId203" Type="http://schemas.openxmlformats.org/officeDocument/2006/relationships/image" Target="media/image151.png"/><Relationship Id="rId204" Type="http://schemas.openxmlformats.org/officeDocument/2006/relationships/image" Target="media/image152.png"/><Relationship Id="rId205" Type="http://schemas.openxmlformats.org/officeDocument/2006/relationships/image" Target="media/image153.png"/><Relationship Id="rId206" Type="http://schemas.openxmlformats.org/officeDocument/2006/relationships/image" Target="media/image154.png"/><Relationship Id="rId126" Type="http://schemas.openxmlformats.org/officeDocument/2006/relationships/hyperlink" Target="http://www.sec.gov/Archives/edgar/data/744218/000110465916153723/a16-20866_1ex2d1.htm" TargetMode="External"/><Relationship Id="rId127" Type="http://schemas.openxmlformats.org/officeDocument/2006/relationships/hyperlink" Target="http://www.sec.gov/Archives/edgar/data/744218/0001029869-98-000936-index.html" TargetMode="External"/><Relationship Id="rId128" Type="http://schemas.openxmlformats.org/officeDocument/2006/relationships/hyperlink" Target="http://www.sec.gov/Archives/edgar/data/744218/000110465902001892/j3484_ex3d1.htm" TargetMode="External"/><Relationship Id="rId129" Type="http://schemas.openxmlformats.org/officeDocument/2006/relationships/hyperlink" Target="http://www.sec.gov/Archives/edgar/data/744218/000110465908016816/a08-7923_1ex3d1.htm" TargetMode="External"/><Relationship Id="rId130" Type="http://schemas.openxmlformats.org/officeDocument/2006/relationships/hyperlink" Target="http://www.sec.gov/Archives/edgar/data/744218/000110465908016816/a08-7923_1ex3d2.htm" TargetMode="External"/><Relationship Id="rId131" Type="http://schemas.openxmlformats.org/officeDocument/2006/relationships/hyperlink" Target="http://www.sec.gov/Archives/edgar/data/744218/000110465908069812/a08-25757_1ex3d7.htm" TargetMode="External"/><Relationship Id="rId132" Type="http://schemas.openxmlformats.org/officeDocument/2006/relationships/hyperlink" Target="http://www.sec.gov/Archives/edgar/data/744218/000110465914026295/a14-10147_1ex3d1.htm" TargetMode="External"/><Relationship Id="rId133" Type="http://schemas.openxmlformats.org/officeDocument/2006/relationships/hyperlink" Target="http://www.sec.gov/Archives/edgar/data/744218/000110465919006667/a19-4170_1ex3d1.htm" TargetMode="External"/><Relationship Id="rId134" Type="http://schemas.openxmlformats.org/officeDocument/2006/relationships/hyperlink" Target="http://www.sec.gov/Archives/edgar/data/744218/000110465919006667/a19-4170_1ex4d1.htm" TargetMode="External"/><Relationship Id="rId137" Type="http://schemas.openxmlformats.org/officeDocument/2006/relationships/hyperlink" Target="http://www.sec.gov/Archives/edgar/data/744218/000104746904033435/a2146123zex-3_1.htm" TargetMode="External"/><Relationship Id="rId138" Type="http://schemas.openxmlformats.org/officeDocument/2006/relationships/hyperlink" Target="http://www.sec.gov/Archives/edgar/data/744218/0000950135-96-003793-index.html" TargetMode="External"/><Relationship Id="rId139" Type="http://schemas.openxmlformats.org/officeDocument/2006/relationships/hyperlink" Target="http://www.sec.gov/Archives/edgar/data/744218/000091205702011869/a2073956zex-10_9.txt" TargetMode="External"/><Relationship Id="rId140" Type="http://schemas.openxmlformats.org/officeDocument/2006/relationships/hyperlink" Target="http://www.sec.gov/Archives/edgar/data/744218/000110465906017401/a06-2616_1ex10d40.htm" TargetMode="External"/><Relationship Id="rId141" Type="http://schemas.openxmlformats.org/officeDocument/2006/relationships/hyperlink" Target="http://www.sec.gov/Archives/edgar/data/744218/000104746916010396/a2226904zex-10_4.htm" TargetMode="External"/><Relationship Id="rId142" Type="http://schemas.openxmlformats.org/officeDocument/2006/relationships/hyperlink" Target="http://www.sec.gov/Archives/edgar/data/744218/000110465904012065/a04-5109_1ex10d1.htm" TargetMode="External"/><Relationship Id="rId143" Type="http://schemas.openxmlformats.org/officeDocument/2006/relationships/hyperlink" Target="http://www.sec.gov/Archives/edgar/data/744218/000110465910064201/a10-22053_1ex10d6.htm" TargetMode="External"/><Relationship Id="rId144" Type="http://schemas.openxmlformats.org/officeDocument/2006/relationships/hyperlink" Target="http://www.sec.gov/Archives/edgar/data/744218/000110465906017401/a06-2616_1ex10d41.htm" TargetMode="External"/><Relationship Id="rId145" Type="http://schemas.openxmlformats.org/officeDocument/2006/relationships/hyperlink" Target="http://www.sec.gov/Archives/edgar/data/744218/000110465910064201/a10-22053_1ex10d7.htm" TargetMode="External"/><Relationship Id="rId146" Type="http://schemas.openxmlformats.org/officeDocument/2006/relationships/hyperlink" Target="http://www.sec.gov/Archives/edgar/data/744218/000110465910064201/a10-22053_1ex10d8.htm" TargetMode="External"/><Relationship Id="rId147" Type="http://schemas.openxmlformats.org/officeDocument/2006/relationships/hyperlink" Target="http://www.sec.gov/Archives/edgar/data/744218/000110465910064201/a10-22053_1ex10d9.htm" TargetMode="External"/><Relationship Id="rId148" Type="http://schemas.openxmlformats.org/officeDocument/2006/relationships/hyperlink" Target="http://www.sec.gov/Archives/edgar/data/744218/000110465910042274/a10-12851_1ex10d1.htm" TargetMode="External"/><Relationship Id="rId151" Type="http://schemas.openxmlformats.org/officeDocument/2006/relationships/hyperlink" Target="http://www.sec.gov/Archives/edgar/data/744218/000104746916010396/a2226904zex-10_12.htm" TargetMode="External"/><Relationship Id="rId152" Type="http://schemas.openxmlformats.org/officeDocument/2006/relationships/hyperlink" Target="http://www.sec.gov/Archives/edgar/data/744218/000110465913036833/a13-8304_1ex10d1.htm" TargetMode="External"/><Relationship Id="rId153" Type="http://schemas.openxmlformats.org/officeDocument/2006/relationships/hyperlink" Target="http://www.sec.gov/Archives/edgar/data/744218/000110465915058233/a15-12408_1ex10d2.htm" TargetMode="External"/><Relationship Id="rId154" Type="http://schemas.openxmlformats.org/officeDocument/2006/relationships/hyperlink" Target="http://www.sec.gov/Archives/edgar/data/744218/000110465919027513/a19-7174_1ex10d1.htm" TargetMode="External"/><Relationship Id="rId155" Type="http://schemas.openxmlformats.org/officeDocument/2006/relationships/hyperlink" Target="http://www.sec.gov/Archives/edgar/data/744218/000104746909002264/a2190889zex-10_47.htm" TargetMode="External"/><Relationship Id="rId156" Type="http://schemas.openxmlformats.org/officeDocument/2006/relationships/hyperlink" Target="http://www.sec.gov/Archives/edgar/data/744218/000110465910064201/a10-22053_1ex10d1.htm" TargetMode="External"/><Relationship Id="rId157" Type="http://schemas.openxmlformats.org/officeDocument/2006/relationships/hyperlink" Target="http://www.sec.gov/Archives/edgar/data/744218/000104746918001363/a2234429zex-10_24.htm" TargetMode="External"/><Relationship Id="rId158" Type="http://schemas.openxmlformats.org/officeDocument/2006/relationships/hyperlink" Target="http://www.sec.gov/Archives/edgar/data/744218/000104746918001363/a2234429zex-10_25.htm" TargetMode="External"/><Relationship Id="rId159" Type="http://schemas.openxmlformats.org/officeDocument/2006/relationships/hyperlink" Target="http://www.sec.gov/Archives/edgar/data/744218/000110465916122085/a16-11792_1ex1d1.htm" TargetMode="External"/><Relationship Id="rId160" Type="http://schemas.openxmlformats.org/officeDocument/2006/relationships/hyperlink" Target="http://www.sec.gov/Archives/edgar/data/744218/000110465919036671/a19-11620_3ex10d1.htm" TargetMode="External"/><Relationship Id="rId161" Type="http://schemas.openxmlformats.org/officeDocument/2006/relationships/hyperlink" Target="http://www.sec.gov/Archives/edgar/data/744218/000110465919036671/a19-11620_3ex10d2.htm" TargetMode="External"/><Relationship Id="rId162" Type="http://schemas.openxmlformats.org/officeDocument/2006/relationships/hyperlink" Target="http://www.sec.gov/Archives/edgar/data/744218/000104746918001363/a2234429zex-10_27.htm" TargetMode="External"/><Relationship Id="rId165" Type="http://schemas.openxmlformats.org/officeDocument/2006/relationships/hyperlink" Target="http://www.sec.gov/Archives/edgar/data/744218/000104746918001363/a2234429zex-10_28.htm" TargetMode="External"/><Relationship Id="rId166" Type="http://schemas.openxmlformats.org/officeDocument/2006/relationships/hyperlink" Target="http://www.sec.gov/Archives/edgar/data/744218/000110465917075519/a17-28883_1ex10d1.htm" TargetMode="External"/><Relationship Id="rId167" Type="http://schemas.openxmlformats.org/officeDocument/2006/relationships/hyperlink" Target="http://www.sec.gov/Archives/edgar/data/744218/000110465917075519/a17-28883_1ex10d2.htm" TargetMode="External"/><Relationship Id="rId168" Type="http://schemas.openxmlformats.org/officeDocument/2006/relationships/hyperlink" Target="http://www.sec.gov/Archives/edgar/data/744218/000110465917075519/a17-28883_1ex10d3.htm" TargetMode="External"/><Relationship Id="rId169" Type="http://schemas.openxmlformats.org/officeDocument/2006/relationships/hyperlink" Target="http://www.sec.gov/Archives/edgar/data/744218/000110465917075519/a17-28883_1ex10d4.htm" TargetMode="External"/><Relationship Id="rId170" Type="http://schemas.openxmlformats.org/officeDocument/2006/relationships/hyperlink" Target="http://www.sec.gov/Archives/edgar/data/744218/000110465917075519/a17-28883_1ex10d5.htm" TargetMode="External"/><Relationship Id="rId171" Type="http://schemas.openxmlformats.org/officeDocument/2006/relationships/hyperlink" Target="http://www.sec.gov/Archives/edgar/data/744218/000110465917075519/a17-28883_1ex10d6.htm" TargetMode="External"/><Relationship Id="rId172" Type="http://schemas.openxmlformats.org/officeDocument/2006/relationships/hyperlink" Target="http://www.sec.gov/Archives/edgar/data/744218/000110465917075519/a17-28883_1ex10d7.htm" TargetMode="External"/><Relationship Id="rId173" Type="http://schemas.openxmlformats.org/officeDocument/2006/relationships/hyperlink" Target="http://www.sec.gov/Archives/edgar/data/744218/000110465917075519/a17-28883_1ex10d8.htm" TargetMode="External"/><Relationship Id="rId174" Type="http://schemas.openxmlformats.org/officeDocument/2006/relationships/hyperlink" Target="http://www.sec.gov/Archives/edgar/data/744218/000110465919037195/a19-12058_1ex10d1.htm" TargetMode="External"/><Relationship Id="rId175" Type="http://schemas.openxmlformats.org/officeDocument/2006/relationships/hyperlink" Target="http://www.sec.gov/Archives/edgar/data/744218/000110465918050496/a18-14097_1ex10d1.htm" TargetMode="External"/><Relationship Id="rId176" Type="http://schemas.openxmlformats.org/officeDocument/2006/relationships/hyperlink" Target="http://www.sec.gov/Archives/edgar/data/744218/000104746910002142/a2196680zex-10_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2020-03-26T15:13:00Z</dcterms:created>
  <dcterms:modified xsi:type="dcterms:W3CDTF">2020-03-26T15:13:00Z</dcterms:modified>
</cp:coreProperties>
</file>