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328930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FORM 10-Q</w:t>
      </w:r>
    </w:p>
    <w:p>
      <w:pPr>
        <w:spacing w:after="0" w:line="225" w:lineRule="exact"/>
        <w:rPr>
          <w:sz w:val="24"/>
          <w:szCs w:val="24"/>
          <w:color w:val="auto"/>
        </w:rPr>
      </w:pPr>
    </w:p>
    <w:p>
      <w:pPr>
        <w:ind w:left="3660" w:right="1440" w:hanging="3328"/>
        <w:spacing w:after="0" w:line="500" w:lineRule="auto"/>
        <w:tabs>
          <w:tab w:leader="none" w:pos="661"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QUARTERLY REPORT PURSUANT TO SECTION 13 OR 15(d) OF THE SECURITIES EXCHANGE ACT OF 1934 For the quarterly period ended September 30,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220980</wp:posOffset>
            </wp:positionH>
            <wp:positionV relativeFrom="paragraph">
              <wp:posOffset>-520700</wp:posOffset>
            </wp:positionV>
            <wp:extent cx="86995" cy="882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6995" cy="88265"/>
                    </a:xfrm>
                    <a:prstGeom prst="rect">
                      <a:avLst/>
                    </a:prstGeom>
                    <a:noFill/>
                  </pic:spPr>
                </pic:pic>
              </a:graphicData>
            </a:graphic>
          </wp:anchor>
        </w:drawing>
      </w:r>
    </w:p>
    <w:p>
      <w:pPr>
        <w:jc w:val="center"/>
        <w:ind w:right="-19"/>
        <w:spacing w:after="0"/>
        <w:rPr>
          <w:sz w:val="20"/>
          <w:szCs w:val="20"/>
          <w:color w:val="auto"/>
        </w:rPr>
      </w:pPr>
      <w:r>
        <w:rPr>
          <w:rFonts w:ascii="Arial" w:cs="Arial" w:eastAsia="Arial" w:hAnsi="Arial"/>
          <w:sz w:val="18"/>
          <w:szCs w:val="18"/>
          <w:b w:val="1"/>
          <w:bCs w:val="1"/>
          <w:color w:val="auto"/>
        </w:rPr>
        <w:t>OR</w:t>
      </w:r>
    </w:p>
    <w:p>
      <w:pPr>
        <w:spacing w:after="0" w:line="225" w:lineRule="exact"/>
        <w:rPr>
          <w:sz w:val="24"/>
          <w:szCs w:val="24"/>
          <w:color w:val="auto"/>
        </w:rPr>
      </w:pPr>
    </w:p>
    <w:p>
      <w:pPr>
        <w:ind w:left="4200" w:right="1420" w:hanging="3868"/>
        <w:spacing w:after="0" w:line="498" w:lineRule="auto"/>
        <w:tabs>
          <w:tab w:leader="none" w:pos="659"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 Commission File Number: 000-15006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220980</wp:posOffset>
            </wp:positionH>
            <wp:positionV relativeFrom="paragraph">
              <wp:posOffset>-518160</wp:posOffset>
            </wp:positionV>
            <wp:extent cx="86995" cy="882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86995" cy="88265"/>
                    </a:xfrm>
                    <a:prstGeom prst="rect">
                      <a:avLst/>
                    </a:prstGeom>
                    <a:noFill/>
                  </pic:spPr>
                </pic:pic>
              </a:graphicData>
            </a:graphic>
          </wp:anchor>
        </w:drawing>
      </w:r>
    </w:p>
    <w:p>
      <w:pPr>
        <w:jc w:val="center"/>
        <w:ind w:right="-19"/>
        <w:spacing w:after="0"/>
        <w:rPr>
          <w:sz w:val="20"/>
          <w:szCs w:val="20"/>
          <w:color w:val="auto"/>
        </w:rPr>
      </w:pPr>
      <w:r>
        <w:rPr>
          <w:rFonts w:ascii="Arial" w:cs="Arial" w:eastAsia="Arial" w:hAnsi="Arial"/>
          <w:sz w:val="25"/>
          <w:szCs w:val="25"/>
          <w:b w:val="1"/>
          <w:bCs w:val="1"/>
          <w:color w:val="auto"/>
        </w:rPr>
        <w:t>CELLDEX THERAPEUTICS, INC.</w:t>
      </w:r>
    </w:p>
    <w:p>
      <w:pPr>
        <w:spacing w:after="0" w:line="34"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240"/>
          </w:cols>
          <w:pgMar w:left="320" w:top="783" w:right="339" w:bottom="1440" w:gutter="0" w:footer="0" w:header="0"/>
        </w:sectPr>
      </w:pPr>
    </w:p>
    <w:p>
      <w:pPr>
        <w:spacing w:after="0" w:line="205" w:lineRule="exact"/>
        <w:rPr>
          <w:sz w:val="24"/>
          <w:szCs w:val="24"/>
          <w:color w:val="auto"/>
        </w:rPr>
      </w:pPr>
    </w:p>
    <w:p>
      <w:pPr>
        <w:jc w:val="center"/>
        <w:ind w:right="78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jc w:val="center"/>
        <w:ind w:right="780"/>
        <w:spacing w:after="0"/>
        <w:rPr>
          <w:sz w:val="20"/>
          <w:szCs w:val="20"/>
          <w:color w:val="auto"/>
        </w:rPr>
      </w:pPr>
      <w:r>
        <w:rPr>
          <w:rFonts w:ascii="Arial" w:cs="Arial" w:eastAsia="Arial" w:hAnsi="Arial"/>
          <w:sz w:val="16"/>
          <w:szCs w:val="16"/>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1500"/>
        <w:spacing w:after="0"/>
        <w:rPr>
          <w:sz w:val="20"/>
          <w:szCs w:val="20"/>
          <w:color w:val="auto"/>
        </w:rPr>
      </w:pPr>
      <w:r>
        <w:rPr>
          <w:rFonts w:ascii="Arial" w:cs="Arial" w:eastAsia="Arial" w:hAnsi="Arial"/>
          <w:sz w:val="18"/>
          <w:szCs w:val="18"/>
          <w:b w:val="1"/>
          <w:bCs w:val="1"/>
          <w:color w:val="auto"/>
        </w:rPr>
        <w:t>No. 13-3191702</w:t>
      </w:r>
    </w:p>
    <w:p>
      <w:pPr>
        <w:spacing w:after="0" w:line="27" w:lineRule="exact"/>
        <w:rPr>
          <w:sz w:val="24"/>
          <w:szCs w:val="24"/>
          <w:color w:val="auto"/>
        </w:rPr>
      </w:pPr>
    </w:p>
    <w:p>
      <w:pPr>
        <w:jc w:val="center"/>
        <w:ind w:right="1500"/>
        <w:spacing w:after="0"/>
        <w:rPr>
          <w:sz w:val="20"/>
          <w:szCs w:val="20"/>
          <w:color w:val="auto"/>
        </w:rPr>
      </w:pPr>
      <w:r>
        <w:rPr>
          <w:rFonts w:ascii="Arial" w:cs="Arial" w:eastAsia="Arial" w:hAnsi="Arial"/>
          <w:sz w:val="17"/>
          <w:szCs w:val="17"/>
          <w:color w:val="auto"/>
        </w:rPr>
        <w:t>(I.R.S. Employer Identification No.)</w:t>
      </w:r>
    </w:p>
    <w:p>
      <w:pPr>
        <w:spacing w:after="0" w:line="200" w:lineRule="exact"/>
        <w:rPr>
          <w:sz w:val="24"/>
          <w:szCs w:val="24"/>
          <w:color w:val="auto"/>
        </w:rPr>
      </w:pPr>
    </w:p>
    <w:p>
      <w:pPr>
        <w:sectPr>
          <w:pgSz w:w="11900" w:h="16838" w:orient="portrait"/>
          <w:cols w:equalWidth="0" w:num="2">
            <w:col w:w="6400" w:space="720"/>
            <w:col w:w="4120"/>
          </w:cols>
          <w:pgMar w:left="320" w:top="783" w:right="339" w:bottom="1440" w:gutter="0" w:footer="0" w:header="0"/>
          <w:type w:val="continuous"/>
        </w:sectPr>
      </w:pPr>
    </w:p>
    <w:p>
      <w:pPr>
        <w:spacing w:after="0" w:line="1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Perryville III Building, 53 Frontage Road, Suite 220, Hampton, New Jersey 08827</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(Address of principal executive offices) (Zip Code)</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(908) 200-7500</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w:t>
      </w:r>
    </w:p>
    <w:p>
      <w:pPr>
        <w:spacing w:after="0" w:line="211"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3320" w:type="dxa"/>
            <w:vAlign w:val="bottom"/>
          </w:tcPr>
          <w:p>
            <w:pPr>
              <w:spacing w:after="0"/>
              <w:rPr>
                <w:sz w:val="20"/>
                <w:szCs w:val="20"/>
                <w:color w:val="auto"/>
              </w:rPr>
            </w:pPr>
          </w:p>
        </w:tc>
        <w:tc>
          <w:tcPr>
            <w:tcW w:w="4420" w:type="dxa"/>
            <w:vAlign w:val="bottom"/>
            <w:gridSpan w:val="5"/>
          </w:tcPr>
          <w:p>
            <w:pPr>
              <w:ind w:left="240"/>
              <w:spacing w:after="0"/>
              <w:rPr>
                <w:sz w:val="20"/>
                <w:szCs w:val="20"/>
                <w:color w:val="auto"/>
              </w:rPr>
            </w:pPr>
            <w:r>
              <w:rPr>
                <w:rFonts w:ascii="Arial" w:cs="Arial" w:eastAsia="Arial" w:hAnsi="Arial"/>
                <w:sz w:val="18"/>
                <w:szCs w:val="18"/>
                <w:color w:val="auto"/>
                <w:w w:val="90"/>
              </w:rPr>
              <w:t>Securities registered pursuant to Section 12(b) of the Act:</w:t>
            </w:r>
          </w:p>
        </w:tc>
        <w:tc>
          <w:tcPr>
            <w:tcW w:w="3500" w:type="dxa"/>
            <w:vAlign w:val="bottom"/>
          </w:tcPr>
          <w:p>
            <w:pPr>
              <w:spacing w:after="0"/>
              <w:rPr>
                <w:sz w:val="20"/>
                <w:szCs w:val="20"/>
                <w:color w:val="auto"/>
              </w:rPr>
            </w:pPr>
          </w:p>
        </w:tc>
      </w:tr>
      <w:tr>
        <w:trPr>
          <w:trHeight w:val="432"/>
        </w:trPr>
        <w:tc>
          <w:tcPr>
            <w:tcW w:w="3320" w:type="dxa"/>
            <w:vAlign w:val="bottom"/>
          </w:tcPr>
          <w:p>
            <w:pPr>
              <w:jc w:val="center"/>
              <w:ind w:left="430"/>
              <w:spacing w:after="0"/>
              <w:rPr>
                <w:sz w:val="20"/>
                <w:szCs w:val="20"/>
                <w:color w:val="auto"/>
              </w:rPr>
            </w:pPr>
            <w:r>
              <w:rPr>
                <w:rFonts w:ascii="Arial" w:cs="Arial" w:eastAsia="Arial" w:hAnsi="Arial"/>
                <w:sz w:val="18"/>
                <w:szCs w:val="18"/>
                <w:b w:val="1"/>
                <w:bCs w:val="1"/>
                <w:color w:val="auto"/>
                <w:w w:val="87"/>
              </w:rPr>
              <w:t>Title of each class</w:t>
            </w: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w w:val="91"/>
              </w:rPr>
              <w:t>Trading Symbol(s)</w:t>
            </w:r>
          </w:p>
        </w:tc>
        <w:tc>
          <w:tcPr>
            <w:tcW w:w="3500" w:type="dxa"/>
            <w:vAlign w:val="bottom"/>
          </w:tcPr>
          <w:p>
            <w:pPr>
              <w:jc w:val="center"/>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224"/>
        </w:trPr>
        <w:tc>
          <w:tcPr>
            <w:tcW w:w="3320" w:type="dxa"/>
            <w:vAlign w:val="bottom"/>
            <w:tcBorders>
              <w:top w:val="single" w:sz="8" w:color="auto"/>
            </w:tcBorders>
          </w:tcPr>
          <w:p>
            <w:pPr>
              <w:jc w:val="center"/>
              <w:ind w:left="430"/>
              <w:spacing w:after="0"/>
              <w:rPr>
                <w:sz w:val="20"/>
                <w:szCs w:val="20"/>
                <w:color w:val="auto"/>
              </w:rPr>
            </w:pPr>
            <w:r>
              <w:rPr>
                <w:rFonts w:ascii="Arial" w:cs="Arial" w:eastAsia="Arial" w:hAnsi="Arial"/>
                <w:sz w:val="18"/>
                <w:szCs w:val="18"/>
                <w:color w:val="auto"/>
                <w:w w:val="90"/>
              </w:rPr>
              <w:t>Common Stock, par value $.001</w:t>
            </w:r>
          </w:p>
        </w:tc>
        <w:tc>
          <w:tcPr>
            <w:tcW w:w="5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36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rPr>
              <w:t>CLDX</w:t>
            </w:r>
          </w:p>
        </w:tc>
        <w:tc>
          <w:tcPr>
            <w:tcW w:w="1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35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0"/>
              </w:rPr>
              <w:t>Nasdaq Capital Market</w:t>
            </w:r>
          </w:p>
        </w:tc>
      </w:tr>
    </w:tbl>
    <w:p>
      <w:pPr>
        <w:spacing w:after="0" w:line="187" w:lineRule="exact"/>
        <w:rPr>
          <w:sz w:val="24"/>
          <w:szCs w:val="24"/>
          <w:color w:val="auto"/>
        </w:rPr>
      </w:pPr>
    </w:p>
    <w:p>
      <w:pPr>
        <w:jc w:val="center"/>
        <w:ind w:right="40"/>
        <w:spacing w:after="0"/>
        <w:rPr>
          <w:sz w:val="20"/>
          <w:szCs w:val="20"/>
          <w:color w:val="auto"/>
        </w:rPr>
      </w:pPr>
      <w:r>
        <w:rPr>
          <w:rFonts w:ascii="Arial" w:cs="Arial" w:eastAsia="Arial" w:hAnsi="Arial"/>
          <w:sz w:val="17"/>
          <w:szCs w:val="17"/>
          <w:color w:val="auto"/>
        </w:rPr>
        <w:t>Indicate by check mark whether the registrant (1) has filed all reports required to be filed by Section 13 or 15(d) of the Securities Exchange Act of</w:t>
      </w:r>
    </w:p>
    <w:p>
      <w:pPr>
        <w:spacing w:after="0" w:line="35" w:lineRule="exact"/>
        <w:rPr>
          <w:sz w:val="24"/>
          <w:szCs w:val="24"/>
          <w:color w:val="auto"/>
        </w:rPr>
      </w:pPr>
    </w:p>
    <w:p>
      <w:pPr>
        <w:ind w:right="60"/>
        <w:spacing w:after="0" w:line="226" w:lineRule="exact"/>
        <w:rPr>
          <w:sz w:val="20"/>
          <w:szCs w:val="20"/>
          <w:color w:val="auto"/>
        </w:rPr>
      </w:pPr>
      <w:r>
        <w:rPr>
          <w:rFonts w:ascii="Arial" w:cs="Arial" w:eastAsia="Arial" w:hAnsi="Arial"/>
          <w:sz w:val="18"/>
          <w:szCs w:val="18"/>
          <w:color w:val="auto"/>
        </w:rPr>
        <w:t xml:space="preserve">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2" w:lineRule="exact"/>
        <w:rPr>
          <w:sz w:val="24"/>
          <w:szCs w:val="24"/>
          <w:color w:val="auto"/>
        </w:rPr>
      </w:pPr>
    </w:p>
    <w:p>
      <w:pPr>
        <w:jc w:val="both"/>
        <w:ind w:right="40" w:firstLine="324"/>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ind w:right="120" w:firstLine="324"/>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 (Check one):</w:t>
      </w:r>
    </w:p>
    <w:p>
      <w:pPr>
        <w:sectPr>
          <w:pgSz w:w="11900" w:h="16838" w:orient="portrait"/>
          <w:cols w:equalWidth="0" w:num="1">
            <w:col w:w="11240"/>
          </w:cols>
          <w:pgMar w:left="320" w:top="783" w:right="339" w:bottom="1440" w:gutter="0" w:footer="0" w:header="0"/>
          <w:type w:val="continuous"/>
        </w:sectPr>
      </w:pPr>
    </w:p>
    <w:p>
      <w:pPr>
        <w:spacing w:after="0" w:line="151" w:lineRule="exact"/>
        <w:rPr>
          <w:sz w:val="24"/>
          <w:szCs w:val="24"/>
          <w:color w:val="auto"/>
        </w:rPr>
      </w:pPr>
    </w:p>
    <w:p>
      <w:pPr>
        <w:ind w:left="1900"/>
        <w:spacing w:after="0" w:line="184" w:lineRule="exact"/>
        <w:rPr>
          <w:sz w:val="20"/>
          <w:szCs w:val="20"/>
          <w:color w:val="auto"/>
        </w:rPr>
      </w:pPr>
      <w:r>
        <w:rPr>
          <w:rFonts w:ascii="Arial" w:cs="Arial" w:eastAsia="Arial" w:hAnsi="Arial"/>
          <w:sz w:val="16"/>
          <w:szCs w:val="16"/>
          <w:color w:val="auto"/>
        </w:rPr>
        <w:t xml:space="preserve">Large accelerated filer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31"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Accelerated filer </w:t>
      </w:r>
      <w:r>
        <w:rPr>
          <w:rFonts w:ascii="MS PGothic" w:cs="MS PGothic" w:eastAsia="MS PGothic" w:hAnsi="MS PGothic"/>
          <w:sz w:val="16"/>
          <w:szCs w:val="16"/>
          <w:color w:val="auto"/>
        </w:rPr>
        <w:t>☐</w:t>
      </w:r>
    </w:p>
    <w:p>
      <w:pPr>
        <w:spacing w:after="0" w:line="200" w:lineRule="exact"/>
        <w:rPr>
          <w:sz w:val="24"/>
          <w:szCs w:val="24"/>
          <w:color w:val="auto"/>
        </w:rPr>
      </w:pPr>
    </w:p>
    <w:p>
      <w:pPr>
        <w:sectPr>
          <w:pgSz w:w="11900" w:h="16838" w:orient="portrait"/>
          <w:cols w:equalWidth="0" w:num="2">
            <w:col w:w="7000" w:space="720"/>
            <w:col w:w="3520"/>
          </w:cols>
          <w:pgMar w:left="320" w:top="783" w:right="339" w:bottom="1440" w:gutter="0" w:footer="0" w:header="0"/>
          <w:type w:val="continuous"/>
        </w:sectPr>
      </w:pPr>
    </w:p>
    <w:p>
      <w:pPr>
        <w:spacing w:after="0" w:line="48" w:lineRule="exact"/>
        <w:rPr>
          <w:sz w:val="24"/>
          <w:szCs w:val="24"/>
          <w:color w:val="auto"/>
        </w:rPr>
      </w:pPr>
    </w:p>
    <w:p>
      <w:pPr>
        <w:ind w:left="1960"/>
        <w:spacing w:after="0" w:line="184" w:lineRule="exact"/>
        <w:rPr>
          <w:sz w:val="20"/>
          <w:szCs w:val="20"/>
          <w:color w:val="auto"/>
        </w:rPr>
      </w:pPr>
      <w:r>
        <w:rPr>
          <w:rFonts w:ascii="Arial" w:cs="Arial" w:eastAsia="Arial" w:hAnsi="Arial"/>
          <w:sz w:val="16"/>
          <w:szCs w:val="16"/>
          <w:color w:val="auto"/>
        </w:rPr>
        <w:t xml:space="preserve">Non-accelerated filer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28"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Smaller reporting company </w:t>
      </w:r>
      <w:r>
        <w:rPr>
          <w:rFonts w:ascii="MS PGothic" w:cs="MS PGothic" w:eastAsia="MS PGothic" w:hAnsi="MS PGothic"/>
          <w:sz w:val="16"/>
          <w:szCs w:val="16"/>
          <w:color w:val="auto"/>
        </w:rPr>
        <w:t>☒</w:t>
      </w:r>
    </w:p>
    <w:p>
      <w:pPr>
        <w:spacing w:after="0" w:line="200" w:lineRule="exact"/>
        <w:rPr>
          <w:sz w:val="24"/>
          <w:szCs w:val="24"/>
          <w:color w:val="auto"/>
        </w:rPr>
      </w:pPr>
    </w:p>
    <w:p>
      <w:pPr>
        <w:sectPr>
          <w:pgSz w:w="11900" w:h="16838" w:orient="portrait"/>
          <w:cols w:equalWidth="0" w:num="2">
            <w:col w:w="6620" w:space="720"/>
            <w:col w:w="3900"/>
          </w:cols>
          <w:pgMar w:left="320" w:top="783" w:right="339" w:bottom="1440" w:gutter="0" w:footer="0" w:header="0"/>
          <w:type w:val="continuous"/>
        </w:sectPr>
      </w:pPr>
    </w:p>
    <w:p>
      <w:pPr>
        <w:spacing w:after="0" w:line="48" w:lineRule="exact"/>
        <w:rPr>
          <w:sz w:val="24"/>
          <w:szCs w:val="24"/>
          <w:color w:val="auto"/>
        </w:rPr>
      </w:pPr>
    </w:p>
    <w:p>
      <w:pPr>
        <w:ind w:left="7340"/>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ectPr>
          <w:pgSz w:w="11900" w:h="16838" w:orient="portrait"/>
          <w:cols w:equalWidth="0" w:num="1">
            <w:col w:w="11240"/>
          </w:cols>
          <w:pgMar w:left="320" w:top="783" w:right="339" w:bottom="1440" w:gutter="0" w:footer="0" w:header="0"/>
          <w:type w:val="continuous"/>
        </w:sectPr>
      </w:pPr>
    </w:p>
    <w:p>
      <w:pPr>
        <w:spacing w:after="0" w:line="281" w:lineRule="exact"/>
        <w:rPr>
          <w:sz w:val="24"/>
          <w:szCs w:val="24"/>
          <w:color w:val="auto"/>
        </w:rPr>
      </w:pPr>
    </w:p>
    <w:p>
      <w:pPr>
        <w:ind w:right="180" w:firstLine="324"/>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50" w:lineRule="exact"/>
        <w:rPr>
          <w:sz w:val="24"/>
          <w:szCs w:val="24"/>
          <w:color w:val="auto"/>
        </w:rPr>
      </w:pPr>
    </w:p>
    <w:p>
      <w:pPr>
        <w:ind w:left="340"/>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58" w:lineRule="exact"/>
        <w:rPr>
          <w:sz w:val="24"/>
          <w:szCs w:val="24"/>
          <w:color w:val="auto"/>
        </w:rPr>
      </w:pPr>
    </w:p>
    <w:p>
      <w:pPr>
        <w:ind w:left="340"/>
        <w:spacing w:after="0"/>
        <w:rPr>
          <w:sz w:val="20"/>
          <w:szCs w:val="20"/>
          <w:color w:val="auto"/>
        </w:rPr>
      </w:pPr>
      <w:r>
        <w:rPr>
          <w:rFonts w:ascii="Arial" w:cs="Arial" w:eastAsia="Arial" w:hAnsi="Arial"/>
          <w:sz w:val="18"/>
          <w:szCs w:val="18"/>
          <w:color w:val="auto"/>
        </w:rPr>
        <w:t>As of October 31, 2020, 39,567,065 shares of common stock, $.001 par value per share, were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186055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203200</wp:posOffset>
            </wp:positionV>
            <wp:extent cx="7132320" cy="260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657860</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83" w:right="3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3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968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rPr>
              <w:t>CELLDEX THERAPEUTICS, INC.</w:t>
            </w:r>
          </w:p>
        </w:tc>
        <w:tc>
          <w:tcPr>
            <w:tcW w:w="5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3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968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99"/>
              </w:rPr>
              <w:t>FORM 10-Q</w:t>
            </w: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3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968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91"/>
              </w:rPr>
              <w:t>For the Quarterly Period Ended September 30, 2020</w:t>
            </w: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3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968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89"/>
              </w:rPr>
              <w:t>Table of Contents</w:t>
            </w: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3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9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80" w:type="dxa"/>
            <w:vAlign w:val="bottom"/>
            <w:gridSpan w:val="2"/>
          </w:tcPr>
          <w:p>
            <w:pPr>
              <w:ind w:left="100"/>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209"/>
        </w:trPr>
        <w:tc>
          <w:tcPr>
            <w:tcW w:w="10680" w:type="dxa"/>
            <w:vAlign w:val="bottom"/>
            <w:tcBorders>
              <w:top w:val="single" w:sz="8" w:color="CCEEFF"/>
            </w:tcBorders>
            <w:gridSpan w:val="4"/>
            <w:shd w:val="clear" w:color="auto" w:fill="CCEEFF"/>
          </w:tcPr>
          <w:p>
            <w:pPr>
              <w:spacing w:after="0"/>
              <w:rPr>
                <w:sz w:val="20"/>
                <w:szCs w:val="20"/>
                <w:color w:val="auto"/>
              </w:rPr>
            </w:pPr>
            <w:r>
              <w:rPr>
                <w:rFonts w:ascii="Arial" w:cs="Arial" w:eastAsia="Arial" w:hAnsi="Arial"/>
                <w:sz w:val="18"/>
                <w:szCs w:val="18"/>
                <w:b w:val="1"/>
                <w:bCs w:val="1"/>
                <w:color w:val="auto"/>
              </w:rPr>
              <w:t>Part I — Financial Information</w:t>
            </w:r>
          </w:p>
        </w:tc>
        <w:tc>
          <w:tcPr>
            <w:tcW w:w="56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9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680" w:type="dxa"/>
            <w:vAlign w:val="bottom"/>
            <w:gridSpan w:val="4"/>
            <w:shd w:val="clear" w:color="auto" w:fill="CCEEFF"/>
          </w:tcPr>
          <w:p>
            <w:pPr>
              <w:ind w:left="18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Item 1. Unaudited Financial Statements</w:t>
              </w:r>
            </w:hyperlink>
          </w:p>
        </w:tc>
        <w:tc>
          <w:tcPr>
            <w:tcW w:w="560" w:type="dxa"/>
            <w:vAlign w:val="bottom"/>
            <w:shd w:val="clear" w:color="auto" w:fill="CCEEFF"/>
          </w:tcPr>
          <w:p>
            <w:pPr>
              <w:jc w:val="right"/>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3</w:t>
              </w:r>
            </w:hyperlink>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9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shd w:val="clear" w:color="auto" w:fill="CCEEFF"/>
          </w:tcPr>
          <w:p>
            <w:pPr>
              <w:spacing w:after="0"/>
              <w:rPr>
                <w:sz w:val="18"/>
                <w:szCs w:val="18"/>
                <w:color w:val="auto"/>
              </w:rPr>
            </w:pPr>
          </w:p>
        </w:tc>
        <w:tc>
          <w:tcPr>
            <w:tcW w:w="10340" w:type="dxa"/>
            <w:vAlign w:val="bottom"/>
            <w:gridSpan w:val="3"/>
            <w:shd w:val="clear" w:color="auto" w:fill="CCEEFF"/>
          </w:tcPr>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Condensed Consolidated Balance Sheets at September 30, 2020 and December 31, 2019</w:t>
              </w:r>
            </w:hyperlink>
          </w:p>
        </w:tc>
        <w:tc>
          <w:tcPr>
            <w:tcW w:w="560" w:type="dxa"/>
            <w:vAlign w:val="bottom"/>
            <w:shd w:val="clear" w:color="auto" w:fill="CCEEFF"/>
          </w:tcPr>
          <w:p>
            <w:pPr>
              <w:jc w:val="right"/>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3</w:t>
              </w:r>
            </w:hyperlink>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9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340" w:type="dxa"/>
            <w:vAlign w:val="bottom"/>
            <w:shd w:val="clear" w:color="auto" w:fill="CCEEFF"/>
          </w:tcPr>
          <w:p>
            <w:pPr>
              <w:spacing w:after="0"/>
              <w:rPr>
                <w:sz w:val="15"/>
                <w:szCs w:val="15"/>
                <w:color w:val="auto"/>
              </w:rPr>
            </w:pPr>
          </w:p>
        </w:tc>
        <w:tc>
          <w:tcPr>
            <w:tcW w:w="10340" w:type="dxa"/>
            <w:vAlign w:val="bottom"/>
            <w:gridSpan w:val="3"/>
            <w:shd w:val="clear" w:color="auto" w:fill="CCEEFF"/>
          </w:tcPr>
          <w:p>
            <w:pPr>
              <w:spacing w:after="0" w:line="176" w:lineRule="exact"/>
              <w:rPr>
                <w:rFonts w:ascii="Arial" w:cs="Arial" w:eastAsia="Arial" w:hAnsi="Arial"/>
                <w:sz w:val="18"/>
                <w:szCs w:val="18"/>
                <w:color w:val="0000EE"/>
                <w:w w:val="94"/>
              </w:rPr>
            </w:pPr>
            <w:hyperlink w:anchor="page4">
              <w:r>
                <w:rPr>
                  <w:rFonts w:ascii="Arial" w:cs="Arial" w:eastAsia="Arial" w:hAnsi="Arial"/>
                  <w:sz w:val="18"/>
                  <w:szCs w:val="18"/>
                  <w:color w:val="0000EE"/>
                  <w:w w:val="94"/>
                </w:rPr>
                <w:t>Condensed Consolidated Statements of Operations and Comprehensive Loss for the Three and Nine Months Ended September 30, 2020</w:t>
              </w:r>
            </w:hyperlink>
          </w:p>
        </w:tc>
        <w:tc>
          <w:tcPr>
            <w:tcW w:w="56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340" w:type="dxa"/>
            <w:vAlign w:val="bottom"/>
            <w:tcBorders>
              <w:top w:val="single" w:sz="8" w:color="CCEEFF"/>
            </w:tcBorders>
            <w:shd w:val="clear" w:color="auto" w:fill="CCEEFF"/>
          </w:tcPr>
          <w:p>
            <w:pPr>
              <w:spacing w:after="0"/>
              <w:rPr>
                <w:sz w:val="18"/>
                <w:szCs w:val="18"/>
                <w:color w:val="auto"/>
              </w:rPr>
            </w:pPr>
          </w:p>
        </w:tc>
        <w:tc>
          <w:tcPr>
            <w:tcW w:w="9780" w:type="dxa"/>
            <w:vAlign w:val="bottom"/>
            <w:tcBorders>
              <w:top w:val="single" w:sz="8" w:color="0000EE"/>
            </w:tcBorders>
            <w:gridSpan w:val="2"/>
            <w:shd w:val="clear" w:color="auto" w:fill="CCEEFF"/>
          </w:tcPr>
          <w:p>
            <w:pPr>
              <w:spacing w:after="0" w:line="196" w:lineRule="exact"/>
              <w:rPr>
                <w:rFonts w:ascii="Arial" w:cs="Arial" w:eastAsia="Arial" w:hAnsi="Arial"/>
                <w:sz w:val="18"/>
                <w:szCs w:val="18"/>
                <w:color w:val="0000EE"/>
              </w:rPr>
            </w:pPr>
            <w:hyperlink w:anchor="page4">
              <w:r>
                <w:rPr>
                  <w:rFonts w:ascii="Arial" w:cs="Arial" w:eastAsia="Arial" w:hAnsi="Arial"/>
                  <w:sz w:val="18"/>
                  <w:szCs w:val="18"/>
                  <w:color w:val="0000EE"/>
                </w:rPr>
                <w:t>and 2019</w:t>
              </w:r>
            </w:hyperlink>
          </w:p>
        </w:tc>
        <w:tc>
          <w:tcPr>
            <w:tcW w:w="56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CCEEFF"/>
            </w:tcBorders>
            <w:shd w:val="clear" w:color="auto" w:fill="CCEEFF"/>
          </w:tcPr>
          <w:p>
            <w:pPr>
              <w:jc w:val="right"/>
              <w:spacing w:after="0" w:line="196" w:lineRule="exact"/>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4</w:t>
              </w:r>
            </w:hyperlink>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Borders>
              <w:top w:val="single" w:sz="8" w:color="CCEEFF"/>
            </w:tcBorders>
          </w:tcPr>
          <w:p>
            <w:pPr>
              <w:spacing w:after="0"/>
              <w:rPr>
                <w:sz w:val="18"/>
                <w:szCs w:val="18"/>
                <w:color w:val="auto"/>
              </w:rPr>
            </w:pPr>
          </w:p>
        </w:tc>
        <w:tc>
          <w:tcPr>
            <w:tcW w:w="660" w:type="dxa"/>
            <w:vAlign w:val="bottom"/>
            <w:tcBorders>
              <w:top w:val="single" w:sz="8" w:color="0000EE"/>
            </w:tcBorders>
          </w:tcPr>
          <w:p>
            <w:pPr>
              <w:spacing w:after="0"/>
              <w:rPr>
                <w:sz w:val="18"/>
                <w:szCs w:val="18"/>
                <w:color w:val="auto"/>
              </w:rPr>
            </w:pPr>
          </w:p>
        </w:tc>
        <w:tc>
          <w:tcPr>
            <w:tcW w:w="912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shd w:val="clear" w:color="auto" w:fill="CCEEFF"/>
          </w:tcPr>
          <w:p>
            <w:pPr>
              <w:spacing w:after="0"/>
              <w:rPr>
                <w:sz w:val="18"/>
                <w:szCs w:val="18"/>
                <w:color w:val="auto"/>
              </w:rPr>
            </w:pPr>
          </w:p>
        </w:tc>
        <w:tc>
          <w:tcPr>
            <w:tcW w:w="10340" w:type="dxa"/>
            <w:vAlign w:val="bottom"/>
            <w:gridSpan w:val="3"/>
            <w:shd w:val="clear" w:color="auto" w:fill="CCEEFF"/>
          </w:tcPr>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Condensed Consolidated Statements of Cash Flows for the Nine Months Ended September 30, 2020 and 2019</w:t>
              </w:r>
            </w:hyperlink>
          </w:p>
        </w:tc>
        <w:tc>
          <w:tcPr>
            <w:tcW w:w="560" w:type="dxa"/>
            <w:vAlign w:val="bottom"/>
            <w:shd w:val="clear" w:color="auto" w:fill="CCEEFF"/>
          </w:tcPr>
          <w:p>
            <w:pPr>
              <w:jc w:val="right"/>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5</w:t>
              </w:r>
            </w:hyperlink>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9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shd w:val="clear" w:color="auto" w:fill="CCEEFF"/>
          </w:tcPr>
          <w:p>
            <w:pPr>
              <w:spacing w:after="0"/>
              <w:rPr>
                <w:sz w:val="18"/>
                <w:szCs w:val="18"/>
                <w:color w:val="auto"/>
              </w:rPr>
            </w:pPr>
          </w:p>
        </w:tc>
        <w:tc>
          <w:tcPr>
            <w:tcW w:w="10340" w:type="dxa"/>
            <w:vAlign w:val="bottom"/>
            <w:gridSpan w:val="3"/>
            <w:shd w:val="clear" w:color="auto" w:fill="CCEEFF"/>
          </w:tcPr>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Notes to Unaudited Condensed Consolidated Financial Statements</w:t>
              </w:r>
            </w:hyperlink>
          </w:p>
        </w:tc>
        <w:tc>
          <w:tcPr>
            <w:tcW w:w="560" w:type="dxa"/>
            <w:vAlign w:val="bottom"/>
            <w:shd w:val="clear" w:color="auto" w:fill="CCEEFF"/>
          </w:tcPr>
          <w:p>
            <w:pPr>
              <w:jc w:val="right"/>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6</w:t>
              </w:r>
            </w:hyperlink>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9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680" w:type="dxa"/>
            <w:vAlign w:val="bottom"/>
            <w:gridSpan w:val="4"/>
            <w:shd w:val="clear" w:color="auto" w:fill="CCEEFF"/>
          </w:tcPr>
          <w:p>
            <w:pPr>
              <w:ind w:left="180"/>
              <w:spacing w:after="0"/>
              <w:rPr>
                <w:rFonts w:ascii="Arial" w:cs="Arial" w:eastAsia="Arial" w:hAnsi="Arial"/>
                <w:sz w:val="18"/>
                <w:szCs w:val="18"/>
                <w:u w:val="single" w:color="auto"/>
                <w:color w:val="0000EE"/>
              </w:rPr>
            </w:pPr>
            <w:hyperlink w:anchor="page15">
              <w:r>
                <w:rPr>
                  <w:rFonts w:ascii="Arial" w:cs="Arial" w:eastAsia="Arial" w:hAnsi="Arial"/>
                  <w:sz w:val="18"/>
                  <w:szCs w:val="18"/>
                  <w:u w:val="single" w:color="auto"/>
                  <w:color w:val="0000EE"/>
                </w:rPr>
                <w:t>Item 2. Management’s Discussion and Analysis of Financial Condition and Results of Operations</w:t>
              </w:r>
            </w:hyperlink>
          </w:p>
        </w:tc>
        <w:tc>
          <w:tcPr>
            <w:tcW w:w="560" w:type="dxa"/>
            <w:vAlign w:val="bottom"/>
            <w:shd w:val="clear" w:color="auto" w:fill="CCEEFF"/>
          </w:tcPr>
          <w:p>
            <w:pPr>
              <w:jc w:val="right"/>
              <w:spacing w:after="0"/>
              <w:rPr>
                <w:rFonts w:ascii="Arial" w:cs="Arial" w:eastAsia="Arial" w:hAnsi="Arial"/>
                <w:sz w:val="18"/>
                <w:szCs w:val="18"/>
                <w:u w:val="single" w:color="auto"/>
                <w:color w:val="0000EE"/>
              </w:rPr>
            </w:pPr>
            <w:hyperlink w:anchor="page15">
              <w:r>
                <w:rPr>
                  <w:rFonts w:ascii="Arial" w:cs="Arial" w:eastAsia="Arial" w:hAnsi="Arial"/>
                  <w:sz w:val="18"/>
                  <w:szCs w:val="18"/>
                  <w:u w:val="single" w:color="auto"/>
                  <w:color w:val="0000EE"/>
                </w:rPr>
                <w:t>15</w:t>
              </w:r>
            </w:hyperlink>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9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680" w:type="dxa"/>
            <w:vAlign w:val="bottom"/>
            <w:gridSpan w:val="4"/>
            <w:shd w:val="clear" w:color="auto" w:fill="CCEEFF"/>
          </w:tcPr>
          <w:p>
            <w:pPr>
              <w:ind w:left="180"/>
              <w:spacing w:after="0"/>
              <w:rPr>
                <w:rFonts w:ascii="Arial" w:cs="Arial" w:eastAsia="Arial" w:hAnsi="Arial"/>
                <w:sz w:val="18"/>
                <w:szCs w:val="18"/>
                <w:u w:val="single" w:color="auto"/>
                <w:color w:val="0000EE"/>
              </w:rPr>
            </w:pPr>
            <w:hyperlink w:anchor="page28">
              <w:r>
                <w:rPr>
                  <w:rFonts w:ascii="Arial" w:cs="Arial" w:eastAsia="Arial" w:hAnsi="Arial"/>
                  <w:sz w:val="18"/>
                  <w:szCs w:val="18"/>
                  <w:u w:val="single" w:color="auto"/>
                  <w:color w:val="0000EE"/>
                </w:rPr>
                <w:t>Item 3. Quantitative and Qualitative Disclosures About Market Risk</w:t>
              </w:r>
            </w:hyperlink>
          </w:p>
        </w:tc>
        <w:tc>
          <w:tcPr>
            <w:tcW w:w="560" w:type="dxa"/>
            <w:vAlign w:val="bottom"/>
            <w:shd w:val="clear" w:color="auto" w:fill="CCEEFF"/>
          </w:tcPr>
          <w:p>
            <w:pPr>
              <w:jc w:val="right"/>
              <w:spacing w:after="0"/>
              <w:rPr>
                <w:rFonts w:ascii="Arial" w:cs="Arial" w:eastAsia="Arial" w:hAnsi="Arial"/>
                <w:sz w:val="18"/>
                <w:szCs w:val="18"/>
                <w:u w:val="single" w:color="auto"/>
                <w:color w:val="0000EE"/>
              </w:rPr>
            </w:pPr>
            <w:hyperlink w:anchor="page28">
              <w:r>
                <w:rPr>
                  <w:rFonts w:ascii="Arial" w:cs="Arial" w:eastAsia="Arial" w:hAnsi="Arial"/>
                  <w:sz w:val="18"/>
                  <w:szCs w:val="18"/>
                  <w:u w:val="single" w:color="auto"/>
                  <w:color w:val="0000EE"/>
                </w:rPr>
                <w:t>28</w:t>
              </w:r>
            </w:hyperlink>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9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680" w:type="dxa"/>
            <w:vAlign w:val="bottom"/>
            <w:gridSpan w:val="4"/>
            <w:shd w:val="clear" w:color="auto" w:fill="CCEEFF"/>
          </w:tcPr>
          <w:p>
            <w:pPr>
              <w:ind w:left="180"/>
              <w:spacing w:after="0"/>
              <w:rPr>
                <w:rFonts w:ascii="Arial" w:cs="Arial" w:eastAsia="Arial" w:hAnsi="Arial"/>
                <w:sz w:val="18"/>
                <w:szCs w:val="18"/>
                <w:u w:val="single" w:color="auto"/>
                <w:color w:val="0000EE"/>
              </w:rPr>
            </w:pPr>
            <w:hyperlink w:anchor="page28">
              <w:r>
                <w:rPr>
                  <w:rFonts w:ascii="Arial" w:cs="Arial" w:eastAsia="Arial" w:hAnsi="Arial"/>
                  <w:sz w:val="18"/>
                  <w:szCs w:val="18"/>
                  <w:u w:val="single" w:color="auto"/>
                  <w:color w:val="0000EE"/>
                </w:rPr>
                <w:t>Item 4. Controls and Procedures</w:t>
              </w:r>
            </w:hyperlink>
          </w:p>
        </w:tc>
        <w:tc>
          <w:tcPr>
            <w:tcW w:w="560" w:type="dxa"/>
            <w:vAlign w:val="bottom"/>
            <w:shd w:val="clear" w:color="auto" w:fill="CCEEFF"/>
          </w:tcPr>
          <w:p>
            <w:pPr>
              <w:jc w:val="right"/>
              <w:spacing w:after="0"/>
              <w:rPr>
                <w:rFonts w:ascii="Arial" w:cs="Arial" w:eastAsia="Arial" w:hAnsi="Arial"/>
                <w:sz w:val="18"/>
                <w:szCs w:val="18"/>
                <w:u w:val="single" w:color="auto"/>
                <w:color w:val="0000EE"/>
              </w:rPr>
            </w:pPr>
            <w:hyperlink w:anchor="page28">
              <w:r>
                <w:rPr>
                  <w:rFonts w:ascii="Arial" w:cs="Arial" w:eastAsia="Arial" w:hAnsi="Arial"/>
                  <w:sz w:val="18"/>
                  <w:szCs w:val="18"/>
                  <w:u w:val="single" w:color="auto"/>
                  <w:color w:val="0000EE"/>
                </w:rPr>
                <w:t>28</w:t>
              </w:r>
            </w:hyperlink>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9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680" w:type="dxa"/>
            <w:vAlign w:val="bottom"/>
            <w:gridSpan w:val="4"/>
            <w:shd w:val="clear" w:color="auto" w:fill="CCEEFF"/>
          </w:tcPr>
          <w:p>
            <w:pPr>
              <w:spacing w:after="0"/>
              <w:rPr>
                <w:sz w:val="20"/>
                <w:szCs w:val="20"/>
                <w:color w:val="auto"/>
              </w:rPr>
            </w:pPr>
            <w:r>
              <w:rPr>
                <w:rFonts w:ascii="Arial" w:cs="Arial" w:eastAsia="Arial" w:hAnsi="Arial"/>
                <w:sz w:val="18"/>
                <w:szCs w:val="18"/>
                <w:b w:val="1"/>
                <w:bCs w:val="1"/>
                <w:color w:val="auto"/>
              </w:rPr>
              <w:t>Part II — Other Information</w:t>
            </w:r>
          </w:p>
        </w:tc>
        <w:tc>
          <w:tcPr>
            <w:tcW w:w="5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9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680" w:type="dxa"/>
            <w:vAlign w:val="bottom"/>
            <w:gridSpan w:val="4"/>
            <w:shd w:val="clear" w:color="auto" w:fill="CCEEFF"/>
          </w:tcPr>
          <w:p>
            <w:pPr>
              <w:ind w:left="180"/>
              <w:spacing w:after="0"/>
              <w:rPr>
                <w:rFonts w:ascii="Arial" w:cs="Arial" w:eastAsia="Arial" w:hAnsi="Arial"/>
                <w:sz w:val="18"/>
                <w:szCs w:val="18"/>
                <w:u w:val="single" w:color="auto"/>
                <w:color w:val="0000EE"/>
              </w:rPr>
            </w:pPr>
            <w:hyperlink w:anchor="page29">
              <w:r>
                <w:rPr>
                  <w:rFonts w:ascii="Arial" w:cs="Arial" w:eastAsia="Arial" w:hAnsi="Arial"/>
                  <w:sz w:val="18"/>
                  <w:szCs w:val="18"/>
                  <w:u w:val="single" w:color="auto"/>
                  <w:color w:val="0000EE"/>
                </w:rPr>
                <w:t>Item 1. Legal Proceedings</w:t>
              </w:r>
            </w:hyperlink>
          </w:p>
        </w:tc>
        <w:tc>
          <w:tcPr>
            <w:tcW w:w="560" w:type="dxa"/>
            <w:vAlign w:val="bottom"/>
            <w:shd w:val="clear" w:color="auto" w:fill="CCEEFF"/>
          </w:tcPr>
          <w:p>
            <w:pPr>
              <w:jc w:val="right"/>
              <w:spacing w:after="0"/>
              <w:rPr>
                <w:rFonts w:ascii="Arial" w:cs="Arial" w:eastAsia="Arial" w:hAnsi="Arial"/>
                <w:sz w:val="18"/>
                <w:szCs w:val="18"/>
                <w:u w:val="single" w:color="auto"/>
                <w:color w:val="0000EE"/>
              </w:rPr>
            </w:pPr>
            <w:hyperlink w:anchor="page29">
              <w:r>
                <w:rPr>
                  <w:rFonts w:ascii="Arial" w:cs="Arial" w:eastAsia="Arial" w:hAnsi="Arial"/>
                  <w:sz w:val="18"/>
                  <w:szCs w:val="18"/>
                  <w:u w:val="single" w:color="auto"/>
                  <w:color w:val="0000EE"/>
                </w:rPr>
                <w:t>29</w:t>
              </w:r>
            </w:hyperlink>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9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680" w:type="dxa"/>
            <w:vAlign w:val="bottom"/>
            <w:gridSpan w:val="4"/>
            <w:shd w:val="clear" w:color="auto" w:fill="CCEEFF"/>
          </w:tcPr>
          <w:p>
            <w:pPr>
              <w:ind w:left="180"/>
              <w:spacing w:after="0"/>
              <w:rPr>
                <w:rFonts w:ascii="Arial" w:cs="Arial" w:eastAsia="Arial" w:hAnsi="Arial"/>
                <w:sz w:val="18"/>
                <w:szCs w:val="18"/>
                <w:u w:val="single" w:color="auto"/>
                <w:color w:val="0000EE"/>
              </w:rPr>
            </w:pPr>
            <w:hyperlink w:anchor="page29">
              <w:r>
                <w:rPr>
                  <w:rFonts w:ascii="Arial" w:cs="Arial" w:eastAsia="Arial" w:hAnsi="Arial"/>
                  <w:sz w:val="18"/>
                  <w:szCs w:val="18"/>
                  <w:u w:val="single" w:color="auto"/>
                  <w:color w:val="0000EE"/>
                </w:rPr>
                <w:t>Item 1A. Risk Factors</w:t>
              </w:r>
            </w:hyperlink>
          </w:p>
        </w:tc>
        <w:tc>
          <w:tcPr>
            <w:tcW w:w="560" w:type="dxa"/>
            <w:vAlign w:val="bottom"/>
            <w:shd w:val="clear" w:color="auto" w:fill="CCEEFF"/>
          </w:tcPr>
          <w:p>
            <w:pPr>
              <w:jc w:val="right"/>
              <w:spacing w:after="0"/>
              <w:rPr>
                <w:rFonts w:ascii="Arial" w:cs="Arial" w:eastAsia="Arial" w:hAnsi="Arial"/>
                <w:sz w:val="18"/>
                <w:szCs w:val="18"/>
                <w:u w:val="single" w:color="auto"/>
                <w:color w:val="0000EE"/>
              </w:rPr>
            </w:pPr>
            <w:hyperlink w:anchor="page29">
              <w:r>
                <w:rPr>
                  <w:rFonts w:ascii="Arial" w:cs="Arial" w:eastAsia="Arial" w:hAnsi="Arial"/>
                  <w:sz w:val="18"/>
                  <w:szCs w:val="18"/>
                  <w:u w:val="single" w:color="auto"/>
                  <w:color w:val="0000EE"/>
                </w:rPr>
                <w:t>29</w:t>
              </w:r>
            </w:hyperlink>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9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680" w:type="dxa"/>
            <w:vAlign w:val="bottom"/>
            <w:gridSpan w:val="4"/>
            <w:shd w:val="clear" w:color="auto" w:fill="CCEEFF"/>
          </w:tcPr>
          <w:p>
            <w:pPr>
              <w:ind w:left="180"/>
              <w:spacing w:after="0"/>
              <w:rPr>
                <w:rFonts w:ascii="Arial" w:cs="Arial" w:eastAsia="Arial" w:hAnsi="Arial"/>
                <w:sz w:val="18"/>
                <w:szCs w:val="18"/>
                <w:u w:val="single" w:color="auto"/>
                <w:color w:val="0000EE"/>
              </w:rPr>
            </w:pPr>
            <w:hyperlink w:anchor="page30">
              <w:r>
                <w:rPr>
                  <w:rFonts w:ascii="Arial" w:cs="Arial" w:eastAsia="Arial" w:hAnsi="Arial"/>
                  <w:sz w:val="18"/>
                  <w:szCs w:val="18"/>
                  <w:u w:val="single" w:color="auto"/>
                  <w:color w:val="0000EE"/>
                </w:rPr>
                <w:t>Item 6. Exhibits</w:t>
              </w:r>
            </w:hyperlink>
          </w:p>
        </w:tc>
        <w:tc>
          <w:tcPr>
            <w:tcW w:w="560" w:type="dxa"/>
            <w:vAlign w:val="bottom"/>
            <w:shd w:val="clear" w:color="auto" w:fill="CCEEFF"/>
          </w:tcPr>
          <w:p>
            <w:pPr>
              <w:jc w:val="right"/>
              <w:spacing w:after="0"/>
              <w:rPr>
                <w:rFonts w:ascii="Arial" w:cs="Arial" w:eastAsia="Arial" w:hAnsi="Arial"/>
                <w:sz w:val="18"/>
                <w:szCs w:val="18"/>
                <w:u w:val="single" w:color="auto"/>
                <w:color w:val="0000EE"/>
              </w:rPr>
            </w:pPr>
            <w:hyperlink w:anchor="page30">
              <w:r>
                <w:rPr>
                  <w:rFonts w:ascii="Arial" w:cs="Arial" w:eastAsia="Arial" w:hAnsi="Arial"/>
                  <w:sz w:val="18"/>
                  <w:szCs w:val="18"/>
                  <w:u w:val="single" w:color="auto"/>
                  <w:color w:val="0000EE"/>
                </w:rPr>
                <w:t>30</w:t>
              </w:r>
            </w:hyperlink>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9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680" w:type="dxa"/>
            <w:vAlign w:val="bottom"/>
            <w:gridSpan w:val="4"/>
            <w:shd w:val="clear" w:color="auto" w:fill="CCEEFF"/>
          </w:tcPr>
          <w:p>
            <w:pPr>
              <w:spacing w:after="0"/>
              <w:rPr>
                <w:rFonts w:ascii="Arial" w:cs="Arial" w:eastAsia="Arial" w:hAnsi="Arial"/>
                <w:sz w:val="18"/>
                <w:szCs w:val="18"/>
                <w:b w:val="1"/>
                <w:bCs w:val="1"/>
                <w:u w:val="single" w:color="auto"/>
                <w:color w:val="0000EE"/>
              </w:rPr>
            </w:pPr>
            <w:hyperlink w:anchor="page30">
              <w:r>
                <w:rPr>
                  <w:rFonts w:ascii="Arial" w:cs="Arial" w:eastAsia="Arial" w:hAnsi="Arial"/>
                  <w:sz w:val="18"/>
                  <w:szCs w:val="18"/>
                  <w:b w:val="1"/>
                  <w:bCs w:val="1"/>
                  <w:u w:val="single" w:color="auto"/>
                  <w:color w:val="0000EE"/>
                </w:rPr>
                <w:t>Exhibit Index</w:t>
              </w:r>
            </w:hyperlink>
          </w:p>
        </w:tc>
        <w:tc>
          <w:tcPr>
            <w:tcW w:w="560" w:type="dxa"/>
            <w:vAlign w:val="bottom"/>
            <w:shd w:val="clear" w:color="auto" w:fill="CCEEFF"/>
          </w:tcPr>
          <w:p>
            <w:pPr>
              <w:jc w:val="right"/>
              <w:spacing w:after="0"/>
              <w:rPr>
                <w:rFonts w:ascii="Arial" w:cs="Arial" w:eastAsia="Arial" w:hAnsi="Arial"/>
                <w:sz w:val="18"/>
                <w:szCs w:val="18"/>
                <w:u w:val="single" w:color="auto"/>
                <w:color w:val="0000EE"/>
              </w:rPr>
            </w:pPr>
            <w:hyperlink w:anchor="page30">
              <w:r>
                <w:rPr>
                  <w:rFonts w:ascii="Arial" w:cs="Arial" w:eastAsia="Arial" w:hAnsi="Arial"/>
                  <w:sz w:val="18"/>
                  <w:szCs w:val="18"/>
                  <w:u w:val="single" w:color="auto"/>
                  <w:color w:val="0000EE"/>
                </w:rPr>
                <w:t>30</w:t>
              </w:r>
            </w:hyperlink>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9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680" w:type="dxa"/>
            <w:vAlign w:val="bottom"/>
            <w:gridSpan w:val="4"/>
            <w:shd w:val="clear" w:color="auto" w:fill="CCEEFF"/>
          </w:tcPr>
          <w:p>
            <w:pPr>
              <w:spacing w:after="0"/>
              <w:rPr>
                <w:rFonts w:ascii="Arial" w:cs="Arial" w:eastAsia="Arial" w:hAnsi="Arial"/>
                <w:sz w:val="18"/>
                <w:szCs w:val="18"/>
                <w:b w:val="1"/>
                <w:bCs w:val="1"/>
                <w:u w:val="single" w:color="auto"/>
                <w:color w:val="0000EE"/>
              </w:rPr>
            </w:pPr>
            <w:hyperlink w:anchor="page31">
              <w:r>
                <w:rPr>
                  <w:rFonts w:ascii="Arial" w:cs="Arial" w:eastAsia="Arial" w:hAnsi="Arial"/>
                  <w:sz w:val="18"/>
                  <w:szCs w:val="18"/>
                  <w:b w:val="1"/>
                  <w:bCs w:val="1"/>
                  <w:u w:val="single" w:color="auto"/>
                  <w:color w:val="0000EE"/>
                </w:rPr>
                <w:t>Signatures</w:t>
              </w:r>
            </w:hyperlink>
          </w:p>
        </w:tc>
        <w:tc>
          <w:tcPr>
            <w:tcW w:w="560" w:type="dxa"/>
            <w:vAlign w:val="bottom"/>
            <w:shd w:val="clear" w:color="auto" w:fill="CCEEFF"/>
          </w:tcPr>
          <w:p>
            <w:pPr>
              <w:jc w:val="right"/>
              <w:spacing w:after="0"/>
              <w:rPr>
                <w:rFonts w:ascii="Arial" w:cs="Arial" w:eastAsia="Arial" w:hAnsi="Arial"/>
                <w:sz w:val="18"/>
                <w:szCs w:val="18"/>
                <w:u w:val="single" w:color="auto"/>
                <w:color w:val="0000EE"/>
              </w:rPr>
            </w:pPr>
            <w:hyperlink w:anchor="page31">
              <w:r>
                <w:rPr>
                  <w:rFonts w:ascii="Arial" w:cs="Arial" w:eastAsia="Arial" w:hAnsi="Arial"/>
                  <w:sz w:val="18"/>
                  <w:szCs w:val="18"/>
                  <w:u w:val="single" w:color="auto"/>
                  <w:color w:val="0000EE"/>
                </w:rPr>
                <w:t>31</w:t>
              </w:r>
            </w:hyperlink>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648"/>
        </w:trPr>
        <w:tc>
          <w:tcPr>
            <w:tcW w:w="10120" w:type="dxa"/>
            <w:vAlign w:val="bottom"/>
            <w:tcBorders>
              <w:bottom w:val="single" w:sz="8" w:color="auto"/>
            </w:tcBorders>
            <w:gridSpan w:val="3"/>
          </w:tcPr>
          <w:p>
            <w:pPr>
              <w:jc w:val="center"/>
              <w:ind w:left="1030"/>
              <w:spacing w:after="0"/>
              <w:rPr>
                <w:sz w:val="20"/>
                <w:szCs w:val="20"/>
                <w:color w:val="auto"/>
              </w:rPr>
            </w:pPr>
            <w:r>
              <w:rPr>
                <w:rFonts w:ascii="Arial" w:cs="Arial" w:eastAsia="Arial" w:hAnsi="Arial"/>
                <w:sz w:val="18"/>
                <w:szCs w:val="18"/>
                <w:color w:val="auto"/>
                <w:w w:val="79"/>
              </w:rPr>
              <w:t>2</w:t>
            </w:r>
          </w:p>
        </w:tc>
        <w:tc>
          <w:tcPr>
            <w:tcW w:w="56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04"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PART I — FINANCIAL INFORMATION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Unaudited Financial Statements</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CELLDEX 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380" w:type="dxa"/>
            <w:vAlign w:val="bottom"/>
          </w:tcPr>
          <w:p>
            <w:pPr>
              <w:ind w:left="3640"/>
              <w:spacing w:after="0"/>
              <w:rPr>
                <w:sz w:val="20"/>
                <w:szCs w:val="20"/>
                <w:color w:val="auto"/>
              </w:rPr>
            </w:pPr>
            <w:r>
              <w:rPr>
                <w:rFonts w:ascii="Arial" w:cs="Arial" w:eastAsia="Arial" w:hAnsi="Arial"/>
                <w:sz w:val="18"/>
                <w:szCs w:val="18"/>
                <w:b w:val="1"/>
                <w:bCs w:val="1"/>
                <w:color w:val="auto"/>
              </w:rPr>
              <w:t>(In thousands, except share and per share amounts)</w:t>
            </w: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4"/>
        </w:trPr>
        <w:tc>
          <w:tcPr>
            <w:tcW w:w="8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380" w:type="dxa"/>
            <w:vAlign w:val="bottom"/>
            <w:gridSpan w:val="3"/>
          </w:tcPr>
          <w:p>
            <w:pPr>
              <w:jc w:val="right"/>
              <w:ind w:right="200"/>
              <w:spacing w:after="0"/>
              <w:rPr>
                <w:sz w:val="20"/>
                <w:szCs w:val="20"/>
                <w:color w:val="auto"/>
              </w:rPr>
            </w:pPr>
            <w:r>
              <w:rPr>
                <w:rFonts w:ascii="Arial" w:cs="Arial" w:eastAsia="Arial" w:hAnsi="Arial"/>
                <w:sz w:val="18"/>
                <w:szCs w:val="18"/>
                <w:b w:val="1"/>
                <w:bCs w:val="1"/>
                <w:color w:val="auto"/>
                <w:w w:val="94"/>
              </w:rPr>
              <w:t>September 30,</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w w:val="87"/>
              </w:rPr>
              <w:t>December 31,</w:t>
            </w:r>
          </w:p>
        </w:tc>
      </w:tr>
      <w:tr>
        <w:trPr>
          <w:trHeight w:val="234"/>
        </w:trPr>
        <w:tc>
          <w:tcPr>
            <w:tcW w:w="8380" w:type="dxa"/>
            <w:vAlign w:val="bottom"/>
            <w:tcBorders>
              <w:bottom w:val="single" w:sz="8" w:color="CCEEFF"/>
            </w:tcBorders>
          </w:tcPr>
          <w:p>
            <w:pPr>
              <w:spacing w:after="0"/>
              <w:rPr>
                <w:sz w:val="20"/>
                <w:szCs w:val="20"/>
                <w:color w:val="auto"/>
              </w:rPr>
            </w:pPr>
          </w:p>
        </w:tc>
        <w:tc>
          <w:tcPr>
            <w:tcW w:w="6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2020</w:t>
            </w:r>
          </w:p>
        </w:tc>
        <w:tc>
          <w:tcPr>
            <w:tcW w:w="14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2019</w:t>
            </w:r>
          </w:p>
        </w:tc>
        <w:tc>
          <w:tcPr>
            <w:tcW w:w="100" w:type="dxa"/>
            <w:vAlign w:val="bottom"/>
            <w:tcBorders>
              <w:bottom w:val="single" w:sz="8" w:color="CCEEFF"/>
            </w:tcBorders>
          </w:tcPr>
          <w:p>
            <w:pPr>
              <w:spacing w:after="0"/>
              <w:rPr>
                <w:sz w:val="20"/>
                <w:szCs w:val="20"/>
                <w:color w:val="auto"/>
              </w:rPr>
            </w:pPr>
          </w:p>
        </w:tc>
      </w:tr>
      <w:tr>
        <w:trPr>
          <w:trHeight w:val="237"/>
        </w:trPr>
        <w:tc>
          <w:tcPr>
            <w:tcW w:w="8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6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r>
      <w:tr>
        <w:trPr>
          <w:trHeight w:val="243"/>
        </w:trPr>
        <w:tc>
          <w:tcPr>
            <w:tcW w:w="8380" w:type="dxa"/>
            <w:vAlign w:val="bottom"/>
          </w:tcPr>
          <w:p>
            <w:pPr>
              <w:spacing w:after="0"/>
              <w:rPr>
                <w:sz w:val="20"/>
                <w:szCs w:val="20"/>
                <w:color w:val="auto"/>
              </w:rPr>
            </w:pPr>
            <w:r>
              <w:rPr>
                <w:rFonts w:ascii="Arial" w:cs="Arial" w:eastAsia="Arial" w:hAnsi="Arial"/>
                <w:sz w:val="18"/>
                <w:szCs w:val="18"/>
                <w:color w:val="auto"/>
              </w:rPr>
              <w:t>Current Assets:</w:t>
            </w:r>
          </w:p>
        </w:tc>
        <w:tc>
          <w:tcPr>
            <w:tcW w:w="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16"/>
        </w:trPr>
        <w:tc>
          <w:tcPr>
            <w:tcW w:w="83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Cash and Cash Equivalents</w:t>
            </w:r>
          </w:p>
        </w:tc>
        <w:tc>
          <w:tcPr>
            <w:tcW w:w="34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18,151</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11,232</w:t>
            </w:r>
          </w:p>
        </w:tc>
      </w:tr>
      <w:tr>
        <w:trPr>
          <w:trHeight w:val="216"/>
        </w:trPr>
        <w:tc>
          <w:tcPr>
            <w:tcW w:w="8380" w:type="dxa"/>
            <w:vAlign w:val="bottom"/>
          </w:tcPr>
          <w:p>
            <w:pPr>
              <w:ind w:left="180"/>
              <w:spacing w:after="0"/>
              <w:rPr>
                <w:sz w:val="20"/>
                <w:szCs w:val="20"/>
                <w:color w:val="auto"/>
              </w:rPr>
            </w:pPr>
            <w:r>
              <w:rPr>
                <w:rFonts w:ascii="Arial" w:cs="Arial" w:eastAsia="Arial" w:hAnsi="Arial"/>
                <w:sz w:val="18"/>
                <w:szCs w:val="18"/>
                <w:color w:val="auto"/>
              </w:rPr>
              <w:t>Marketable Securities</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181,443</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53,151</w:t>
            </w:r>
          </w:p>
        </w:tc>
      </w:tr>
      <w:tr>
        <w:trPr>
          <w:trHeight w:val="216"/>
        </w:trPr>
        <w:tc>
          <w:tcPr>
            <w:tcW w:w="83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Accounts and Other Receivables</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838</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1,015</w:t>
            </w:r>
          </w:p>
        </w:tc>
      </w:tr>
      <w:tr>
        <w:trPr>
          <w:trHeight w:val="229"/>
        </w:trPr>
        <w:tc>
          <w:tcPr>
            <w:tcW w:w="8380" w:type="dxa"/>
            <w:vAlign w:val="bottom"/>
          </w:tcPr>
          <w:p>
            <w:pPr>
              <w:ind w:left="180"/>
              <w:spacing w:after="0"/>
              <w:rPr>
                <w:sz w:val="20"/>
                <w:szCs w:val="20"/>
                <w:color w:val="auto"/>
              </w:rPr>
            </w:pPr>
            <w:r>
              <w:rPr>
                <w:rFonts w:ascii="Arial" w:cs="Arial" w:eastAsia="Arial" w:hAnsi="Arial"/>
                <w:sz w:val="18"/>
                <w:szCs w:val="18"/>
                <w:color w:val="auto"/>
              </w:rPr>
              <w:t>Prepaid and Other Current Assets</w:t>
            </w: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2,493</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1,300</w:t>
            </w:r>
          </w:p>
        </w:tc>
      </w:tr>
      <w:tr>
        <w:trPr>
          <w:trHeight w:val="210"/>
        </w:trPr>
        <w:tc>
          <w:tcPr>
            <w:tcW w:w="8380" w:type="dxa"/>
            <w:vAlign w:val="bottom"/>
            <w:tcBorders>
              <w:top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Current Assets</w:t>
            </w:r>
          </w:p>
        </w:tc>
        <w:tc>
          <w:tcPr>
            <w:tcW w:w="6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202,925</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66,698</w:t>
            </w:r>
          </w:p>
        </w:tc>
        <w:tc>
          <w:tcPr>
            <w:tcW w:w="100" w:type="dxa"/>
            <w:vAlign w:val="bottom"/>
            <w:tcBorders>
              <w:top w:val="single" w:sz="8" w:color="CCEEFF"/>
            </w:tcBorders>
            <w:shd w:val="clear" w:color="auto" w:fill="CCEEFF"/>
          </w:tcPr>
          <w:p>
            <w:pPr>
              <w:spacing w:after="0"/>
              <w:rPr>
                <w:sz w:val="18"/>
                <w:szCs w:val="18"/>
                <w:color w:val="auto"/>
              </w:rPr>
            </w:pPr>
          </w:p>
        </w:tc>
      </w:tr>
      <w:tr>
        <w:trPr>
          <w:trHeight w:val="209"/>
        </w:trPr>
        <w:tc>
          <w:tcPr>
            <w:tcW w:w="838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3,813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4,031</w:t>
            </w:r>
          </w:p>
        </w:tc>
        <w:tc>
          <w:tcPr>
            <w:tcW w:w="100" w:type="dxa"/>
            <w:vAlign w:val="bottom"/>
          </w:tcPr>
          <w:p>
            <w:pPr>
              <w:spacing w:after="0"/>
              <w:rPr>
                <w:sz w:val="18"/>
                <w:szCs w:val="18"/>
                <w:color w:val="auto"/>
              </w:rPr>
            </w:pPr>
          </w:p>
        </w:tc>
      </w:tr>
      <w:tr>
        <w:trPr>
          <w:trHeight w:val="216"/>
        </w:trPr>
        <w:tc>
          <w:tcPr>
            <w:tcW w:w="838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 Right-of-Use Assets, Net</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3,801</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3,473</w:t>
            </w:r>
          </w:p>
        </w:tc>
      </w:tr>
      <w:tr>
        <w:trPr>
          <w:trHeight w:val="216"/>
        </w:trPr>
        <w:tc>
          <w:tcPr>
            <w:tcW w:w="8380" w:type="dxa"/>
            <w:vAlign w:val="bottom"/>
          </w:tcPr>
          <w:p>
            <w:pPr>
              <w:spacing w:after="0"/>
              <w:rPr>
                <w:sz w:val="20"/>
                <w:szCs w:val="20"/>
                <w:color w:val="auto"/>
              </w:rPr>
            </w:pPr>
            <w:r>
              <w:rPr>
                <w:rFonts w:ascii="Arial" w:cs="Arial" w:eastAsia="Arial" w:hAnsi="Arial"/>
                <w:sz w:val="18"/>
                <w:szCs w:val="18"/>
                <w:color w:val="auto"/>
              </w:rPr>
              <w:t>Intangible Assets, Net</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45,190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48,690</w:t>
            </w:r>
          </w:p>
        </w:tc>
      </w:tr>
      <w:tr>
        <w:trPr>
          <w:trHeight w:val="229"/>
        </w:trPr>
        <w:tc>
          <w:tcPr>
            <w:tcW w:w="838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41</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w:t>
            </w:r>
          </w:p>
        </w:tc>
      </w:tr>
      <w:tr>
        <w:trPr>
          <w:trHeight w:val="263"/>
        </w:trPr>
        <w:tc>
          <w:tcPr>
            <w:tcW w:w="838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Total Assets</w:t>
            </w:r>
          </w:p>
        </w:tc>
        <w:tc>
          <w:tcPr>
            <w:tcW w:w="60" w:type="dxa"/>
            <w:vAlign w:val="bottom"/>
            <w:tcBorders>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255,770</w:t>
            </w:r>
          </w:p>
        </w:tc>
        <w:tc>
          <w:tcPr>
            <w:tcW w:w="14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122,933</w:t>
            </w:r>
          </w:p>
        </w:tc>
        <w:tc>
          <w:tcPr>
            <w:tcW w:w="100" w:type="dxa"/>
            <w:vAlign w:val="bottom"/>
            <w:tcBorders>
              <w:bottom w:val="single" w:sz="8" w:color="CCEEFF"/>
            </w:tcBorders>
          </w:tcPr>
          <w:p>
            <w:pPr>
              <w:spacing w:after="0"/>
              <w:rPr>
                <w:sz w:val="22"/>
                <w:szCs w:val="22"/>
                <w:color w:val="auto"/>
              </w:rPr>
            </w:pPr>
          </w:p>
        </w:tc>
      </w:tr>
      <w:tr>
        <w:trPr>
          <w:trHeight w:val="224"/>
        </w:trPr>
        <w:tc>
          <w:tcPr>
            <w:tcW w:w="8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43"/>
        </w:trPr>
        <w:tc>
          <w:tcPr>
            <w:tcW w:w="8380" w:type="dxa"/>
            <w:vAlign w:val="bottom"/>
          </w:tcPr>
          <w:p>
            <w:pPr>
              <w:spacing w:after="0"/>
              <w:rPr>
                <w:sz w:val="20"/>
                <w:szCs w:val="20"/>
                <w:color w:val="auto"/>
              </w:rPr>
            </w:pPr>
            <w:r>
              <w:rPr>
                <w:rFonts w:ascii="Arial" w:cs="Arial" w:eastAsia="Arial" w:hAnsi="Arial"/>
                <w:sz w:val="18"/>
                <w:szCs w:val="18"/>
                <w:color w:val="auto"/>
              </w:rPr>
              <w:t>Current Liabilities:</w:t>
            </w:r>
          </w:p>
        </w:tc>
        <w:tc>
          <w:tcPr>
            <w:tcW w:w="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16"/>
        </w:trPr>
        <w:tc>
          <w:tcPr>
            <w:tcW w:w="83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Accounts Payable</w:t>
            </w:r>
          </w:p>
        </w:tc>
        <w:tc>
          <w:tcPr>
            <w:tcW w:w="34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568</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1,174</w:t>
            </w:r>
          </w:p>
        </w:tc>
      </w:tr>
      <w:tr>
        <w:trPr>
          <w:trHeight w:val="216"/>
        </w:trPr>
        <w:tc>
          <w:tcPr>
            <w:tcW w:w="8380" w:type="dxa"/>
            <w:vAlign w:val="bottom"/>
          </w:tcPr>
          <w:p>
            <w:pPr>
              <w:ind w:left="180"/>
              <w:spacing w:after="0"/>
              <w:rPr>
                <w:sz w:val="20"/>
                <w:szCs w:val="20"/>
                <w:color w:val="auto"/>
              </w:rPr>
            </w:pPr>
            <w:r>
              <w:rPr>
                <w:rFonts w:ascii="Arial" w:cs="Arial" w:eastAsia="Arial" w:hAnsi="Arial"/>
                <w:sz w:val="18"/>
                <w:szCs w:val="18"/>
                <w:color w:val="auto"/>
              </w:rPr>
              <w:t>Accrued Expenses</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8,007</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6,499</w:t>
            </w:r>
          </w:p>
        </w:tc>
      </w:tr>
      <w:tr>
        <w:trPr>
          <w:trHeight w:val="216"/>
        </w:trPr>
        <w:tc>
          <w:tcPr>
            <w:tcW w:w="83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Current Portion of Operating Lease Liabilities</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1,263</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1,944</w:t>
            </w:r>
          </w:p>
        </w:tc>
      </w:tr>
      <w:tr>
        <w:trPr>
          <w:trHeight w:val="230"/>
        </w:trPr>
        <w:tc>
          <w:tcPr>
            <w:tcW w:w="8380" w:type="dxa"/>
            <w:vAlign w:val="bottom"/>
          </w:tcPr>
          <w:p>
            <w:pPr>
              <w:ind w:left="180"/>
              <w:spacing w:after="0"/>
              <w:rPr>
                <w:sz w:val="20"/>
                <w:szCs w:val="20"/>
                <w:color w:val="auto"/>
              </w:rPr>
            </w:pPr>
            <w:r>
              <w:rPr>
                <w:rFonts w:ascii="Arial" w:cs="Arial" w:eastAsia="Arial" w:hAnsi="Arial"/>
                <w:sz w:val="18"/>
                <w:szCs w:val="18"/>
                <w:color w:val="auto"/>
              </w:rPr>
              <w:t>Current Portion of Other Long-Term Liabilities</w:t>
            </w: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2,362</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2,026</w:t>
            </w:r>
          </w:p>
        </w:tc>
      </w:tr>
      <w:tr>
        <w:trPr>
          <w:trHeight w:val="210"/>
        </w:trPr>
        <w:tc>
          <w:tcPr>
            <w:tcW w:w="8380" w:type="dxa"/>
            <w:vAlign w:val="bottom"/>
            <w:tcBorders>
              <w:top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Current Liabilities</w:t>
            </w:r>
          </w:p>
        </w:tc>
        <w:tc>
          <w:tcPr>
            <w:tcW w:w="6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12,200</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11,643</w:t>
            </w:r>
          </w:p>
        </w:tc>
        <w:tc>
          <w:tcPr>
            <w:tcW w:w="100" w:type="dxa"/>
            <w:vAlign w:val="bottom"/>
            <w:tcBorders>
              <w:top w:val="single" w:sz="8" w:color="CCEEFF"/>
            </w:tcBorders>
            <w:shd w:val="clear" w:color="auto" w:fill="CCEEFF"/>
          </w:tcPr>
          <w:p>
            <w:pPr>
              <w:spacing w:after="0"/>
              <w:rPr>
                <w:sz w:val="18"/>
                <w:szCs w:val="18"/>
                <w:color w:val="auto"/>
              </w:rPr>
            </w:pPr>
          </w:p>
        </w:tc>
      </w:tr>
      <w:tr>
        <w:trPr>
          <w:trHeight w:val="210"/>
        </w:trPr>
        <w:tc>
          <w:tcPr>
            <w:tcW w:w="8380" w:type="dxa"/>
            <w:vAlign w:val="bottom"/>
          </w:tcPr>
          <w:p>
            <w:pPr>
              <w:spacing w:after="0"/>
              <w:rPr>
                <w:sz w:val="20"/>
                <w:szCs w:val="20"/>
                <w:color w:val="auto"/>
              </w:rPr>
            </w:pPr>
            <w:r>
              <w:rPr>
                <w:rFonts w:ascii="Arial" w:cs="Arial" w:eastAsia="Arial" w:hAnsi="Arial"/>
                <w:sz w:val="18"/>
                <w:szCs w:val="18"/>
                <w:color w:val="auto"/>
              </w:rPr>
              <w:t>Long-Term Portion of Operating Lease Liabilities</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2,545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1,713</w:t>
            </w:r>
          </w:p>
        </w:tc>
        <w:tc>
          <w:tcPr>
            <w:tcW w:w="100" w:type="dxa"/>
            <w:vAlign w:val="bottom"/>
          </w:tcPr>
          <w:p>
            <w:pPr>
              <w:spacing w:after="0"/>
              <w:rPr>
                <w:sz w:val="18"/>
                <w:szCs w:val="18"/>
                <w:color w:val="auto"/>
              </w:rPr>
            </w:pPr>
          </w:p>
        </w:tc>
      </w:tr>
      <w:tr>
        <w:trPr>
          <w:trHeight w:val="230"/>
        </w:trPr>
        <w:tc>
          <w:tcPr>
            <w:tcW w:w="8380" w:type="dxa"/>
            <w:vAlign w:val="bottom"/>
            <w:shd w:val="clear" w:color="auto" w:fill="CCEEFF"/>
          </w:tcPr>
          <w:p>
            <w:pPr>
              <w:spacing w:after="0"/>
              <w:rPr>
                <w:sz w:val="20"/>
                <w:szCs w:val="20"/>
                <w:color w:val="auto"/>
              </w:rPr>
            </w:pPr>
            <w:r>
              <w:rPr>
                <w:rFonts w:ascii="Arial" w:cs="Arial" w:eastAsia="Arial" w:hAnsi="Arial"/>
                <w:sz w:val="18"/>
                <w:szCs w:val="18"/>
                <w:color w:val="auto"/>
              </w:rPr>
              <w:t>Other Long-Term Liabilities</w:t>
            </w:r>
          </w:p>
        </w:tc>
        <w:tc>
          <w:tcPr>
            <w:tcW w:w="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11,050</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15,551</w:t>
            </w:r>
          </w:p>
        </w:tc>
      </w:tr>
      <w:tr>
        <w:trPr>
          <w:trHeight w:val="209"/>
        </w:trPr>
        <w:tc>
          <w:tcPr>
            <w:tcW w:w="838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Total Liabilities</w:t>
            </w:r>
          </w:p>
        </w:tc>
        <w:tc>
          <w:tcPr>
            <w:tcW w:w="6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25,795</w:t>
            </w:r>
          </w:p>
        </w:tc>
        <w:tc>
          <w:tcPr>
            <w:tcW w:w="1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28,907</w:t>
            </w:r>
          </w:p>
        </w:tc>
        <w:tc>
          <w:tcPr>
            <w:tcW w:w="100" w:type="dxa"/>
            <w:vAlign w:val="bottom"/>
            <w:tcBorders>
              <w:bottom w:val="single" w:sz="8" w:color="CCEEFF"/>
            </w:tcBorders>
          </w:tcPr>
          <w:p>
            <w:pPr>
              <w:spacing w:after="0"/>
              <w:rPr>
                <w:sz w:val="18"/>
                <w:szCs w:val="18"/>
                <w:color w:val="auto"/>
              </w:rPr>
            </w:pPr>
          </w:p>
        </w:tc>
      </w:tr>
      <w:tr>
        <w:trPr>
          <w:trHeight w:val="237"/>
        </w:trPr>
        <w:tc>
          <w:tcPr>
            <w:tcW w:w="838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Contingent Liabilities</w:t>
            </w:r>
          </w:p>
        </w:tc>
        <w:tc>
          <w:tcPr>
            <w:tcW w:w="6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r>
      <w:tr>
        <w:trPr>
          <w:trHeight w:val="243"/>
        </w:trPr>
        <w:tc>
          <w:tcPr>
            <w:tcW w:w="8380" w:type="dxa"/>
            <w:vAlign w:val="bottom"/>
          </w:tcPr>
          <w:p>
            <w:pPr>
              <w:spacing w:after="0"/>
              <w:rPr>
                <w:sz w:val="20"/>
                <w:szCs w:val="20"/>
                <w:color w:val="auto"/>
              </w:rPr>
            </w:pPr>
            <w:r>
              <w:rPr>
                <w:rFonts w:ascii="Arial" w:cs="Arial" w:eastAsia="Arial" w:hAnsi="Arial"/>
                <w:sz w:val="18"/>
                <w:szCs w:val="18"/>
                <w:color w:val="auto"/>
              </w:rPr>
              <w:t>Stockholders’ Equity:</w:t>
            </w:r>
          </w:p>
        </w:tc>
        <w:tc>
          <w:tcPr>
            <w:tcW w:w="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02"/>
        </w:trPr>
        <w:tc>
          <w:tcPr>
            <w:tcW w:w="838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w w:val="90"/>
              </w:rPr>
              <w:t>Convertible Preferred Stock, $.01 Par Value; 3,000,000 Shares Authorized; No Shares Issued and Outstanding at</w:t>
            </w:r>
          </w:p>
        </w:tc>
        <w:tc>
          <w:tcPr>
            <w:tcW w:w="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83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September 30, 2020 and December 31, 2019</w:t>
            </w:r>
          </w:p>
        </w:tc>
        <w:tc>
          <w:tcPr>
            <w:tcW w:w="6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02"/>
        </w:trPr>
        <w:tc>
          <w:tcPr>
            <w:tcW w:w="8380" w:type="dxa"/>
            <w:vAlign w:val="bottom"/>
          </w:tcPr>
          <w:p>
            <w:pPr>
              <w:ind w:left="180"/>
              <w:spacing w:after="0" w:line="201" w:lineRule="exact"/>
              <w:rPr>
                <w:sz w:val="20"/>
                <w:szCs w:val="20"/>
                <w:color w:val="auto"/>
              </w:rPr>
            </w:pPr>
            <w:r>
              <w:rPr>
                <w:rFonts w:ascii="Arial" w:cs="Arial" w:eastAsia="Arial" w:hAnsi="Arial"/>
                <w:sz w:val="18"/>
                <w:szCs w:val="18"/>
                <w:color w:val="auto"/>
                <w:w w:val="89"/>
              </w:rPr>
              <w:t>Common Stock, $.001 Par Value; 297,000,000 Shares Authorized; 39,562,472 and 16,972,077 Shares Issued and</w:t>
            </w: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8380" w:type="dxa"/>
            <w:vAlign w:val="bottom"/>
          </w:tcPr>
          <w:p>
            <w:pPr>
              <w:ind w:left="340"/>
              <w:spacing w:after="0"/>
              <w:rPr>
                <w:sz w:val="20"/>
                <w:szCs w:val="20"/>
                <w:color w:val="auto"/>
              </w:rPr>
            </w:pPr>
            <w:r>
              <w:rPr>
                <w:rFonts w:ascii="Arial" w:cs="Arial" w:eastAsia="Arial" w:hAnsi="Arial"/>
                <w:sz w:val="18"/>
                <w:szCs w:val="18"/>
                <w:color w:val="auto"/>
              </w:rPr>
              <w:t>Outstanding at September 30, 2020 and December 31, 2019, Respectively</w:t>
            </w: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40</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17</w:t>
            </w:r>
          </w:p>
        </w:tc>
      </w:tr>
      <w:tr>
        <w:trPr>
          <w:trHeight w:val="216"/>
        </w:trPr>
        <w:tc>
          <w:tcPr>
            <w:tcW w:w="83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Additional Paid-In Capital</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1,278,523</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1,104,706</w:t>
            </w:r>
          </w:p>
        </w:tc>
      </w:tr>
      <w:tr>
        <w:trPr>
          <w:trHeight w:val="216"/>
        </w:trPr>
        <w:tc>
          <w:tcPr>
            <w:tcW w:w="8380" w:type="dxa"/>
            <w:vAlign w:val="bottom"/>
          </w:tcPr>
          <w:p>
            <w:pPr>
              <w:ind w:left="180"/>
              <w:spacing w:after="0"/>
              <w:rPr>
                <w:sz w:val="20"/>
                <w:szCs w:val="20"/>
                <w:color w:val="auto"/>
              </w:rPr>
            </w:pPr>
            <w:r>
              <w:rPr>
                <w:rFonts w:ascii="Arial" w:cs="Arial" w:eastAsia="Arial" w:hAnsi="Arial"/>
                <w:sz w:val="18"/>
                <w:szCs w:val="18"/>
                <w:color w:val="auto"/>
              </w:rPr>
              <w:t>Accumulated Other Comprehensive Income</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2,608</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2,619</w:t>
            </w:r>
          </w:p>
        </w:tc>
      </w:tr>
      <w:tr>
        <w:trPr>
          <w:trHeight w:val="230"/>
        </w:trPr>
        <w:tc>
          <w:tcPr>
            <w:tcW w:w="83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Accumulated Deficit</w:t>
            </w:r>
          </w:p>
        </w:tc>
        <w:tc>
          <w:tcPr>
            <w:tcW w:w="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(1,051,196)</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(1,013,316)</w:t>
            </w:r>
          </w:p>
        </w:tc>
      </w:tr>
      <w:tr>
        <w:trPr>
          <w:trHeight w:val="210"/>
        </w:trPr>
        <w:tc>
          <w:tcPr>
            <w:tcW w:w="83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Stockholders’ Equity</w:t>
            </w:r>
          </w:p>
        </w:tc>
        <w:tc>
          <w:tcPr>
            <w:tcW w:w="6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229,975</w:t>
            </w:r>
          </w:p>
        </w:tc>
        <w:tc>
          <w:tcPr>
            <w:tcW w:w="1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94,026</w:t>
            </w:r>
          </w:p>
        </w:tc>
        <w:tc>
          <w:tcPr>
            <w:tcW w:w="100" w:type="dxa"/>
            <w:vAlign w:val="bottom"/>
            <w:tcBorders>
              <w:bottom w:val="single" w:sz="8" w:color="CCEEFF"/>
            </w:tcBorders>
          </w:tcPr>
          <w:p>
            <w:pPr>
              <w:spacing w:after="0"/>
              <w:rPr>
                <w:sz w:val="18"/>
                <w:szCs w:val="18"/>
                <w:color w:val="auto"/>
              </w:rPr>
            </w:pPr>
          </w:p>
        </w:tc>
      </w:tr>
      <w:tr>
        <w:trPr>
          <w:trHeight w:val="223"/>
        </w:trPr>
        <w:tc>
          <w:tcPr>
            <w:tcW w:w="83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Liabilities and Stockholders’ Equity</w:t>
            </w:r>
          </w:p>
        </w:tc>
        <w:tc>
          <w:tcPr>
            <w:tcW w:w="6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255,770</w:t>
            </w:r>
          </w:p>
        </w:tc>
        <w:tc>
          <w:tcPr>
            <w:tcW w:w="1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122,933</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0"/>
        </w:trPr>
        <w:tc>
          <w:tcPr>
            <w:tcW w:w="8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unaudited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CELLDEX 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 AND COMPREHENSIVE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40" w:type="dxa"/>
            <w:vAlign w:val="bottom"/>
            <w:gridSpan w:val="2"/>
          </w:tcPr>
          <w:p>
            <w:pPr>
              <w:jc w:val="center"/>
              <w:ind w:right="201"/>
              <w:spacing w:after="0"/>
              <w:rPr>
                <w:sz w:val="20"/>
                <w:szCs w:val="20"/>
                <w:color w:val="auto"/>
              </w:rPr>
            </w:pPr>
            <w:r>
              <w:rPr>
                <w:rFonts w:ascii="Arial" w:cs="Arial" w:eastAsia="Arial" w:hAnsi="Arial"/>
                <w:sz w:val="14"/>
                <w:szCs w:val="14"/>
                <w:b w:val="1"/>
                <w:bCs w:val="1"/>
                <w:color w:val="auto"/>
                <w:w w:val="95"/>
              </w:rPr>
              <w:t>Three Months</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20" w:type="dxa"/>
            <w:vAlign w:val="bottom"/>
            <w:gridSpan w:val="2"/>
          </w:tcPr>
          <w:p>
            <w:pPr>
              <w:jc w:val="right"/>
              <w:ind w:right="321"/>
              <w:spacing w:after="0"/>
              <w:rPr>
                <w:sz w:val="20"/>
                <w:szCs w:val="20"/>
                <w:color w:val="auto"/>
              </w:rPr>
            </w:pPr>
            <w:r>
              <w:rPr>
                <w:rFonts w:ascii="Arial" w:cs="Arial" w:eastAsia="Arial" w:hAnsi="Arial"/>
                <w:sz w:val="14"/>
                <w:szCs w:val="14"/>
                <w:b w:val="1"/>
                <w:bCs w:val="1"/>
                <w:color w:val="auto"/>
                <w:w w:val="98"/>
              </w:rPr>
              <w:t>Three Months</w:t>
            </w:r>
          </w:p>
        </w:tc>
        <w:tc>
          <w:tcPr>
            <w:tcW w:w="160" w:type="dxa"/>
            <w:vAlign w:val="bottom"/>
          </w:tcPr>
          <w:p>
            <w:pPr>
              <w:spacing w:after="0"/>
              <w:rPr>
                <w:sz w:val="14"/>
                <w:szCs w:val="14"/>
                <w:color w:val="auto"/>
              </w:rPr>
            </w:pPr>
          </w:p>
        </w:tc>
        <w:tc>
          <w:tcPr>
            <w:tcW w:w="1280" w:type="dxa"/>
            <w:vAlign w:val="bottom"/>
            <w:gridSpan w:val="2"/>
          </w:tcPr>
          <w:p>
            <w:pPr>
              <w:jc w:val="right"/>
              <w:ind w:right="341"/>
              <w:spacing w:after="0"/>
              <w:rPr>
                <w:sz w:val="20"/>
                <w:szCs w:val="20"/>
                <w:color w:val="auto"/>
              </w:rPr>
            </w:pPr>
            <w:r>
              <w:rPr>
                <w:rFonts w:ascii="Arial" w:cs="Arial" w:eastAsia="Arial" w:hAnsi="Arial"/>
                <w:sz w:val="14"/>
                <w:szCs w:val="14"/>
                <w:b w:val="1"/>
                <w:bCs w:val="1"/>
                <w:color w:val="auto"/>
                <w:w w:val="99"/>
              </w:rPr>
              <w:t>Nine Months</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gridSpan w:val="3"/>
          </w:tcPr>
          <w:p>
            <w:pPr>
              <w:jc w:val="right"/>
              <w:ind w:right="320"/>
              <w:spacing w:after="0"/>
              <w:rPr>
                <w:sz w:val="20"/>
                <w:szCs w:val="20"/>
                <w:color w:val="auto"/>
              </w:rPr>
            </w:pPr>
            <w:r>
              <w:rPr>
                <w:rFonts w:ascii="Arial" w:cs="Arial" w:eastAsia="Arial" w:hAnsi="Arial"/>
                <w:sz w:val="14"/>
                <w:szCs w:val="14"/>
                <w:b w:val="1"/>
                <w:bCs w:val="1"/>
                <w:color w:val="auto"/>
                <w:w w:val="99"/>
              </w:rPr>
              <w:t>Nine Months</w:t>
            </w:r>
          </w:p>
        </w:tc>
      </w:tr>
      <w:tr>
        <w:trPr>
          <w:trHeight w:val="148"/>
        </w:trPr>
        <w:tc>
          <w:tcPr>
            <w:tcW w:w="5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40" w:type="dxa"/>
            <w:vAlign w:val="bottom"/>
            <w:gridSpan w:val="2"/>
          </w:tcPr>
          <w:p>
            <w:pPr>
              <w:jc w:val="center"/>
              <w:ind w:right="201"/>
              <w:spacing w:after="0" w:line="149" w:lineRule="exact"/>
              <w:rPr>
                <w:sz w:val="20"/>
                <w:szCs w:val="20"/>
                <w:color w:val="auto"/>
              </w:rPr>
            </w:pPr>
            <w:r>
              <w:rPr>
                <w:rFonts w:ascii="Arial" w:cs="Arial" w:eastAsia="Arial" w:hAnsi="Arial"/>
                <w:sz w:val="14"/>
                <w:szCs w:val="14"/>
                <w:b w:val="1"/>
                <w:bCs w:val="1"/>
                <w:color w:val="auto"/>
                <w:w w:val="93"/>
              </w:rPr>
              <w:t>Ended</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20" w:type="dxa"/>
            <w:vAlign w:val="bottom"/>
            <w:gridSpan w:val="2"/>
          </w:tcPr>
          <w:p>
            <w:pPr>
              <w:jc w:val="right"/>
              <w:ind w:right="561"/>
              <w:spacing w:after="0" w:line="149" w:lineRule="exact"/>
              <w:rPr>
                <w:sz w:val="20"/>
                <w:szCs w:val="20"/>
                <w:color w:val="auto"/>
              </w:rPr>
            </w:pPr>
            <w:r>
              <w:rPr>
                <w:rFonts w:ascii="Arial" w:cs="Arial" w:eastAsia="Arial" w:hAnsi="Arial"/>
                <w:sz w:val="14"/>
                <w:szCs w:val="14"/>
                <w:b w:val="1"/>
                <w:bCs w:val="1"/>
                <w:color w:val="auto"/>
              </w:rPr>
              <w:t>Ended</w:t>
            </w:r>
          </w:p>
        </w:tc>
        <w:tc>
          <w:tcPr>
            <w:tcW w:w="160" w:type="dxa"/>
            <w:vAlign w:val="bottom"/>
          </w:tcPr>
          <w:p>
            <w:pPr>
              <w:spacing w:after="0"/>
              <w:rPr>
                <w:sz w:val="12"/>
                <w:szCs w:val="12"/>
                <w:color w:val="auto"/>
              </w:rPr>
            </w:pPr>
          </w:p>
        </w:tc>
        <w:tc>
          <w:tcPr>
            <w:tcW w:w="1280" w:type="dxa"/>
            <w:vAlign w:val="bottom"/>
            <w:gridSpan w:val="2"/>
          </w:tcPr>
          <w:p>
            <w:pPr>
              <w:jc w:val="right"/>
              <w:ind w:right="541"/>
              <w:spacing w:after="0" w:line="149" w:lineRule="exact"/>
              <w:rPr>
                <w:sz w:val="20"/>
                <w:szCs w:val="20"/>
                <w:color w:val="auto"/>
              </w:rPr>
            </w:pPr>
            <w:r>
              <w:rPr>
                <w:rFonts w:ascii="Arial" w:cs="Arial" w:eastAsia="Arial" w:hAnsi="Arial"/>
                <w:sz w:val="14"/>
                <w:szCs w:val="14"/>
                <w:b w:val="1"/>
                <w:bCs w:val="1"/>
                <w:color w:val="auto"/>
              </w:rPr>
              <w:t>Ended</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gridSpan w:val="3"/>
          </w:tcPr>
          <w:p>
            <w:pPr>
              <w:jc w:val="right"/>
              <w:ind w:right="520"/>
              <w:spacing w:after="0" w:line="149" w:lineRule="exact"/>
              <w:rPr>
                <w:sz w:val="20"/>
                <w:szCs w:val="20"/>
                <w:color w:val="auto"/>
              </w:rPr>
            </w:pPr>
            <w:r>
              <w:rPr>
                <w:rFonts w:ascii="Arial" w:cs="Arial" w:eastAsia="Arial" w:hAnsi="Arial"/>
                <w:sz w:val="14"/>
                <w:szCs w:val="14"/>
                <w:b w:val="1"/>
                <w:bCs w:val="1"/>
                <w:color w:val="auto"/>
              </w:rPr>
              <w:t>Ended</w:t>
            </w:r>
          </w:p>
        </w:tc>
      </w:tr>
      <w:tr>
        <w:trPr>
          <w:trHeight w:val="171"/>
        </w:trPr>
        <w:tc>
          <w:tcPr>
            <w:tcW w:w="5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0" w:type="dxa"/>
            <w:vAlign w:val="bottom"/>
            <w:gridSpan w:val="3"/>
          </w:tcPr>
          <w:p>
            <w:pPr>
              <w:jc w:val="center"/>
              <w:ind w:right="41"/>
              <w:spacing w:after="0"/>
              <w:rPr>
                <w:sz w:val="20"/>
                <w:szCs w:val="20"/>
                <w:color w:val="auto"/>
              </w:rPr>
            </w:pPr>
            <w:r>
              <w:rPr>
                <w:rFonts w:ascii="Arial" w:cs="Arial" w:eastAsia="Arial" w:hAnsi="Arial"/>
                <w:sz w:val="14"/>
                <w:szCs w:val="14"/>
                <w:b w:val="1"/>
                <w:bCs w:val="1"/>
                <w:color w:val="auto"/>
                <w:w w:val="91"/>
              </w:rPr>
              <w:t>September 30, 2020</w:t>
            </w:r>
          </w:p>
        </w:tc>
        <w:tc>
          <w:tcPr>
            <w:tcW w:w="100" w:type="dxa"/>
            <w:vAlign w:val="bottom"/>
          </w:tcPr>
          <w:p>
            <w:pPr>
              <w:spacing w:after="0"/>
              <w:rPr>
                <w:sz w:val="14"/>
                <w:szCs w:val="14"/>
                <w:color w:val="auto"/>
              </w:rPr>
            </w:pPr>
          </w:p>
        </w:tc>
        <w:tc>
          <w:tcPr>
            <w:tcW w:w="1440" w:type="dxa"/>
            <w:vAlign w:val="bottom"/>
            <w:gridSpan w:val="3"/>
          </w:tcPr>
          <w:p>
            <w:pPr>
              <w:spacing w:after="0"/>
              <w:rPr>
                <w:sz w:val="20"/>
                <w:szCs w:val="20"/>
                <w:color w:val="auto"/>
              </w:rPr>
            </w:pPr>
            <w:r>
              <w:rPr>
                <w:rFonts w:ascii="Arial" w:cs="Arial" w:eastAsia="Arial" w:hAnsi="Arial"/>
                <w:sz w:val="14"/>
                <w:szCs w:val="14"/>
                <w:b w:val="1"/>
                <w:bCs w:val="1"/>
                <w:color w:val="auto"/>
              </w:rPr>
              <w:t>September 30, 2019</w:t>
            </w:r>
          </w:p>
        </w:tc>
        <w:tc>
          <w:tcPr>
            <w:tcW w:w="1440" w:type="dxa"/>
            <w:vAlign w:val="bottom"/>
            <w:gridSpan w:val="3"/>
          </w:tcPr>
          <w:p>
            <w:pPr>
              <w:ind w:left="20"/>
              <w:spacing w:after="0"/>
              <w:rPr>
                <w:sz w:val="20"/>
                <w:szCs w:val="20"/>
                <w:color w:val="auto"/>
              </w:rPr>
            </w:pPr>
            <w:r>
              <w:rPr>
                <w:rFonts w:ascii="Arial" w:cs="Arial" w:eastAsia="Arial" w:hAnsi="Arial"/>
                <w:sz w:val="14"/>
                <w:szCs w:val="14"/>
                <w:b w:val="1"/>
                <w:bCs w:val="1"/>
                <w:color w:val="auto"/>
              </w:rPr>
              <w:t>September 30, 2020</w:t>
            </w:r>
          </w:p>
        </w:tc>
        <w:tc>
          <w:tcPr>
            <w:tcW w:w="20" w:type="dxa"/>
            <w:vAlign w:val="bottom"/>
          </w:tcPr>
          <w:p>
            <w:pPr>
              <w:spacing w:after="0"/>
              <w:rPr>
                <w:sz w:val="14"/>
                <w:szCs w:val="14"/>
                <w:color w:val="auto"/>
              </w:rPr>
            </w:pPr>
          </w:p>
        </w:tc>
        <w:tc>
          <w:tcPr>
            <w:tcW w:w="1320" w:type="dxa"/>
            <w:vAlign w:val="bottom"/>
            <w:gridSpan w:val="4"/>
          </w:tcPr>
          <w:p>
            <w:pPr>
              <w:spacing w:after="0"/>
              <w:rPr>
                <w:sz w:val="20"/>
                <w:szCs w:val="20"/>
                <w:color w:val="auto"/>
              </w:rPr>
            </w:pPr>
            <w:r>
              <w:rPr>
                <w:rFonts w:ascii="Arial" w:cs="Arial" w:eastAsia="Arial" w:hAnsi="Arial"/>
                <w:sz w:val="14"/>
                <w:szCs w:val="14"/>
                <w:b w:val="1"/>
                <w:bCs w:val="1"/>
                <w:color w:val="auto"/>
                <w:w w:val="99"/>
              </w:rPr>
              <w:t>September 30, 2019</w:t>
            </w:r>
          </w:p>
        </w:tc>
      </w:tr>
      <w:tr>
        <w:trPr>
          <w:trHeight w:val="236"/>
        </w:trPr>
        <w:tc>
          <w:tcPr>
            <w:tcW w:w="53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REVENUES:</w:t>
            </w:r>
          </w:p>
        </w:tc>
        <w:tc>
          <w:tcPr>
            <w:tcW w:w="160" w:type="dxa"/>
            <w:vAlign w:val="bottom"/>
            <w:tcBorders>
              <w:top w:val="single" w:sz="8" w:color="CCEEFF"/>
            </w:tcBorders>
            <w:shd w:val="clear" w:color="auto" w:fill="CCEEFF"/>
          </w:tcPr>
          <w:p>
            <w:pPr>
              <w:spacing w:after="0"/>
              <w:rPr>
                <w:sz w:val="20"/>
                <w:szCs w:val="20"/>
                <w:color w:val="auto"/>
              </w:rPr>
            </w:pPr>
          </w:p>
        </w:tc>
        <w:tc>
          <w:tcPr>
            <w:tcW w:w="160" w:type="dxa"/>
            <w:vAlign w:val="bottom"/>
            <w:tcBorders>
              <w:top w:val="single" w:sz="8" w:color="auto"/>
            </w:tcBorders>
            <w:shd w:val="clear" w:color="auto" w:fill="CCEEFF"/>
          </w:tcPr>
          <w:p>
            <w:pPr>
              <w:spacing w:after="0"/>
              <w:rPr>
                <w:sz w:val="20"/>
                <w:szCs w:val="20"/>
                <w:color w:val="auto"/>
              </w:rPr>
            </w:pPr>
          </w:p>
        </w:tc>
        <w:tc>
          <w:tcPr>
            <w:tcW w:w="1100" w:type="dxa"/>
            <w:vAlign w:val="bottom"/>
            <w:tcBorders>
              <w:top w:val="single" w:sz="8" w:color="auto"/>
            </w:tcBorders>
            <w:shd w:val="clear" w:color="auto" w:fill="CCEEFF"/>
          </w:tcPr>
          <w:p>
            <w:pPr>
              <w:spacing w:after="0"/>
              <w:rPr>
                <w:sz w:val="20"/>
                <w:szCs w:val="20"/>
                <w:color w:val="auto"/>
              </w:rPr>
            </w:pPr>
          </w:p>
        </w:tc>
        <w:tc>
          <w:tcPr>
            <w:tcW w:w="140" w:type="dxa"/>
            <w:vAlign w:val="bottom"/>
            <w:tcBorders>
              <w:top w:val="single" w:sz="8" w:color="CCEEFF"/>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120" w:type="dxa"/>
            <w:vAlign w:val="bottom"/>
            <w:tcBorders>
              <w:top w:val="single" w:sz="8" w:color="auto"/>
            </w:tcBorders>
            <w:shd w:val="clear" w:color="auto" w:fill="CCEEFF"/>
          </w:tcPr>
          <w:p>
            <w:pPr>
              <w:spacing w:after="0"/>
              <w:rPr>
                <w:sz w:val="20"/>
                <w:szCs w:val="20"/>
                <w:color w:val="auto"/>
              </w:rPr>
            </w:pPr>
          </w:p>
        </w:tc>
        <w:tc>
          <w:tcPr>
            <w:tcW w:w="1100" w:type="dxa"/>
            <w:vAlign w:val="bottom"/>
            <w:tcBorders>
              <w:top w:val="single" w:sz="8" w:color="auto"/>
            </w:tcBorders>
            <w:shd w:val="clear" w:color="auto" w:fill="CCEEFF"/>
          </w:tcPr>
          <w:p>
            <w:pPr>
              <w:spacing w:after="0"/>
              <w:rPr>
                <w:sz w:val="20"/>
                <w:szCs w:val="20"/>
                <w:color w:val="auto"/>
              </w:rPr>
            </w:pPr>
          </w:p>
        </w:tc>
        <w:tc>
          <w:tcPr>
            <w:tcW w:w="220" w:type="dxa"/>
            <w:vAlign w:val="bottom"/>
            <w:tcBorders>
              <w:top w:val="single" w:sz="8" w:color="CCEEFF"/>
            </w:tcBorders>
            <w:shd w:val="clear" w:color="auto" w:fill="CCEEFF"/>
          </w:tcPr>
          <w:p>
            <w:pPr>
              <w:spacing w:after="0"/>
              <w:rPr>
                <w:sz w:val="20"/>
                <w:szCs w:val="20"/>
                <w:color w:val="auto"/>
              </w:rPr>
            </w:pPr>
          </w:p>
        </w:tc>
        <w:tc>
          <w:tcPr>
            <w:tcW w:w="160" w:type="dxa"/>
            <w:vAlign w:val="bottom"/>
            <w:tcBorders>
              <w:top w:val="single" w:sz="8" w:color="auto"/>
            </w:tcBorders>
            <w:shd w:val="clear" w:color="auto" w:fill="CCEEFF"/>
          </w:tcPr>
          <w:p>
            <w:pPr>
              <w:spacing w:after="0"/>
              <w:rPr>
                <w:sz w:val="20"/>
                <w:szCs w:val="20"/>
                <w:color w:val="auto"/>
              </w:rPr>
            </w:pPr>
          </w:p>
        </w:tc>
        <w:tc>
          <w:tcPr>
            <w:tcW w:w="1060" w:type="dxa"/>
            <w:vAlign w:val="bottom"/>
            <w:tcBorders>
              <w:top w:val="single" w:sz="8" w:color="auto"/>
            </w:tcBorders>
            <w:shd w:val="clear" w:color="auto" w:fill="CCEEFF"/>
          </w:tcPr>
          <w:p>
            <w:pPr>
              <w:spacing w:after="0"/>
              <w:rPr>
                <w:sz w:val="20"/>
                <w:szCs w:val="20"/>
                <w:color w:val="auto"/>
              </w:rPr>
            </w:pPr>
          </w:p>
        </w:tc>
        <w:tc>
          <w:tcPr>
            <w:tcW w:w="220" w:type="dxa"/>
            <w:vAlign w:val="bottom"/>
            <w:tcBorders>
              <w:top w:val="single" w:sz="8" w:color="CCEEFF"/>
            </w:tcBorders>
            <w:shd w:val="clear" w:color="auto" w:fill="CCEEFF"/>
          </w:tcPr>
          <w:p>
            <w:pPr>
              <w:spacing w:after="0"/>
              <w:rPr>
                <w:sz w:val="20"/>
                <w:szCs w:val="20"/>
                <w:color w:val="auto"/>
              </w:rPr>
            </w:pPr>
          </w:p>
        </w:tc>
        <w:tc>
          <w:tcPr>
            <w:tcW w:w="20" w:type="dxa"/>
            <w:vAlign w:val="bottom"/>
            <w:tcBorders>
              <w:top w:val="single" w:sz="8" w:color="CCEEFF"/>
            </w:tcBorders>
            <w:shd w:val="clear" w:color="auto" w:fill="CCEEFF"/>
          </w:tcPr>
          <w:p>
            <w:pPr>
              <w:spacing w:after="0"/>
              <w:rPr>
                <w:sz w:val="20"/>
                <w:szCs w:val="20"/>
                <w:color w:val="auto"/>
              </w:rPr>
            </w:pPr>
          </w:p>
        </w:tc>
        <w:tc>
          <w:tcPr>
            <w:tcW w:w="140" w:type="dxa"/>
            <w:vAlign w:val="bottom"/>
            <w:tcBorders>
              <w:top w:val="single" w:sz="8" w:color="auto"/>
            </w:tcBorders>
            <w:shd w:val="clear" w:color="auto" w:fill="CCEEFF"/>
          </w:tcPr>
          <w:p>
            <w:pPr>
              <w:spacing w:after="0"/>
              <w:rPr>
                <w:sz w:val="20"/>
                <w:szCs w:val="20"/>
                <w:color w:val="auto"/>
              </w:rPr>
            </w:pPr>
          </w:p>
        </w:tc>
        <w:tc>
          <w:tcPr>
            <w:tcW w:w="1080" w:type="dxa"/>
            <w:vAlign w:val="bottom"/>
            <w:tcBorders>
              <w:top w:val="single" w:sz="8" w:color="auto"/>
            </w:tcBorders>
            <w:shd w:val="clear" w:color="auto" w:fill="CCEEFF"/>
          </w:tcPr>
          <w:p>
            <w:pPr>
              <w:spacing w:after="0"/>
              <w:rPr>
                <w:sz w:val="20"/>
                <w:szCs w:val="20"/>
                <w:color w:val="auto"/>
              </w:rPr>
            </w:pPr>
          </w:p>
        </w:tc>
        <w:tc>
          <w:tcPr>
            <w:tcW w:w="20" w:type="dxa"/>
            <w:vAlign w:val="bottom"/>
            <w:tcBorders>
              <w:top w:val="single" w:sz="8" w:color="CCEEFF"/>
            </w:tcBorders>
            <w:shd w:val="clear" w:color="auto" w:fill="CCEEFF"/>
          </w:tcPr>
          <w:p>
            <w:pPr>
              <w:spacing w:after="0"/>
              <w:rPr>
                <w:sz w:val="20"/>
                <w:szCs w:val="20"/>
                <w:color w:val="auto"/>
              </w:rPr>
            </w:pPr>
          </w:p>
        </w:tc>
        <w:tc>
          <w:tcPr>
            <w:tcW w:w="80" w:type="dxa"/>
            <w:vAlign w:val="bottom"/>
            <w:tcBorders>
              <w:top w:val="single" w:sz="8" w:color="CCEEFF"/>
            </w:tcBorders>
            <w:shd w:val="clear" w:color="auto" w:fill="CCEEFF"/>
          </w:tcPr>
          <w:p>
            <w:pPr>
              <w:spacing w:after="0"/>
              <w:rPr>
                <w:sz w:val="20"/>
                <w:szCs w:val="20"/>
                <w:color w:val="auto"/>
              </w:rPr>
            </w:pPr>
          </w:p>
        </w:tc>
      </w:tr>
      <w:tr>
        <w:trPr>
          <w:trHeight w:val="216"/>
        </w:trPr>
        <w:tc>
          <w:tcPr>
            <w:tcW w:w="5360" w:type="dxa"/>
            <w:vAlign w:val="bottom"/>
          </w:tcPr>
          <w:p>
            <w:pPr>
              <w:spacing w:after="0"/>
              <w:rPr>
                <w:sz w:val="20"/>
                <w:szCs w:val="20"/>
                <w:color w:val="auto"/>
              </w:rPr>
            </w:pPr>
            <w:r>
              <w:rPr>
                <w:rFonts w:ascii="Arial" w:cs="Arial" w:eastAsia="Arial" w:hAnsi="Arial"/>
                <w:sz w:val="18"/>
                <w:szCs w:val="18"/>
                <w:color w:val="auto"/>
              </w:rPr>
              <w:t>Product Development and Licensing Agreements</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61"/>
              <w:spacing w:after="0"/>
              <w:rPr>
                <w:sz w:val="20"/>
                <w:szCs w:val="20"/>
                <w:color w:val="auto"/>
              </w:rPr>
            </w:pPr>
            <w:r>
              <w:rPr>
                <w:rFonts w:ascii="Arial" w:cs="Arial" w:eastAsia="Arial" w:hAnsi="Arial"/>
                <w:sz w:val="18"/>
                <w:szCs w:val="18"/>
                <w:color w:val="auto"/>
              </w:rPr>
              <w:t>12</w:t>
            </w:r>
          </w:p>
        </w:tc>
        <w:tc>
          <w:tcPr>
            <w:tcW w:w="220" w:type="dxa"/>
            <w:vAlign w:val="bottom"/>
            <w:gridSpan w:val="2"/>
          </w:tcPr>
          <w:p>
            <w:pPr>
              <w:ind w:left="100"/>
              <w:spacing w:after="0"/>
              <w:rPr>
                <w:sz w:val="20"/>
                <w:szCs w:val="20"/>
                <w:color w:val="auto"/>
              </w:rPr>
            </w:pPr>
            <w:r>
              <w:rPr>
                <w:rFonts w:ascii="Arial" w:cs="Arial" w:eastAsia="Arial" w:hAnsi="Arial"/>
                <w:sz w:val="18"/>
                <w:szCs w:val="18"/>
                <w:color w:val="auto"/>
                <w:w w:val="99"/>
              </w:rPr>
              <w:t>$</w:t>
            </w:r>
          </w:p>
        </w:tc>
        <w:tc>
          <w:tcPr>
            <w:tcW w:w="1320" w:type="dxa"/>
            <w:vAlign w:val="bottom"/>
            <w:gridSpan w:val="2"/>
          </w:tcPr>
          <w:p>
            <w:pPr>
              <w:jc w:val="right"/>
              <w:ind w:right="141"/>
              <w:spacing w:after="0"/>
              <w:rPr>
                <w:sz w:val="20"/>
                <w:szCs w:val="20"/>
                <w:color w:val="auto"/>
              </w:rPr>
            </w:pPr>
            <w:r>
              <w:rPr>
                <w:rFonts w:ascii="Arial" w:cs="Arial" w:eastAsia="Arial" w:hAnsi="Arial"/>
                <w:sz w:val="18"/>
                <w:szCs w:val="18"/>
                <w:color w:val="auto"/>
              </w:rPr>
              <w:t>55</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141"/>
              <w:spacing w:after="0"/>
              <w:rPr>
                <w:sz w:val="20"/>
                <w:szCs w:val="20"/>
                <w:color w:val="auto"/>
              </w:rPr>
            </w:pPr>
            <w:r>
              <w:rPr>
                <w:rFonts w:ascii="Arial" w:cs="Arial" w:eastAsia="Arial" w:hAnsi="Arial"/>
                <w:sz w:val="18"/>
                <w:szCs w:val="18"/>
                <w:color w:val="auto"/>
              </w:rPr>
              <w:t>2,297</w:t>
            </w:r>
          </w:p>
        </w:tc>
        <w:tc>
          <w:tcPr>
            <w:tcW w:w="160" w:type="dxa"/>
            <w:vAlign w:val="bottom"/>
            <w:gridSpan w:val="2"/>
          </w:tcPr>
          <w:p>
            <w:pPr>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379</w:t>
            </w:r>
          </w:p>
        </w:tc>
        <w:tc>
          <w:tcPr>
            <w:tcW w:w="80" w:type="dxa"/>
            <w:vAlign w:val="bottom"/>
          </w:tcPr>
          <w:p>
            <w:pPr>
              <w:spacing w:after="0"/>
              <w:rPr>
                <w:sz w:val="18"/>
                <w:szCs w:val="18"/>
                <w:color w:val="auto"/>
              </w:rPr>
            </w:pPr>
          </w:p>
        </w:tc>
      </w:tr>
      <w:tr>
        <w:trPr>
          <w:trHeight w:val="229"/>
        </w:trPr>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Contracts and Grants</w:t>
            </w: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656</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491</w:t>
            </w:r>
          </w:p>
        </w:tc>
        <w:tc>
          <w:tcPr>
            <w:tcW w:w="16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1,336</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2,307</w:t>
            </w:r>
          </w:p>
        </w:tc>
        <w:tc>
          <w:tcPr>
            <w:tcW w:w="80" w:type="dxa"/>
            <w:vAlign w:val="bottom"/>
            <w:shd w:val="clear" w:color="auto" w:fill="CCEEFF"/>
          </w:tcPr>
          <w:p>
            <w:pPr>
              <w:spacing w:after="0"/>
              <w:rPr>
                <w:sz w:val="19"/>
                <w:szCs w:val="19"/>
                <w:color w:val="auto"/>
              </w:rPr>
            </w:pPr>
          </w:p>
        </w:tc>
      </w:tr>
      <w:tr>
        <w:trPr>
          <w:trHeight w:val="209"/>
        </w:trPr>
        <w:tc>
          <w:tcPr>
            <w:tcW w:w="53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Revenues</w:t>
            </w:r>
          </w:p>
        </w:tc>
        <w:tc>
          <w:tcPr>
            <w:tcW w:w="16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668</w:t>
            </w: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546</w:t>
            </w:r>
          </w:p>
        </w:tc>
        <w:tc>
          <w:tcPr>
            <w:tcW w:w="22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3,633</w:t>
            </w:r>
          </w:p>
        </w:tc>
        <w:tc>
          <w:tcPr>
            <w:tcW w:w="2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2,686</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r>
      <w:tr>
        <w:trPr>
          <w:trHeight w:val="237"/>
        </w:trPr>
        <w:tc>
          <w:tcPr>
            <w:tcW w:w="53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r>
      <w:tr>
        <w:trPr>
          <w:trHeight w:val="243"/>
        </w:trPr>
        <w:tc>
          <w:tcPr>
            <w:tcW w:w="5360" w:type="dxa"/>
            <w:vAlign w:val="bottom"/>
          </w:tcPr>
          <w:p>
            <w:pPr>
              <w:spacing w:after="0"/>
              <w:rPr>
                <w:sz w:val="20"/>
                <w:szCs w:val="20"/>
                <w:color w:val="auto"/>
              </w:rPr>
            </w:pPr>
            <w:r>
              <w:rPr>
                <w:rFonts w:ascii="Arial" w:cs="Arial" w:eastAsia="Arial" w:hAnsi="Arial"/>
                <w:sz w:val="18"/>
                <w:szCs w:val="18"/>
                <w:b w:val="1"/>
                <w:bCs w:val="1"/>
                <w:color w:val="auto"/>
              </w:rPr>
              <w:t>OPERATING EXPENSES:</w:t>
            </w: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16"/>
        </w:trPr>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10,708</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11,101</w:t>
            </w:r>
          </w:p>
        </w:tc>
        <w:tc>
          <w:tcPr>
            <w:tcW w:w="1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32,109</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32,333</w:t>
            </w:r>
          </w:p>
        </w:tc>
        <w:tc>
          <w:tcPr>
            <w:tcW w:w="80" w:type="dxa"/>
            <w:vAlign w:val="bottom"/>
            <w:shd w:val="clear" w:color="auto" w:fill="CCEEFF"/>
          </w:tcPr>
          <w:p>
            <w:pPr>
              <w:spacing w:after="0"/>
              <w:rPr>
                <w:sz w:val="18"/>
                <w:szCs w:val="18"/>
                <w:color w:val="auto"/>
              </w:rPr>
            </w:pPr>
          </w:p>
        </w:tc>
      </w:tr>
      <w:tr>
        <w:trPr>
          <w:trHeight w:val="216"/>
        </w:trPr>
        <w:tc>
          <w:tcPr>
            <w:tcW w:w="536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2"/>
          </w:tcPr>
          <w:p>
            <w:pPr>
              <w:jc w:val="right"/>
              <w:ind w:right="61"/>
              <w:spacing w:after="0"/>
              <w:rPr>
                <w:sz w:val="20"/>
                <w:szCs w:val="20"/>
                <w:color w:val="auto"/>
              </w:rPr>
            </w:pPr>
            <w:r>
              <w:rPr>
                <w:rFonts w:ascii="Arial" w:cs="Arial" w:eastAsia="Arial" w:hAnsi="Arial"/>
                <w:sz w:val="18"/>
                <w:szCs w:val="18"/>
                <w:color w:val="auto"/>
              </w:rPr>
              <w:t>3,640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jc w:val="right"/>
              <w:ind w:right="141"/>
              <w:spacing w:after="0"/>
              <w:rPr>
                <w:sz w:val="20"/>
                <w:szCs w:val="20"/>
                <w:color w:val="auto"/>
              </w:rPr>
            </w:pPr>
            <w:r>
              <w:rPr>
                <w:rFonts w:ascii="Arial" w:cs="Arial" w:eastAsia="Arial" w:hAnsi="Arial"/>
                <w:sz w:val="18"/>
                <w:szCs w:val="18"/>
                <w:color w:val="auto"/>
              </w:rPr>
              <w:t>3,403</w:t>
            </w:r>
          </w:p>
        </w:tc>
        <w:tc>
          <w:tcPr>
            <w:tcW w:w="160" w:type="dxa"/>
            <w:vAlign w:val="bottom"/>
          </w:tcPr>
          <w:p>
            <w:pPr>
              <w:spacing w:after="0"/>
              <w:rPr>
                <w:sz w:val="18"/>
                <w:szCs w:val="18"/>
                <w:color w:val="auto"/>
              </w:rPr>
            </w:pPr>
          </w:p>
        </w:tc>
        <w:tc>
          <w:tcPr>
            <w:tcW w:w="1280" w:type="dxa"/>
            <w:vAlign w:val="bottom"/>
            <w:gridSpan w:val="2"/>
          </w:tcPr>
          <w:p>
            <w:pPr>
              <w:jc w:val="right"/>
              <w:ind w:right="141"/>
              <w:spacing w:after="0"/>
              <w:rPr>
                <w:sz w:val="20"/>
                <w:szCs w:val="20"/>
                <w:color w:val="auto"/>
              </w:rPr>
            </w:pPr>
            <w:r>
              <w:rPr>
                <w:rFonts w:ascii="Arial" w:cs="Arial" w:eastAsia="Arial" w:hAnsi="Arial"/>
                <w:sz w:val="18"/>
                <w:szCs w:val="18"/>
                <w:color w:val="auto"/>
              </w:rPr>
              <w:t>10,833</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12,207</w:t>
            </w:r>
          </w:p>
        </w:tc>
        <w:tc>
          <w:tcPr>
            <w:tcW w:w="80" w:type="dxa"/>
            <w:vAlign w:val="bottom"/>
          </w:tcPr>
          <w:p>
            <w:pPr>
              <w:spacing w:after="0"/>
              <w:rPr>
                <w:sz w:val="18"/>
                <w:szCs w:val="18"/>
                <w:color w:val="auto"/>
              </w:rPr>
            </w:pPr>
          </w:p>
        </w:tc>
      </w:tr>
      <w:tr>
        <w:trPr>
          <w:trHeight w:val="216"/>
        </w:trPr>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 Impairment</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3,500</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5360" w:type="dxa"/>
            <w:vAlign w:val="bottom"/>
          </w:tcPr>
          <w:p>
            <w:pPr>
              <w:spacing w:after="0"/>
              <w:rPr>
                <w:sz w:val="20"/>
                <w:szCs w:val="20"/>
                <w:color w:val="auto"/>
              </w:rPr>
            </w:pPr>
            <w:r>
              <w:rPr>
                <w:rFonts w:ascii="Arial" w:cs="Arial" w:eastAsia="Arial" w:hAnsi="Arial"/>
                <w:sz w:val="18"/>
                <w:szCs w:val="18"/>
                <w:color w:val="auto"/>
              </w:rPr>
              <w:t>Other Asset Impairment</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2"/>
          </w:tcPr>
          <w:p>
            <w:pPr>
              <w:jc w:val="right"/>
              <w:ind w:right="6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8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1,800</w:t>
            </w:r>
          </w:p>
        </w:tc>
        <w:tc>
          <w:tcPr>
            <w:tcW w:w="80" w:type="dxa"/>
            <w:vAlign w:val="bottom"/>
          </w:tcPr>
          <w:p>
            <w:pPr>
              <w:spacing w:after="0"/>
              <w:rPr>
                <w:sz w:val="18"/>
                <w:szCs w:val="18"/>
                <w:color w:val="auto"/>
              </w:rPr>
            </w:pPr>
          </w:p>
        </w:tc>
      </w:tr>
      <w:tr>
        <w:trPr>
          <w:trHeight w:val="230"/>
        </w:trPr>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w w:val="93"/>
              </w:rPr>
              <w:t>Loss (Gain) on Fair Value Remeasurement of Contingent Consideration</w:t>
            </w: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662</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(2,114)</w:t>
            </w:r>
          </w:p>
        </w:tc>
        <w:tc>
          <w:tcPr>
            <w:tcW w:w="16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(4,236)</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(1,612)</w:t>
            </w:r>
          </w:p>
        </w:tc>
      </w:tr>
      <w:tr>
        <w:trPr>
          <w:trHeight w:val="209"/>
        </w:trPr>
        <w:tc>
          <w:tcPr>
            <w:tcW w:w="53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Operating Expenses</w:t>
            </w:r>
          </w:p>
        </w:tc>
        <w:tc>
          <w:tcPr>
            <w:tcW w:w="16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15,010</w:t>
            </w: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12,390</w:t>
            </w:r>
          </w:p>
        </w:tc>
        <w:tc>
          <w:tcPr>
            <w:tcW w:w="22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42,206</w:t>
            </w:r>
          </w:p>
        </w:tc>
        <w:tc>
          <w:tcPr>
            <w:tcW w:w="2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44,728</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r>
      <w:tr>
        <w:trPr>
          <w:trHeight w:val="237"/>
        </w:trPr>
        <w:tc>
          <w:tcPr>
            <w:tcW w:w="53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r>
      <w:tr>
        <w:trPr>
          <w:trHeight w:val="216"/>
        </w:trPr>
        <w:tc>
          <w:tcPr>
            <w:tcW w:w="5360" w:type="dxa"/>
            <w:vAlign w:val="bottom"/>
          </w:tcPr>
          <w:p>
            <w:pPr>
              <w:spacing w:after="0"/>
              <w:rPr>
                <w:sz w:val="20"/>
                <w:szCs w:val="20"/>
                <w:color w:val="auto"/>
              </w:rPr>
            </w:pPr>
            <w:r>
              <w:rPr>
                <w:rFonts w:ascii="Arial" w:cs="Arial" w:eastAsia="Arial" w:hAnsi="Arial"/>
                <w:sz w:val="18"/>
                <w:szCs w:val="18"/>
                <w:color w:val="auto"/>
              </w:rPr>
              <w:t>Operating Loss</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2"/>
          </w:tcPr>
          <w:p>
            <w:pPr>
              <w:jc w:val="right"/>
              <w:ind w:right="1"/>
              <w:spacing w:after="0"/>
              <w:rPr>
                <w:sz w:val="20"/>
                <w:szCs w:val="20"/>
                <w:color w:val="auto"/>
              </w:rPr>
            </w:pPr>
            <w:r>
              <w:rPr>
                <w:rFonts w:ascii="Arial" w:cs="Arial" w:eastAsia="Arial" w:hAnsi="Arial"/>
                <w:sz w:val="18"/>
                <w:szCs w:val="18"/>
                <w:color w:val="auto"/>
              </w:rPr>
              <w:t>(14,342)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jc w:val="right"/>
              <w:ind w:right="81"/>
              <w:spacing w:after="0"/>
              <w:rPr>
                <w:sz w:val="20"/>
                <w:szCs w:val="20"/>
                <w:color w:val="auto"/>
              </w:rPr>
            </w:pPr>
            <w:r>
              <w:rPr>
                <w:rFonts w:ascii="Arial" w:cs="Arial" w:eastAsia="Arial" w:hAnsi="Arial"/>
                <w:sz w:val="18"/>
                <w:szCs w:val="18"/>
                <w:color w:val="auto"/>
              </w:rPr>
              <w:t>(11,844)</w:t>
            </w:r>
          </w:p>
        </w:tc>
        <w:tc>
          <w:tcPr>
            <w:tcW w:w="160" w:type="dxa"/>
            <w:vAlign w:val="bottom"/>
          </w:tcPr>
          <w:p>
            <w:pPr>
              <w:spacing w:after="0"/>
              <w:rPr>
                <w:sz w:val="18"/>
                <w:szCs w:val="18"/>
                <w:color w:val="auto"/>
              </w:rPr>
            </w:pPr>
          </w:p>
        </w:tc>
        <w:tc>
          <w:tcPr>
            <w:tcW w:w="1280" w:type="dxa"/>
            <w:vAlign w:val="bottom"/>
            <w:gridSpan w:val="2"/>
          </w:tcPr>
          <w:p>
            <w:pPr>
              <w:jc w:val="right"/>
              <w:ind w:right="81"/>
              <w:spacing w:after="0"/>
              <w:rPr>
                <w:sz w:val="20"/>
                <w:szCs w:val="20"/>
                <w:color w:val="auto"/>
              </w:rPr>
            </w:pPr>
            <w:r>
              <w:rPr>
                <w:rFonts w:ascii="Arial" w:cs="Arial" w:eastAsia="Arial" w:hAnsi="Arial"/>
                <w:sz w:val="18"/>
                <w:szCs w:val="18"/>
                <w:color w:val="auto"/>
              </w:rPr>
              <w:t>(38,573)</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3"/>
          </w:tcPr>
          <w:p>
            <w:pPr>
              <w:jc w:val="right"/>
              <w:ind w:right="40"/>
              <w:spacing w:after="0"/>
              <w:rPr>
                <w:sz w:val="20"/>
                <w:szCs w:val="20"/>
                <w:color w:val="auto"/>
              </w:rPr>
            </w:pPr>
            <w:r>
              <w:rPr>
                <w:rFonts w:ascii="Arial" w:cs="Arial" w:eastAsia="Arial" w:hAnsi="Arial"/>
                <w:sz w:val="18"/>
                <w:szCs w:val="18"/>
                <w:color w:val="auto"/>
              </w:rPr>
              <w:t>(42,042)</w:t>
            </w:r>
          </w:p>
        </w:tc>
      </w:tr>
      <w:tr>
        <w:trPr>
          <w:trHeight w:val="229"/>
        </w:trPr>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Investment and Other Income, Net</w:t>
            </w: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118</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431</w:t>
            </w:r>
          </w:p>
        </w:tc>
        <w:tc>
          <w:tcPr>
            <w:tcW w:w="16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465</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1,611</w:t>
            </w:r>
          </w:p>
        </w:tc>
        <w:tc>
          <w:tcPr>
            <w:tcW w:w="80" w:type="dxa"/>
            <w:vAlign w:val="bottom"/>
            <w:shd w:val="clear" w:color="auto" w:fill="CCEEFF"/>
          </w:tcPr>
          <w:p>
            <w:pPr>
              <w:spacing w:after="0"/>
              <w:rPr>
                <w:sz w:val="19"/>
                <w:szCs w:val="19"/>
                <w:color w:val="auto"/>
              </w:rPr>
            </w:pPr>
          </w:p>
        </w:tc>
      </w:tr>
      <w:tr>
        <w:trPr>
          <w:trHeight w:val="210"/>
        </w:trPr>
        <w:tc>
          <w:tcPr>
            <w:tcW w:w="5360" w:type="dxa"/>
            <w:vAlign w:val="bottom"/>
          </w:tcPr>
          <w:p>
            <w:pPr>
              <w:spacing w:after="0"/>
              <w:rPr>
                <w:sz w:val="20"/>
                <w:szCs w:val="20"/>
                <w:color w:val="auto"/>
              </w:rPr>
            </w:pPr>
            <w:r>
              <w:rPr>
                <w:rFonts w:ascii="Arial" w:cs="Arial" w:eastAsia="Arial" w:hAnsi="Arial"/>
                <w:sz w:val="18"/>
                <w:szCs w:val="18"/>
                <w:color w:val="auto"/>
              </w:rPr>
              <w:t>Net Loss Before Income Tax Benefit</w:t>
            </w:r>
          </w:p>
        </w:tc>
        <w:tc>
          <w:tcPr>
            <w:tcW w:w="1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(14,224)</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(11,413)</w:t>
            </w:r>
          </w:p>
        </w:tc>
        <w:tc>
          <w:tcPr>
            <w:tcW w:w="2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(38,108)</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(40,431)</w:t>
            </w:r>
          </w:p>
        </w:tc>
        <w:tc>
          <w:tcPr>
            <w:tcW w:w="100" w:type="dxa"/>
            <w:vAlign w:val="bottom"/>
            <w:gridSpan w:val="2"/>
          </w:tcPr>
          <w:p>
            <w:pPr>
              <w:spacing w:after="0"/>
              <w:rPr>
                <w:sz w:val="18"/>
                <w:szCs w:val="18"/>
                <w:color w:val="auto"/>
              </w:rPr>
            </w:pPr>
          </w:p>
        </w:tc>
      </w:tr>
      <w:tr>
        <w:trPr>
          <w:trHeight w:val="229"/>
        </w:trPr>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Income Tax Benefit</w:t>
            </w: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228</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63"/>
        </w:trPr>
        <w:tc>
          <w:tcPr>
            <w:tcW w:w="53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Net Loss</w:t>
            </w:r>
          </w:p>
        </w:tc>
        <w:tc>
          <w:tcPr>
            <w:tcW w:w="160" w:type="dxa"/>
            <w:vAlign w:val="bottom"/>
            <w:tcBorders>
              <w:bottom w:val="single" w:sz="8" w:color="CCEEFF"/>
            </w:tcBorders>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(14,224</w:t>
            </w:r>
          </w:p>
        </w:tc>
        <w:tc>
          <w:tcPr>
            <w:tcW w:w="140" w:type="dxa"/>
            <w:vAlign w:val="bottom"/>
            <w:tcBorders>
              <w:bottom w:val="single" w:sz="8" w:color="CCEEFF"/>
            </w:tcBorders>
          </w:tcPr>
          <w:p>
            <w:pPr>
              <w:jc w:val="right"/>
              <w:ind w:right="1"/>
              <w:spacing w:after="0"/>
              <w:rPr>
                <w:sz w:val="20"/>
                <w:szCs w:val="20"/>
                <w:color w:val="auto"/>
              </w:rPr>
            </w:pPr>
            <w:r>
              <w:rPr>
                <w:rFonts w:ascii="Arial" w:cs="Arial" w:eastAsia="Arial" w:hAnsi="Arial"/>
                <w:sz w:val="16"/>
                <w:szCs w:val="16"/>
                <w:color w:val="auto"/>
                <w:w w:val="74"/>
              </w:rPr>
              <w:t>)</w:t>
            </w:r>
          </w:p>
        </w:tc>
        <w:tc>
          <w:tcPr>
            <w:tcW w:w="100" w:type="dxa"/>
            <w:vAlign w:val="bottom"/>
            <w:tcBorders>
              <w:bottom w:val="single" w:sz="8" w:color="CCEEFF"/>
            </w:tcBorders>
          </w:tcPr>
          <w:p>
            <w:pPr>
              <w:spacing w:after="0"/>
              <w:rPr>
                <w:sz w:val="22"/>
                <w:szCs w:val="22"/>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(11,413</w:t>
            </w:r>
          </w:p>
        </w:tc>
        <w:tc>
          <w:tcPr>
            <w:tcW w:w="220" w:type="dxa"/>
            <w:vAlign w:val="bottom"/>
            <w:tcBorders>
              <w:bottom w:val="single" w:sz="8" w:color="CCEEFF"/>
            </w:tcBorders>
          </w:tcPr>
          <w:p>
            <w:pPr>
              <w:jc w:val="right"/>
              <w:ind w:right="81"/>
              <w:spacing w:after="0"/>
              <w:rPr>
                <w:sz w:val="20"/>
                <w:szCs w:val="20"/>
                <w:color w:val="auto"/>
              </w:rPr>
            </w:pPr>
            <w:r>
              <w:rPr>
                <w:rFonts w:ascii="Arial" w:cs="Arial" w:eastAsia="Arial" w:hAnsi="Arial"/>
                <w:sz w:val="16"/>
                <w:szCs w:val="16"/>
                <w:color w:val="auto"/>
                <w:w w:val="74"/>
              </w:rPr>
              <w:t>)</w:t>
            </w: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(37,880</w:t>
            </w:r>
          </w:p>
        </w:tc>
        <w:tc>
          <w:tcPr>
            <w:tcW w:w="220" w:type="dxa"/>
            <w:vAlign w:val="bottom"/>
            <w:tcBorders>
              <w:bottom w:val="single" w:sz="8" w:color="CCEEFF"/>
            </w:tcBorders>
          </w:tcPr>
          <w:p>
            <w:pPr>
              <w:jc w:val="right"/>
              <w:ind w:right="81"/>
              <w:spacing w:after="0"/>
              <w:rPr>
                <w:sz w:val="20"/>
                <w:szCs w:val="20"/>
                <w:color w:val="auto"/>
              </w:rPr>
            </w:pPr>
            <w:r>
              <w:rPr>
                <w:rFonts w:ascii="Arial" w:cs="Arial" w:eastAsia="Arial" w:hAnsi="Arial"/>
                <w:sz w:val="16"/>
                <w:szCs w:val="16"/>
                <w:color w:val="auto"/>
                <w:w w:val="74"/>
              </w:rPr>
              <w:t>)</w:t>
            </w:r>
          </w:p>
        </w:tc>
        <w:tc>
          <w:tcPr>
            <w:tcW w:w="20" w:type="dxa"/>
            <w:vAlign w:val="bottom"/>
            <w:tcBorders>
              <w:bottom w:val="single" w:sz="8" w:color="CCEEFF"/>
            </w:tcBorders>
          </w:tcPr>
          <w:p>
            <w:pPr>
              <w:spacing w:after="0"/>
              <w:rPr>
                <w:sz w:val="22"/>
                <w:szCs w:val="22"/>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(40,431</w:t>
            </w:r>
          </w:p>
        </w:tc>
        <w:tc>
          <w:tcPr>
            <w:tcW w:w="100" w:type="dxa"/>
            <w:vAlign w:val="bottom"/>
            <w:tcBorders>
              <w:bottom w:val="single" w:sz="8" w:color="CCEEFF"/>
            </w:tcBorders>
            <w:gridSpan w:val="2"/>
          </w:tcPr>
          <w:p>
            <w:pPr>
              <w:jc w:val="right"/>
              <w:ind w:right="40"/>
              <w:spacing w:after="0"/>
              <w:rPr>
                <w:sz w:val="20"/>
                <w:szCs w:val="20"/>
                <w:color w:val="auto"/>
              </w:rPr>
            </w:pPr>
            <w:r>
              <w:rPr>
                <w:rFonts w:ascii="Arial" w:cs="Arial" w:eastAsia="Arial" w:hAnsi="Arial"/>
                <w:sz w:val="16"/>
                <w:szCs w:val="16"/>
                <w:color w:val="auto"/>
                <w:w w:val="74"/>
              </w:rPr>
              <w:t>)</w:t>
            </w:r>
          </w:p>
        </w:tc>
      </w:tr>
      <w:tr>
        <w:trPr>
          <w:trHeight w:val="223"/>
        </w:trPr>
        <w:tc>
          <w:tcPr>
            <w:tcW w:w="53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r>
      <w:tr>
        <w:trPr>
          <w:trHeight w:val="283"/>
        </w:trPr>
        <w:tc>
          <w:tcPr>
            <w:tcW w:w="5360" w:type="dxa"/>
            <w:vAlign w:val="bottom"/>
          </w:tcPr>
          <w:p>
            <w:pPr>
              <w:spacing w:after="0"/>
              <w:rPr>
                <w:sz w:val="20"/>
                <w:szCs w:val="20"/>
                <w:color w:val="auto"/>
              </w:rPr>
            </w:pPr>
            <w:r>
              <w:rPr>
                <w:rFonts w:ascii="Arial" w:cs="Arial" w:eastAsia="Arial" w:hAnsi="Arial"/>
                <w:sz w:val="18"/>
                <w:szCs w:val="18"/>
                <w:color w:val="auto"/>
              </w:rPr>
              <w:t>Basic and Diluted Net Loss Per Common Share</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
              <w:spacing w:after="0"/>
              <w:rPr>
                <w:sz w:val="20"/>
                <w:szCs w:val="20"/>
                <w:color w:val="auto"/>
              </w:rPr>
            </w:pPr>
            <w:r>
              <w:rPr>
                <w:rFonts w:ascii="Arial" w:cs="Arial" w:eastAsia="Arial" w:hAnsi="Arial"/>
                <w:sz w:val="18"/>
                <w:szCs w:val="18"/>
                <w:color w:val="auto"/>
              </w:rPr>
              <w:t>(0.36)</w:t>
            </w:r>
          </w:p>
        </w:tc>
        <w:tc>
          <w:tcPr>
            <w:tcW w:w="220" w:type="dxa"/>
            <w:vAlign w:val="bottom"/>
            <w:gridSpan w:val="2"/>
          </w:tcPr>
          <w:p>
            <w:pPr>
              <w:ind w:left="100"/>
              <w:spacing w:after="0"/>
              <w:rPr>
                <w:sz w:val="20"/>
                <w:szCs w:val="20"/>
                <w:color w:val="auto"/>
              </w:rPr>
            </w:pPr>
            <w:r>
              <w:rPr>
                <w:rFonts w:ascii="Arial" w:cs="Arial" w:eastAsia="Arial" w:hAnsi="Arial"/>
                <w:sz w:val="18"/>
                <w:szCs w:val="18"/>
                <w:color w:val="auto"/>
                <w:w w:val="99"/>
              </w:rPr>
              <w:t>$</w:t>
            </w:r>
          </w:p>
        </w:tc>
        <w:tc>
          <w:tcPr>
            <w:tcW w:w="1320" w:type="dxa"/>
            <w:vAlign w:val="bottom"/>
            <w:gridSpan w:val="2"/>
          </w:tcPr>
          <w:p>
            <w:pPr>
              <w:jc w:val="right"/>
              <w:ind w:right="81"/>
              <w:spacing w:after="0"/>
              <w:rPr>
                <w:sz w:val="20"/>
                <w:szCs w:val="20"/>
                <w:color w:val="auto"/>
              </w:rPr>
            </w:pPr>
            <w:r>
              <w:rPr>
                <w:rFonts w:ascii="Arial" w:cs="Arial" w:eastAsia="Arial" w:hAnsi="Arial"/>
                <w:sz w:val="18"/>
                <w:szCs w:val="18"/>
                <w:color w:val="auto"/>
              </w:rPr>
              <w:t>(0.75)</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81"/>
              <w:spacing w:after="0"/>
              <w:rPr>
                <w:sz w:val="20"/>
                <w:szCs w:val="20"/>
                <w:color w:val="auto"/>
              </w:rPr>
            </w:pPr>
            <w:r>
              <w:rPr>
                <w:rFonts w:ascii="Arial" w:cs="Arial" w:eastAsia="Arial" w:hAnsi="Arial"/>
                <w:sz w:val="18"/>
                <w:szCs w:val="18"/>
                <w:color w:val="auto"/>
              </w:rPr>
              <w:t>(1.44)</w:t>
            </w:r>
          </w:p>
        </w:tc>
        <w:tc>
          <w:tcPr>
            <w:tcW w:w="160" w:type="dxa"/>
            <w:vAlign w:val="bottom"/>
            <w:gridSpan w:val="2"/>
          </w:tcPr>
          <w:p>
            <w:pPr>
              <w:spacing w:after="0"/>
              <w:rPr>
                <w:sz w:val="20"/>
                <w:szCs w:val="20"/>
                <w:color w:val="auto"/>
              </w:rPr>
            </w:pPr>
            <w:r>
              <w:rPr>
                <w:rFonts w:ascii="Arial" w:cs="Arial" w:eastAsia="Arial" w:hAnsi="Arial"/>
                <w:sz w:val="18"/>
                <w:szCs w:val="18"/>
                <w:color w:val="auto"/>
              </w:rPr>
              <w:t>$</w:t>
            </w:r>
          </w:p>
        </w:tc>
        <w:tc>
          <w:tcPr>
            <w:tcW w:w="1180" w:type="dxa"/>
            <w:vAlign w:val="bottom"/>
            <w:gridSpan w:val="3"/>
          </w:tcPr>
          <w:p>
            <w:pPr>
              <w:jc w:val="right"/>
              <w:ind w:right="40"/>
              <w:spacing w:after="0"/>
              <w:rPr>
                <w:sz w:val="20"/>
                <w:szCs w:val="20"/>
                <w:color w:val="auto"/>
              </w:rPr>
            </w:pPr>
            <w:r>
              <w:rPr>
                <w:rFonts w:ascii="Arial" w:cs="Arial" w:eastAsia="Arial" w:hAnsi="Arial"/>
                <w:sz w:val="18"/>
                <w:szCs w:val="18"/>
                <w:color w:val="auto"/>
              </w:rPr>
              <w:t>(2.92)</w:t>
            </w:r>
          </w:p>
        </w:tc>
      </w:tr>
      <w:tr>
        <w:trPr>
          <w:trHeight w:val="223"/>
        </w:trPr>
        <w:tc>
          <w:tcPr>
            <w:tcW w:w="536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spacing w:after="0"/>
              <w:rPr>
                <w:sz w:val="19"/>
                <w:szCs w:val="19"/>
                <w:color w:val="auto"/>
              </w:rPr>
            </w:pPr>
          </w:p>
        </w:tc>
        <w:tc>
          <w:tcPr>
            <w:tcW w:w="14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spacing w:after="0"/>
              <w:rPr>
                <w:sz w:val="19"/>
                <w:szCs w:val="19"/>
                <w:color w:val="auto"/>
              </w:rPr>
            </w:pPr>
          </w:p>
        </w:tc>
        <w:tc>
          <w:tcPr>
            <w:tcW w:w="2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spacing w:after="0"/>
              <w:rPr>
                <w:sz w:val="19"/>
                <w:szCs w:val="19"/>
                <w:color w:val="auto"/>
              </w:rPr>
            </w:pPr>
          </w:p>
        </w:tc>
        <w:tc>
          <w:tcPr>
            <w:tcW w:w="22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r>
      <w:tr>
        <w:trPr>
          <w:trHeight w:val="283"/>
        </w:trPr>
        <w:tc>
          <w:tcPr>
            <w:tcW w:w="5360" w:type="dxa"/>
            <w:vAlign w:val="bottom"/>
          </w:tcPr>
          <w:p>
            <w:pPr>
              <w:spacing w:after="0"/>
              <w:rPr>
                <w:sz w:val="20"/>
                <w:szCs w:val="20"/>
                <w:color w:val="auto"/>
              </w:rPr>
            </w:pPr>
            <w:r>
              <w:rPr>
                <w:rFonts w:ascii="Arial" w:cs="Arial" w:eastAsia="Arial" w:hAnsi="Arial"/>
                <w:sz w:val="18"/>
                <w:szCs w:val="18"/>
                <w:color w:val="auto"/>
              </w:rPr>
              <w:t>Shares Used in Calculating Basic and Diluted Net Loss Per Share</w:t>
            </w: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40" w:type="dxa"/>
            <w:vAlign w:val="bottom"/>
            <w:gridSpan w:val="2"/>
          </w:tcPr>
          <w:p>
            <w:pPr>
              <w:jc w:val="right"/>
              <w:ind w:right="61"/>
              <w:spacing w:after="0"/>
              <w:rPr>
                <w:sz w:val="20"/>
                <w:szCs w:val="20"/>
                <w:color w:val="auto"/>
              </w:rPr>
            </w:pPr>
            <w:r>
              <w:rPr>
                <w:rFonts w:ascii="Arial" w:cs="Arial" w:eastAsia="Arial" w:hAnsi="Arial"/>
                <w:sz w:val="18"/>
                <w:szCs w:val="18"/>
                <w:color w:val="auto"/>
              </w:rPr>
              <w:t>39,278</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gridSpan w:val="2"/>
          </w:tcPr>
          <w:p>
            <w:pPr>
              <w:jc w:val="right"/>
              <w:ind w:right="141"/>
              <w:spacing w:after="0"/>
              <w:rPr>
                <w:sz w:val="20"/>
                <w:szCs w:val="20"/>
                <w:color w:val="auto"/>
              </w:rPr>
            </w:pPr>
            <w:r>
              <w:rPr>
                <w:rFonts w:ascii="Arial" w:cs="Arial" w:eastAsia="Arial" w:hAnsi="Arial"/>
                <w:sz w:val="18"/>
                <w:szCs w:val="18"/>
                <w:color w:val="auto"/>
              </w:rPr>
              <w:t>15,282</w:t>
            </w:r>
          </w:p>
        </w:tc>
        <w:tc>
          <w:tcPr>
            <w:tcW w:w="160" w:type="dxa"/>
            <w:vAlign w:val="bottom"/>
          </w:tcPr>
          <w:p>
            <w:pPr>
              <w:spacing w:after="0"/>
              <w:rPr>
                <w:sz w:val="24"/>
                <w:szCs w:val="24"/>
                <w:color w:val="auto"/>
              </w:rPr>
            </w:pPr>
          </w:p>
        </w:tc>
        <w:tc>
          <w:tcPr>
            <w:tcW w:w="1280" w:type="dxa"/>
            <w:vAlign w:val="bottom"/>
            <w:gridSpan w:val="2"/>
          </w:tcPr>
          <w:p>
            <w:pPr>
              <w:jc w:val="right"/>
              <w:ind w:right="141"/>
              <w:spacing w:after="0"/>
              <w:rPr>
                <w:sz w:val="20"/>
                <w:szCs w:val="20"/>
                <w:color w:val="auto"/>
              </w:rPr>
            </w:pPr>
            <w:r>
              <w:rPr>
                <w:rFonts w:ascii="Arial" w:cs="Arial" w:eastAsia="Arial" w:hAnsi="Arial"/>
                <w:sz w:val="18"/>
                <w:szCs w:val="18"/>
                <w:color w:val="auto"/>
              </w:rPr>
              <w:t>26,303</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13,854</w:t>
            </w:r>
          </w:p>
        </w:tc>
        <w:tc>
          <w:tcPr>
            <w:tcW w:w="80" w:type="dxa"/>
            <w:vAlign w:val="bottom"/>
          </w:tcPr>
          <w:p>
            <w:pPr>
              <w:spacing w:after="0"/>
              <w:rPr>
                <w:sz w:val="24"/>
                <w:szCs w:val="24"/>
                <w:color w:val="auto"/>
              </w:rPr>
            </w:pPr>
          </w:p>
        </w:tc>
      </w:tr>
      <w:tr>
        <w:trPr>
          <w:trHeight w:val="223"/>
        </w:trPr>
        <w:tc>
          <w:tcPr>
            <w:tcW w:w="536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spacing w:after="0"/>
              <w:rPr>
                <w:sz w:val="19"/>
                <w:szCs w:val="19"/>
                <w:color w:val="auto"/>
              </w:rPr>
            </w:pPr>
          </w:p>
        </w:tc>
        <w:tc>
          <w:tcPr>
            <w:tcW w:w="14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spacing w:after="0"/>
              <w:rPr>
                <w:sz w:val="19"/>
                <w:szCs w:val="19"/>
                <w:color w:val="auto"/>
              </w:rPr>
            </w:pPr>
          </w:p>
        </w:tc>
        <w:tc>
          <w:tcPr>
            <w:tcW w:w="2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spacing w:after="0"/>
              <w:rPr>
                <w:sz w:val="19"/>
                <w:szCs w:val="19"/>
                <w:color w:val="auto"/>
              </w:rPr>
            </w:pPr>
          </w:p>
        </w:tc>
        <w:tc>
          <w:tcPr>
            <w:tcW w:w="22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r>
      <w:tr>
        <w:trPr>
          <w:trHeight w:val="243"/>
        </w:trPr>
        <w:tc>
          <w:tcPr>
            <w:tcW w:w="5360" w:type="dxa"/>
            <w:vAlign w:val="bottom"/>
          </w:tcPr>
          <w:p>
            <w:pPr>
              <w:spacing w:after="0"/>
              <w:rPr>
                <w:sz w:val="20"/>
                <w:szCs w:val="20"/>
                <w:color w:val="auto"/>
              </w:rPr>
            </w:pPr>
            <w:r>
              <w:rPr>
                <w:rFonts w:ascii="Arial" w:cs="Arial" w:eastAsia="Arial" w:hAnsi="Arial"/>
                <w:sz w:val="18"/>
                <w:szCs w:val="18"/>
                <w:b w:val="1"/>
                <w:bCs w:val="1"/>
                <w:color w:val="auto"/>
              </w:rPr>
              <w:t>COMPREHENSIVE LOSS:</w:t>
            </w: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16"/>
        </w:trPr>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
              <w:spacing w:after="0"/>
              <w:rPr>
                <w:sz w:val="20"/>
                <w:szCs w:val="20"/>
                <w:color w:val="auto"/>
              </w:rPr>
            </w:pPr>
            <w:r>
              <w:rPr>
                <w:rFonts w:ascii="Arial" w:cs="Arial" w:eastAsia="Arial" w:hAnsi="Arial"/>
                <w:sz w:val="18"/>
                <w:szCs w:val="18"/>
                <w:color w:val="auto"/>
              </w:rPr>
              <w:t>(14,224)</w:t>
            </w:r>
          </w:p>
        </w:tc>
        <w:tc>
          <w:tcPr>
            <w:tcW w:w="2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99"/>
              </w:rPr>
              <w:t>$</w:t>
            </w:r>
          </w:p>
        </w:tc>
        <w:tc>
          <w:tcPr>
            <w:tcW w:w="132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(11,413)</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(37,880)</w:t>
            </w:r>
          </w:p>
        </w:tc>
        <w:tc>
          <w:tcPr>
            <w:tcW w:w="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1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(40,431)</w:t>
            </w:r>
          </w:p>
        </w:tc>
      </w:tr>
      <w:tr>
        <w:trPr>
          <w:trHeight w:val="243"/>
        </w:trPr>
        <w:tc>
          <w:tcPr>
            <w:tcW w:w="5360" w:type="dxa"/>
            <w:vAlign w:val="bottom"/>
          </w:tcPr>
          <w:p>
            <w:pPr>
              <w:spacing w:after="0"/>
              <w:rPr>
                <w:sz w:val="20"/>
                <w:szCs w:val="20"/>
                <w:color w:val="auto"/>
              </w:rPr>
            </w:pPr>
            <w:r>
              <w:rPr>
                <w:rFonts w:ascii="Arial" w:cs="Arial" w:eastAsia="Arial" w:hAnsi="Arial"/>
                <w:sz w:val="18"/>
                <w:szCs w:val="18"/>
                <w:color w:val="auto"/>
              </w:rPr>
              <w:t>Other Comprehensive Income (Loss):</w:t>
            </w: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29"/>
        </w:trPr>
        <w:tc>
          <w:tcPr>
            <w:tcW w:w="53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Unrealized Gain (Loss) on Marketable Securities</w:t>
            </w: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14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(3)</w:t>
            </w:r>
          </w:p>
        </w:tc>
        <w:tc>
          <w:tcPr>
            <w:tcW w:w="16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(11)</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80" w:type="dxa"/>
            <w:vAlign w:val="bottom"/>
            <w:shd w:val="clear" w:color="auto" w:fill="CCEEFF"/>
          </w:tcPr>
          <w:p>
            <w:pPr>
              <w:spacing w:after="0"/>
              <w:rPr>
                <w:sz w:val="19"/>
                <w:szCs w:val="19"/>
                <w:color w:val="auto"/>
              </w:rPr>
            </w:pPr>
          </w:p>
        </w:tc>
      </w:tr>
      <w:tr>
        <w:trPr>
          <w:trHeight w:val="223"/>
        </w:trPr>
        <w:tc>
          <w:tcPr>
            <w:tcW w:w="5360" w:type="dxa"/>
            <w:vAlign w:val="bottom"/>
          </w:tcPr>
          <w:p>
            <w:pPr>
              <w:spacing w:after="0"/>
              <w:rPr>
                <w:sz w:val="20"/>
                <w:szCs w:val="20"/>
                <w:color w:val="auto"/>
              </w:rPr>
            </w:pPr>
            <w:r>
              <w:rPr>
                <w:rFonts w:ascii="Arial" w:cs="Arial" w:eastAsia="Arial" w:hAnsi="Arial"/>
                <w:sz w:val="18"/>
                <w:szCs w:val="18"/>
                <w:color w:val="auto"/>
              </w:rPr>
              <w:t>Comprehensive Loss</w:t>
            </w:r>
          </w:p>
        </w:tc>
        <w:tc>
          <w:tcPr>
            <w:tcW w:w="160" w:type="dxa"/>
            <w:vAlign w:val="bottom"/>
          </w:tcPr>
          <w:p>
            <w:pPr>
              <w:spacing w:after="0"/>
              <w:rPr>
                <w:sz w:val="19"/>
                <w:szCs w:val="19"/>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(14,210</w:t>
            </w:r>
          </w:p>
        </w:tc>
        <w:tc>
          <w:tcPr>
            <w:tcW w:w="140" w:type="dxa"/>
            <w:vAlign w:val="bottom"/>
          </w:tcPr>
          <w:p>
            <w:pPr>
              <w:jc w:val="right"/>
              <w:ind w:right="1"/>
              <w:spacing w:after="0"/>
              <w:rPr>
                <w:sz w:val="20"/>
                <w:szCs w:val="20"/>
                <w:color w:val="auto"/>
              </w:rPr>
            </w:pPr>
            <w:r>
              <w:rPr>
                <w:rFonts w:ascii="Arial" w:cs="Arial" w:eastAsia="Arial" w:hAnsi="Arial"/>
                <w:sz w:val="16"/>
                <w:szCs w:val="16"/>
                <w:color w:val="auto"/>
                <w:w w:val="74"/>
              </w:rPr>
              <w:t>)</w:t>
            </w:r>
          </w:p>
        </w:tc>
        <w:tc>
          <w:tcPr>
            <w:tcW w:w="100" w:type="dxa"/>
            <w:vAlign w:val="bottom"/>
          </w:tcPr>
          <w:p>
            <w:pPr>
              <w:spacing w:after="0"/>
              <w:rPr>
                <w:sz w:val="19"/>
                <w:szCs w:val="19"/>
                <w:color w:val="auto"/>
              </w:rPr>
            </w:pPr>
          </w:p>
        </w:tc>
        <w:tc>
          <w:tcPr>
            <w:tcW w:w="12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(11,416</w:t>
            </w:r>
          </w:p>
        </w:tc>
        <w:tc>
          <w:tcPr>
            <w:tcW w:w="220" w:type="dxa"/>
            <w:vAlign w:val="bottom"/>
          </w:tcPr>
          <w:p>
            <w:pPr>
              <w:jc w:val="right"/>
              <w:ind w:right="81"/>
              <w:spacing w:after="0"/>
              <w:rPr>
                <w:sz w:val="20"/>
                <w:szCs w:val="20"/>
                <w:color w:val="auto"/>
              </w:rPr>
            </w:pPr>
            <w:r>
              <w:rPr>
                <w:rFonts w:ascii="Arial" w:cs="Arial" w:eastAsia="Arial" w:hAnsi="Arial"/>
                <w:sz w:val="16"/>
                <w:szCs w:val="16"/>
                <w:color w:val="auto"/>
                <w:w w:val="74"/>
              </w:rPr>
              <w:t>)</w:t>
            </w:r>
          </w:p>
        </w:tc>
        <w:tc>
          <w:tcPr>
            <w:tcW w:w="1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(37,891</w:t>
            </w:r>
          </w:p>
        </w:tc>
        <w:tc>
          <w:tcPr>
            <w:tcW w:w="220" w:type="dxa"/>
            <w:vAlign w:val="bottom"/>
          </w:tcPr>
          <w:p>
            <w:pPr>
              <w:jc w:val="right"/>
              <w:ind w:right="81"/>
              <w:spacing w:after="0"/>
              <w:rPr>
                <w:sz w:val="20"/>
                <w:szCs w:val="20"/>
                <w:color w:val="auto"/>
              </w:rPr>
            </w:pPr>
            <w:r>
              <w:rPr>
                <w:rFonts w:ascii="Arial" w:cs="Arial" w:eastAsia="Arial" w:hAnsi="Arial"/>
                <w:sz w:val="16"/>
                <w:szCs w:val="16"/>
                <w:color w:val="auto"/>
                <w:w w:val="74"/>
              </w:rPr>
              <w:t>)</w:t>
            </w:r>
          </w:p>
        </w:tc>
        <w:tc>
          <w:tcPr>
            <w:tcW w:w="20" w:type="dxa"/>
            <w:vAlign w:val="bottom"/>
          </w:tcPr>
          <w:p>
            <w:pPr>
              <w:spacing w:after="0"/>
              <w:rPr>
                <w:sz w:val="19"/>
                <w:szCs w:val="19"/>
                <w:color w:val="auto"/>
              </w:rPr>
            </w:pPr>
          </w:p>
        </w:tc>
        <w:tc>
          <w:tcPr>
            <w:tcW w:w="1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(40,379</w:t>
            </w:r>
          </w:p>
        </w:tc>
        <w:tc>
          <w:tcPr>
            <w:tcW w:w="100" w:type="dxa"/>
            <w:vAlign w:val="bottom"/>
            <w:gridSpan w:val="2"/>
          </w:tcPr>
          <w:p>
            <w:pPr>
              <w:jc w:val="right"/>
              <w:ind w:right="40"/>
              <w:spacing w:after="0"/>
              <w:rPr>
                <w:sz w:val="20"/>
                <w:szCs w:val="20"/>
                <w:color w:val="auto"/>
              </w:rPr>
            </w:pPr>
            <w:r>
              <w:rPr>
                <w:rFonts w:ascii="Arial" w:cs="Arial" w:eastAsia="Arial" w:hAnsi="Arial"/>
                <w:sz w:val="16"/>
                <w:szCs w:val="16"/>
                <w:color w:val="auto"/>
                <w:w w:val="74"/>
              </w:rPr>
              <w:t>)</w:t>
            </w:r>
          </w:p>
        </w:tc>
      </w:tr>
      <w:tr>
        <w:trPr>
          <w:trHeight w:val="20"/>
        </w:trPr>
        <w:tc>
          <w:tcPr>
            <w:tcW w:w="5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unaudited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CELLDEX 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8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20" w:type="dxa"/>
            <w:vAlign w:val="bottom"/>
            <w:gridSpan w:val="2"/>
          </w:tcPr>
          <w:p>
            <w:pPr>
              <w:jc w:val="right"/>
              <w:ind w:right="381"/>
              <w:spacing w:after="0"/>
              <w:rPr>
                <w:sz w:val="20"/>
                <w:szCs w:val="20"/>
                <w:color w:val="auto"/>
              </w:rPr>
            </w:pPr>
            <w:r>
              <w:rPr>
                <w:rFonts w:ascii="Arial" w:cs="Arial" w:eastAsia="Arial" w:hAnsi="Arial"/>
                <w:sz w:val="16"/>
                <w:szCs w:val="16"/>
                <w:b w:val="1"/>
                <w:bCs w:val="1"/>
                <w:color w:val="auto"/>
                <w:w w:val="97"/>
              </w:rPr>
              <w:t>Nine Months</w:t>
            </w:r>
          </w:p>
        </w:tc>
        <w:tc>
          <w:tcPr>
            <w:tcW w:w="160" w:type="dxa"/>
            <w:vAlign w:val="bottom"/>
          </w:tcPr>
          <w:p>
            <w:pPr>
              <w:spacing w:after="0"/>
              <w:rPr>
                <w:sz w:val="17"/>
                <w:szCs w:val="17"/>
                <w:color w:val="auto"/>
              </w:rPr>
            </w:pPr>
          </w:p>
        </w:tc>
        <w:tc>
          <w:tcPr>
            <w:tcW w:w="1300" w:type="dxa"/>
            <w:vAlign w:val="bottom"/>
            <w:gridSpan w:val="2"/>
          </w:tcPr>
          <w:p>
            <w:pPr>
              <w:jc w:val="right"/>
              <w:ind w:right="281"/>
              <w:spacing w:after="0"/>
              <w:rPr>
                <w:sz w:val="20"/>
                <w:szCs w:val="20"/>
                <w:color w:val="auto"/>
              </w:rPr>
            </w:pPr>
            <w:r>
              <w:rPr>
                <w:rFonts w:ascii="Arial" w:cs="Arial" w:eastAsia="Arial" w:hAnsi="Arial"/>
                <w:sz w:val="16"/>
                <w:szCs w:val="16"/>
                <w:b w:val="1"/>
                <w:bCs w:val="1"/>
                <w:color w:val="auto"/>
                <w:w w:val="95"/>
              </w:rPr>
              <w:t>Nine Months</w:t>
            </w:r>
          </w:p>
        </w:tc>
      </w:tr>
      <w:tr>
        <w:trPr>
          <w:trHeight w:val="203"/>
        </w:trPr>
        <w:tc>
          <w:tcPr>
            <w:tcW w:w="8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20" w:type="dxa"/>
            <w:vAlign w:val="bottom"/>
            <w:gridSpan w:val="2"/>
          </w:tcPr>
          <w:p>
            <w:pPr>
              <w:jc w:val="right"/>
              <w:ind w:right="581"/>
              <w:spacing w:after="0"/>
              <w:rPr>
                <w:sz w:val="20"/>
                <w:szCs w:val="20"/>
                <w:color w:val="auto"/>
              </w:rPr>
            </w:pPr>
            <w:r>
              <w:rPr>
                <w:rFonts w:ascii="Arial" w:cs="Arial" w:eastAsia="Arial" w:hAnsi="Arial"/>
                <w:sz w:val="16"/>
                <w:szCs w:val="16"/>
                <w:b w:val="1"/>
                <w:bCs w:val="1"/>
                <w:color w:val="auto"/>
              </w:rPr>
              <w:t>Ended</w:t>
            </w:r>
          </w:p>
        </w:tc>
        <w:tc>
          <w:tcPr>
            <w:tcW w:w="160" w:type="dxa"/>
            <w:vAlign w:val="bottom"/>
          </w:tcPr>
          <w:p>
            <w:pPr>
              <w:spacing w:after="0"/>
              <w:rPr>
                <w:sz w:val="17"/>
                <w:szCs w:val="17"/>
                <w:color w:val="auto"/>
              </w:rPr>
            </w:pPr>
          </w:p>
        </w:tc>
        <w:tc>
          <w:tcPr>
            <w:tcW w:w="1300" w:type="dxa"/>
            <w:vAlign w:val="bottom"/>
            <w:gridSpan w:val="2"/>
          </w:tcPr>
          <w:p>
            <w:pPr>
              <w:jc w:val="right"/>
              <w:ind w:right="481"/>
              <w:spacing w:after="0"/>
              <w:rPr>
                <w:sz w:val="20"/>
                <w:szCs w:val="20"/>
                <w:color w:val="auto"/>
              </w:rPr>
            </w:pPr>
            <w:r>
              <w:rPr>
                <w:rFonts w:ascii="Arial" w:cs="Arial" w:eastAsia="Arial" w:hAnsi="Arial"/>
                <w:sz w:val="16"/>
                <w:szCs w:val="16"/>
                <w:b w:val="1"/>
                <w:bCs w:val="1"/>
                <w:color w:val="auto"/>
              </w:rPr>
              <w:t>Ended</w:t>
            </w:r>
          </w:p>
        </w:tc>
      </w:tr>
      <w:tr>
        <w:trPr>
          <w:trHeight w:val="213"/>
        </w:trPr>
        <w:tc>
          <w:tcPr>
            <w:tcW w:w="8220" w:type="dxa"/>
            <w:vAlign w:val="bottom"/>
          </w:tcPr>
          <w:p>
            <w:pPr>
              <w:spacing w:after="0"/>
              <w:rPr>
                <w:sz w:val="18"/>
                <w:szCs w:val="18"/>
                <w:color w:val="auto"/>
              </w:rPr>
            </w:pPr>
          </w:p>
        </w:tc>
        <w:tc>
          <w:tcPr>
            <w:tcW w:w="1560" w:type="dxa"/>
            <w:vAlign w:val="bottom"/>
            <w:gridSpan w:val="3"/>
          </w:tcPr>
          <w:p>
            <w:pPr>
              <w:spacing w:after="0"/>
              <w:rPr>
                <w:sz w:val="20"/>
                <w:szCs w:val="20"/>
                <w:color w:val="auto"/>
              </w:rPr>
            </w:pPr>
            <w:r>
              <w:rPr>
                <w:rFonts w:ascii="Arial" w:cs="Arial" w:eastAsia="Arial" w:hAnsi="Arial"/>
                <w:sz w:val="16"/>
                <w:szCs w:val="16"/>
                <w:b w:val="1"/>
                <w:bCs w:val="1"/>
                <w:color w:val="auto"/>
              </w:rPr>
              <w:t>September 30, 2020</w:t>
            </w:r>
          </w:p>
        </w:tc>
        <w:tc>
          <w:tcPr>
            <w:tcW w:w="1460" w:type="dxa"/>
            <w:vAlign w:val="bottom"/>
            <w:gridSpan w:val="3"/>
          </w:tcPr>
          <w:p>
            <w:pPr>
              <w:spacing w:after="0"/>
              <w:rPr>
                <w:sz w:val="20"/>
                <w:szCs w:val="20"/>
                <w:color w:val="auto"/>
              </w:rPr>
            </w:pPr>
            <w:r>
              <w:rPr>
                <w:rFonts w:ascii="Arial" w:cs="Arial" w:eastAsia="Arial" w:hAnsi="Arial"/>
                <w:sz w:val="16"/>
                <w:szCs w:val="16"/>
                <w:b w:val="1"/>
                <w:bCs w:val="1"/>
                <w:color w:val="auto"/>
                <w:w w:val="96"/>
              </w:rPr>
              <w:t>September 30, 2019</w:t>
            </w:r>
          </w:p>
        </w:tc>
      </w:tr>
      <w:tr>
        <w:trPr>
          <w:trHeight w:val="239"/>
        </w:trPr>
        <w:tc>
          <w:tcPr>
            <w:tcW w:w="82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140" w:type="dxa"/>
            <w:vAlign w:val="bottom"/>
            <w:tcBorders>
              <w:top w:val="single" w:sz="8" w:color="auto"/>
            </w:tcBorders>
            <w:shd w:val="clear" w:color="auto" w:fill="CCEEFF"/>
          </w:tcPr>
          <w:p>
            <w:pPr>
              <w:spacing w:after="0"/>
              <w:rPr>
                <w:sz w:val="20"/>
                <w:szCs w:val="20"/>
                <w:color w:val="auto"/>
              </w:rPr>
            </w:pPr>
          </w:p>
        </w:tc>
        <w:tc>
          <w:tcPr>
            <w:tcW w:w="1200" w:type="dxa"/>
            <w:vAlign w:val="bottom"/>
            <w:tcBorders>
              <w:top w:val="single" w:sz="8" w:color="auto"/>
            </w:tcBorders>
            <w:shd w:val="clear" w:color="auto" w:fill="CCEEFF"/>
          </w:tcPr>
          <w:p>
            <w:pPr>
              <w:spacing w:after="0"/>
              <w:rPr>
                <w:sz w:val="20"/>
                <w:szCs w:val="20"/>
                <w:color w:val="auto"/>
              </w:rPr>
            </w:pPr>
          </w:p>
        </w:tc>
        <w:tc>
          <w:tcPr>
            <w:tcW w:w="220" w:type="dxa"/>
            <w:vAlign w:val="bottom"/>
            <w:tcBorders>
              <w:top w:val="single" w:sz="8" w:color="CCEEFF"/>
            </w:tcBorders>
            <w:shd w:val="clear" w:color="auto" w:fill="CCEEFF"/>
          </w:tcPr>
          <w:p>
            <w:pPr>
              <w:spacing w:after="0"/>
              <w:rPr>
                <w:sz w:val="20"/>
                <w:szCs w:val="20"/>
                <w:color w:val="auto"/>
              </w:rPr>
            </w:pPr>
          </w:p>
        </w:tc>
        <w:tc>
          <w:tcPr>
            <w:tcW w:w="160" w:type="dxa"/>
            <w:vAlign w:val="bottom"/>
            <w:tcBorders>
              <w:top w:val="single" w:sz="8" w:color="auto"/>
            </w:tcBorders>
            <w:shd w:val="clear" w:color="auto" w:fill="CCEEFF"/>
          </w:tcPr>
          <w:p>
            <w:pPr>
              <w:spacing w:after="0"/>
              <w:rPr>
                <w:sz w:val="20"/>
                <w:szCs w:val="20"/>
                <w:color w:val="auto"/>
              </w:rPr>
            </w:pPr>
          </w:p>
        </w:tc>
        <w:tc>
          <w:tcPr>
            <w:tcW w:w="1200" w:type="dxa"/>
            <w:vAlign w:val="bottom"/>
            <w:tcBorders>
              <w:top w:val="single" w:sz="8" w:color="auto"/>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r>
      <w:tr>
        <w:trPr>
          <w:trHeight w:val="216"/>
        </w:trPr>
        <w:tc>
          <w:tcPr>
            <w:tcW w:w="8220" w:type="dxa"/>
            <w:vAlign w:val="bottom"/>
          </w:tcPr>
          <w:p>
            <w:pPr>
              <w:ind w:left="180"/>
              <w:spacing w:after="0"/>
              <w:rPr>
                <w:sz w:val="20"/>
                <w:szCs w:val="20"/>
                <w:color w:val="auto"/>
              </w:rPr>
            </w:pPr>
            <w:r>
              <w:rPr>
                <w:rFonts w:ascii="Arial" w:cs="Arial" w:eastAsia="Arial" w:hAnsi="Arial"/>
                <w:sz w:val="18"/>
                <w:szCs w:val="18"/>
                <w:color w:val="auto"/>
              </w:rPr>
              <w:t>Net Loss</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81"/>
              <w:spacing w:after="0"/>
              <w:rPr>
                <w:sz w:val="20"/>
                <w:szCs w:val="20"/>
                <w:color w:val="auto"/>
              </w:rPr>
            </w:pPr>
            <w:r>
              <w:rPr>
                <w:rFonts w:ascii="Arial" w:cs="Arial" w:eastAsia="Arial" w:hAnsi="Arial"/>
                <w:sz w:val="18"/>
                <w:szCs w:val="18"/>
                <w:color w:val="auto"/>
              </w:rPr>
              <w:t>(37,880)</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(40,431)</w:t>
            </w:r>
          </w:p>
        </w:tc>
      </w:tr>
      <w:tr>
        <w:trPr>
          <w:trHeight w:val="243"/>
        </w:trPr>
        <w:tc>
          <w:tcPr>
            <w:tcW w:w="82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14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r>
      <w:tr>
        <w:trPr>
          <w:trHeight w:val="216"/>
        </w:trPr>
        <w:tc>
          <w:tcPr>
            <w:tcW w:w="8220" w:type="dxa"/>
            <w:vAlign w:val="bottom"/>
          </w:tcPr>
          <w:p>
            <w:pPr>
              <w:ind w:left="340"/>
              <w:spacing w:after="0"/>
              <w:rPr>
                <w:sz w:val="20"/>
                <w:szCs w:val="20"/>
                <w:color w:val="auto"/>
              </w:rPr>
            </w:pPr>
            <w:r>
              <w:rPr>
                <w:rFonts w:ascii="Arial" w:cs="Arial" w:eastAsia="Arial" w:hAnsi="Arial"/>
                <w:sz w:val="18"/>
                <w:szCs w:val="18"/>
                <w:color w:val="auto"/>
              </w:rPr>
              <w:t>Depreciation and Amortization</w:t>
            </w:r>
          </w:p>
        </w:tc>
        <w:tc>
          <w:tcPr>
            <w:tcW w:w="140" w:type="dxa"/>
            <w:vAlign w:val="bottom"/>
          </w:tcPr>
          <w:p>
            <w:pPr>
              <w:spacing w:after="0"/>
              <w:rPr>
                <w:sz w:val="18"/>
                <w:szCs w:val="18"/>
                <w:color w:val="auto"/>
              </w:rPr>
            </w:pPr>
          </w:p>
        </w:tc>
        <w:tc>
          <w:tcPr>
            <w:tcW w:w="1420" w:type="dxa"/>
            <w:vAlign w:val="bottom"/>
            <w:gridSpan w:val="2"/>
          </w:tcPr>
          <w:p>
            <w:pPr>
              <w:jc w:val="right"/>
              <w:ind w:right="141"/>
              <w:spacing w:after="0"/>
              <w:rPr>
                <w:sz w:val="20"/>
                <w:szCs w:val="20"/>
                <w:color w:val="auto"/>
              </w:rPr>
            </w:pPr>
            <w:r>
              <w:rPr>
                <w:rFonts w:ascii="Arial" w:cs="Arial" w:eastAsia="Arial" w:hAnsi="Arial"/>
                <w:sz w:val="18"/>
                <w:szCs w:val="18"/>
                <w:color w:val="auto"/>
              </w:rPr>
              <w:t>3,174</w:t>
            </w:r>
          </w:p>
        </w:tc>
        <w:tc>
          <w:tcPr>
            <w:tcW w:w="160" w:type="dxa"/>
            <w:vAlign w:val="bottom"/>
          </w:tcPr>
          <w:p>
            <w:pPr>
              <w:spacing w:after="0"/>
              <w:rPr>
                <w:sz w:val="18"/>
                <w:szCs w:val="18"/>
                <w:color w:val="auto"/>
              </w:rPr>
            </w:pPr>
          </w:p>
        </w:tc>
        <w:tc>
          <w:tcPr>
            <w:tcW w:w="1300" w:type="dxa"/>
            <w:vAlign w:val="bottom"/>
            <w:gridSpan w:val="2"/>
          </w:tcPr>
          <w:p>
            <w:pPr>
              <w:jc w:val="right"/>
              <w:ind w:right="21"/>
              <w:spacing w:after="0"/>
              <w:rPr>
                <w:sz w:val="20"/>
                <w:szCs w:val="20"/>
                <w:color w:val="auto"/>
              </w:rPr>
            </w:pPr>
            <w:r>
              <w:rPr>
                <w:rFonts w:ascii="Arial" w:cs="Arial" w:eastAsia="Arial" w:hAnsi="Arial"/>
                <w:sz w:val="18"/>
                <w:szCs w:val="18"/>
                <w:color w:val="auto"/>
              </w:rPr>
              <w:t>3,713</w:t>
            </w:r>
          </w:p>
        </w:tc>
      </w:tr>
      <w:tr>
        <w:trPr>
          <w:trHeight w:val="216"/>
        </w:trPr>
        <w:tc>
          <w:tcPr>
            <w:tcW w:w="82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Amortization and Premium of Marketable Securities, Net</w:t>
            </w: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(422)</w:t>
            </w: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(980)</w:t>
            </w:r>
          </w:p>
        </w:tc>
      </w:tr>
      <w:tr>
        <w:trPr>
          <w:trHeight w:val="216"/>
        </w:trPr>
        <w:tc>
          <w:tcPr>
            <w:tcW w:w="8220" w:type="dxa"/>
            <w:vAlign w:val="bottom"/>
          </w:tcPr>
          <w:p>
            <w:pPr>
              <w:ind w:left="340"/>
              <w:spacing w:after="0"/>
              <w:rPr>
                <w:sz w:val="20"/>
                <w:szCs w:val="20"/>
                <w:color w:val="auto"/>
              </w:rPr>
            </w:pPr>
            <w:r>
              <w:rPr>
                <w:rFonts w:ascii="Arial" w:cs="Arial" w:eastAsia="Arial" w:hAnsi="Arial"/>
                <w:sz w:val="18"/>
                <w:szCs w:val="18"/>
                <w:color w:val="auto"/>
              </w:rPr>
              <w:t>(Gain) Loss on Sale or Disposal of Assets</w:t>
            </w:r>
          </w:p>
        </w:tc>
        <w:tc>
          <w:tcPr>
            <w:tcW w:w="140" w:type="dxa"/>
            <w:vAlign w:val="bottom"/>
          </w:tcPr>
          <w:p>
            <w:pPr>
              <w:spacing w:after="0"/>
              <w:rPr>
                <w:sz w:val="18"/>
                <w:szCs w:val="18"/>
                <w:color w:val="auto"/>
              </w:rPr>
            </w:pPr>
          </w:p>
        </w:tc>
        <w:tc>
          <w:tcPr>
            <w:tcW w:w="1420" w:type="dxa"/>
            <w:vAlign w:val="bottom"/>
            <w:gridSpan w:val="2"/>
          </w:tcPr>
          <w:p>
            <w:pPr>
              <w:jc w:val="right"/>
              <w:ind w:right="81"/>
              <w:spacing w:after="0"/>
              <w:rPr>
                <w:sz w:val="20"/>
                <w:szCs w:val="20"/>
                <w:color w:val="auto"/>
              </w:rPr>
            </w:pPr>
            <w:r>
              <w:rPr>
                <w:rFonts w:ascii="Arial" w:cs="Arial" w:eastAsia="Arial" w:hAnsi="Arial"/>
                <w:sz w:val="18"/>
                <w:szCs w:val="18"/>
                <w:color w:val="auto"/>
              </w:rPr>
              <w:t>(29)</w:t>
            </w:r>
          </w:p>
        </w:tc>
        <w:tc>
          <w:tcPr>
            <w:tcW w:w="160" w:type="dxa"/>
            <w:vAlign w:val="bottom"/>
          </w:tcPr>
          <w:p>
            <w:pPr>
              <w:spacing w:after="0"/>
              <w:rPr>
                <w:sz w:val="18"/>
                <w:szCs w:val="18"/>
                <w:color w:val="auto"/>
              </w:rPr>
            </w:pPr>
          </w:p>
        </w:tc>
        <w:tc>
          <w:tcPr>
            <w:tcW w:w="1300" w:type="dxa"/>
            <w:vAlign w:val="bottom"/>
            <w:gridSpan w:val="2"/>
          </w:tcPr>
          <w:p>
            <w:pPr>
              <w:jc w:val="right"/>
              <w:ind w:right="21"/>
              <w:spacing w:after="0"/>
              <w:rPr>
                <w:sz w:val="20"/>
                <w:szCs w:val="20"/>
                <w:color w:val="auto"/>
              </w:rPr>
            </w:pPr>
            <w:r>
              <w:rPr>
                <w:rFonts w:ascii="Arial" w:cs="Arial" w:eastAsia="Arial" w:hAnsi="Arial"/>
                <w:sz w:val="18"/>
                <w:szCs w:val="18"/>
                <w:color w:val="auto"/>
              </w:rPr>
              <w:t>7</w:t>
            </w:r>
          </w:p>
        </w:tc>
      </w:tr>
      <w:tr>
        <w:trPr>
          <w:trHeight w:val="216"/>
        </w:trPr>
        <w:tc>
          <w:tcPr>
            <w:tcW w:w="82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Intangible Asset Impairment</w:t>
            </w: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3,500</w:t>
            </w: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w:t>
            </w:r>
          </w:p>
        </w:tc>
      </w:tr>
      <w:tr>
        <w:trPr>
          <w:trHeight w:val="216"/>
        </w:trPr>
        <w:tc>
          <w:tcPr>
            <w:tcW w:w="8220" w:type="dxa"/>
            <w:vAlign w:val="bottom"/>
          </w:tcPr>
          <w:p>
            <w:pPr>
              <w:ind w:left="340"/>
              <w:spacing w:after="0"/>
              <w:rPr>
                <w:sz w:val="20"/>
                <w:szCs w:val="20"/>
                <w:color w:val="auto"/>
              </w:rPr>
            </w:pPr>
            <w:r>
              <w:rPr>
                <w:rFonts w:ascii="Arial" w:cs="Arial" w:eastAsia="Arial" w:hAnsi="Arial"/>
                <w:sz w:val="18"/>
                <w:szCs w:val="18"/>
                <w:color w:val="auto"/>
              </w:rPr>
              <w:t>Other Asset Impairment</w:t>
            </w:r>
          </w:p>
        </w:tc>
        <w:tc>
          <w:tcPr>
            <w:tcW w:w="140" w:type="dxa"/>
            <w:vAlign w:val="bottom"/>
          </w:tcPr>
          <w:p>
            <w:pPr>
              <w:spacing w:after="0"/>
              <w:rPr>
                <w:sz w:val="18"/>
                <w:szCs w:val="18"/>
                <w:color w:val="auto"/>
              </w:rPr>
            </w:pPr>
          </w:p>
        </w:tc>
        <w:tc>
          <w:tcPr>
            <w:tcW w:w="142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300" w:type="dxa"/>
            <w:vAlign w:val="bottom"/>
            <w:gridSpan w:val="2"/>
          </w:tcPr>
          <w:p>
            <w:pPr>
              <w:jc w:val="right"/>
              <w:ind w:right="21"/>
              <w:spacing w:after="0"/>
              <w:rPr>
                <w:sz w:val="20"/>
                <w:szCs w:val="20"/>
                <w:color w:val="auto"/>
              </w:rPr>
            </w:pPr>
            <w:r>
              <w:rPr>
                <w:rFonts w:ascii="Arial" w:cs="Arial" w:eastAsia="Arial" w:hAnsi="Arial"/>
                <w:sz w:val="18"/>
                <w:szCs w:val="18"/>
                <w:color w:val="auto"/>
              </w:rPr>
              <w:t>1,800</w:t>
            </w:r>
          </w:p>
        </w:tc>
      </w:tr>
      <w:tr>
        <w:trPr>
          <w:trHeight w:val="216"/>
        </w:trPr>
        <w:tc>
          <w:tcPr>
            <w:tcW w:w="82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Gain on Fair Value Remeasurement of Contingent Consideration</w:t>
            </w: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(4,236)</w:t>
            </w: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(1,612)</w:t>
            </w:r>
          </w:p>
        </w:tc>
      </w:tr>
      <w:tr>
        <w:trPr>
          <w:trHeight w:val="216"/>
        </w:trPr>
        <w:tc>
          <w:tcPr>
            <w:tcW w:w="8220" w:type="dxa"/>
            <w:vAlign w:val="bottom"/>
          </w:tcPr>
          <w:p>
            <w:pPr>
              <w:ind w:left="340"/>
              <w:spacing w:after="0"/>
              <w:rPr>
                <w:sz w:val="20"/>
                <w:szCs w:val="20"/>
                <w:color w:val="auto"/>
              </w:rPr>
            </w:pPr>
            <w:r>
              <w:rPr>
                <w:rFonts w:ascii="Arial" w:cs="Arial" w:eastAsia="Arial" w:hAnsi="Arial"/>
                <w:sz w:val="18"/>
                <w:szCs w:val="18"/>
                <w:color w:val="auto"/>
              </w:rPr>
              <w:t>Non-Cash Income Tax Benefit</w:t>
            </w:r>
          </w:p>
        </w:tc>
        <w:tc>
          <w:tcPr>
            <w:tcW w:w="140" w:type="dxa"/>
            <w:vAlign w:val="bottom"/>
          </w:tcPr>
          <w:p>
            <w:pPr>
              <w:spacing w:after="0"/>
              <w:rPr>
                <w:sz w:val="18"/>
                <w:szCs w:val="18"/>
                <w:color w:val="auto"/>
              </w:rPr>
            </w:pPr>
          </w:p>
        </w:tc>
        <w:tc>
          <w:tcPr>
            <w:tcW w:w="1420" w:type="dxa"/>
            <w:vAlign w:val="bottom"/>
            <w:gridSpan w:val="2"/>
          </w:tcPr>
          <w:p>
            <w:pPr>
              <w:jc w:val="right"/>
              <w:ind w:right="81"/>
              <w:spacing w:after="0"/>
              <w:rPr>
                <w:sz w:val="20"/>
                <w:szCs w:val="20"/>
                <w:color w:val="auto"/>
              </w:rPr>
            </w:pPr>
            <w:r>
              <w:rPr>
                <w:rFonts w:ascii="Arial" w:cs="Arial" w:eastAsia="Arial" w:hAnsi="Arial"/>
                <w:sz w:val="18"/>
                <w:szCs w:val="18"/>
                <w:color w:val="auto"/>
              </w:rPr>
              <w:t>(228)</w:t>
            </w:r>
          </w:p>
        </w:tc>
        <w:tc>
          <w:tcPr>
            <w:tcW w:w="160" w:type="dxa"/>
            <w:vAlign w:val="bottom"/>
          </w:tcPr>
          <w:p>
            <w:pPr>
              <w:spacing w:after="0"/>
              <w:rPr>
                <w:sz w:val="18"/>
                <w:szCs w:val="18"/>
                <w:color w:val="auto"/>
              </w:rPr>
            </w:pPr>
          </w:p>
        </w:tc>
        <w:tc>
          <w:tcPr>
            <w:tcW w:w="1300" w:type="dxa"/>
            <w:vAlign w:val="bottom"/>
            <w:gridSpan w:val="2"/>
          </w:tcPr>
          <w:p>
            <w:pPr>
              <w:jc w:val="right"/>
              <w:ind w:right="21"/>
              <w:spacing w:after="0"/>
              <w:rPr>
                <w:sz w:val="20"/>
                <w:szCs w:val="20"/>
                <w:color w:val="auto"/>
              </w:rPr>
            </w:pPr>
            <w:r>
              <w:rPr>
                <w:rFonts w:ascii="Arial" w:cs="Arial" w:eastAsia="Arial" w:hAnsi="Arial"/>
                <w:sz w:val="18"/>
                <w:szCs w:val="18"/>
                <w:color w:val="auto"/>
              </w:rPr>
              <w:t>—</w:t>
            </w:r>
          </w:p>
        </w:tc>
      </w:tr>
      <w:tr>
        <w:trPr>
          <w:trHeight w:val="216"/>
        </w:trPr>
        <w:tc>
          <w:tcPr>
            <w:tcW w:w="82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Stock-Based Compensation Expense</w:t>
            </w: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2,658</w:t>
            </w: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3,864</w:t>
            </w:r>
          </w:p>
        </w:tc>
      </w:tr>
      <w:tr>
        <w:trPr>
          <w:trHeight w:val="243"/>
        </w:trPr>
        <w:tc>
          <w:tcPr>
            <w:tcW w:w="8220" w:type="dxa"/>
            <w:vAlign w:val="bottom"/>
          </w:tcPr>
          <w:p>
            <w:pPr>
              <w:ind w:left="180"/>
              <w:spacing w:after="0"/>
              <w:rPr>
                <w:sz w:val="20"/>
                <w:szCs w:val="20"/>
                <w:color w:val="auto"/>
              </w:rPr>
            </w:pPr>
            <w:r>
              <w:rPr>
                <w:rFonts w:ascii="Arial" w:cs="Arial" w:eastAsia="Arial" w:hAnsi="Arial"/>
                <w:sz w:val="18"/>
                <w:szCs w:val="18"/>
                <w:color w:val="auto"/>
              </w:rPr>
              <w:t>Changes in Operating Assets and Liabilities:</w:t>
            </w:r>
          </w:p>
        </w:tc>
        <w:tc>
          <w:tcPr>
            <w:tcW w:w="14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16"/>
        </w:trPr>
        <w:tc>
          <w:tcPr>
            <w:tcW w:w="82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Accounts and Other Receivables</w:t>
            </w: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177</w:t>
            </w: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2,435</w:t>
            </w:r>
          </w:p>
        </w:tc>
      </w:tr>
      <w:tr>
        <w:trPr>
          <w:trHeight w:val="216"/>
        </w:trPr>
        <w:tc>
          <w:tcPr>
            <w:tcW w:w="8220" w:type="dxa"/>
            <w:vAlign w:val="bottom"/>
          </w:tcPr>
          <w:p>
            <w:pPr>
              <w:ind w:left="340"/>
              <w:spacing w:after="0"/>
              <w:rPr>
                <w:sz w:val="20"/>
                <w:szCs w:val="20"/>
                <w:color w:val="auto"/>
              </w:rPr>
            </w:pPr>
            <w:r>
              <w:rPr>
                <w:rFonts w:ascii="Arial" w:cs="Arial" w:eastAsia="Arial" w:hAnsi="Arial"/>
                <w:sz w:val="18"/>
                <w:szCs w:val="18"/>
                <w:color w:val="auto"/>
              </w:rPr>
              <w:t>Prepaid and Other Current Assets</w:t>
            </w:r>
          </w:p>
        </w:tc>
        <w:tc>
          <w:tcPr>
            <w:tcW w:w="140" w:type="dxa"/>
            <w:vAlign w:val="bottom"/>
          </w:tcPr>
          <w:p>
            <w:pPr>
              <w:spacing w:after="0"/>
              <w:rPr>
                <w:sz w:val="18"/>
                <w:szCs w:val="18"/>
                <w:color w:val="auto"/>
              </w:rPr>
            </w:pPr>
          </w:p>
        </w:tc>
        <w:tc>
          <w:tcPr>
            <w:tcW w:w="1420" w:type="dxa"/>
            <w:vAlign w:val="bottom"/>
            <w:gridSpan w:val="2"/>
          </w:tcPr>
          <w:p>
            <w:pPr>
              <w:jc w:val="right"/>
              <w:ind w:right="81"/>
              <w:spacing w:after="0"/>
              <w:rPr>
                <w:sz w:val="20"/>
                <w:szCs w:val="20"/>
                <w:color w:val="auto"/>
              </w:rPr>
            </w:pPr>
            <w:r>
              <w:rPr>
                <w:rFonts w:ascii="Arial" w:cs="Arial" w:eastAsia="Arial" w:hAnsi="Arial"/>
                <w:sz w:val="18"/>
                <w:szCs w:val="18"/>
                <w:color w:val="auto"/>
              </w:rPr>
              <w:t>(1,280)</w:t>
            </w:r>
          </w:p>
        </w:tc>
        <w:tc>
          <w:tcPr>
            <w:tcW w:w="160" w:type="dxa"/>
            <w:vAlign w:val="bottom"/>
          </w:tcPr>
          <w:p>
            <w:pPr>
              <w:spacing w:after="0"/>
              <w:rPr>
                <w:sz w:val="18"/>
                <w:szCs w:val="18"/>
                <w:color w:val="auto"/>
              </w:rPr>
            </w:pPr>
          </w:p>
        </w:tc>
        <w:tc>
          <w:tcPr>
            <w:tcW w:w="1300" w:type="dxa"/>
            <w:vAlign w:val="bottom"/>
            <w:gridSpan w:val="2"/>
          </w:tcPr>
          <w:p>
            <w:pPr>
              <w:jc w:val="right"/>
              <w:ind w:right="21"/>
              <w:spacing w:after="0"/>
              <w:rPr>
                <w:sz w:val="20"/>
                <w:szCs w:val="20"/>
                <w:color w:val="auto"/>
              </w:rPr>
            </w:pPr>
            <w:r>
              <w:rPr>
                <w:rFonts w:ascii="Arial" w:cs="Arial" w:eastAsia="Arial" w:hAnsi="Arial"/>
                <w:sz w:val="18"/>
                <w:szCs w:val="18"/>
                <w:color w:val="auto"/>
              </w:rPr>
              <w:t>208</w:t>
            </w:r>
          </w:p>
        </w:tc>
      </w:tr>
      <w:tr>
        <w:trPr>
          <w:trHeight w:val="216"/>
        </w:trPr>
        <w:tc>
          <w:tcPr>
            <w:tcW w:w="82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Accounts Payable and Accrued Expenses</w:t>
            </w: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864</w:t>
            </w: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(884)</w:t>
            </w:r>
          </w:p>
        </w:tc>
      </w:tr>
      <w:tr>
        <w:trPr>
          <w:trHeight w:val="229"/>
        </w:trPr>
        <w:tc>
          <w:tcPr>
            <w:tcW w:w="8220" w:type="dxa"/>
            <w:vAlign w:val="bottom"/>
          </w:tcPr>
          <w:p>
            <w:pPr>
              <w:ind w:left="340"/>
              <w:spacing w:after="0"/>
              <w:rPr>
                <w:sz w:val="20"/>
                <w:szCs w:val="20"/>
                <w:color w:val="auto"/>
              </w:rPr>
            </w:pPr>
            <w:r>
              <w:rPr>
                <w:rFonts w:ascii="Arial" w:cs="Arial" w:eastAsia="Arial" w:hAnsi="Arial"/>
                <w:sz w:val="18"/>
                <w:szCs w:val="18"/>
                <w:color w:val="auto"/>
              </w:rPr>
              <w:t>Other Liabilities</w:t>
            </w:r>
          </w:p>
        </w:tc>
        <w:tc>
          <w:tcPr>
            <w:tcW w:w="140" w:type="dxa"/>
            <w:vAlign w:val="bottom"/>
          </w:tcPr>
          <w:p>
            <w:pPr>
              <w:spacing w:after="0"/>
              <w:rPr>
                <w:sz w:val="19"/>
                <w:szCs w:val="19"/>
                <w:color w:val="auto"/>
              </w:rPr>
            </w:pPr>
          </w:p>
        </w:tc>
        <w:tc>
          <w:tcPr>
            <w:tcW w:w="1420" w:type="dxa"/>
            <w:vAlign w:val="bottom"/>
            <w:gridSpan w:val="2"/>
          </w:tcPr>
          <w:p>
            <w:pPr>
              <w:jc w:val="right"/>
              <w:ind w:right="81"/>
              <w:spacing w:after="0"/>
              <w:rPr>
                <w:sz w:val="20"/>
                <w:szCs w:val="20"/>
                <w:color w:val="auto"/>
              </w:rPr>
            </w:pPr>
            <w:r>
              <w:rPr>
                <w:rFonts w:ascii="Arial" w:cs="Arial" w:eastAsia="Arial" w:hAnsi="Arial"/>
                <w:sz w:val="18"/>
                <w:szCs w:val="18"/>
                <w:color w:val="auto"/>
              </w:rPr>
              <w:t>(1,491)</w:t>
            </w:r>
          </w:p>
        </w:tc>
        <w:tc>
          <w:tcPr>
            <w:tcW w:w="160" w:type="dxa"/>
            <w:vAlign w:val="bottom"/>
          </w:tcPr>
          <w:p>
            <w:pPr>
              <w:spacing w:after="0"/>
              <w:rPr>
                <w:sz w:val="19"/>
                <w:szCs w:val="19"/>
                <w:color w:val="auto"/>
              </w:rPr>
            </w:pP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(3,535)</w:t>
            </w:r>
          </w:p>
        </w:tc>
      </w:tr>
      <w:tr>
        <w:trPr>
          <w:trHeight w:val="210"/>
        </w:trPr>
        <w:tc>
          <w:tcPr>
            <w:tcW w:w="82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Cash Used in Operating Activities</w:t>
            </w: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(35,193</w:t>
            </w:r>
          </w:p>
        </w:tc>
        <w:tc>
          <w:tcPr>
            <w:tcW w:w="220" w:type="dxa"/>
            <w:vAlign w:val="bottom"/>
            <w:tcBorders>
              <w:top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w w:val="74"/>
              </w:rPr>
              <w:t>)</w:t>
            </w: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(35,415</w:t>
            </w:r>
          </w:p>
        </w:tc>
        <w:tc>
          <w:tcPr>
            <w:tcW w:w="10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r>
      <w:tr>
        <w:trPr>
          <w:trHeight w:val="236"/>
        </w:trPr>
        <w:tc>
          <w:tcPr>
            <w:tcW w:w="8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3"/>
        </w:trPr>
        <w:tc>
          <w:tcPr>
            <w:tcW w:w="82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14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r>
      <w:tr>
        <w:trPr>
          <w:trHeight w:val="216"/>
        </w:trPr>
        <w:tc>
          <w:tcPr>
            <w:tcW w:w="8220" w:type="dxa"/>
            <w:vAlign w:val="bottom"/>
          </w:tcPr>
          <w:p>
            <w:pPr>
              <w:ind w:left="180"/>
              <w:spacing w:after="0"/>
              <w:rPr>
                <w:sz w:val="20"/>
                <w:szCs w:val="20"/>
                <w:color w:val="auto"/>
              </w:rPr>
            </w:pPr>
            <w:r>
              <w:rPr>
                <w:rFonts w:ascii="Arial" w:cs="Arial" w:eastAsia="Arial" w:hAnsi="Arial"/>
                <w:sz w:val="18"/>
                <w:szCs w:val="18"/>
                <w:color w:val="auto"/>
              </w:rPr>
              <w:t>Sales and Maturities of Marketable Securities</w:t>
            </w:r>
          </w:p>
        </w:tc>
        <w:tc>
          <w:tcPr>
            <w:tcW w:w="140" w:type="dxa"/>
            <w:vAlign w:val="bottom"/>
          </w:tcPr>
          <w:p>
            <w:pPr>
              <w:spacing w:after="0"/>
              <w:rPr>
                <w:sz w:val="18"/>
                <w:szCs w:val="18"/>
                <w:color w:val="auto"/>
              </w:rPr>
            </w:pPr>
          </w:p>
        </w:tc>
        <w:tc>
          <w:tcPr>
            <w:tcW w:w="1420" w:type="dxa"/>
            <w:vAlign w:val="bottom"/>
            <w:gridSpan w:val="2"/>
          </w:tcPr>
          <w:p>
            <w:pPr>
              <w:jc w:val="right"/>
              <w:ind w:right="141"/>
              <w:spacing w:after="0"/>
              <w:rPr>
                <w:sz w:val="20"/>
                <w:szCs w:val="20"/>
                <w:color w:val="auto"/>
              </w:rPr>
            </w:pPr>
            <w:r>
              <w:rPr>
                <w:rFonts w:ascii="Arial" w:cs="Arial" w:eastAsia="Arial" w:hAnsi="Arial"/>
                <w:sz w:val="18"/>
                <w:szCs w:val="18"/>
                <w:color w:val="auto"/>
              </w:rPr>
              <w:t>55,600</w:t>
            </w:r>
          </w:p>
        </w:tc>
        <w:tc>
          <w:tcPr>
            <w:tcW w:w="160" w:type="dxa"/>
            <w:vAlign w:val="bottom"/>
          </w:tcPr>
          <w:p>
            <w:pPr>
              <w:spacing w:after="0"/>
              <w:rPr>
                <w:sz w:val="18"/>
                <w:szCs w:val="18"/>
                <w:color w:val="auto"/>
              </w:rPr>
            </w:pPr>
          </w:p>
        </w:tc>
        <w:tc>
          <w:tcPr>
            <w:tcW w:w="1300" w:type="dxa"/>
            <w:vAlign w:val="bottom"/>
            <w:gridSpan w:val="2"/>
          </w:tcPr>
          <w:p>
            <w:pPr>
              <w:jc w:val="right"/>
              <w:ind w:right="21"/>
              <w:spacing w:after="0"/>
              <w:rPr>
                <w:sz w:val="20"/>
                <w:szCs w:val="20"/>
                <w:color w:val="auto"/>
              </w:rPr>
            </w:pPr>
            <w:r>
              <w:rPr>
                <w:rFonts w:ascii="Arial" w:cs="Arial" w:eastAsia="Arial" w:hAnsi="Arial"/>
                <w:sz w:val="18"/>
                <w:szCs w:val="18"/>
                <w:color w:val="auto"/>
              </w:rPr>
              <w:t>91,473</w:t>
            </w:r>
          </w:p>
        </w:tc>
      </w:tr>
      <w:tr>
        <w:trPr>
          <w:trHeight w:val="216"/>
        </w:trPr>
        <w:tc>
          <w:tcPr>
            <w:tcW w:w="82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Purchases of Marketable Securities</w:t>
            </w: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(183,394)</w:t>
            </w: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(77,011)</w:t>
            </w:r>
          </w:p>
        </w:tc>
      </w:tr>
      <w:tr>
        <w:trPr>
          <w:trHeight w:val="216"/>
        </w:trPr>
        <w:tc>
          <w:tcPr>
            <w:tcW w:w="8220" w:type="dxa"/>
            <w:vAlign w:val="bottom"/>
          </w:tcPr>
          <w:p>
            <w:pPr>
              <w:ind w:left="180"/>
              <w:spacing w:after="0"/>
              <w:rPr>
                <w:sz w:val="20"/>
                <w:szCs w:val="20"/>
                <w:color w:val="auto"/>
              </w:rPr>
            </w:pPr>
            <w:r>
              <w:rPr>
                <w:rFonts w:ascii="Arial" w:cs="Arial" w:eastAsia="Arial" w:hAnsi="Arial"/>
                <w:sz w:val="18"/>
                <w:szCs w:val="18"/>
                <w:color w:val="auto"/>
              </w:rPr>
              <w:t>Acquisition of Property and Equipment</w:t>
            </w:r>
          </w:p>
        </w:tc>
        <w:tc>
          <w:tcPr>
            <w:tcW w:w="140" w:type="dxa"/>
            <w:vAlign w:val="bottom"/>
          </w:tcPr>
          <w:p>
            <w:pPr>
              <w:spacing w:after="0"/>
              <w:rPr>
                <w:sz w:val="18"/>
                <w:szCs w:val="18"/>
                <w:color w:val="auto"/>
              </w:rPr>
            </w:pPr>
          </w:p>
        </w:tc>
        <w:tc>
          <w:tcPr>
            <w:tcW w:w="1420" w:type="dxa"/>
            <w:vAlign w:val="bottom"/>
            <w:gridSpan w:val="2"/>
          </w:tcPr>
          <w:p>
            <w:pPr>
              <w:jc w:val="right"/>
              <w:ind w:right="81"/>
              <w:spacing w:after="0"/>
              <w:rPr>
                <w:sz w:val="20"/>
                <w:szCs w:val="20"/>
                <w:color w:val="auto"/>
              </w:rPr>
            </w:pPr>
            <w:r>
              <w:rPr>
                <w:rFonts w:ascii="Arial" w:cs="Arial" w:eastAsia="Arial" w:hAnsi="Arial"/>
                <w:sz w:val="18"/>
                <w:szCs w:val="18"/>
                <w:color w:val="auto"/>
              </w:rPr>
              <w:t>(1,305)</w:t>
            </w:r>
          </w:p>
        </w:tc>
        <w:tc>
          <w:tcPr>
            <w:tcW w:w="160" w:type="dxa"/>
            <w:vAlign w:val="bottom"/>
          </w:tcPr>
          <w:p>
            <w:pPr>
              <w:spacing w:after="0"/>
              <w:rPr>
                <w:sz w:val="18"/>
                <w:szCs w:val="18"/>
                <w:color w:val="auto"/>
              </w:rPr>
            </w:pP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(626)</w:t>
            </w:r>
          </w:p>
        </w:tc>
      </w:tr>
      <w:tr>
        <w:trPr>
          <w:trHeight w:val="230"/>
        </w:trPr>
        <w:tc>
          <w:tcPr>
            <w:tcW w:w="82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Proceeds from Sale or Disposal of Assets</w:t>
            </w:r>
          </w:p>
        </w:tc>
        <w:tc>
          <w:tcPr>
            <w:tcW w:w="14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29</w:t>
            </w:r>
          </w:p>
        </w:tc>
        <w:tc>
          <w:tcPr>
            <w:tcW w:w="16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20</w:t>
            </w:r>
          </w:p>
        </w:tc>
      </w:tr>
      <w:tr>
        <w:trPr>
          <w:trHeight w:val="210"/>
        </w:trPr>
        <w:tc>
          <w:tcPr>
            <w:tcW w:w="82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Net Cash (Used in) Provided by Investing Activities</w:t>
            </w:r>
          </w:p>
        </w:tc>
        <w:tc>
          <w:tcPr>
            <w:tcW w:w="14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(129,070</w:t>
            </w:r>
          </w:p>
        </w:tc>
        <w:tc>
          <w:tcPr>
            <w:tcW w:w="220" w:type="dxa"/>
            <w:vAlign w:val="bottom"/>
            <w:tcBorders>
              <w:bottom w:val="single" w:sz="8" w:color="CCEEFF"/>
            </w:tcBorders>
          </w:tcPr>
          <w:p>
            <w:pPr>
              <w:jc w:val="right"/>
              <w:ind w:right="81"/>
              <w:spacing w:after="0"/>
              <w:rPr>
                <w:sz w:val="20"/>
                <w:szCs w:val="20"/>
                <w:color w:val="auto"/>
              </w:rPr>
            </w:pPr>
            <w:r>
              <w:rPr>
                <w:rFonts w:ascii="Arial" w:cs="Arial" w:eastAsia="Arial" w:hAnsi="Arial"/>
                <w:sz w:val="16"/>
                <w:szCs w:val="16"/>
                <w:color w:val="auto"/>
                <w:w w:val="74"/>
              </w:rPr>
              <w:t>)</w:t>
            </w:r>
          </w:p>
        </w:tc>
        <w:tc>
          <w:tcPr>
            <w:tcW w:w="16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13,856</w:t>
            </w:r>
          </w:p>
        </w:tc>
        <w:tc>
          <w:tcPr>
            <w:tcW w:w="100" w:type="dxa"/>
            <w:vAlign w:val="bottom"/>
            <w:tcBorders>
              <w:bottom w:val="single" w:sz="8" w:color="CCEEFF"/>
            </w:tcBorders>
          </w:tcPr>
          <w:p>
            <w:pPr>
              <w:spacing w:after="0"/>
              <w:rPr>
                <w:sz w:val="18"/>
                <w:szCs w:val="18"/>
                <w:color w:val="auto"/>
              </w:rPr>
            </w:pPr>
          </w:p>
        </w:tc>
      </w:tr>
      <w:tr>
        <w:trPr>
          <w:trHeight w:val="237"/>
        </w:trPr>
        <w:tc>
          <w:tcPr>
            <w:tcW w:w="82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r>
    </w:tbl>
    <w:p>
      <w:pPr>
        <w:spacing w:after="0" w:line="9" w:lineRule="exact"/>
        <w:rPr>
          <w:sz w:val="20"/>
          <w:szCs w:val="20"/>
          <w:color w:val="auto"/>
        </w:rPr>
      </w:pPr>
    </w:p>
    <w:p>
      <w:pPr>
        <w:sectPr>
          <w:pgSz w:w="11900" w:h="16838" w:orient="portrait"/>
          <w:cols w:equalWidth="0" w:num="1">
            <w:col w:w="11240"/>
          </w:cols>
          <w:pgMar w:left="320" w:top="904" w:right="339" w:bottom="1440" w:gutter="0" w:footer="0" w:header="0"/>
        </w:sectPr>
      </w:pPr>
    </w:p>
    <w:p>
      <w:pPr>
        <w:spacing w:after="0"/>
        <w:rPr>
          <w:sz w:val="20"/>
          <w:szCs w:val="20"/>
          <w:color w:val="auto"/>
        </w:rPr>
      </w:pPr>
      <w:r>
        <w:rPr>
          <w:rFonts w:ascii="Arial" w:cs="Arial" w:eastAsia="Arial" w:hAnsi="Arial"/>
          <w:sz w:val="18"/>
          <w:szCs w:val="18"/>
          <w:b w:val="1"/>
          <w:bCs w:val="1"/>
          <w:color w:val="auto"/>
        </w:rPr>
        <w:t>Cash Flows From Financing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3716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7" w:lineRule="exact"/>
        <w:rPr>
          <w:sz w:val="20"/>
          <w:szCs w:val="20"/>
          <w:color w:val="auto"/>
        </w:rPr>
      </w:pPr>
    </w:p>
    <w:p>
      <w:pPr>
        <w:ind w:left="180"/>
        <w:spacing w:after="0"/>
        <w:rPr>
          <w:sz w:val="20"/>
          <w:szCs w:val="20"/>
          <w:color w:val="auto"/>
        </w:rPr>
      </w:pPr>
      <w:r>
        <w:rPr>
          <w:rFonts w:ascii="Arial" w:cs="Arial" w:eastAsia="Arial" w:hAnsi="Arial"/>
          <w:sz w:val="18"/>
          <w:szCs w:val="18"/>
          <w:color w:val="auto"/>
        </w:rPr>
        <w:t>Net Proceeds from Stock Issuances</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6"/>
          <w:szCs w:val="16"/>
          <w:color w:val="auto"/>
        </w:rPr>
        <w:t>Proceeds from Issuance of Stock from Employee Benefit Plans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wp:posOffset>
            </wp:positionV>
            <wp:extent cx="7132320" cy="13716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2" w:lineRule="exact"/>
        <w:rPr>
          <w:sz w:val="20"/>
          <w:szCs w:val="20"/>
          <w:color w:val="auto"/>
        </w:rPr>
      </w:pPr>
    </w:p>
    <w:p>
      <w:pPr>
        <w:ind w:left="180"/>
        <w:spacing w:after="0"/>
        <w:rPr>
          <w:sz w:val="20"/>
          <w:szCs w:val="20"/>
          <w:color w:val="auto"/>
        </w:rPr>
      </w:pPr>
      <w:r>
        <w:rPr>
          <w:rFonts w:ascii="Arial" w:cs="Arial" w:eastAsia="Arial" w:hAnsi="Arial"/>
          <w:sz w:val="18"/>
          <w:szCs w:val="18"/>
          <w:color w:val="auto"/>
        </w:rPr>
        <w:t>Issuance of Term Loan</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Payment of Term Loan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Net Cash Provided by Financing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460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color w:val="auto"/>
        </w:rPr>
        <w:t>Net Increase (Decrease) in Cash and Cash Equivalents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3716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Cash and Cash Equivalents at Beginning of Period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Cash and Cash Equivalents at End of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6256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625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211455</wp:posOffset>
            </wp:positionV>
            <wp:extent cx="7132320" cy="15430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42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170,964</w:t>
            </w:r>
          </w:p>
        </w:tc>
        <w:tc>
          <w:tcPr>
            <w:tcW w:w="48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13,826</w:t>
            </w:r>
          </w:p>
        </w:tc>
        <w:tc>
          <w:tcPr>
            <w:tcW w:w="40" w:type="dxa"/>
            <w:vAlign w:val="bottom"/>
          </w:tcPr>
          <w:p>
            <w:pPr>
              <w:spacing w:after="0"/>
              <w:rPr>
                <w:sz w:val="18"/>
                <w:szCs w:val="18"/>
                <w:color w:val="auto"/>
              </w:rPr>
            </w:pPr>
          </w:p>
        </w:tc>
      </w:tr>
      <w:tr>
        <w:trPr>
          <w:trHeight w:val="216"/>
        </w:trPr>
        <w:tc>
          <w:tcPr>
            <w:tcW w:w="42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218</w:t>
            </w:r>
          </w:p>
        </w:tc>
        <w:tc>
          <w:tcPr>
            <w:tcW w:w="48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9</w:t>
            </w:r>
          </w:p>
        </w:tc>
        <w:tc>
          <w:tcPr>
            <w:tcW w:w="40" w:type="dxa"/>
            <w:vAlign w:val="bottom"/>
          </w:tcPr>
          <w:p>
            <w:pPr>
              <w:spacing w:after="0"/>
              <w:rPr>
                <w:sz w:val="18"/>
                <w:szCs w:val="18"/>
                <w:color w:val="auto"/>
              </w:rPr>
            </w:pPr>
          </w:p>
        </w:tc>
      </w:tr>
      <w:tr>
        <w:trPr>
          <w:trHeight w:val="216"/>
        </w:trPr>
        <w:tc>
          <w:tcPr>
            <w:tcW w:w="42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2,962</w:t>
            </w:r>
          </w:p>
        </w:tc>
        <w:tc>
          <w:tcPr>
            <w:tcW w:w="480" w:type="dxa"/>
            <w:vAlign w:val="bottom"/>
          </w:tcPr>
          <w:p>
            <w:pPr>
              <w:spacing w:after="0"/>
              <w:rPr>
                <w:sz w:val="18"/>
                <w:szCs w:val="18"/>
                <w:color w:val="auto"/>
              </w:rPr>
            </w:pPr>
          </w:p>
        </w:tc>
        <w:tc>
          <w:tcPr>
            <w:tcW w:w="94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r>
      <w:tr>
        <w:trPr>
          <w:trHeight w:val="244"/>
        </w:trPr>
        <w:tc>
          <w:tcPr>
            <w:tcW w:w="420" w:type="dxa"/>
            <w:vAlign w:val="bottom"/>
          </w:tcPr>
          <w:p>
            <w:pPr>
              <w:spacing w:after="0"/>
              <w:rPr>
                <w:sz w:val="21"/>
                <w:szCs w:val="21"/>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(2,962)</w:t>
            </w:r>
          </w:p>
        </w:tc>
        <w:tc>
          <w:tcPr>
            <w:tcW w:w="480" w:type="dxa"/>
            <w:vAlign w:val="bottom"/>
          </w:tcPr>
          <w:p>
            <w:pPr>
              <w:spacing w:after="0"/>
              <w:rPr>
                <w:sz w:val="21"/>
                <w:szCs w:val="21"/>
                <w:color w:val="auto"/>
              </w:rPr>
            </w:pPr>
          </w:p>
        </w:tc>
        <w:tc>
          <w:tcPr>
            <w:tcW w:w="94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r>
      <w:tr>
        <w:trPr>
          <w:trHeight w:val="210"/>
        </w:trPr>
        <w:tc>
          <w:tcPr>
            <w:tcW w:w="42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171,182</w:t>
            </w:r>
          </w:p>
        </w:tc>
        <w:tc>
          <w:tcPr>
            <w:tcW w:w="220" w:type="dxa"/>
            <w:vAlign w:val="bottom"/>
          </w:tcPr>
          <w:p>
            <w:pPr>
              <w:spacing w:after="0"/>
              <w:rPr>
                <w:sz w:val="18"/>
                <w:szCs w:val="18"/>
                <w:color w:val="auto"/>
              </w:rPr>
            </w:pPr>
          </w:p>
        </w:tc>
        <w:tc>
          <w:tcPr>
            <w:tcW w:w="48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13,835</w:t>
            </w:r>
          </w:p>
        </w:tc>
        <w:tc>
          <w:tcPr>
            <w:tcW w:w="20" w:type="dxa"/>
            <w:vAlign w:val="bottom"/>
            <w:tcBorders>
              <w:bottom w:val="single" w:sz="8" w:color="auto"/>
            </w:tcBorders>
          </w:tcPr>
          <w:p>
            <w:pPr>
              <w:spacing w:after="0"/>
              <w:rPr>
                <w:sz w:val="18"/>
                <w:szCs w:val="18"/>
                <w:color w:val="auto"/>
              </w:rPr>
            </w:pPr>
          </w:p>
        </w:tc>
        <w:tc>
          <w:tcPr>
            <w:tcW w:w="40" w:type="dxa"/>
            <w:vAlign w:val="bottom"/>
          </w:tcPr>
          <w:p>
            <w:pPr>
              <w:spacing w:after="0"/>
              <w:rPr>
                <w:sz w:val="18"/>
                <w:szCs w:val="18"/>
                <w:color w:val="auto"/>
              </w:rPr>
            </w:pPr>
          </w:p>
        </w:tc>
      </w:tr>
      <w:tr>
        <w:trPr>
          <w:trHeight w:val="452"/>
        </w:trPr>
        <w:tc>
          <w:tcPr>
            <w:tcW w:w="420" w:type="dxa"/>
            <w:vAlign w:val="bottom"/>
          </w:tcPr>
          <w:p>
            <w:pPr>
              <w:spacing w:after="0"/>
              <w:rPr>
                <w:sz w:val="24"/>
                <w:szCs w:val="24"/>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6,919</w:t>
            </w:r>
          </w:p>
        </w:tc>
        <w:tc>
          <w:tcPr>
            <w:tcW w:w="480" w:type="dxa"/>
            <w:vAlign w:val="bottom"/>
          </w:tcPr>
          <w:p>
            <w:pPr>
              <w:spacing w:after="0"/>
              <w:rPr>
                <w:sz w:val="24"/>
                <w:szCs w:val="24"/>
                <w:color w:val="auto"/>
              </w:rPr>
            </w:pPr>
          </w:p>
        </w:tc>
        <w:tc>
          <w:tcPr>
            <w:tcW w:w="940" w:type="dxa"/>
            <w:vAlign w:val="bottom"/>
            <w:gridSpan w:val="3"/>
          </w:tcPr>
          <w:p>
            <w:pPr>
              <w:jc w:val="right"/>
              <w:spacing w:after="0"/>
              <w:rPr>
                <w:sz w:val="20"/>
                <w:szCs w:val="20"/>
                <w:color w:val="auto"/>
              </w:rPr>
            </w:pPr>
            <w:r>
              <w:rPr>
                <w:rFonts w:ascii="Arial" w:cs="Arial" w:eastAsia="Arial" w:hAnsi="Arial"/>
                <w:sz w:val="18"/>
                <w:szCs w:val="18"/>
                <w:color w:val="auto"/>
              </w:rPr>
              <w:t>(7,724)</w:t>
            </w:r>
          </w:p>
        </w:tc>
      </w:tr>
      <w:tr>
        <w:trPr>
          <w:trHeight w:val="230"/>
        </w:trPr>
        <w:tc>
          <w:tcPr>
            <w:tcW w:w="420" w:type="dxa"/>
            <w:vAlign w:val="bottom"/>
          </w:tcPr>
          <w:p>
            <w:pPr>
              <w:spacing w:after="0"/>
              <w:rPr>
                <w:sz w:val="20"/>
                <w:szCs w:val="20"/>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11,232</w:t>
            </w:r>
          </w:p>
        </w:tc>
        <w:tc>
          <w:tcPr>
            <w:tcW w:w="480" w:type="dxa"/>
            <w:vAlign w:val="bottom"/>
          </w:tcPr>
          <w:p>
            <w:pPr>
              <w:spacing w:after="0"/>
              <w:rPr>
                <w:sz w:val="20"/>
                <w:szCs w:val="20"/>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24,310</w:t>
            </w:r>
          </w:p>
        </w:tc>
        <w:tc>
          <w:tcPr>
            <w:tcW w:w="40" w:type="dxa"/>
            <w:vAlign w:val="bottom"/>
          </w:tcPr>
          <w:p>
            <w:pPr>
              <w:spacing w:after="0"/>
              <w:rPr>
                <w:sz w:val="20"/>
                <w:szCs w:val="20"/>
                <w:color w:val="auto"/>
              </w:rPr>
            </w:pPr>
          </w:p>
        </w:tc>
      </w:tr>
      <w:tr>
        <w:trPr>
          <w:trHeight w:val="223"/>
        </w:trPr>
        <w:tc>
          <w:tcPr>
            <w:tcW w:w="420" w:type="dxa"/>
            <w:vAlign w:val="bottom"/>
            <w:tcBorders>
              <w:top w:val="single" w:sz="8" w:color="auto"/>
              <w:bottom w:val="single" w:sz="8" w:color="auto"/>
            </w:tcBorders>
          </w:tcPr>
          <w:p>
            <w:pPr>
              <w:jc w:val="right"/>
              <w:ind w:right="267"/>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18,151</w:t>
            </w:r>
          </w:p>
        </w:tc>
        <w:tc>
          <w:tcPr>
            <w:tcW w:w="220" w:type="dxa"/>
            <w:vAlign w:val="bottom"/>
          </w:tcPr>
          <w:p>
            <w:pPr>
              <w:spacing w:after="0"/>
              <w:rPr>
                <w:sz w:val="19"/>
                <w:szCs w:val="19"/>
                <w:color w:val="auto"/>
              </w:rPr>
            </w:pPr>
          </w:p>
        </w:tc>
        <w:tc>
          <w:tcPr>
            <w:tcW w:w="4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16,586</w:t>
            </w:r>
          </w:p>
        </w:tc>
        <w:tc>
          <w:tcPr>
            <w:tcW w:w="40" w:type="dxa"/>
            <w:vAlign w:val="bottom"/>
          </w:tcPr>
          <w:p>
            <w:pPr>
              <w:spacing w:after="0"/>
              <w:rPr>
                <w:sz w:val="19"/>
                <w:szCs w:val="19"/>
                <w:color w:val="auto"/>
              </w:rPr>
            </w:pPr>
          </w:p>
        </w:tc>
      </w:tr>
      <w:tr>
        <w:trPr>
          <w:trHeight w:val="20"/>
        </w:trPr>
        <w:tc>
          <w:tcPr>
            <w:tcW w:w="4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7500" w:space="720"/>
            <w:col w:w="3020"/>
          </w:cols>
          <w:pgMar w:left="320" w:top="904" w:right="339" w:bottom="1440" w:gutter="0" w:footer="0" w:header="0"/>
          <w:type w:val="continuous"/>
        </w:sectPr>
      </w:pPr>
    </w:p>
    <w:p>
      <w:pPr>
        <w:spacing w:after="0" w:line="5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380" w:type="dxa"/>
            <w:vAlign w:val="bottom"/>
          </w:tcPr>
          <w:p>
            <w:pPr>
              <w:spacing w:after="0"/>
              <w:rPr>
                <w:sz w:val="20"/>
                <w:szCs w:val="20"/>
                <w:color w:val="auto"/>
              </w:rPr>
            </w:pPr>
            <w:r>
              <w:rPr>
                <w:rFonts w:ascii="Arial" w:cs="Arial" w:eastAsia="Arial" w:hAnsi="Arial"/>
                <w:sz w:val="18"/>
                <w:szCs w:val="18"/>
                <w:i w:val="1"/>
                <w:iCs w:val="1"/>
                <w:color w:val="auto"/>
              </w:rPr>
              <w:t>Non-cash Investing Activities</w:t>
            </w:r>
          </w:p>
        </w:tc>
        <w:tc>
          <w:tcPr>
            <w:tcW w:w="34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230"/>
        </w:trPr>
        <w:tc>
          <w:tcPr>
            <w:tcW w:w="5380" w:type="dxa"/>
            <w:vAlign w:val="bottom"/>
          </w:tcPr>
          <w:p>
            <w:pPr>
              <w:ind w:left="180"/>
              <w:spacing w:after="0"/>
              <w:rPr>
                <w:sz w:val="20"/>
                <w:szCs w:val="20"/>
                <w:color w:val="auto"/>
              </w:rPr>
            </w:pPr>
            <w:r>
              <w:rPr>
                <w:rFonts w:ascii="Arial" w:cs="Arial" w:eastAsia="Arial" w:hAnsi="Arial"/>
                <w:sz w:val="18"/>
                <w:szCs w:val="18"/>
                <w:color w:val="auto"/>
              </w:rPr>
              <w:t>Accrued construction in progress</w:t>
            </w:r>
          </w:p>
        </w:tc>
        <w:tc>
          <w:tcPr>
            <w:tcW w:w="3460" w:type="dxa"/>
            <w:vAlign w:val="bottom"/>
          </w:tcPr>
          <w:p>
            <w:pPr>
              <w:jc w:val="right"/>
              <w:ind w:right="45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63</w:t>
            </w:r>
          </w:p>
        </w:tc>
        <w:tc>
          <w:tcPr>
            <w:tcW w:w="740" w:type="dxa"/>
            <w:vAlign w:val="bottom"/>
          </w:tcPr>
          <w:p>
            <w:pPr>
              <w:jc w:val="right"/>
              <w:ind w:right="450"/>
              <w:spacing w:after="0"/>
              <w:rPr>
                <w:sz w:val="20"/>
                <w:szCs w:val="20"/>
                <w:color w:val="auto"/>
              </w:rPr>
            </w:pPr>
            <w:r>
              <w:rPr>
                <w:rFonts w:ascii="Arial" w:cs="Arial" w:eastAsia="Arial" w:hAnsi="Arial"/>
                <w:sz w:val="18"/>
                <w:szCs w:val="18"/>
                <w:color w:val="auto"/>
              </w:rPr>
              <w:t>$</w:t>
            </w:r>
          </w:p>
        </w:tc>
        <w:tc>
          <w:tcPr>
            <w:tcW w:w="720" w:type="dxa"/>
            <w:vAlign w:val="bottom"/>
          </w:tcPr>
          <w:p>
            <w:pPr>
              <w:ind w:left="540"/>
              <w:spacing w:after="0"/>
              <w:rPr>
                <w:sz w:val="20"/>
                <w:szCs w:val="20"/>
                <w:color w:val="auto"/>
              </w:rPr>
            </w:pPr>
            <w:r>
              <w:rPr>
                <w:rFonts w:ascii="Arial" w:cs="Arial" w:eastAsia="Arial" w:hAnsi="Arial"/>
                <w:sz w:val="18"/>
                <w:szCs w:val="18"/>
                <w:color w:val="auto"/>
                <w:w w:val="88"/>
              </w:rPr>
              <w:t>—</w:t>
            </w: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unaudited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type w:val="continuous"/>
        </w:sectPr>
      </w:pPr>
    </w:p>
    <w:bookmarkStart w:id="5" w:name="page6"/>
    <w:bookmarkEnd w:id="5"/>
    <w:p>
      <w:pPr>
        <w:jc w:val="center"/>
        <w:ind w:right="-19"/>
        <w:spacing w:after="0"/>
        <w:rPr>
          <w:sz w:val="20"/>
          <w:szCs w:val="20"/>
          <w:color w:val="auto"/>
        </w:rPr>
      </w:pPr>
      <w:r>
        <w:rPr>
          <w:rFonts w:ascii="Arial" w:cs="Arial" w:eastAsia="Arial" w:hAnsi="Arial"/>
          <w:sz w:val="18"/>
          <w:szCs w:val="18"/>
          <w:b w:val="1"/>
          <w:bCs w:val="1"/>
          <w:color w:val="auto"/>
        </w:rPr>
        <w:t>CELLDEX THERAPEUTICS,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September 30, 2020</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Basis of Presentation</w:t>
      </w:r>
    </w:p>
    <w:p>
      <w:pPr>
        <w:spacing w:after="0" w:line="229" w:lineRule="exact"/>
        <w:rPr>
          <w:sz w:val="20"/>
          <w:szCs w:val="20"/>
          <w:color w:val="auto"/>
        </w:rPr>
      </w:pPr>
    </w:p>
    <w:p>
      <w:pPr>
        <w:jc w:val="both"/>
        <w:ind w:right="160" w:firstLine="648"/>
        <w:spacing w:after="0" w:line="286" w:lineRule="auto"/>
        <w:rPr>
          <w:sz w:val="20"/>
          <w:szCs w:val="20"/>
          <w:color w:val="auto"/>
        </w:rPr>
      </w:pPr>
      <w:r>
        <w:rPr>
          <w:rFonts w:ascii="Arial" w:cs="Arial" w:eastAsia="Arial" w:hAnsi="Arial"/>
          <w:sz w:val="17"/>
          <w:szCs w:val="17"/>
          <w:color w:val="auto"/>
        </w:rPr>
        <w:t>The accompanying unaudited condensed consolidated financial statements have been prepared by Celldex Therapeutics, Inc. (the “Company” or “Celldex”) in accordance with accounting principles generally accepted in the United States of America (“U.S. GAAP”) and reflect the operations of the Company and its wholly-owned subsidiary. All intercompany balances and transactions have been eliminated in consolidation.</w:t>
      </w:r>
    </w:p>
    <w:p>
      <w:pPr>
        <w:spacing w:after="0" w:line="165" w:lineRule="exact"/>
        <w:rPr>
          <w:sz w:val="20"/>
          <w:szCs w:val="20"/>
          <w:color w:val="auto"/>
        </w:rPr>
      </w:pPr>
    </w:p>
    <w:p>
      <w:pPr>
        <w:ind w:right="140" w:firstLine="648"/>
        <w:spacing w:after="0" w:line="255" w:lineRule="auto"/>
        <w:rPr>
          <w:sz w:val="20"/>
          <w:szCs w:val="20"/>
          <w:color w:val="auto"/>
        </w:rPr>
      </w:pPr>
      <w:r>
        <w:rPr>
          <w:rFonts w:ascii="Arial" w:cs="Arial" w:eastAsia="Arial" w:hAnsi="Arial"/>
          <w:sz w:val="18"/>
          <w:szCs w:val="18"/>
          <w:color w:val="auto"/>
        </w:rPr>
        <w:t>These interim financial statements do not include all the information and footnotes required by U.S. GAAP for annual financial statements and should be read in conjunction with the audited financial statements for the year ended December 31, 2019, which are included in the Company’s Annual Report on Form 10-K filed with the Securities and Exchange Commission on March 26, 2020. In the opinion of management, the interim financial statements reflect all normal recurring adjustments necessary to fairly state the Company’s financial position and results of operations for the interim periods presented. The year-end condensed balance sheet data presented for comparative purposes was derived from audited financial statements but does not include all disclosures required by U.S. GAAP.</w:t>
      </w:r>
    </w:p>
    <w:p>
      <w:pPr>
        <w:spacing w:after="0" w:line="192" w:lineRule="exact"/>
        <w:rPr>
          <w:sz w:val="20"/>
          <w:szCs w:val="20"/>
          <w:color w:val="auto"/>
        </w:rPr>
      </w:pPr>
    </w:p>
    <w:p>
      <w:pPr>
        <w:ind w:right="340" w:firstLine="648"/>
        <w:spacing w:after="0" w:line="277" w:lineRule="auto"/>
        <w:rPr>
          <w:sz w:val="20"/>
          <w:szCs w:val="20"/>
          <w:color w:val="auto"/>
        </w:rPr>
      </w:pPr>
      <w:r>
        <w:rPr>
          <w:rFonts w:ascii="Arial" w:cs="Arial" w:eastAsia="Arial" w:hAnsi="Arial"/>
          <w:sz w:val="18"/>
          <w:szCs w:val="18"/>
          <w:color w:val="auto"/>
        </w:rPr>
        <w:t>The results of operations for the interim periods are not necessarily indicative of the results of operations to be expected for any future interim period or the fiscal year ending December 31, 2020.</w:t>
      </w:r>
    </w:p>
    <w:p>
      <w:pPr>
        <w:spacing w:after="0" w:line="170"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At September 30, 2020, the Company had cash, cash equivalents and marketable securities of $199.6 million. The Company has had recurring losses and incurred a loss of $37.9 million for the nine months ended September 30, 2020. Net cash used in operations for the nine months ended September 30, 2020 was $35.2 million. The Company believes that the cash, cash equivalents and marketable securities at November 5, 2020 will be sufficient to meet estimated working capital requirements and fund planned operations for at least the next twelve months from the date of issuance of these financial statements.</w:t>
      </w:r>
    </w:p>
    <w:p>
      <w:pPr>
        <w:spacing w:after="0" w:line="188" w:lineRule="exact"/>
        <w:rPr>
          <w:sz w:val="20"/>
          <w:szCs w:val="20"/>
          <w:color w:val="auto"/>
        </w:rPr>
      </w:pPr>
    </w:p>
    <w:p>
      <w:pPr>
        <w:ind w:right="100" w:firstLine="648"/>
        <w:spacing w:after="0" w:line="287" w:lineRule="auto"/>
        <w:rPr>
          <w:sz w:val="20"/>
          <w:szCs w:val="20"/>
          <w:color w:val="auto"/>
        </w:rPr>
      </w:pPr>
      <w:r>
        <w:rPr>
          <w:rFonts w:ascii="Arial" w:cs="Arial" w:eastAsia="Arial" w:hAnsi="Arial"/>
          <w:sz w:val="16"/>
          <w:szCs w:val="16"/>
          <w:color w:val="auto"/>
        </w:rPr>
        <w:t>During the next twelve months and beyond, the Company may take further steps to raise additional capital to meet its long-term liquidity needs including, but not limited to, one or more of the following: the licensing of drug candidates with existing or new collaborative partners, possible business combinations, issuance of debt, or the issuance of common stock or other securities via private placements or public offerings. Although the Company has been successful in raising capital in the past, there can be no assurance that additional financing will be available on acceptable terms, if at all, and the Company’s negotiating position in capital-raising efforts may worsen as existing resources are used. There is also no assurance that the Company will be able to enter into further collaborative relationships. Additional equity financings may be dilutive to the Company’s stockholders; debt financing, if available, may involve significant cash payment obligations and covenants that restrict the Company’s ability to operate as a business; and licensing or strategic collaborations may result in royalties or other terms which reduce the Company’s economic potential from products under development. The Company’s ability to continue funding its planned operations beyond twelve months from the issuance date is also dependent on the timing and manner of payment of contingent milestones from the Kolltan acquisition, in the event that the Company achieves the drug candidate milestones related to those payments. The Company, at its option, may decide to pay those milestone payments in cash, shares of its common stock or a combination thereof.</w:t>
      </w: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6" w:name="page7"/>
    <w:bookmarkEnd w:id="6"/>
    <w:p>
      <w:pPr>
        <w:ind w:right="20" w:firstLine="648"/>
        <w:spacing w:after="0" w:line="287" w:lineRule="auto"/>
        <w:rPr>
          <w:sz w:val="20"/>
          <w:szCs w:val="20"/>
          <w:color w:val="auto"/>
        </w:rPr>
      </w:pPr>
      <w:r>
        <w:rPr>
          <w:rFonts w:ascii="Arial" w:cs="Arial" w:eastAsia="Arial" w:hAnsi="Arial"/>
          <w:sz w:val="16"/>
          <w:szCs w:val="16"/>
          <w:color w:val="auto"/>
        </w:rPr>
        <w:t>In December 2019, a novel strain of coronavirus, now referred to as COVID-19, surfaced in Wuhan, China. The virus continues to spread globally, has been declared a pandemic by the World Health Organization and has spread to hundreds of countries, including the United States. The impact of this pandemic has been and will likely continue to be extensive in many aspects of society, which has resulted in and will likely continue to result in significant disruptions to the global economy, as well as businesses and capital markets around the world. In an effort to halt the outbreak of COVID-19, various states, including New Jersey, Massachusetts and Connecticut, where the Company has office, research and manufacturing facilities, have placed significant restrictions on travel and many businesses have announced extended closures which could adversely impact our operations. To date, the Company has not experienced significant delays or disruptions in planned and ongoing preclinical and clinical trials, manufacturing or shipping. Potential impacts to our business include delays in planned and ongoing preclinical and clinical trials including enrollment of patients, disruptions in time and resources provided by independent clinical investigators, contract research organizations, other third-party service providers, temporary closures of our facilities, disruptions or restrictions on our employees’ ability to travel, and delays in manufacturing and/or shipments to and from third party suppliers and contract manufacturers for APIs and drug product. Any prolonged negative impacts to our business could materially impact our operating results and could lead to impairments of our Intangible (IPR&amp;D) assets with a carrying value of $45.2 million at September 30, 2020.</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Significant Accounting Policies</w:t>
      </w:r>
    </w:p>
    <w:p>
      <w:pPr>
        <w:spacing w:after="0" w:line="229" w:lineRule="exact"/>
        <w:rPr>
          <w:sz w:val="20"/>
          <w:szCs w:val="20"/>
          <w:color w:val="auto"/>
        </w:rPr>
      </w:pPr>
    </w:p>
    <w:p>
      <w:pPr>
        <w:ind w:right="20" w:firstLine="630"/>
        <w:spacing w:after="0" w:line="311" w:lineRule="auto"/>
        <w:rPr>
          <w:sz w:val="20"/>
          <w:szCs w:val="20"/>
          <w:color w:val="auto"/>
        </w:rPr>
      </w:pPr>
      <w:r>
        <w:rPr>
          <w:rFonts w:ascii="Arial" w:cs="Arial" w:eastAsia="Arial" w:hAnsi="Arial"/>
          <w:sz w:val="16"/>
          <w:szCs w:val="16"/>
          <w:color w:val="auto"/>
        </w:rPr>
        <w:t>The significant accounting policies used in preparation of these condensed consolidated financial statements on Form 10-Q for the three and nine months ended September 30, 2020 are consistent with those discussed in Note 2 to the financial statements in our Annual Report on Form 10-K for the year ended December 31, 2019, except as it relates to the adoption of new accounting standards during the first nine months of 2020 as discussed below.</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Newly Adopted Accounting Pronouncements</w:t>
      </w:r>
    </w:p>
    <w:p>
      <w:pPr>
        <w:spacing w:after="0" w:line="225"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On January 1, 2020, the Company adopted a new accounting standard that modifies certain disclosure requirements for fair value measurements. For instance, the Company is required to disclose weighted average information for significant unobservable inputs for all Level 3 fair value measurements. The adoption of this new guidance did not have a material impact on the Company’s consolidated financial statements and related disclosures. Refer to Note 3 for the disclosures related to the Company’s level 3 fair value measurements.</w:t>
      </w:r>
    </w:p>
    <w:p>
      <w:pPr>
        <w:spacing w:after="0" w:line="187"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On January 1, 2020, the Company adopted a new accounting standard that clarifies the interaction between the accounting guidance for collaborative arrangements and revenue from contracts with customers. The amendments clarify that certain transactions between collaborative arrangement participants should be accounted for as revenue under ASC 606, when the collaborative arrangement participant is a customer in the context of a unit of account. The adoption of this standard did not have a material impact on our consolidated financial statements, as we have no arrangements within the scope of ASC 808.</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 Accounting Pronouncements</w:t>
      </w:r>
    </w:p>
    <w:p>
      <w:pPr>
        <w:spacing w:after="0" w:line="225" w:lineRule="exact"/>
        <w:rPr>
          <w:sz w:val="20"/>
          <w:szCs w:val="20"/>
          <w:color w:val="auto"/>
        </w:rPr>
      </w:pPr>
    </w:p>
    <w:p>
      <w:pPr>
        <w:jc w:val="both"/>
        <w:ind w:right="100" w:firstLine="648"/>
        <w:spacing w:after="0" w:line="263" w:lineRule="auto"/>
        <w:rPr>
          <w:sz w:val="20"/>
          <w:szCs w:val="20"/>
          <w:color w:val="auto"/>
        </w:rPr>
      </w:pPr>
      <w:r>
        <w:rPr>
          <w:rFonts w:ascii="Arial" w:cs="Arial" w:eastAsia="Arial" w:hAnsi="Arial"/>
          <w:sz w:val="18"/>
          <w:szCs w:val="18"/>
          <w:color w:val="auto"/>
        </w:rPr>
        <w:t>From time to time, new accounting pronouncements are issued by the FASB or other standard setting bodies that are adopted by the Company as of the specified effective date. Unless otherwise discussed, the Company believes that the impact of recently issued standards that are not yet effective will not have a material impact on the Company’s consolidated financial statements upon adoption.</w:t>
      </w:r>
    </w:p>
    <w:p>
      <w:pPr>
        <w:spacing w:after="0" w:line="184" w:lineRule="exact"/>
        <w:rPr>
          <w:sz w:val="20"/>
          <w:szCs w:val="20"/>
          <w:color w:val="auto"/>
        </w:rPr>
      </w:pPr>
    </w:p>
    <w:p>
      <w:pPr>
        <w:ind w:right="60" w:firstLine="648"/>
        <w:spacing w:after="0" w:line="275" w:lineRule="auto"/>
        <w:rPr>
          <w:sz w:val="20"/>
          <w:szCs w:val="20"/>
          <w:color w:val="auto"/>
        </w:rPr>
      </w:pPr>
      <w:r>
        <w:rPr>
          <w:rFonts w:ascii="Arial" w:cs="Arial" w:eastAsia="Arial" w:hAnsi="Arial"/>
          <w:sz w:val="17"/>
          <w:szCs w:val="17"/>
          <w:color w:val="auto"/>
        </w:rPr>
        <w:t>In June 2016, the FASB issued guidance on the Measurement of Credit Losses on Financial Instruments. The guidance requires that credit losses be reported using an expected losses model rather than the incurred losses model that is currently used, and establishes additional disclosures related to credit risks. For available-for-sale debt securities with unrealized losses, the standard now requires allowances to be recorded instead of reducing the amortized cost of the investment. This standard will be effective for the Company on January 1, 2023. We are currently evaluating the potential impact that this standard may have on the Company’s consolidated financial statements and related disclosures.</w:t>
      </w: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34"/>
        </w:trPr>
        <w:tc>
          <w:tcPr>
            <w:tcW w:w="5080" w:type="dxa"/>
            <w:vAlign w:val="bottom"/>
          </w:tcPr>
          <w:p>
            <w:pPr>
              <w:spacing w:after="0"/>
              <w:rPr>
                <w:sz w:val="20"/>
                <w:szCs w:val="20"/>
                <w:color w:val="auto"/>
              </w:rPr>
            </w:pPr>
            <w:r>
              <w:rPr>
                <w:rFonts w:ascii="Arial" w:cs="Arial" w:eastAsia="Arial" w:hAnsi="Arial"/>
                <w:sz w:val="18"/>
                <w:szCs w:val="18"/>
                <w:b w:val="1"/>
                <w:bCs w:val="1"/>
                <w:color w:val="auto"/>
              </w:rPr>
              <w:t>(3) Fair Value Measurements</w:t>
            </w:r>
          </w:p>
        </w:tc>
        <w:tc>
          <w:tcPr>
            <w:tcW w:w="10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8740" w:type="dxa"/>
            <w:vAlign w:val="bottom"/>
            <w:gridSpan w:val="7"/>
          </w:tcPr>
          <w:p>
            <w:pPr>
              <w:jc w:val="right"/>
              <w:ind w:right="7"/>
              <w:spacing w:after="0"/>
              <w:rPr>
                <w:sz w:val="20"/>
                <w:szCs w:val="20"/>
                <w:color w:val="auto"/>
              </w:rPr>
            </w:pPr>
            <w:r>
              <w:rPr>
                <w:rFonts w:ascii="Arial" w:cs="Arial" w:eastAsia="Arial" w:hAnsi="Arial"/>
                <w:sz w:val="18"/>
                <w:szCs w:val="18"/>
                <w:color w:val="auto"/>
                <w:w w:val="98"/>
              </w:rPr>
              <w:t>The following tables set forth the Company’s financial assets and liabilities subject to fair value measurements:</w:t>
            </w: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4"/>
        </w:trPr>
        <w:tc>
          <w:tcPr>
            <w:tcW w:w="5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8"/>
              </w:rPr>
              <w:t>As of</w:t>
            </w:r>
          </w:p>
        </w:tc>
        <w:tc>
          <w:tcPr>
            <w:tcW w:w="1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4"/>
        </w:trPr>
        <w:tc>
          <w:tcPr>
            <w:tcW w:w="5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9"/>
              </w:rPr>
              <w:t>September 30, 2020</w:t>
            </w:r>
          </w:p>
        </w:tc>
        <w:tc>
          <w:tcPr>
            <w:tcW w:w="1440" w:type="dxa"/>
            <w:vAlign w:val="bottom"/>
            <w:gridSpan w:val="2"/>
          </w:tcPr>
          <w:p>
            <w:pPr>
              <w:ind w:left="340"/>
              <w:spacing w:after="0"/>
              <w:rPr>
                <w:sz w:val="20"/>
                <w:szCs w:val="20"/>
                <w:color w:val="auto"/>
              </w:rPr>
            </w:pPr>
            <w:r>
              <w:rPr>
                <w:rFonts w:ascii="Arial" w:cs="Arial" w:eastAsia="Arial" w:hAnsi="Arial"/>
                <w:sz w:val="18"/>
                <w:szCs w:val="18"/>
                <w:b w:val="1"/>
                <w:bCs w:val="1"/>
                <w:color w:val="auto"/>
              </w:rPr>
              <w:t>Level 1</w:t>
            </w:r>
          </w:p>
        </w:tc>
        <w:tc>
          <w:tcPr>
            <w:tcW w:w="280" w:type="dxa"/>
            <w:vAlign w:val="bottom"/>
          </w:tcPr>
          <w:p>
            <w:pPr>
              <w:spacing w:after="0"/>
              <w:rPr>
                <w:sz w:val="20"/>
                <w:szCs w:val="20"/>
                <w:color w:val="auto"/>
              </w:rPr>
            </w:pPr>
          </w:p>
        </w:tc>
        <w:tc>
          <w:tcPr>
            <w:tcW w:w="106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w w:val="98"/>
              </w:rPr>
              <w:t>Level 2</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gridSpan w:val="2"/>
          </w:tcPr>
          <w:p>
            <w:pPr>
              <w:ind w:left="120"/>
              <w:spacing w:after="0"/>
              <w:rPr>
                <w:sz w:val="20"/>
                <w:szCs w:val="20"/>
                <w:color w:val="auto"/>
              </w:rPr>
            </w:pPr>
            <w:r>
              <w:rPr>
                <w:rFonts w:ascii="Arial" w:cs="Arial" w:eastAsia="Arial" w:hAnsi="Arial"/>
                <w:sz w:val="18"/>
                <w:szCs w:val="18"/>
                <w:b w:val="1"/>
                <w:bCs w:val="1"/>
                <w:color w:val="auto"/>
              </w:rPr>
              <w:t>Level 3</w:t>
            </w:r>
          </w:p>
        </w:tc>
      </w:tr>
      <w:tr>
        <w:trPr>
          <w:trHeight w:val="223"/>
        </w:trPr>
        <w:tc>
          <w:tcPr>
            <w:tcW w:w="50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600" w:type="dxa"/>
            <w:vAlign w:val="bottom"/>
            <w:tcBorders>
              <w:top w:val="single" w:sz="8" w:color="auto"/>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720" w:type="dxa"/>
            <w:vAlign w:val="bottom"/>
            <w:tcBorders>
              <w:top w:val="single" w:sz="8" w:color="auto"/>
            </w:tcBorders>
            <w:gridSpan w:val="3"/>
          </w:tcPr>
          <w:p>
            <w:pPr>
              <w:jc w:val="right"/>
              <w:ind w:right="7"/>
              <w:spacing w:after="0"/>
              <w:rPr>
                <w:sz w:val="20"/>
                <w:szCs w:val="20"/>
                <w:color w:val="auto"/>
              </w:rPr>
            </w:pPr>
            <w:r>
              <w:rPr>
                <w:rFonts w:ascii="Arial" w:cs="Arial" w:eastAsia="Arial" w:hAnsi="Arial"/>
                <w:sz w:val="18"/>
                <w:szCs w:val="18"/>
                <w:b w:val="1"/>
                <w:bCs w:val="1"/>
                <w:color w:val="auto"/>
              </w:rPr>
              <w:t>(In thousands)</w:t>
            </w:r>
          </w:p>
        </w:tc>
        <w:tc>
          <w:tcPr>
            <w:tcW w:w="94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43"/>
        </w:trPr>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Assets:</w:t>
            </w:r>
          </w:p>
        </w:tc>
        <w:tc>
          <w:tcPr>
            <w:tcW w:w="100" w:type="dxa"/>
            <w:vAlign w:val="bottom"/>
            <w:shd w:val="clear" w:color="auto" w:fill="CCEEFF"/>
          </w:tcPr>
          <w:p>
            <w:pPr>
              <w:spacing w:after="0"/>
              <w:rPr>
                <w:sz w:val="21"/>
                <w:szCs w:val="21"/>
                <w:color w:val="auto"/>
              </w:rPr>
            </w:pPr>
          </w:p>
        </w:tc>
        <w:tc>
          <w:tcPr>
            <w:tcW w:w="16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r>
      <w:tr>
        <w:trPr>
          <w:trHeight w:val="216"/>
        </w:trPr>
        <w:tc>
          <w:tcPr>
            <w:tcW w:w="5080" w:type="dxa"/>
            <w:vAlign w:val="bottom"/>
          </w:tcPr>
          <w:p>
            <w:pPr>
              <w:ind w:left="180"/>
              <w:spacing w:after="0"/>
              <w:rPr>
                <w:sz w:val="20"/>
                <w:szCs w:val="20"/>
                <w:color w:val="auto"/>
              </w:rPr>
            </w:pPr>
            <w:r>
              <w:rPr>
                <w:rFonts w:ascii="Arial" w:cs="Arial" w:eastAsia="Arial" w:hAnsi="Arial"/>
                <w:sz w:val="18"/>
                <w:szCs w:val="18"/>
                <w:color w:val="auto"/>
              </w:rPr>
              <w:t>Money market funds and cash equivalents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840" w:type="dxa"/>
            <w:vAlign w:val="bottom"/>
            <w:gridSpan w:val="2"/>
          </w:tcPr>
          <w:p>
            <w:pPr>
              <w:jc w:val="right"/>
              <w:ind w:right="240"/>
              <w:spacing w:after="0"/>
              <w:rPr>
                <w:sz w:val="20"/>
                <w:szCs w:val="20"/>
                <w:color w:val="auto"/>
              </w:rPr>
            </w:pPr>
            <w:r>
              <w:rPr>
                <w:rFonts w:ascii="Arial" w:cs="Arial" w:eastAsia="Arial" w:hAnsi="Arial"/>
                <w:sz w:val="18"/>
                <w:szCs w:val="18"/>
                <w:color w:val="auto"/>
              </w:rPr>
              <w:t>12,152</w:t>
            </w:r>
          </w:p>
        </w:tc>
        <w:tc>
          <w:tcPr>
            <w:tcW w:w="1440" w:type="dxa"/>
            <w:vAlign w:val="bottom"/>
            <w:gridSpan w:val="2"/>
          </w:tcPr>
          <w:p>
            <w:pPr>
              <w:ind w:left="104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127"/>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12,152</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30"/>
        </w:trPr>
        <w:tc>
          <w:tcPr>
            <w:tcW w:w="50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Marketable securities</w:t>
            </w:r>
          </w:p>
        </w:tc>
        <w:tc>
          <w:tcPr>
            <w:tcW w:w="100" w:type="dxa"/>
            <w:vAlign w:val="bottom"/>
            <w:shd w:val="clear" w:color="auto" w:fill="CCEEFF"/>
          </w:tcPr>
          <w:p>
            <w:pPr>
              <w:spacing w:after="0"/>
              <w:rPr>
                <w:sz w:val="19"/>
                <w:szCs w:val="19"/>
                <w:color w:val="auto"/>
              </w:rPr>
            </w:pPr>
          </w:p>
        </w:tc>
        <w:tc>
          <w:tcPr>
            <w:tcW w:w="1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181,443</w:t>
            </w:r>
          </w:p>
        </w:tc>
        <w:tc>
          <w:tcPr>
            <w:tcW w:w="1440" w:type="dxa"/>
            <w:vAlign w:val="bottom"/>
            <w:gridSpan w:val="2"/>
            <w:shd w:val="clear" w:color="auto" w:fill="CCEEFF"/>
          </w:tcPr>
          <w:p>
            <w:pPr>
              <w:ind w:left="10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181,443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0"/>
        </w:trPr>
        <w:tc>
          <w:tcPr>
            <w:tcW w:w="50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6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90"/>
        </w:trPr>
        <w:tc>
          <w:tcPr>
            <w:tcW w:w="508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840" w:type="dxa"/>
            <w:vAlign w:val="bottom"/>
            <w:gridSpan w:val="2"/>
          </w:tcPr>
          <w:p>
            <w:pPr>
              <w:jc w:val="right"/>
              <w:ind w:right="240"/>
              <w:spacing w:after="0"/>
              <w:rPr>
                <w:sz w:val="20"/>
                <w:szCs w:val="20"/>
                <w:color w:val="auto"/>
              </w:rPr>
            </w:pPr>
            <w:r>
              <w:rPr>
                <w:rFonts w:ascii="Arial" w:cs="Arial" w:eastAsia="Arial" w:hAnsi="Arial"/>
                <w:sz w:val="18"/>
                <w:szCs w:val="18"/>
                <w:color w:val="auto"/>
              </w:rPr>
              <w:t>193,595</w:t>
            </w:r>
          </w:p>
        </w:tc>
        <w:tc>
          <w:tcPr>
            <w:tcW w:w="1440" w:type="dxa"/>
            <w:vAlign w:val="bottom"/>
            <w:gridSpan w:val="2"/>
          </w:tcPr>
          <w:p>
            <w:pPr>
              <w:ind w:left="104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127"/>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193,595</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23"/>
        </w:trPr>
        <w:tc>
          <w:tcPr>
            <w:tcW w:w="50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Liabilities:</w:t>
            </w:r>
          </w:p>
        </w:tc>
        <w:tc>
          <w:tcPr>
            <w:tcW w:w="100" w:type="dxa"/>
            <w:vAlign w:val="bottom"/>
            <w:tcBorders>
              <w:top w:val="single" w:sz="8" w:color="auto"/>
            </w:tcBorders>
            <w:shd w:val="clear" w:color="auto" w:fill="CCEEFF"/>
          </w:tcPr>
          <w:p>
            <w:pPr>
              <w:spacing w:after="0"/>
              <w:rPr>
                <w:sz w:val="19"/>
                <w:szCs w:val="19"/>
                <w:color w:val="auto"/>
              </w:rPr>
            </w:pPr>
          </w:p>
        </w:tc>
        <w:tc>
          <w:tcPr>
            <w:tcW w:w="1600" w:type="dxa"/>
            <w:vAlign w:val="bottom"/>
            <w:tcBorders>
              <w:top w:val="single" w:sz="8" w:color="auto"/>
            </w:tcBorders>
            <w:shd w:val="clear" w:color="auto" w:fill="CCEEFF"/>
          </w:tcPr>
          <w:p>
            <w:pPr>
              <w:spacing w:after="0"/>
              <w:rPr>
                <w:sz w:val="19"/>
                <w:szCs w:val="19"/>
                <w:color w:val="auto"/>
              </w:rPr>
            </w:pPr>
          </w:p>
        </w:tc>
        <w:tc>
          <w:tcPr>
            <w:tcW w:w="240" w:type="dxa"/>
            <w:vAlign w:val="bottom"/>
            <w:tcBorders>
              <w:top w:val="single" w:sz="8" w:color="CCEEFF"/>
            </w:tcBorders>
            <w:shd w:val="clear" w:color="auto" w:fill="CCEEFF"/>
          </w:tcPr>
          <w:p>
            <w:pPr>
              <w:spacing w:after="0"/>
              <w:rPr>
                <w:sz w:val="19"/>
                <w:szCs w:val="19"/>
                <w:color w:val="auto"/>
              </w:rPr>
            </w:pPr>
          </w:p>
        </w:tc>
        <w:tc>
          <w:tcPr>
            <w:tcW w:w="1220" w:type="dxa"/>
            <w:vAlign w:val="bottom"/>
            <w:tcBorders>
              <w:top w:val="single" w:sz="8" w:color="auto"/>
            </w:tcBorders>
            <w:shd w:val="clear" w:color="auto" w:fill="CCEEFF"/>
          </w:tcPr>
          <w:p>
            <w:pPr>
              <w:spacing w:after="0"/>
              <w:rPr>
                <w:sz w:val="19"/>
                <w:szCs w:val="19"/>
                <w:color w:val="auto"/>
              </w:rPr>
            </w:pPr>
          </w:p>
        </w:tc>
        <w:tc>
          <w:tcPr>
            <w:tcW w:w="2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r>
      <w:tr>
        <w:trPr>
          <w:trHeight w:val="229"/>
        </w:trPr>
        <w:tc>
          <w:tcPr>
            <w:tcW w:w="5080" w:type="dxa"/>
            <w:vAlign w:val="bottom"/>
          </w:tcPr>
          <w:p>
            <w:pPr>
              <w:ind w:left="180"/>
              <w:spacing w:after="0"/>
              <w:rPr>
                <w:sz w:val="20"/>
                <w:szCs w:val="20"/>
                <w:color w:val="auto"/>
              </w:rPr>
            </w:pPr>
            <w:r>
              <w:rPr>
                <w:rFonts w:ascii="Arial" w:cs="Arial" w:eastAsia="Arial" w:hAnsi="Arial"/>
                <w:sz w:val="18"/>
                <w:szCs w:val="18"/>
                <w:color w:val="auto"/>
              </w:rPr>
              <w:t>Kolltan acquisition contingent consideration</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840" w:type="dxa"/>
            <w:vAlign w:val="bottom"/>
            <w:gridSpan w:val="2"/>
          </w:tcPr>
          <w:p>
            <w:pPr>
              <w:jc w:val="right"/>
              <w:ind w:right="240"/>
              <w:spacing w:after="0"/>
              <w:rPr>
                <w:sz w:val="20"/>
                <w:szCs w:val="20"/>
                <w:color w:val="auto"/>
              </w:rPr>
            </w:pPr>
            <w:r>
              <w:rPr>
                <w:rFonts w:ascii="Arial" w:cs="Arial" w:eastAsia="Arial" w:hAnsi="Arial"/>
                <w:sz w:val="18"/>
                <w:szCs w:val="18"/>
                <w:color w:val="auto"/>
              </w:rPr>
              <w:t>8,249</w:t>
            </w:r>
          </w:p>
        </w:tc>
        <w:tc>
          <w:tcPr>
            <w:tcW w:w="1440" w:type="dxa"/>
            <w:vAlign w:val="bottom"/>
            <w:gridSpan w:val="2"/>
          </w:tcPr>
          <w:p>
            <w:pPr>
              <w:ind w:left="10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3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8,249</w:t>
            </w:r>
          </w:p>
        </w:tc>
      </w:tr>
      <w:tr>
        <w:trPr>
          <w:trHeight w:val="20"/>
        </w:trPr>
        <w:tc>
          <w:tcPr>
            <w:tcW w:w="50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60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50"/>
        </w:trPr>
        <w:tc>
          <w:tcPr>
            <w:tcW w:w="508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8,249</w:t>
            </w:r>
          </w:p>
        </w:tc>
        <w:tc>
          <w:tcPr>
            <w:tcW w:w="1440" w:type="dxa"/>
            <w:vAlign w:val="bottom"/>
            <w:gridSpan w:val="2"/>
            <w:shd w:val="clear" w:color="auto" w:fill="CCEEFF"/>
          </w:tcPr>
          <w:p>
            <w:pPr>
              <w:ind w:left="10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8,249</w:t>
            </w:r>
          </w:p>
        </w:tc>
      </w:tr>
      <w:tr>
        <w:trPr>
          <w:trHeight w:val="20"/>
        </w:trPr>
        <w:tc>
          <w:tcPr>
            <w:tcW w:w="50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r>
        <w:trPr>
          <w:trHeight w:val="394"/>
        </w:trPr>
        <w:tc>
          <w:tcPr>
            <w:tcW w:w="5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8"/>
              </w:rPr>
              <w:t>As of</w:t>
            </w:r>
          </w:p>
        </w:tc>
        <w:tc>
          <w:tcPr>
            <w:tcW w:w="1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4"/>
        </w:trPr>
        <w:tc>
          <w:tcPr>
            <w:tcW w:w="5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0"/>
              </w:rPr>
              <w:t>December 31, 2019</w:t>
            </w:r>
          </w:p>
        </w:tc>
        <w:tc>
          <w:tcPr>
            <w:tcW w:w="1440" w:type="dxa"/>
            <w:vAlign w:val="bottom"/>
            <w:gridSpan w:val="2"/>
          </w:tcPr>
          <w:p>
            <w:pPr>
              <w:ind w:left="340"/>
              <w:spacing w:after="0"/>
              <w:rPr>
                <w:sz w:val="20"/>
                <w:szCs w:val="20"/>
                <w:color w:val="auto"/>
              </w:rPr>
            </w:pPr>
            <w:r>
              <w:rPr>
                <w:rFonts w:ascii="Arial" w:cs="Arial" w:eastAsia="Arial" w:hAnsi="Arial"/>
                <w:sz w:val="18"/>
                <w:szCs w:val="18"/>
                <w:b w:val="1"/>
                <w:bCs w:val="1"/>
                <w:color w:val="auto"/>
              </w:rPr>
              <w:t>Level 1</w:t>
            </w:r>
          </w:p>
        </w:tc>
        <w:tc>
          <w:tcPr>
            <w:tcW w:w="280" w:type="dxa"/>
            <w:vAlign w:val="bottom"/>
          </w:tcPr>
          <w:p>
            <w:pPr>
              <w:spacing w:after="0"/>
              <w:rPr>
                <w:sz w:val="20"/>
                <w:szCs w:val="20"/>
                <w:color w:val="auto"/>
              </w:rPr>
            </w:pPr>
          </w:p>
        </w:tc>
        <w:tc>
          <w:tcPr>
            <w:tcW w:w="106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w w:val="98"/>
              </w:rPr>
              <w:t>Level 2</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gridSpan w:val="2"/>
          </w:tcPr>
          <w:p>
            <w:pPr>
              <w:ind w:left="120"/>
              <w:spacing w:after="0"/>
              <w:rPr>
                <w:sz w:val="20"/>
                <w:szCs w:val="20"/>
                <w:color w:val="auto"/>
              </w:rPr>
            </w:pPr>
            <w:r>
              <w:rPr>
                <w:rFonts w:ascii="Arial" w:cs="Arial" w:eastAsia="Arial" w:hAnsi="Arial"/>
                <w:sz w:val="18"/>
                <w:szCs w:val="18"/>
                <w:b w:val="1"/>
                <w:bCs w:val="1"/>
                <w:color w:val="auto"/>
              </w:rPr>
              <w:t>Level 3</w:t>
            </w:r>
          </w:p>
        </w:tc>
      </w:tr>
      <w:tr>
        <w:trPr>
          <w:trHeight w:val="223"/>
        </w:trPr>
        <w:tc>
          <w:tcPr>
            <w:tcW w:w="50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600" w:type="dxa"/>
            <w:vAlign w:val="bottom"/>
            <w:tcBorders>
              <w:top w:val="single" w:sz="8" w:color="auto"/>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720" w:type="dxa"/>
            <w:vAlign w:val="bottom"/>
            <w:tcBorders>
              <w:top w:val="single" w:sz="8" w:color="auto"/>
            </w:tcBorders>
            <w:gridSpan w:val="3"/>
          </w:tcPr>
          <w:p>
            <w:pPr>
              <w:jc w:val="right"/>
              <w:ind w:right="7"/>
              <w:spacing w:after="0"/>
              <w:rPr>
                <w:sz w:val="20"/>
                <w:szCs w:val="20"/>
                <w:color w:val="auto"/>
              </w:rPr>
            </w:pPr>
            <w:r>
              <w:rPr>
                <w:rFonts w:ascii="Arial" w:cs="Arial" w:eastAsia="Arial" w:hAnsi="Arial"/>
                <w:sz w:val="18"/>
                <w:szCs w:val="18"/>
                <w:b w:val="1"/>
                <w:bCs w:val="1"/>
                <w:color w:val="auto"/>
              </w:rPr>
              <w:t>(In thousands)</w:t>
            </w:r>
          </w:p>
        </w:tc>
        <w:tc>
          <w:tcPr>
            <w:tcW w:w="94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43"/>
        </w:trPr>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Assets:</w:t>
            </w:r>
          </w:p>
        </w:tc>
        <w:tc>
          <w:tcPr>
            <w:tcW w:w="100" w:type="dxa"/>
            <w:vAlign w:val="bottom"/>
            <w:shd w:val="clear" w:color="auto" w:fill="CCEEFF"/>
          </w:tcPr>
          <w:p>
            <w:pPr>
              <w:spacing w:after="0"/>
              <w:rPr>
                <w:sz w:val="21"/>
                <w:szCs w:val="21"/>
                <w:color w:val="auto"/>
              </w:rPr>
            </w:pPr>
          </w:p>
        </w:tc>
        <w:tc>
          <w:tcPr>
            <w:tcW w:w="16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r>
      <w:tr>
        <w:trPr>
          <w:trHeight w:val="216"/>
        </w:trPr>
        <w:tc>
          <w:tcPr>
            <w:tcW w:w="5080" w:type="dxa"/>
            <w:vAlign w:val="bottom"/>
          </w:tcPr>
          <w:p>
            <w:pPr>
              <w:ind w:left="180"/>
              <w:spacing w:after="0"/>
              <w:rPr>
                <w:sz w:val="20"/>
                <w:szCs w:val="20"/>
                <w:color w:val="auto"/>
              </w:rPr>
            </w:pPr>
            <w:r>
              <w:rPr>
                <w:rFonts w:ascii="Arial" w:cs="Arial" w:eastAsia="Arial" w:hAnsi="Arial"/>
                <w:sz w:val="18"/>
                <w:szCs w:val="18"/>
                <w:color w:val="auto"/>
              </w:rPr>
              <w:t>Money market funds and cash equivalents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840" w:type="dxa"/>
            <w:vAlign w:val="bottom"/>
            <w:gridSpan w:val="2"/>
          </w:tcPr>
          <w:p>
            <w:pPr>
              <w:jc w:val="right"/>
              <w:ind w:right="240"/>
              <w:spacing w:after="0"/>
              <w:rPr>
                <w:sz w:val="20"/>
                <w:szCs w:val="20"/>
                <w:color w:val="auto"/>
              </w:rPr>
            </w:pPr>
            <w:r>
              <w:rPr>
                <w:rFonts w:ascii="Arial" w:cs="Arial" w:eastAsia="Arial" w:hAnsi="Arial"/>
                <w:sz w:val="18"/>
                <w:szCs w:val="18"/>
                <w:color w:val="auto"/>
              </w:rPr>
              <w:t>4,024</w:t>
            </w:r>
          </w:p>
        </w:tc>
        <w:tc>
          <w:tcPr>
            <w:tcW w:w="1440" w:type="dxa"/>
            <w:vAlign w:val="bottom"/>
            <w:gridSpan w:val="2"/>
          </w:tcPr>
          <w:p>
            <w:pPr>
              <w:ind w:left="104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127"/>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4,024</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29"/>
        </w:trPr>
        <w:tc>
          <w:tcPr>
            <w:tcW w:w="50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Marketable securities</w:t>
            </w:r>
          </w:p>
        </w:tc>
        <w:tc>
          <w:tcPr>
            <w:tcW w:w="100" w:type="dxa"/>
            <w:vAlign w:val="bottom"/>
            <w:shd w:val="clear" w:color="auto" w:fill="CCEEFF"/>
          </w:tcPr>
          <w:p>
            <w:pPr>
              <w:spacing w:after="0"/>
              <w:rPr>
                <w:sz w:val="19"/>
                <w:szCs w:val="19"/>
                <w:color w:val="auto"/>
              </w:rPr>
            </w:pPr>
          </w:p>
        </w:tc>
        <w:tc>
          <w:tcPr>
            <w:tcW w:w="1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53,151</w:t>
            </w:r>
          </w:p>
        </w:tc>
        <w:tc>
          <w:tcPr>
            <w:tcW w:w="1440" w:type="dxa"/>
            <w:vAlign w:val="bottom"/>
            <w:gridSpan w:val="2"/>
            <w:shd w:val="clear" w:color="auto" w:fill="CCEEFF"/>
          </w:tcPr>
          <w:p>
            <w:pPr>
              <w:ind w:left="10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53,151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0"/>
        </w:trPr>
        <w:tc>
          <w:tcPr>
            <w:tcW w:w="50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6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90"/>
        </w:trPr>
        <w:tc>
          <w:tcPr>
            <w:tcW w:w="508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840" w:type="dxa"/>
            <w:vAlign w:val="bottom"/>
            <w:gridSpan w:val="2"/>
          </w:tcPr>
          <w:p>
            <w:pPr>
              <w:jc w:val="right"/>
              <w:ind w:right="240"/>
              <w:spacing w:after="0"/>
              <w:rPr>
                <w:sz w:val="20"/>
                <w:szCs w:val="20"/>
                <w:color w:val="auto"/>
              </w:rPr>
            </w:pPr>
            <w:r>
              <w:rPr>
                <w:rFonts w:ascii="Arial" w:cs="Arial" w:eastAsia="Arial" w:hAnsi="Arial"/>
                <w:sz w:val="18"/>
                <w:szCs w:val="18"/>
                <w:color w:val="auto"/>
              </w:rPr>
              <w:t>57,175</w:t>
            </w:r>
          </w:p>
        </w:tc>
        <w:tc>
          <w:tcPr>
            <w:tcW w:w="1440" w:type="dxa"/>
            <w:vAlign w:val="bottom"/>
            <w:gridSpan w:val="2"/>
          </w:tcPr>
          <w:p>
            <w:pPr>
              <w:ind w:left="104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127"/>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57,175</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23"/>
        </w:trPr>
        <w:tc>
          <w:tcPr>
            <w:tcW w:w="50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Liabilities:</w:t>
            </w:r>
          </w:p>
        </w:tc>
        <w:tc>
          <w:tcPr>
            <w:tcW w:w="100" w:type="dxa"/>
            <w:vAlign w:val="bottom"/>
            <w:tcBorders>
              <w:top w:val="single" w:sz="8" w:color="auto"/>
            </w:tcBorders>
            <w:shd w:val="clear" w:color="auto" w:fill="CCEEFF"/>
          </w:tcPr>
          <w:p>
            <w:pPr>
              <w:spacing w:after="0"/>
              <w:rPr>
                <w:sz w:val="19"/>
                <w:szCs w:val="19"/>
                <w:color w:val="auto"/>
              </w:rPr>
            </w:pPr>
          </w:p>
        </w:tc>
        <w:tc>
          <w:tcPr>
            <w:tcW w:w="1600" w:type="dxa"/>
            <w:vAlign w:val="bottom"/>
            <w:tcBorders>
              <w:top w:val="single" w:sz="8" w:color="auto"/>
            </w:tcBorders>
            <w:shd w:val="clear" w:color="auto" w:fill="CCEEFF"/>
          </w:tcPr>
          <w:p>
            <w:pPr>
              <w:spacing w:after="0"/>
              <w:rPr>
                <w:sz w:val="19"/>
                <w:szCs w:val="19"/>
                <w:color w:val="auto"/>
              </w:rPr>
            </w:pPr>
          </w:p>
        </w:tc>
        <w:tc>
          <w:tcPr>
            <w:tcW w:w="240" w:type="dxa"/>
            <w:vAlign w:val="bottom"/>
            <w:tcBorders>
              <w:top w:val="single" w:sz="8" w:color="CCEEFF"/>
            </w:tcBorders>
            <w:shd w:val="clear" w:color="auto" w:fill="CCEEFF"/>
          </w:tcPr>
          <w:p>
            <w:pPr>
              <w:spacing w:after="0"/>
              <w:rPr>
                <w:sz w:val="19"/>
                <w:szCs w:val="19"/>
                <w:color w:val="auto"/>
              </w:rPr>
            </w:pPr>
          </w:p>
        </w:tc>
        <w:tc>
          <w:tcPr>
            <w:tcW w:w="1220" w:type="dxa"/>
            <w:vAlign w:val="bottom"/>
            <w:tcBorders>
              <w:top w:val="single" w:sz="8" w:color="auto"/>
            </w:tcBorders>
            <w:shd w:val="clear" w:color="auto" w:fill="CCEEFF"/>
          </w:tcPr>
          <w:p>
            <w:pPr>
              <w:spacing w:after="0"/>
              <w:rPr>
                <w:sz w:val="19"/>
                <w:szCs w:val="19"/>
                <w:color w:val="auto"/>
              </w:rPr>
            </w:pPr>
          </w:p>
        </w:tc>
        <w:tc>
          <w:tcPr>
            <w:tcW w:w="2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r>
      <w:tr>
        <w:trPr>
          <w:trHeight w:val="230"/>
        </w:trPr>
        <w:tc>
          <w:tcPr>
            <w:tcW w:w="5080" w:type="dxa"/>
            <w:vAlign w:val="bottom"/>
          </w:tcPr>
          <w:p>
            <w:pPr>
              <w:ind w:left="180"/>
              <w:spacing w:after="0"/>
              <w:rPr>
                <w:sz w:val="20"/>
                <w:szCs w:val="20"/>
                <w:color w:val="auto"/>
              </w:rPr>
            </w:pPr>
            <w:r>
              <w:rPr>
                <w:rFonts w:ascii="Arial" w:cs="Arial" w:eastAsia="Arial" w:hAnsi="Arial"/>
                <w:sz w:val="18"/>
                <w:szCs w:val="18"/>
                <w:color w:val="auto"/>
              </w:rPr>
              <w:t>Kolltan acquisition contingent consideration</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840" w:type="dxa"/>
            <w:vAlign w:val="bottom"/>
            <w:gridSpan w:val="2"/>
          </w:tcPr>
          <w:p>
            <w:pPr>
              <w:jc w:val="right"/>
              <w:ind w:right="240"/>
              <w:spacing w:after="0"/>
              <w:rPr>
                <w:sz w:val="20"/>
                <w:szCs w:val="20"/>
                <w:color w:val="auto"/>
              </w:rPr>
            </w:pPr>
            <w:r>
              <w:rPr>
                <w:rFonts w:ascii="Arial" w:cs="Arial" w:eastAsia="Arial" w:hAnsi="Arial"/>
                <w:sz w:val="18"/>
                <w:szCs w:val="18"/>
                <w:color w:val="auto"/>
              </w:rPr>
              <w:t>12,485</w:t>
            </w:r>
          </w:p>
        </w:tc>
        <w:tc>
          <w:tcPr>
            <w:tcW w:w="1440" w:type="dxa"/>
            <w:vAlign w:val="bottom"/>
            <w:gridSpan w:val="2"/>
          </w:tcPr>
          <w:p>
            <w:pPr>
              <w:ind w:left="10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3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12,485</w:t>
            </w:r>
          </w:p>
        </w:tc>
      </w:tr>
      <w:tr>
        <w:trPr>
          <w:trHeight w:val="20"/>
        </w:trPr>
        <w:tc>
          <w:tcPr>
            <w:tcW w:w="50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60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50"/>
        </w:trPr>
        <w:tc>
          <w:tcPr>
            <w:tcW w:w="508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12,485</w:t>
            </w:r>
          </w:p>
        </w:tc>
        <w:tc>
          <w:tcPr>
            <w:tcW w:w="1440" w:type="dxa"/>
            <w:vAlign w:val="bottom"/>
            <w:gridSpan w:val="2"/>
            <w:shd w:val="clear" w:color="auto" w:fill="CCEEFF"/>
          </w:tcPr>
          <w:p>
            <w:pPr>
              <w:ind w:left="10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12,485</w:t>
            </w:r>
          </w:p>
        </w:tc>
      </w:tr>
      <w:tr>
        <w:trPr>
          <w:trHeight w:val="20"/>
        </w:trPr>
        <w:tc>
          <w:tcPr>
            <w:tcW w:w="50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202" w:lineRule="exact"/>
        <w:rPr>
          <w:sz w:val="20"/>
          <w:szCs w:val="20"/>
          <w:color w:val="auto"/>
        </w:rPr>
      </w:pPr>
    </w:p>
    <w:p>
      <w:pPr>
        <w:ind w:right="160" w:firstLine="648"/>
        <w:spacing w:after="0" w:line="301" w:lineRule="auto"/>
        <w:rPr>
          <w:sz w:val="20"/>
          <w:szCs w:val="20"/>
          <w:color w:val="auto"/>
        </w:rPr>
      </w:pPr>
      <w:r>
        <w:rPr>
          <w:rFonts w:ascii="Arial" w:cs="Arial" w:eastAsia="Arial" w:hAnsi="Arial"/>
          <w:sz w:val="16"/>
          <w:szCs w:val="16"/>
          <w:color w:val="auto"/>
        </w:rPr>
        <w:t>The Company’s financial assets consist mainly of money market funds, cash equivalents and marketable securities and are classified as Level 2 within the valuation hierarchy. The Company values its marketable securities utilizing independent pricing services which normally derive security prices from recently reported trades for identical or similar securities, making adjustments based on significant observable transactions. At each balance sheet date, observable market inputs may include trade information, broker or dealer quotes, bids, offers or a combination of these data sources.</w:t>
      </w:r>
    </w:p>
    <w:p>
      <w:pPr>
        <w:spacing w:after="0" w:line="157"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The following table reflects the activity for the Company’s contingent consideration liabilities measured at fair value using Level 3 inputs for the nine months ended September 30, 2020 (in thousands):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2"/>
              </w:rPr>
              <w:t>Other Liabilities:</w:t>
            </w:r>
          </w:p>
        </w:tc>
      </w:tr>
      <w:tr>
        <w:trPr>
          <w:trHeight w:val="216"/>
        </w:trPr>
        <w:tc>
          <w:tcPr>
            <w:tcW w:w="9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2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0"/>
              </w:rPr>
              <w:t>Contingent</w:t>
            </w:r>
          </w:p>
        </w:tc>
      </w:tr>
      <w:tr>
        <w:trPr>
          <w:trHeight w:val="234"/>
        </w:trPr>
        <w:tc>
          <w:tcPr>
            <w:tcW w:w="9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9"/>
              </w:rPr>
              <w:t>Consideration</w:t>
            </w:r>
          </w:p>
        </w:tc>
      </w:tr>
      <w:tr>
        <w:trPr>
          <w:trHeight w:val="210"/>
        </w:trPr>
        <w:tc>
          <w:tcPr>
            <w:tcW w:w="92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December 31, 2019</w:t>
            </w: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12,485</w:t>
            </w:r>
          </w:p>
        </w:tc>
        <w:tc>
          <w:tcPr>
            <w:tcW w:w="100" w:type="dxa"/>
            <w:vAlign w:val="bottom"/>
            <w:tcBorders>
              <w:top w:val="single" w:sz="8" w:color="CCEEFF"/>
            </w:tcBorders>
            <w:shd w:val="clear" w:color="auto" w:fill="CCEEFF"/>
          </w:tcPr>
          <w:p>
            <w:pPr>
              <w:spacing w:after="0"/>
              <w:rPr>
                <w:sz w:val="18"/>
                <w:szCs w:val="18"/>
                <w:color w:val="auto"/>
              </w:rPr>
            </w:pPr>
          </w:p>
        </w:tc>
      </w:tr>
      <w:tr>
        <w:trPr>
          <w:trHeight w:val="229"/>
        </w:trPr>
        <w:tc>
          <w:tcPr>
            <w:tcW w:w="9220" w:type="dxa"/>
            <w:vAlign w:val="bottom"/>
          </w:tcPr>
          <w:p>
            <w:pPr>
              <w:spacing w:after="0"/>
              <w:rPr>
                <w:sz w:val="20"/>
                <w:szCs w:val="20"/>
                <w:color w:val="auto"/>
              </w:rPr>
            </w:pPr>
            <w:r>
              <w:rPr>
                <w:rFonts w:ascii="Arial" w:cs="Arial" w:eastAsia="Arial" w:hAnsi="Arial"/>
                <w:sz w:val="18"/>
                <w:szCs w:val="18"/>
                <w:color w:val="auto"/>
              </w:rPr>
              <w:t>Fair value adjustments included in operating expenses</w:t>
            </w:r>
          </w:p>
        </w:tc>
        <w:tc>
          <w:tcPr>
            <w:tcW w:w="200" w:type="dxa"/>
            <w:vAlign w:val="bottom"/>
          </w:tcPr>
          <w:p>
            <w:pPr>
              <w:spacing w:after="0"/>
              <w:rPr>
                <w:sz w:val="19"/>
                <w:szCs w:val="19"/>
                <w:color w:val="auto"/>
              </w:rPr>
            </w:pPr>
          </w:p>
        </w:tc>
        <w:tc>
          <w:tcPr>
            <w:tcW w:w="1820" w:type="dxa"/>
            <w:vAlign w:val="bottom"/>
            <w:gridSpan w:val="2"/>
          </w:tcPr>
          <w:p>
            <w:pPr>
              <w:jc w:val="right"/>
              <w:ind w:right="40"/>
              <w:spacing w:after="0"/>
              <w:rPr>
                <w:sz w:val="20"/>
                <w:szCs w:val="20"/>
                <w:color w:val="auto"/>
              </w:rPr>
            </w:pPr>
            <w:r>
              <w:rPr>
                <w:rFonts w:ascii="Arial" w:cs="Arial" w:eastAsia="Arial" w:hAnsi="Arial"/>
                <w:sz w:val="18"/>
                <w:szCs w:val="18"/>
                <w:color w:val="auto"/>
              </w:rPr>
              <w:t>(4,236)</w:t>
            </w:r>
          </w:p>
        </w:tc>
      </w:tr>
      <w:tr>
        <w:trPr>
          <w:trHeight w:val="223"/>
        </w:trPr>
        <w:tc>
          <w:tcPr>
            <w:tcW w:w="92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September 30, 2020</w:t>
            </w: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8,249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9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firstLine="648"/>
        <w:spacing w:after="0" w:line="275" w:lineRule="auto"/>
        <w:rPr>
          <w:sz w:val="20"/>
          <w:szCs w:val="20"/>
          <w:color w:val="auto"/>
        </w:rPr>
      </w:pPr>
      <w:r>
        <w:rPr>
          <w:rFonts w:ascii="Arial" w:cs="Arial" w:eastAsia="Arial" w:hAnsi="Arial"/>
          <w:sz w:val="17"/>
          <w:szCs w:val="17"/>
          <w:color w:val="auto"/>
        </w:rPr>
        <w:t>The valuation technique used to measure fair value of the Company’s Level 3 liabilities, which consist of contingent consideration related to the acquisition of Kolltan in 2016, was primarily an income approach. The significant unobservable inputs used in the fair value measurement of the contingent consideration are estimates including probability of success, discount rates and amount of time until the conditions of the milestone payments are met. As of September 30, 2020, the weighted average discount rate used in calculating the fair value of contingent consideration was 9.4% (with a range of 9.3% to 10.1%) and the weighted average amount of time until the conditions of the milestone payments are met was 3 years.</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 w:name="page9"/>
    <w:bookmarkEnd w:id="8"/>
    <w:p>
      <w:pPr>
        <w:ind w:right="60" w:firstLine="648"/>
        <w:spacing w:after="0" w:line="271" w:lineRule="auto"/>
        <w:rPr>
          <w:sz w:val="20"/>
          <w:szCs w:val="20"/>
          <w:color w:val="auto"/>
        </w:rPr>
      </w:pPr>
      <w:r>
        <w:rPr>
          <w:rFonts w:ascii="Arial" w:cs="Arial" w:eastAsia="Arial" w:hAnsi="Arial"/>
          <w:sz w:val="17"/>
          <w:szCs w:val="17"/>
          <w:color w:val="auto"/>
        </w:rPr>
        <w:t>During the three months ended September 30, 2020, the Company recorded a $0.7 million loss on fair value remeasurement of contingent consideration primarily due to changes in discount rates and the passage of time. During the nine months ended September 30, 2020, the Company recorded a $4.2 million gain on fair value remeasurement of contingent consideration primarily due to updated assumptions for CDX-3379 related milestones due to the discontinuation of the CDX-3379 program, changes in discount rates and the passage of time. During the three and nine months ended September 30, 2019, the Company recorded a $2.1 million and $1.6 million gain on fair value remeasurement of contingent consideration, respectively, primarily due to changes in discount rates, the passage of time and updated assumptions for the varlilumab program. The assumptions related to determining the fair value of contingent consideration include a significant amount of judgment, and any changes in the underlying estimates could have a material impact on the amount of contingent consideration adjustment recorded in any given period.</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 did not have any transfers in or out of Level 3 assets or liabilities during the nine months ended September 30, 2020.</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Marketable Securities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is a summary of marketable debt securities, classified as available-for-sale:</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3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120" w:type="dxa"/>
            <w:vAlign w:val="bottom"/>
            <w:tcBorders>
              <w:bottom w:val="single" w:sz="8" w:color="auto"/>
            </w:tcBorders>
            <w:gridSpan w:val="3"/>
          </w:tcPr>
          <w:p>
            <w:pPr>
              <w:jc w:val="right"/>
              <w:ind w:right="304"/>
              <w:spacing w:after="0"/>
              <w:rPr>
                <w:sz w:val="20"/>
                <w:szCs w:val="20"/>
                <w:color w:val="auto"/>
              </w:rPr>
            </w:pPr>
            <w:r>
              <w:rPr>
                <w:rFonts w:ascii="Arial" w:cs="Arial" w:eastAsia="Arial" w:hAnsi="Arial"/>
                <w:sz w:val="18"/>
                <w:szCs w:val="18"/>
                <w:b w:val="1"/>
                <w:bCs w:val="1"/>
                <w:color w:val="auto"/>
              </w:rPr>
              <w:t>Gross Unrealized</w:t>
            </w:r>
          </w:p>
        </w:tc>
        <w:tc>
          <w:tcPr>
            <w:tcW w:w="3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91"/>
        </w:trPr>
        <w:tc>
          <w:tcPr>
            <w:tcW w:w="53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20" w:type="dxa"/>
            <w:vAlign w:val="bottom"/>
            <w:gridSpan w:val="2"/>
          </w:tcPr>
          <w:p>
            <w:pPr>
              <w:jc w:val="right"/>
              <w:ind w:right="340"/>
              <w:spacing w:after="0" w:line="191" w:lineRule="exact"/>
              <w:rPr>
                <w:sz w:val="20"/>
                <w:szCs w:val="20"/>
                <w:color w:val="auto"/>
              </w:rPr>
            </w:pPr>
            <w:r>
              <w:rPr>
                <w:rFonts w:ascii="Arial" w:cs="Arial" w:eastAsia="Arial" w:hAnsi="Arial"/>
                <w:sz w:val="18"/>
                <w:szCs w:val="18"/>
                <w:b w:val="1"/>
                <w:bCs w:val="1"/>
                <w:color w:val="auto"/>
                <w:w w:val="97"/>
              </w:rPr>
              <w:t>Amortized</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tcPr>
          <w:p>
            <w:pPr>
              <w:jc w:val="center"/>
              <w:ind w:right="150"/>
              <w:spacing w:after="0" w:line="191" w:lineRule="exact"/>
              <w:rPr>
                <w:sz w:val="20"/>
                <w:szCs w:val="20"/>
                <w:color w:val="auto"/>
              </w:rPr>
            </w:pPr>
            <w:r>
              <w:rPr>
                <w:rFonts w:ascii="Arial" w:cs="Arial" w:eastAsia="Arial" w:hAnsi="Arial"/>
                <w:sz w:val="18"/>
                <w:szCs w:val="18"/>
                <w:b w:val="1"/>
                <w:bCs w:val="1"/>
                <w:color w:val="auto"/>
                <w:w w:val="96"/>
              </w:rPr>
              <w:t>Fair</w:t>
            </w:r>
          </w:p>
        </w:tc>
        <w:tc>
          <w:tcPr>
            <w:tcW w:w="100" w:type="dxa"/>
            <w:vAlign w:val="bottom"/>
          </w:tcPr>
          <w:p>
            <w:pPr>
              <w:spacing w:after="0"/>
              <w:rPr>
                <w:sz w:val="16"/>
                <w:szCs w:val="16"/>
                <w:color w:val="auto"/>
              </w:rPr>
            </w:pPr>
          </w:p>
        </w:tc>
      </w:tr>
      <w:tr>
        <w:trPr>
          <w:trHeight w:val="234"/>
        </w:trPr>
        <w:tc>
          <w:tcPr>
            <w:tcW w:w="53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gridSpan w:val="2"/>
          </w:tcPr>
          <w:p>
            <w:pPr>
              <w:jc w:val="right"/>
              <w:ind w:right="560"/>
              <w:spacing w:after="0"/>
              <w:rPr>
                <w:sz w:val="20"/>
                <w:szCs w:val="20"/>
                <w:color w:val="auto"/>
              </w:rPr>
            </w:pPr>
            <w:r>
              <w:rPr>
                <w:rFonts w:ascii="Arial" w:cs="Arial" w:eastAsia="Arial" w:hAnsi="Arial"/>
                <w:sz w:val="18"/>
                <w:szCs w:val="18"/>
                <w:b w:val="1"/>
                <w:bCs w:val="1"/>
                <w:color w:val="auto"/>
              </w:rPr>
              <w:t>Cost</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0" w:type="dxa"/>
            <w:vAlign w:val="bottom"/>
            <w:gridSpan w:val="2"/>
          </w:tcPr>
          <w:p>
            <w:pPr>
              <w:jc w:val="right"/>
              <w:ind w:right="600"/>
              <w:spacing w:after="0"/>
              <w:rPr>
                <w:sz w:val="20"/>
                <w:szCs w:val="20"/>
                <w:color w:val="auto"/>
              </w:rPr>
            </w:pPr>
            <w:r>
              <w:rPr>
                <w:rFonts w:ascii="Arial" w:cs="Arial" w:eastAsia="Arial" w:hAnsi="Arial"/>
                <w:sz w:val="18"/>
                <w:szCs w:val="18"/>
                <w:b w:val="1"/>
                <w:bCs w:val="1"/>
                <w:color w:val="auto"/>
              </w:rPr>
              <w:t>Gains</w:t>
            </w: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Losses</w:t>
            </w: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1"/>
              </w:rPr>
              <w:t>Value</w:t>
            </w:r>
          </w:p>
        </w:tc>
      </w:tr>
      <w:tr>
        <w:trPr>
          <w:trHeight w:val="223"/>
        </w:trPr>
        <w:tc>
          <w:tcPr>
            <w:tcW w:w="5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2120" w:type="dxa"/>
            <w:vAlign w:val="bottom"/>
            <w:tcBorders>
              <w:top w:val="single" w:sz="8" w:color="auto"/>
            </w:tcBorders>
            <w:gridSpan w:val="3"/>
          </w:tcPr>
          <w:p>
            <w:pPr>
              <w:jc w:val="right"/>
              <w:ind w:right="424"/>
              <w:spacing w:after="0"/>
              <w:rPr>
                <w:sz w:val="20"/>
                <w:szCs w:val="20"/>
                <w:color w:val="auto"/>
              </w:rPr>
            </w:pPr>
            <w:r>
              <w:rPr>
                <w:rFonts w:ascii="Arial" w:cs="Arial" w:eastAsia="Arial" w:hAnsi="Arial"/>
                <w:sz w:val="18"/>
                <w:szCs w:val="18"/>
                <w:b w:val="1"/>
                <w:bCs w:val="1"/>
                <w:color w:val="auto"/>
              </w:rPr>
              <w:t>(In thousands)</w:t>
            </w:r>
          </w:p>
        </w:tc>
        <w:tc>
          <w:tcPr>
            <w:tcW w:w="30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43"/>
        </w:trPr>
        <w:tc>
          <w:tcPr>
            <w:tcW w:w="5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September 30, 2020</w:t>
            </w:r>
          </w:p>
        </w:tc>
        <w:tc>
          <w:tcPr>
            <w:tcW w:w="2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r>
      <w:tr>
        <w:trPr>
          <w:trHeight w:val="202"/>
        </w:trPr>
        <w:tc>
          <w:tcPr>
            <w:tcW w:w="5320" w:type="dxa"/>
            <w:vAlign w:val="bottom"/>
          </w:tcPr>
          <w:p>
            <w:pPr>
              <w:ind w:left="180"/>
              <w:spacing w:after="0" w:line="201" w:lineRule="exact"/>
              <w:rPr>
                <w:sz w:val="20"/>
                <w:szCs w:val="20"/>
                <w:color w:val="auto"/>
              </w:rPr>
            </w:pPr>
            <w:r>
              <w:rPr>
                <w:rFonts w:ascii="Arial" w:cs="Arial" w:eastAsia="Arial" w:hAnsi="Arial"/>
                <w:sz w:val="18"/>
                <w:szCs w:val="18"/>
                <w:color w:val="auto"/>
                <w:w w:val="95"/>
              </w:rPr>
              <w:t>U.S. government and municipal obligations (maturing in one year or</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5320" w:type="dxa"/>
            <w:vAlign w:val="bottom"/>
          </w:tcPr>
          <w:p>
            <w:pPr>
              <w:ind w:left="180"/>
              <w:spacing w:after="0"/>
              <w:rPr>
                <w:sz w:val="20"/>
                <w:szCs w:val="20"/>
                <w:color w:val="auto"/>
              </w:rPr>
            </w:pPr>
            <w:r>
              <w:rPr>
                <w:rFonts w:ascii="Arial" w:cs="Arial" w:eastAsia="Arial" w:hAnsi="Arial"/>
                <w:sz w:val="18"/>
                <w:szCs w:val="18"/>
                <w:color w:val="auto"/>
              </w:rPr>
              <w:t>less)</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79,969</w:t>
            </w:r>
          </w:p>
        </w:tc>
        <w:tc>
          <w:tcPr>
            <w:tcW w:w="360" w:type="dxa"/>
            <w:vAlign w:val="bottom"/>
            <w:gridSpan w:val="2"/>
          </w:tcPr>
          <w:p>
            <w:pPr>
              <w:jc w:val="right"/>
              <w:ind w:right="87"/>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12</w:t>
            </w:r>
          </w:p>
        </w:tc>
        <w:tc>
          <w:tcPr>
            <w:tcW w:w="920" w:type="dxa"/>
            <w:vAlign w:val="bottom"/>
          </w:tcPr>
          <w:p>
            <w:pPr>
              <w:jc w:val="right"/>
              <w:ind w:right="764"/>
              <w:spacing w:after="0"/>
              <w:rPr>
                <w:sz w:val="20"/>
                <w:szCs w:val="20"/>
                <w:color w:val="auto"/>
              </w:rPr>
            </w:pPr>
            <w:r>
              <w:rPr>
                <w:rFonts w:ascii="Arial" w:cs="Arial" w:eastAsia="Arial" w:hAnsi="Arial"/>
                <w:sz w:val="15"/>
                <w:szCs w:val="15"/>
                <w:color w:val="auto"/>
                <w:w w:val="71"/>
              </w:rPr>
              <w:t>$</w:t>
            </w:r>
          </w:p>
        </w:tc>
        <w:tc>
          <w:tcPr>
            <w:tcW w:w="440" w:type="dxa"/>
            <w:vAlign w:val="bottom"/>
            <w:gridSpan w:val="2"/>
          </w:tcPr>
          <w:p>
            <w:pPr>
              <w:jc w:val="right"/>
              <w:ind w:right="61"/>
              <w:spacing w:after="0"/>
              <w:rPr>
                <w:sz w:val="20"/>
                <w:szCs w:val="20"/>
                <w:color w:val="auto"/>
              </w:rPr>
            </w:pPr>
            <w:r>
              <w:rPr>
                <w:rFonts w:ascii="Arial" w:cs="Arial" w:eastAsia="Arial" w:hAnsi="Arial"/>
                <w:sz w:val="18"/>
                <w:szCs w:val="18"/>
                <w:color w:val="auto"/>
              </w:rPr>
              <w:t>—</w:t>
            </w:r>
          </w:p>
        </w:tc>
        <w:tc>
          <w:tcPr>
            <w:tcW w:w="32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79,981</w:t>
            </w:r>
          </w:p>
        </w:tc>
      </w:tr>
      <w:tr>
        <w:trPr>
          <w:trHeight w:val="230"/>
        </w:trPr>
        <w:tc>
          <w:tcPr>
            <w:tcW w:w="5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Corporate debt securities (maturing in one year or less)</w:t>
            </w: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101,462</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w:t>
            </w:r>
          </w:p>
        </w:tc>
        <w:tc>
          <w:tcPr>
            <w:tcW w:w="920" w:type="dxa"/>
            <w:vAlign w:val="bottom"/>
            <w:shd w:val="clear" w:color="auto" w:fill="CCEEFF"/>
          </w:tcPr>
          <w:p>
            <w:pPr>
              <w:spacing w:after="0"/>
              <w:rPr>
                <w:sz w:val="19"/>
                <w:szCs w:val="19"/>
                <w:color w:val="auto"/>
              </w:rPr>
            </w:pPr>
          </w:p>
        </w:tc>
        <w:tc>
          <w:tcPr>
            <w:tcW w:w="440" w:type="dxa"/>
            <w:vAlign w:val="bottom"/>
            <w:gridSpan w:val="2"/>
            <w:shd w:val="clear" w:color="auto" w:fill="CCEEFF"/>
          </w:tcPr>
          <w:p>
            <w:pPr>
              <w:jc w:val="right"/>
              <w:ind w:right="1"/>
              <w:spacing w:after="0"/>
              <w:rPr>
                <w:sz w:val="20"/>
                <w:szCs w:val="20"/>
                <w:color w:val="auto"/>
              </w:rPr>
            </w:pPr>
            <w:r>
              <w:rPr>
                <w:rFonts w:ascii="Arial" w:cs="Arial" w:eastAsia="Arial" w:hAnsi="Arial"/>
                <w:sz w:val="18"/>
                <w:szCs w:val="18"/>
                <w:color w:val="auto"/>
              </w:rPr>
              <w:t>(11)</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101,462</w:t>
            </w:r>
          </w:p>
        </w:tc>
      </w:tr>
      <w:tr>
        <w:trPr>
          <w:trHeight w:val="263"/>
        </w:trPr>
        <w:tc>
          <w:tcPr>
            <w:tcW w:w="532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Total Marketable Securities</w:t>
            </w:r>
          </w:p>
        </w:tc>
        <w:tc>
          <w:tcPr>
            <w:tcW w:w="200" w:type="dxa"/>
            <w:vAlign w:val="bottom"/>
            <w:tcBorders>
              <w:bottom w:val="single" w:sz="8" w:color="CCEEFF"/>
            </w:tcBorders>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181,431</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240" w:type="dxa"/>
            <w:vAlign w:val="bottom"/>
            <w:tcBorders>
              <w:top w:val="single" w:sz="8" w:color="auto"/>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w:t>
            </w:r>
          </w:p>
        </w:tc>
        <w:tc>
          <w:tcPr>
            <w:tcW w:w="220" w:type="dxa"/>
            <w:vAlign w:val="bottom"/>
            <w:tcBorders>
              <w:bottom w:val="single" w:sz="8" w:color="CCEEFF"/>
            </w:tcBorders>
          </w:tcPr>
          <w:p>
            <w:pPr>
              <w:spacing w:after="0"/>
              <w:rPr>
                <w:sz w:val="22"/>
                <w:szCs w:val="22"/>
                <w:color w:val="auto"/>
              </w:rPr>
            </w:pPr>
          </w:p>
        </w:tc>
        <w:tc>
          <w:tcPr>
            <w:tcW w:w="920" w:type="dxa"/>
            <w:vAlign w:val="bottom"/>
            <w:tcBorders>
              <w:top w:val="single" w:sz="8" w:color="auto"/>
              <w:bottom w:val="single" w:sz="8" w:color="auto"/>
            </w:tcBorders>
          </w:tcPr>
          <w:p>
            <w:pPr>
              <w:jc w:val="right"/>
              <w:ind w:right="764"/>
              <w:spacing w:after="0"/>
              <w:rPr>
                <w:sz w:val="20"/>
                <w:szCs w:val="20"/>
                <w:color w:val="auto"/>
              </w:rPr>
            </w:pPr>
            <w:r>
              <w:rPr>
                <w:rFonts w:ascii="Arial" w:cs="Arial" w:eastAsia="Arial" w:hAnsi="Arial"/>
                <w:sz w:val="15"/>
                <w:szCs w:val="15"/>
                <w:color w:val="auto"/>
                <w:w w:val="71"/>
              </w:rPr>
              <w:t>$</w:t>
            </w:r>
          </w:p>
        </w:tc>
        <w:tc>
          <w:tcPr>
            <w:tcW w:w="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140" w:type="dxa"/>
            <w:vAlign w:val="bottom"/>
            <w:tcBorders>
              <w:bottom w:val="single" w:sz="8" w:color="CCEEFF"/>
            </w:tcBorders>
          </w:tcPr>
          <w:p>
            <w:pPr>
              <w:jc w:val="right"/>
              <w:ind w:right="1"/>
              <w:spacing w:after="0"/>
              <w:rPr>
                <w:sz w:val="20"/>
                <w:szCs w:val="20"/>
                <w:color w:val="auto"/>
              </w:rPr>
            </w:pPr>
            <w:r>
              <w:rPr>
                <w:rFonts w:ascii="Arial" w:cs="Arial" w:eastAsia="Arial" w:hAnsi="Arial"/>
                <w:sz w:val="16"/>
                <w:szCs w:val="16"/>
                <w:color w:val="auto"/>
                <w:w w:val="74"/>
              </w:rPr>
              <w:t>)</w:t>
            </w:r>
          </w:p>
        </w:tc>
        <w:tc>
          <w:tcPr>
            <w:tcW w:w="80" w:type="dxa"/>
            <w:vAlign w:val="bottom"/>
            <w:tcBorders>
              <w:bottom w:val="single" w:sz="8" w:color="CCEEFF"/>
            </w:tcBorders>
          </w:tcPr>
          <w:p>
            <w:pPr>
              <w:spacing w:after="0"/>
              <w:rPr>
                <w:sz w:val="22"/>
                <w:szCs w:val="22"/>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181,443</w:t>
            </w:r>
          </w:p>
        </w:tc>
        <w:tc>
          <w:tcPr>
            <w:tcW w:w="100" w:type="dxa"/>
            <w:vAlign w:val="bottom"/>
            <w:tcBorders>
              <w:bottom w:val="single" w:sz="8" w:color="CCEEFF"/>
            </w:tcBorders>
          </w:tcPr>
          <w:p>
            <w:pPr>
              <w:spacing w:after="0"/>
              <w:rPr>
                <w:sz w:val="22"/>
                <w:szCs w:val="22"/>
                <w:color w:val="auto"/>
              </w:rPr>
            </w:pPr>
          </w:p>
        </w:tc>
      </w:tr>
      <w:tr>
        <w:trPr>
          <w:trHeight w:val="224"/>
        </w:trPr>
        <w:tc>
          <w:tcPr>
            <w:tcW w:w="53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43"/>
        </w:trPr>
        <w:tc>
          <w:tcPr>
            <w:tcW w:w="5320" w:type="dxa"/>
            <w:vAlign w:val="bottom"/>
          </w:tcPr>
          <w:p>
            <w:pPr>
              <w:spacing w:after="0"/>
              <w:rPr>
                <w:sz w:val="20"/>
                <w:szCs w:val="20"/>
                <w:color w:val="auto"/>
              </w:rPr>
            </w:pPr>
            <w:r>
              <w:rPr>
                <w:rFonts w:ascii="Arial" w:cs="Arial" w:eastAsia="Arial" w:hAnsi="Arial"/>
                <w:sz w:val="18"/>
                <w:szCs w:val="18"/>
                <w:b w:val="1"/>
                <w:bCs w:val="1"/>
                <w:color w:val="auto"/>
              </w:rPr>
              <w:t>December 31, 2019</w:t>
            </w: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02"/>
        </w:trPr>
        <w:tc>
          <w:tcPr>
            <w:tcW w:w="532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w w:val="95"/>
              </w:rPr>
              <w:t>U.S. government and municipal obligations (maturing in one year or</w:t>
            </w: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5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less)</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18,509</w:t>
            </w:r>
          </w:p>
        </w:tc>
        <w:tc>
          <w:tcPr>
            <w:tcW w:w="360" w:type="dxa"/>
            <w:vAlign w:val="bottom"/>
            <w:gridSpan w:val="2"/>
            <w:shd w:val="clear" w:color="auto" w:fill="CCEEFF"/>
          </w:tcPr>
          <w:p>
            <w:pPr>
              <w:jc w:val="right"/>
              <w:ind w:right="87"/>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w:t>
            </w:r>
          </w:p>
        </w:tc>
        <w:tc>
          <w:tcPr>
            <w:tcW w:w="920" w:type="dxa"/>
            <w:vAlign w:val="bottom"/>
            <w:shd w:val="clear" w:color="auto" w:fill="CCEEFF"/>
          </w:tcPr>
          <w:p>
            <w:pPr>
              <w:jc w:val="right"/>
              <w:ind w:right="764"/>
              <w:spacing w:after="0"/>
              <w:rPr>
                <w:sz w:val="20"/>
                <w:szCs w:val="20"/>
                <w:color w:val="auto"/>
              </w:rPr>
            </w:pPr>
            <w:r>
              <w:rPr>
                <w:rFonts w:ascii="Arial" w:cs="Arial" w:eastAsia="Arial" w:hAnsi="Arial"/>
                <w:sz w:val="15"/>
                <w:szCs w:val="15"/>
                <w:color w:val="auto"/>
                <w:w w:val="71"/>
              </w:rPr>
              <w:t>$</w:t>
            </w:r>
          </w:p>
        </w:tc>
        <w:tc>
          <w:tcPr>
            <w:tcW w:w="44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18,522</w:t>
            </w:r>
          </w:p>
        </w:tc>
      </w:tr>
      <w:tr>
        <w:trPr>
          <w:trHeight w:val="230"/>
        </w:trPr>
        <w:tc>
          <w:tcPr>
            <w:tcW w:w="5320" w:type="dxa"/>
            <w:vAlign w:val="bottom"/>
          </w:tcPr>
          <w:p>
            <w:pPr>
              <w:ind w:left="180"/>
              <w:spacing w:after="0"/>
              <w:rPr>
                <w:sz w:val="20"/>
                <w:szCs w:val="20"/>
                <w:color w:val="auto"/>
              </w:rPr>
            </w:pPr>
            <w:r>
              <w:rPr>
                <w:rFonts w:ascii="Arial" w:cs="Arial" w:eastAsia="Arial" w:hAnsi="Arial"/>
                <w:sz w:val="18"/>
                <w:szCs w:val="18"/>
                <w:color w:val="auto"/>
              </w:rPr>
              <w:t>Corporate debt securities (maturing in one year or less)</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34,619</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13</w:t>
            </w:r>
          </w:p>
        </w:tc>
        <w:tc>
          <w:tcPr>
            <w:tcW w:w="920" w:type="dxa"/>
            <w:vAlign w:val="bottom"/>
          </w:tcPr>
          <w:p>
            <w:pPr>
              <w:spacing w:after="0"/>
              <w:rPr>
                <w:sz w:val="19"/>
                <w:szCs w:val="19"/>
                <w:color w:val="auto"/>
              </w:rPr>
            </w:pPr>
          </w:p>
        </w:tc>
        <w:tc>
          <w:tcPr>
            <w:tcW w:w="440" w:type="dxa"/>
            <w:vAlign w:val="bottom"/>
            <w:gridSpan w:val="2"/>
          </w:tcPr>
          <w:p>
            <w:pPr>
              <w:jc w:val="right"/>
              <w:ind w:right="1"/>
              <w:spacing w:after="0"/>
              <w:rPr>
                <w:sz w:val="20"/>
                <w:szCs w:val="20"/>
                <w:color w:val="auto"/>
              </w:rPr>
            </w:pPr>
            <w:r>
              <w:rPr>
                <w:rFonts w:ascii="Arial" w:cs="Arial" w:eastAsia="Arial" w:hAnsi="Arial"/>
                <w:sz w:val="18"/>
                <w:szCs w:val="18"/>
                <w:color w:val="auto"/>
              </w:rPr>
              <w:t>(3)</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34,629</w:t>
            </w:r>
          </w:p>
        </w:tc>
      </w:tr>
      <w:tr>
        <w:trPr>
          <w:trHeight w:val="223"/>
        </w:trPr>
        <w:tc>
          <w:tcPr>
            <w:tcW w:w="5320" w:type="dxa"/>
            <w:vAlign w:val="bottom"/>
            <w:tcBorders>
              <w:top w:val="single" w:sz="8" w:color="CCEEFF"/>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Marketable Securities</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53,128</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920" w:type="dxa"/>
            <w:vAlign w:val="bottom"/>
            <w:tcBorders>
              <w:top w:val="single" w:sz="8" w:color="auto"/>
              <w:bottom w:val="single" w:sz="8" w:color="auto"/>
            </w:tcBorders>
            <w:shd w:val="clear" w:color="auto" w:fill="CCEEFF"/>
          </w:tcPr>
          <w:p>
            <w:pPr>
              <w:jc w:val="right"/>
              <w:ind w:right="764"/>
              <w:spacing w:after="0"/>
              <w:rPr>
                <w:sz w:val="20"/>
                <w:szCs w:val="20"/>
                <w:color w:val="auto"/>
              </w:rPr>
            </w:pPr>
            <w:r>
              <w:rPr>
                <w:rFonts w:ascii="Arial" w:cs="Arial" w:eastAsia="Arial" w:hAnsi="Arial"/>
                <w:sz w:val="15"/>
                <w:szCs w:val="15"/>
                <w:color w:val="auto"/>
                <w:w w:val="71"/>
              </w:rPr>
              <w:t>$</w:t>
            </w:r>
          </w:p>
        </w:tc>
        <w:tc>
          <w:tcPr>
            <w:tcW w:w="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40" w:type="dxa"/>
            <w:vAlign w:val="bottom"/>
            <w:tcBorders>
              <w:top w:val="single" w:sz="8" w:color="CCEEFF"/>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w w:val="74"/>
              </w:rPr>
              <w:t>)</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53,151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5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60" w:firstLine="648"/>
        <w:spacing w:after="0" w:line="259" w:lineRule="auto"/>
        <w:rPr>
          <w:sz w:val="20"/>
          <w:szCs w:val="20"/>
          <w:color w:val="auto"/>
        </w:rPr>
      </w:pPr>
      <w:r>
        <w:rPr>
          <w:rFonts w:ascii="Arial" w:cs="Arial" w:eastAsia="Arial" w:hAnsi="Arial"/>
          <w:sz w:val="18"/>
          <w:szCs w:val="18"/>
          <w:color w:val="auto"/>
        </w:rPr>
        <w:t>The Company holds investment-grade marketable securities, and none were in a continuous unrealized loss position for more than twelve months as of September 30, 2020 and December 31, 2019. The unrealized losses are attributable to changes in interest rates and the Company does not believe any unrealized losses represent other-than-temporary impairments. Marketable securities include $0.3 million and $0.2 million in accrued interest at September 30, 2020 and December 31, 2019, respectively.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Intangible Assets</w:t>
      </w:r>
    </w:p>
    <w:p>
      <w:pPr>
        <w:spacing w:after="0" w:line="229"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At September 30, 2020 and December 31, 2019, the Company recorded indefinite-lived intangible assets of $45.2 million and $48.7 million, respectively. Indefinite-lived intangible assets consist of acquired in-process research and development (“IPR&amp;D”) related to the development of CDX-3379, the anti-KIT program (including CDX-0159) and the TAM program. The Company evaluated the CDX-3379 IPR&amp;D asset for potential impairment as a result of the discontinuation of the CDX-3379 program in the second quarter of 2020. The Company concluded that the CDX-3379 IPR&amp;D asset was fully impaired, and a non-cash impairment charge of $3.5 million was recorded during the second quarter of 2020. CDX-0159 is in Phase 1 development and the TAM program is in preclinical development. As of September 30, 2020, none of the Company’s IPR&amp;D assets had reached technological feasibility nor did any have alternative future uses.</w:t>
      </w:r>
    </w:p>
    <w:p>
      <w:pPr>
        <w:spacing w:after="0" w:line="195"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The Company performs an impairment test on IPR&amp;D assets at least annually, or more frequently if events or changes in circumstances indicate that IPR&amp;D assets may be impaired. Due to the nature of IPR&amp;D projects, the Company may experience future delays or failures to obtain regulatory approvals to conduct clinical trials, failures of such clinical trials or other failures to achieve a commercially viable product, and as a result, may recognize further impairment losses in the future.</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auto"/>
        </w:rPr>
        <w:t>(6) Other Assets</w:t>
      </w:r>
    </w:p>
    <w:p>
      <w:pPr>
        <w:spacing w:after="0" w:line="229" w:lineRule="exact"/>
        <w:rPr>
          <w:sz w:val="20"/>
          <w:szCs w:val="20"/>
          <w:color w:val="auto"/>
        </w:rPr>
      </w:pPr>
    </w:p>
    <w:p>
      <w:pPr>
        <w:ind w:right="100" w:firstLine="648"/>
        <w:spacing w:after="0" w:line="290" w:lineRule="auto"/>
        <w:rPr>
          <w:sz w:val="20"/>
          <w:szCs w:val="20"/>
          <w:color w:val="auto"/>
        </w:rPr>
      </w:pPr>
      <w:r>
        <w:rPr>
          <w:rFonts w:ascii="Arial" w:cs="Arial" w:eastAsia="Arial" w:hAnsi="Arial"/>
          <w:sz w:val="16"/>
          <w:szCs w:val="16"/>
          <w:color w:val="auto"/>
        </w:rPr>
        <w:t>In 2016, the Company entered into a research and collaboration agreement with an undisclosed private company to access novel technologies and paid $3.5 million to support research activities and make an investment in the private company. The Company recorded $1.8 million to other assets related to this investment and $1.7 million was recorded to research and development expense over the term of the research activities. The stock of the private company does not have a readily determinable fair value, and therefore it is measured at cost less impairment, if any. Based on information received in April 2019, it was determined that there was a deterioration of the private company’s financial condition due to a working capital deficiency and an inability to secure additional funding as of March 31, 2019. Therefore, the Company concluded that the investment was impaired, and a non-cash impairment charge of $1.8 million was recorded during the first quarter of 2019. The Company assesses the private company’s financial condition on a quarterly basis. There was no change in the value of the investment during the nine months ended September 30, 2020.</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300" w:type="dxa"/>
            <w:vAlign w:val="bottom"/>
          </w:tcPr>
          <w:p>
            <w:pPr>
              <w:spacing w:after="0"/>
              <w:rPr>
                <w:sz w:val="20"/>
                <w:szCs w:val="20"/>
                <w:color w:val="auto"/>
              </w:rPr>
            </w:pPr>
            <w:r>
              <w:rPr>
                <w:rFonts w:ascii="Arial" w:cs="Arial" w:eastAsia="Arial" w:hAnsi="Arial"/>
                <w:sz w:val="18"/>
                <w:szCs w:val="18"/>
                <w:b w:val="1"/>
                <w:bCs w:val="1"/>
                <w:color w:val="auto"/>
              </w:rPr>
              <w:t>(7) Other Long-Term Liabilities</w:t>
            </w:r>
          </w:p>
        </w:tc>
        <w:tc>
          <w:tcPr>
            <w:tcW w:w="2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6300" w:type="dxa"/>
            <w:vAlign w:val="bottom"/>
          </w:tcPr>
          <w:p>
            <w:pPr>
              <w:ind w:left="660"/>
              <w:spacing w:after="0"/>
              <w:rPr>
                <w:sz w:val="20"/>
                <w:szCs w:val="20"/>
                <w:color w:val="auto"/>
              </w:rPr>
            </w:pPr>
            <w:r>
              <w:rPr>
                <w:rFonts w:ascii="Arial" w:cs="Arial" w:eastAsia="Arial" w:hAnsi="Arial"/>
                <w:sz w:val="18"/>
                <w:szCs w:val="18"/>
                <w:color w:val="auto"/>
              </w:rPr>
              <w:t>Other long-term liabilities include the following:</w:t>
            </w:r>
          </w:p>
        </w:tc>
        <w:tc>
          <w:tcPr>
            <w:tcW w:w="2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4"/>
        </w:trPr>
        <w:tc>
          <w:tcPr>
            <w:tcW w:w="630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1380" w:type="dxa"/>
            <w:vAlign w:val="bottom"/>
            <w:gridSpan w:val="3"/>
          </w:tcPr>
          <w:p>
            <w:pPr>
              <w:jc w:val="right"/>
              <w:ind w:right="200"/>
              <w:spacing w:after="0"/>
              <w:rPr>
                <w:sz w:val="20"/>
                <w:szCs w:val="20"/>
                <w:color w:val="auto"/>
              </w:rPr>
            </w:pPr>
            <w:r>
              <w:rPr>
                <w:rFonts w:ascii="Arial" w:cs="Arial" w:eastAsia="Arial" w:hAnsi="Arial"/>
                <w:sz w:val="18"/>
                <w:szCs w:val="18"/>
                <w:b w:val="1"/>
                <w:bCs w:val="1"/>
                <w:color w:val="auto"/>
                <w:w w:val="94"/>
              </w:rPr>
              <w:t>September 30,</w:t>
            </w:r>
          </w:p>
        </w:tc>
        <w:tc>
          <w:tcPr>
            <w:tcW w:w="80" w:type="dxa"/>
            <w:vAlign w:val="bottom"/>
          </w:tcPr>
          <w:p>
            <w:pPr>
              <w:spacing w:after="0"/>
              <w:rPr>
                <w:sz w:val="24"/>
                <w:szCs w:val="24"/>
                <w:color w:val="auto"/>
              </w:rPr>
            </w:pPr>
          </w:p>
        </w:tc>
        <w:tc>
          <w:tcPr>
            <w:tcW w:w="1340" w:type="dxa"/>
            <w:vAlign w:val="bottom"/>
            <w:gridSpan w:val="3"/>
          </w:tcPr>
          <w:p>
            <w:pPr>
              <w:jc w:val="right"/>
              <w:ind w:right="220"/>
              <w:spacing w:after="0"/>
              <w:rPr>
                <w:sz w:val="20"/>
                <w:szCs w:val="20"/>
                <w:color w:val="auto"/>
              </w:rPr>
            </w:pPr>
            <w:r>
              <w:rPr>
                <w:rFonts w:ascii="Arial" w:cs="Arial" w:eastAsia="Arial" w:hAnsi="Arial"/>
                <w:sz w:val="18"/>
                <w:szCs w:val="18"/>
                <w:b w:val="1"/>
                <w:bCs w:val="1"/>
                <w:color w:val="auto"/>
                <w:w w:val="93"/>
              </w:rPr>
              <w:t>December 31,</w:t>
            </w:r>
          </w:p>
        </w:tc>
      </w:tr>
      <w:tr>
        <w:trPr>
          <w:trHeight w:val="234"/>
        </w:trPr>
        <w:tc>
          <w:tcPr>
            <w:tcW w:w="630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2020</w:t>
            </w:r>
          </w:p>
        </w:tc>
        <w:tc>
          <w:tcPr>
            <w:tcW w:w="1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r>
      <w:tr>
        <w:trPr>
          <w:trHeight w:val="223"/>
        </w:trPr>
        <w:tc>
          <w:tcPr>
            <w:tcW w:w="6300" w:type="dxa"/>
            <w:vAlign w:val="bottom"/>
          </w:tcPr>
          <w:p>
            <w:pPr>
              <w:spacing w:after="0"/>
              <w:rPr>
                <w:sz w:val="19"/>
                <w:szCs w:val="19"/>
                <w:color w:val="auto"/>
              </w:rPr>
            </w:pPr>
          </w:p>
        </w:tc>
        <w:tc>
          <w:tcPr>
            <w:tcW w:w="2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420" w:type="dxa"/>
            <w:vAlign w:val="bottom"/>
            <w:gridSpan w:val="5"/>
          </w:tcPr>
          <w:p>
            <w:pPr>
              <w:jc w:val="right"/>
              <w:ind w:right="710"/>
              <w:spacing w:after="0"/>
              <w:rPr>
                <w:sz w:val="20"/>
                <w:szCs w:val="20"/>
                <w:color w:val="auto"/>
              </w:rPr>
            </w:pPr>
            <w:r>
              <w:rPr>
                <w:rFonts w:ascii="Arial" w:cs="Arial" w:eastAsia="Arial" w:hAnsi="Arial"/>
                <w:sz w:val="18"/>
                <w:szCs w:val="18"/>
                <w:b w:val="1"/>
                <w:bCs w:val="1"/>
                <w:color w:val="auto"/>
              </w:rPr>
              <w:t>(In thousands)</w:t>
            </w:r>
          </w:p>
        </w:tc>
        <w:tc>
          <w:tcPr>
            <w:tcW w:w="100" w:type="dxa"/>
            <w:vAlign w:val="bottom"/>
          </w:tcPr>
          <w:p>
            <w:pPr>
              <w:spacing w:after="0"/>
              <w:rPr>
                <w:sz w:val="19"/>
                <w:szCs w:val="19"/>
                <w:color w:val="auto"/>
              </w:rPr>
            </w:pPr>
          </w:p>
        </w:tc>
      </w:tr>
      <w:tr>
        <w:trPr>
          <w:trHeight w:val="216"/>
        </w:trPr>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Net Deferred Tax Liabilities Related to IPR&amp;D (Note 12)</w:t>
            </w:r>
          </w:p>
        </w:tc>
        <w:tc>
          <w:tcPr>
            <w:tcW w:w="2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$2,779</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$3,007</w:t>
            </w:r>
          </w:p>
        </w:tc>
      </w:tr>
      <w:tr>
        <w:trPr>
          <w:trHeight w:val="216"/>
        </w:trPr>
        <w:tc>
          <w:tcPr>
            <w:tcW w:w="6300" w:type="dxa"/>
            <w:vAlign w:val="bottom"/>
          </w:tcPr>
          <w:p>
            <w:pPr>
              <w:spacing w:after="0"/>
              <w:rPr>
                <w:sz w:val="20"/>
                <w:szCs w:val="20"/>
                <w:color w:val="auto"/>
              </w:rPr>
            </w:pPr>
            <w:r>
              <w:rPr>
                <w:rFonts w:ascii="Arial" w:cs="Arial" w:eastAsia="Arial" w:hAnsi="Arial"/>
                <w:sz w:val="18"/>
                <w:szCs w:val="18"/>
                <w:color w:val="auto"/>
              </w:rPr>
              <w:t>Deferred Income From Sale of Tax Benefits</w:t>
            </w:r>
          </w:p>
        </w:tc>
        <w:tc>
          <w:tcPr>
            <w:tcW w:w="2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1,831</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1,831</w:t>
            </w:r>
          </w:p>
        </w:tc>
      </w:tr>
      <w:tr>
        <w:trPr>
          <w:trHeight w:val="216"/>
        </w:trPr>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Contingent Milestones (Note 3)</w:t>
            </w:r>
          </w:p>
        </w:tc>
        <w:tc>
          <w:tcPr>
            <w:tcW w:w="2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8,249</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12,485</w:t>
            </w:r>
          </w:p>
        </w:tc>
      </w:tr>
      <w:tr>
        <w:trPr>
          <w:trHeight w:val="230"/>
        </w:trPr>
        <w:tc>
          <w:tcPr>
            <w:tcW w:w="6300" w:type="dxa"/>
            <w:vAlign w:val="bottom"/>
          </w:tcPr>
          <w:p>
            <w:pPr>
              <w:spacing w:after="0"/>
              <w:rPr>
                <w:sz w:val="20"/>
                <w:szCs w:val="20"/>
                <w:color w:val="auto"/>
              </w:rPr>
            </w:pPr>
            <w:r>
              <w:rPr>
                <w:rFonts w:ascii="Arial" w:cs="Arial" w:eastAsia="Arial" w:hAnsi="Arial"/>
                <w:sz w:val="18"/>
                <w:szCs w:val="18"/>
                <w:color w:val="auto"/>
              </w:rPr>
              <w:t>Deferred Revenue (Note 11)</w:t>
            </w:r>
          </w:p>
        </w:tc>
        <w:tc>
          <w:tcPr>
            <w:tcW w:w="2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553</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254</w:t>
            </w:r>
          </w:p>
        </w:tc>
      </w:tr>
      <w:tr>
        <w:trPr>
          <w:trHeight w:val="209"/>
        </w:trPr>
        <w:tc>
          <w:tcPr>
            <w:tcW w:w="63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214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13,412</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17,577</w:t>
            </w:r>
          </w:p>
        </w:tc>
        <w:tc>
          <w:tcPr>
            <w:tcW w:w="100" w:type="dxa"/>
            <w:vAlign w:val="bottom"/>
            <w:tcBorders>
              <w:top w:val="single" w:sz="8" w:color="CCEEFF"/>
            </w:tcBorders>
            <w:shd w:val="clear" w:color="auto" w:fill="CCEEFF"/>
          </w:tcPr>
          <w:p>
            <w:pPr>
              <w:spacing w:after="0"/>
              <w:rPr>
                <w:sz w:val="18"/>
                <w:szCs w:val="18"/>
                <w:color w:val="auto"/>
              </w:rPr>
            </w:pPr>
          </w:p>
        </w:tc>
      </w:tr>
      <w:tr>
        <w:trPr>
          <w:trHeight w:val="229"/>
        </w:trPr>
        <w:tc>
          <w:tcPr>
            <w:tcW w:w="6300" w:type="dxa"/>
            <w:vAlign w:val="bottom"/>
          </w:tcPr>
          <w:p>
            <w:pPr>
              <w:spacing w:after="0"/>
              <w:rPr>
                <w:sz w:val="20"/>
                <w:szCs w:val="20"/>
                <w:color w:val="auto"/>
              </w:rPr>
            </w:pPr>
            <w:r>
              <w:rPr>
                <w:rFonts w:ascii="Arial" w:cs="Arial" w:eastAsia="Arial" w:hAnsi="Arial"/>
                <w:sz w:val="18"/>
                <w:szCs w:val="18"/>
                <w:color w:val="auto"/>
              </w:rPr>
              <w:t>Less Current Portion</w:t>
            </w:r>
          </w:p>
        </w:tc>
        <w:tc>
          <w:tcPr>
            <w:tcW w:w="2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(2,362)</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(2,026)</w:t>
            </w:r>
          </w:p>
        </w:tc>
      </w:tr>
      <w:tr>
        <w:trPr>
          <w:trHeight w:val="223"/>
        </w:trPr>
        <w:tc>
          <w:tcPr>
            <w:tcW w:w="63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Long-Term Portion</w:t>
            </w:r>
          </w:p>
        </w:tc>
        <w:tc>
          <w:tcPr>
            <w:tcW w:w="214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11,050</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15,551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630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right="320" w:firstLine="648"/>
        <w:spacing w:after="0" w:line="275" w:lineRule="auto"/>
        <w:rPr>
          <w:sz w:val="20"/>
          <w:szCs w:val="20"/>
          <w:color w:val="auto"/>
        </w:rPr>
      </w:pPr>
      <w:r>
        <w:rPr>
          <w:rFonts w:ascii="Arial" w:cs="Arial" w:eastAsia="Arial" w:hAnsi="Arial"/>
          <w:sz w:val="17"/>
          <w:szCs w:val="17"/>
          <w:color w:val="auto"/>
        </w:rPr>
        <w:t>In November 2015, the Company received approval from the New Jersey Economic Development Authority and agreed to sell New Jersey tax benefits of $9.8 million to an independent third party for $9.2 million. Under the agreement, the Company must maintain a base of operations in New Jersey for five years or the tax benefits must be paid back on a pro-rata basis based on the number of years completed. The Company recognized $0.0 million in other income related to the sale of these tax benefits during the three and nine months ended September 30, 2020 and $0.0 million and $0.2 million during the three and nine months ended September 30, 2019, respectively.</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Stockholders’ Equity</w:t>
      </w:r>
    </w:p>
    <w:p>
      <w:pPr>
        <w:spacing w:after="0" w:line="229" w:lineRule="exact"/>
        <w:rPr>
          <w:sz w:val="20"/>
          <w:szCs w:val="20"/>
          <w:color w:val="auto"/>
        </w:rPr>
      </w:pPr>
    </w:p>
    <w:p>
      <w:pPr>
        <w:ind w:right="160" w:firstLine="648"/>
        <w:spacing w:after="0" w:line="275" w:lineRule="auto"/>
        <w:rPr>
          <w:sz w:val="20"/>
          <w:szCs w:val="20"/>
          <w:color w:val="auto"/>
        </w:rPr>
      </w:pPr>
      <w:r>
        <w:rPr>
          <w:rFonts w:ascii="Arial" w:cs="Arial" w:eastAsia="Arial" w:hAnsi="Arial"/>
          <w:sz w:val="17"/>
          <w:szCs w:val="17"/>
          <w:color w:val="auto"/>
        </w:rPr>
        <w:t>In May 2016, the Company entered into a controlled equity offering sales agreement (the “Cantor Agreement”) with Cantor Fitzgerald &amp; Co. (“Cantor”) to allow the Company to issue and sell shares of its common stock from time to time through Cantor, acting as agent. During the nine months ended September 30, 2020, the Company issued 7.1 million shares of common stock pursuant to the Cantor Agreement resulting in net proceeds of $29.6 million after deducting commission and offering expenses. At September 30, 2020, the Company had $13.8 million remaining in aggregate gross offering price available under a prospectus supplement filed pursuant to the agreement.</w:t>
      </w:r>
    </w:p>
    <w:p>
      <w:pPr>
        <w:spacing w:after="0" w:line="176"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During the second quarter of 2020, the Company issued 15,384,614 shares of its common stock in an underwritten public offering resulting in net proceeds to the Company of $141.4 million, after deducting underwriting fees and offering expenses.</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0" w:name="page11"/>
    <w:bookmarkEnd w:id="10"/>
    <w:p>
      <w:pPr>
        <w:ind w:left="660"/>
        <w:spacing w:after="0"/>
        <w:rPr>
          <w:sz w:val="20"/>
          <w:szCs w:val="20"/>
          <w:color w:val="auto"/>
        </w:rPr>
      </w:pPr>
      <w:r>
        <w:rPr>
          <w:rFonts w:ascii="Arial" w:cs="Arial" w:eastAsia="Arial" w:hAnsi="Arial"/>
          <w:sz w:val="18"/>
          <w:szCs w:val="18"/>
          <w:color w:val="auto"/>
        </w:rPr>
        <w:t>The changes in Stockholders’ Equity during the three and nine months ended September 30, 2020 and 2019 are summarized below:</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9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80" w:type="dxa"/>
            <w:vAlign w:val="bottom"/>
            <w:gridSpan w:val="3"/>
          </w:tcPr>
          <w:p>
            <w:pPr>
              <w:jc w:val="center"/>
              <w:ind w:right="240"/>
              <w:spacing w:after="0"/>
              <w:rPr>
                <w:sz w:val="20"/>
                <w:szCs w:val="20"/>
                <w:color w:val="auto"/>
              </w:rPr>
            </w:pPr>
            <w:r>
              <w:rPr>
                <w:rFonts w:ascii="Arial" w:cs="Arial" w:eastAsia="Arial" w:hAnsi="Arial"/>
                <w:sz w:val="16"/>
                <w:szCs w:val="16"/>
                <w:b w:val="1"/>
                <w:bCs w:val="1"/>
                <w:color w:val="auto"/>
                <w:w w:val="91"/>
              </w:rPr>
              <w:t>Accumulated</w:t>
            </w: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940" w:type="dxa"/>
            <w:vAlign w:val="bottom"/>
          </w:tcPr>
          <w:p>
            <w:pPr>
              <w:spacing w:after="0"/>
              <w:rPr>
                <w:sz w:val="17"/>
                <w:szCs w:val="17"/>
                <w:color w:val="auto"/>
              </w:rPr>
            </w:pPr>
          </w:p>
        </w:tc>
        <w:tc>
          <w:tcPr>
            <w:tcW w:w="118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92"/>
              </w:rPr>
              <w:t>Common</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jc w:val="center"/>
              <w:ind w:right="39"/>
              <w:spacing w:after="0"/>
              <w:rPr>
                <w:sz w:val="20"/>
                <w:szCs w:val="20"/>
                <w:color w:val="auto"/>
              </w:rPr>
            </w:pPr>
            <w:r>
              <w:rPr>
                <w:rFonts w:ascii="Arial" w:cs="Arial" w:eastAsia="Arial" w:hAnsi="Arial"/>
                <w:sz w:val="16"/>
                <w:szCs w:val="16"/>
                <w:b w:val="1"/>
                <w:bCs w:val="1"/>
                <w:color w:val="auto"/>
                <w:w w:val="92"/>
              </w:rPr>
              <w:t>Common</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jc w:val="center"/>
              <w:ind w:right="19"/>
              <w:spacing w:after="0"/>
              <w:rPr>
                <w:sz w:val="20"/>
                <w:szCs w:val="20"/>
                <w:color w:val="auto"/>
              </w:rPr>
            </w:pPr>
            <w:r>
              <w:rPr>
                <w:rFonts w:ascii="Arial" w:cs="Arial" w:eastAsia="Arial" w:hAnsi="Arial"/>
                <w:sz w:val="16"/>
                <w:szCs w:val="16"/>
                <w:b w:val="1"/>
                <w:bCs w:val="1"/>
                <w:color w:val="auto"/>
                <w:w w:val="91"/>
              </w:rPr>
              <w:t>Additional</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gridSpan w:val="2"/>
          </w:tcPr>
          <w:p>
            <w:pPr>
              <w:jc w:val="center"/>
              <w:ind w:right="400"/>
              <w:spacing w:after="0"/>
              <w:rPr>
                <w:sz w:val="20"/>
                <w:szCs w:val="20"/>
                <w:color w:val="auto"/>
              </w:rPr>
            </w:pPr>
            <w:r>
              <w:rPr>
                <w:rFonts w:ascii="Arial" w:cs="Arial" w:eastAsia="Arial" w:hAnsi="Arial"/>
                <w:sz w:val="16"/>
                <w:szCs w:val="16"/>
                <w:b w:val="1"/>
                <w:bCs w:val="1"/>
                <w:color w:val="auto"/>
                <w:w w:val="98"/>
              </w:rPr>
              <w:t>Other</w:t>
            </w: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88"/>
              </w:rPr>
              <w:t>Total</w:t>
            </w:r>
          </w:p>
        </w:tc>
        <w:tc>
          <w:tcPr>
            <w:tcW w:w="0" w:type="dxa"/>
            <w:vAlign w:val="bottom"/>
          </w:tcPr>
          <w:p>
            <w:pPr>
              <w:spacing w:after="0"/>
              <w:rPr>
                <w:sz w:val="1"/>
                <w:szCs w:val="1"/>
                <w:color w:val="auto"/>
              </w:rPr>
            </w:pPr>
          </w:p>
        </w:tc>
      </w:tr>
      <w:tr>
        <w:trPr>
          <w:trHeight w:val="203"/>
        </w:trPr>
        <w:tc>
          <w:tcPr>
            <w:tcW w:w="3940" w:type="dxa"/>
            <w:vAlign w:val="bottom"/>
          </w:tcPr>
          <w:p>
            <w:pPr>
              <w:spacing w:after="0"/>
              <w:rPr>
                <w:sz w:val="17"/>
                <w:szCs w:val="17"/>
                <w:color w:val="auto"/>
              </w:rPr>
            </w:pPr>
          </w:p>
        </w:tc>
        <w:tc>
          <w:tcPr>
            <w:tcW w:w="118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91"/>
              </w:rPr>
              <w:t>Stock</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jc w:val="center"/>
              <w:ind w:right="39"/>
              <w:spacing w:after="0"/>
              <w:rPr>
                <w:sz w:val="20"/>
                <w:szCs w:val="20"/>
                <w:color w:val="auto"/>
              </w:rPr>
            </w:pPr>
            <w:r>
              <w:rPr>
                <w:rFonts w:ascii="Arial" w:cs="Arial" w:eastAsia="Arial" w:hAnsi="Arial"/>
                <w:sz w:val="16"/>
                <w:szCs w:val="16"/>
                <w:b w:val="1"/>
                <w:bCs w:val="1"/>
                <w:color w:val="auto"/>
                <w:w w:val="92"/>
              </w:rPr>
              <w:t>Stock Par</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jc w:val="center"/>
              <w:ind w:right="19"/>
              <w:spacing w:after="0"/>
              <w:rPr>
                <w:sz w:val="20"/>
                <w:szCs w:val="20"/>
                <w:color w:val="auto"/>
              </w:rPr>
            </w:pPr>
            <w:r>
              <w:rPr>
                <w:rFonts w:ascii="Arial" w:cs="Arial" w:eastAsia="Arial" w:hAnsi="Arial"/>
                <w:sz w:val="16"/>
                <w:szCs w:val="16"/>
                <w:b w:val="1"/>
                <w:bCs w:val="1"/>
                <w:color w:val="auto"/>
                <w:w w:val="97"/>
              </w:rPr>
              <w:t>Paid-In</w:t>
            </w:r>
          </w:p>
        </w:tc>
        <w:tc>
          <w:tcPr>
            <w:tcW w:w="1500" w:type="dxa"/>
            <w:vAlign w:val="bottom"/>
            <w:gridSpan w:val="4"/>
          </w:tcPr>
          <w:p>
            <w:pPr>
              <w:ind w:left="220"/>
              <w:spacing w:after="0"/>
              <w:rPr>
                <w:sz w:val="20"/>
                <w:szCs w:val="20"/>
                <w:color w:val="auto"/>
              </w:rPr>
            </w:pPr>
            <w:r>
              <w:rPr>
                <w:rFonts w:ascii="Arial" w:cs="Arial" w:eastAsia="Arial" w:hAnsi="Arial"/>
                <w:sz w:val="16"/>
                <w:szCs w:val="16"/>
                <w:b w:val="1"/>
                <w:bCs w:val="1"/>
                <w:color w:val="auto"/>
              </w:rPr>
              <w:t>Comprehensive</w:t>
            </w:r>
          </w:p>
        </w:tc>
        <w:tc>
          <w:tcPr>
            <w:tcW w:w="1220" w:type="dxa"/>
            <w:vAlign w:val="bottom"/>
            <w:gridSpan w:val="3"/>
          </w:tcPr>
          <w:p>
            <w:pPr>
              <w:jc w:val="center"/>
              <w:ind w:right="139"/>
              <w:spacing w:after="0"/>
              <w:rPr>
                <w:sz w:val="20"/>
                <w:szCs w:val="20"/>
                <w:color w:val="auto"/>
              </w:rPr>
            </w:pPr>
            <w:r>
              <w:rPr>
                <w:rFonts w:ascii="Arial" w:cs="Arial" w:eastAsia="Arial" w:hAnsi="Arial"/>
                <w:sz w:val="16"/>
                <w:szCs w:val="16"/>
                <w:b w:val="1"/>
                <w:bCs w:val="1"/>
                <w:color w:val="auto"/>
                <w:w w:val="91"/>
              </w:rPr>
              <w:t>Accumulated</w:t>
            </w:r>
          </w:p>
        </w:tc>
        <w:tc>
          <w:tcPr>
            <w:tcW w:w="1100" w:type="dxa"/>
            <w:vAlign w:val="bottom"/>
            <w:gridSpan w:val="3"/>
          </w:tcPr>
          <w:p>
            <w:pPr>
              <w:ind w:left="20"/>
              <w:spacing w:after="0"/>
              <w:rPr>
                <w:sz w:val="20"/>
                <w:szCs w:val="20"/>
                <w:color w:val="auto"/>
              </w:rPr>
            </w:pPr>
            <w:r>
              <w:rPr>
                <w:rFonts w:ascii="Arial" w:cs="Arial" w:eastAsia="Arial" w:hAnsi="Arial"/>
                <w:sz w:val="16"/>
                <w:szCs w:val="16"/>
                <w:b w:val="1"/>
                <w:bCs w:val="1"/>
                <w:color w:val="auto"/>
              </w:rPr>
              <w:t>Stockholders’</w:t>
            </w:r>
          </w:p>
        </w:tc>
        <w:tc>
          <w:tcPr>
            <w:tcW w:w="0" w:type="dxa"/>
            <w:vAlign w:val="bottom"/>
          </w:tcPr>
          <w:p>
            <w:pPr>
              <w:spacing w:after="0"/>
              <w:rPr>
                <w:sz w:val="1"/>
                <w:szCs w:val="1"/>
                <w:color w:val="auto"/>
              </w:rPr>
            </w:pPr>
          </w:p>
        </w:tc>
      </w:tr>
      <w:tr>
        <w:trPr>
          <w:trHeight w:val="213"/>
        </w:trPr>
        <w:tc>
          <w:tcPr>
            <w:tcW w:w="3940" w:type="dxa"/>
            <w:vAlign w:val="bottom"/>
          </w:tcPr>
          <w:p>
            <w:pPr>
              <w:spacing w:after="0"/>
              <w:rPr>
                <w:sz w:val="18"/>
                <w:szCs w:val="18"/>
                <w:color w:val="auto"/>
              </w:rPr>
            </w:pPr>
          </w:p>
        </w:tc>
        <w:tc>
          <w:tcPr>
            <w:tcW w:w="118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86"/>
              </w:rPr>
              <w:t>Shares</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center"/>
              <w:ind w:right="39"/>
              <w:spacing w:after="0"/>
              <w:rPr>
                <w:sz w:val="20"/>
                <w:szCs w:val="20"/>
                <w:color w:val="auto"/>
              </w:rPr>
            </w:pPr>
            <w:r>
              <w:rPr>
                <w:rFonts w:ascii="Arial" w:cs="Arial" w:eastAsia="Arial" w:hAnsi="Arial"/>
                <w:sz w:val="16"/>
                <w:szCs w:val="16"/>
                <w:b w:val="1"/>
                <w:bCs w:val="1"/>
                <w:color w:val="auto"/>
                <w:w w:val="93"/>
              </w:rPr>
              <w:t>Value</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center"/>
              <w:ind w:right="19"/>
              <w:spacing w:after="0"/>
              <w:rPr>
                <w:sz w:val="20"/>
                <w:szCs w:val="20"/>
                <w:color w:val="auto"/>
              </w:rPr>
            </w:pPr>
            <w:r>
              <w:rPr>
                <w:rFonts w:ascii="Arial" w:cs="Arial" w:eastAsia="Arial" w:hAnsi="Arial"/>
                <w:sz w:val="16"/>
                <w:szCs w:val="16"/>
                <w:b w:val="1"/>
                <w:bCs w:val="1"/>
                <w:color w:val="auto"/>
                <w:w w:val="97"/>
              </w:rPr>
              <w:t>Capital</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center"/>
              <w:ind w:right="400"/>
              <w:spacing w:after="0"/>
              <w:rPr>
                <w:sz w:val="20"/>
                <w:szCs w:val="20"/>
                <w:color w:val="auto"/>
              </w:rPr>
            </w:pPr>
            <w:r>
              <w:rPr>
                <w:rFonts w:ascii="Arial" w:cs="Arial" w:eastAsia="Arial" w:hAnsi="Arial"/>
                <w:sz w:val="16"/>
                <w:szCs w:val="16"/>
                <w:b w:val="1"/>
                <w:bCs w:val="1"/>
                <w:color w:val="auto"/>
                <w:w w:val="89"/>
              </w:rPr>
              <w:t>Income</w:t>
            </w:r>
          </w:p>
        </w:tc>
        <w:tc>
          <w:tcPr>
            <w:tcW w:w="180" w:type="dxa"/>
            <w:vAlign w:val="bottom"/>
          </w:tcPr>
          <w:p>
            <w:pPr>
              <w:spacing w:after="0"/>
              <w:rPr>
                <w:sz w:val="18"/>
                <w:szCs w:val="18"/>
                <w:color w:val="auto"/>
              </w:rPr>
            </w:pPr>
          </w:p>
        </w:tc>
        <w:tc>
          <w:tcPr>
            <w:tcW w:w="1040" w:type="dxa"/>
            <w:vAlign w:val="bottom"/>
            <w:gridSpan w:val="2"/>
          </w:tcPr>
          <w:p>
            <w:pPr>
              <w:jc w:val="center"/>
              <w:ind w:right="339"/>
              <w:spacing w:after="0"/>
              <w:rPr>
                <w:sz w:val="20"/>
                <w:szCs w:val="20"/>
                <w:color w:val="auto"/>
              </w:rPr>
            </w:pPr>
            <w:r>
              <w:rPr>
                <w:rFonts w:ascii="Arial" w:cs="Arial" w:eastAsia="Arial" w:hAnsi="Arial"/>
                <w:sz w:val="16"/>
                <w:szCs w:val="16"/>
                <w:b w:val="1"/>
                <w:bCs w:val="1"/>
                <w:color w:val="auto"/>
                <w:w w:val="93"/>
              </w:rPr>
              <w:t>Deficit</w:t>
            </w:r>
          </w:p>
        </w:tc>
        <w:tc>
          <w:tcPr>
            <w:tcW w:w="160" w:type="dxa"/>
            <w:vAlign w:val="bottom"/>
          </w:tcPr>
          <w:p>
            <w:pPr>
              <w:spacing w:after="0"/>
              <w:rPr>
                <w:sz w:val="18"/>
                <w:szCs w:val="18"/>
                <w:color w:val="auto"/>
              </w:rPr>
            </w:pPr>
          </w:p>
        </w:tc>
        <w:tc>
          <w:tcPr>
            <w:tcW w:w="94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3"/>
              </w:rPr>
              <w:t>Equity</w:t>
            </w:r>
          </w:p>
        </w:tc>
        <w:tc>
          <w:tcPr>
            <w:tcW w:w="0" w:type="dxa"/>
            <w:vAlign w:val="bottom"/>
          </w:tcPr>
          <w:p>
            <w:pPr>
              <w:spacing w:after="0"/>
              <w:rPr>
                <w:sz w:val="1"/>
                <w:szCs w:val="1"/>
                <w:color w:val="auto"/>
              </w:rPr>
            </w:pPr>
          </w:p>
        </w:tc>
      </w:tr>
      <w:tr>
        <w:trPr>
          <w:trHeight w:val="199"/>
        </w:trPr>
        <w:tc>
          <w:tcPr>
            <w:tcW w:w="3940" w:type="dxa"/>
            <w:vAlign w:val="bottom"/>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2720" w:type="dxa"/>
            <w:vAlign w:val="bottom"/>
            <w:tcBorders>
              <w:top w:val="single" w:sz="8" w:color="auto"/>
            </w:tcBorders>
            <w:gridSpan w:val="7"/>
          </w:tcPr>
          <w:p>
            <w:pPr>
              <w:jc w:val="right"/>
              <w:ind w:right="100"/>
              <w:spacing w:after="0"/>
              <w:rPr>
                <w:sz w:val="20"/>
                <w:szCs w:val="20"/>
                <w:color w:val="auto"/>
              </w:rPr>
            </w:pPr>
            <w:r>
              <w:rPr>
                <w:rFonts w:ascii="Arial" w:cs="Arial" w:eastAsia="Arial" w:hAnsi="Arial"/>
                <w:sz w:val="16"/>
                <w:szCs w:val="16"/>
                <w:b w:val="1"/>
                <w:bCs w:val="1"/>
                <w:color w:val="auto"/>
                <w:w w:val="90"/>
              </w:rPr>
              <w:t>(In thousands, except share amounts)</w:t>
            </w:r>
          </w:p>
        </w:tc>
        <w:tc>
          <w:tcPr>
            <w:tcW w:w="18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94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Consolidated Balance at December 31, 2019</w:t>
            </w: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16,972,077</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1,104,706</w:t>
            </w:r>
          </w:p>
        </w:tc>
        <w:tc>
          <w:tcPr>
            <w:tcW w:w="40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2,619</w:t>
            </w:r>
          </w:p>
        </w:tc>
        <w:tc>
          <w:tcPr>
            <w:tcW w:w="1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79"/>
              <w:spacing w:after="0"/>
              <w:rPr>
                <w:sz w:val="20"/>
                <w:szCs w:val="20"/>
                <w:color w:val="auto"/>
              </w:rPr>
            </w:pPr>
            <w:r>
              <w:rPr>
                <w:rFonts w:ascii="Arial" w:cs="Arial" w:eastAsia="Arial" w:hAnsi="Arial"/>
                <w:sz w:val="16"/>
                <w:szCs w:val="16"/>
                <w:color w:val="auto"/>
              </w:rPr>
              <w:t>(1,013,316)</w:t>
            </w:r>
          </w:p>
        </w:tc>
        <w:tc>
          <w:tcPr>
            <w:tcW w:w="16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94,026</w:t>
            </w:r>
          </w:p>
        </w:tc>
        <w:tc>
          <w:tcPr>
            <w:tcW w:w="100" w:type="dxa"/>
            <w:vAlign w:val="bottom"/>
            <w:tcBorders>
              <w:left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3940" w:type="dxa"/>
            <w:vAlign w:val="bottom"/>
          </w:tcPr>
          <w:p>
            <w:pPr>
              <w:spacing w:after="0"/>
              <w:rPr>
                <w:sz w:val="20"/>
                <w:szCs w:val="20"/>
                <w:color w:val="auto"/>
              </w:rPr>
            </w:pPr>
            <w:r>
              <w:rPr>
                <w:rFonts w:ascii="Arial" w:cs="Arial" w:eastAsia="Arial" w:hAnsi="Arial"/>
                <w:sz w:val="16"/>
                <w:szCs w:val="16"/>
                <w:color w:val="auto"/>
              </w:rPr>
              <w:t>Shares Issued under Stock Option and Employee</w:t>
            </w:r>
          </w:p>
        </w:tc>
        <w:tc>
          <w:tcPr>
            <w:tcW w:w="10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3940" w:type="dxa"/>
            <w:vAlign w:val="bottom"/>
          </w:tcPr>
          <w:p>
            <w:pPr>
              <w:ind w:left="180"/>
              <w:spacing w:after="0"/>
              <w:rPr>
                <w:sz w:val="20"/>
                <w:szCs w:val="20"/>
                <w:color w:val="auto"/>
              </w:rPr>
            </w:pPr>
            <w:r>
              <w:rPr>
                <w:rFonts w:ascii="Arial" w:cs="Arial" w:eastAsia="Arial" w:hAnsi="Arial"/>
                <w:sz w:val="16"/>
                <w:szCs w:val="16"/>
                <w:color w:val="auto"/>
              </w:rPr>
              <w:t>Stock Purchase Plans</w:t>
            </w:r>
          </w:p>
        </w:tc>
        <w:tc>
          <w:tcPr>
            <w:tcW w:w="1180" w:type="dxa"/>
            <w:vAlign w:val="bottom"/>
            <w:gridSpan w:val="2"/>
          </w:tcPr>
          <w:p>
            <w:pPr>
              <w:jc w:val="right"/>
              <w:ind w:right="140"/>
              <w:spacing w:after="0"/>
              <w:rPr>
                <w:sz w:val="20"/>
                <w:szCs w:val="20"/>
                <w:color w:val="auto"/>
              </w:rPr>
            </w:pPr>
            <w:r>
              <w:rPr>
                <w:rFonts w:ascii="Arial" w:cs="Arial" w:eastAsia="Arial" w:hAnsi="Arial"/>
                <w:sz w:val="16"/>
                <w:szCs w:val="16"/>
                <w:color w:val="auto"/>
              </w:rPr>
              <w:t>12,573</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24</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040" w:type="dxa"/>
            <w:vAlign w:val="bottom"/>
            <w:gridSpan w:val="2"/>
          </w:tcPr>
          <w:p>
            <w:pPr>
              <w:jc w:val="right"/>
              <w:ind w:right="139"/>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3940" w:type="dxa"/>
            <w:vAlign w:val="bottom"/>
            <w:shd w:val="clear" w:color="auto" w:fill="CCEEFF"/>
          </w:tcPr>
          <w:p>
            <w:pPr>
              <w:spacing w:after="0"/>
              <w:rPr>
                <w:sz w:val="20"/>
                <w:szCs w:val="20"/>
                <w:color w:val="auto"/>
              </w:rPr>
            </w:pPr>
            <w:r>
              <w:rPr>
                <w:rFonts w:ascii="Arial" w:cs="Arial" w:eastAsia="Arial" w:hAnsi="Arial"/>
                <w:sz w:val="16"/>
                <w:szCs w:val="16"/>
                <w:color w:val="auto"/>
              </w:rPr>
              <w:t>Shares Issued in Connection with Cantor Agreement</w:t>
            </w: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746,152</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1,613</w:t>
            </w: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1,614</w:t>
            </w:r>
          </w:p>
        </w:tc>
        <w:tc>
          <w:tcPr>
            <w:tcW w:w="100" w:type="dxa"/>
            <w:vAlign w:val="bottom"/>
            <w:tcBorders>
              <w:left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940" w:type="dxa"/>
            <w:vAlign w:val="bottom"/>
          </w:tcPr>
          <w:p>
            <w:pPr>
              <w:spacing w:after="0"/>
              <w:rPr>
                <w:sz w:val="20"/>
                <w:szCs w:val="20"/>
                <w:color w:val="auto"/>
              </w:rPr>
            </w:pPr>
            <w:r>
              <w:rPr>
                <w:rFonts w:ascii="Arial" w:cs="Arial" w:eastAsia="Arial" w:hAnsi="Arial"/>
                <w:sz w:val="16"/>
                <w:szCs w:val="16"/>
                <w:color w:val="auto"/>
              </w:rPr>
              <w:t>Share-Based Compensation</w:t>
            </w:r>
          </w:p>
        </w:tc>
        <w:tc>
          <w:tcPr>
            <w:tcW w:w="11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686</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1040" w:type="dxa"/>
            <w:vAlign w:val="bottom"/>
            <w:gridSpan w:val="2"/>
          </w:tcPr>
          <w:p>
            <w:pPr>
              <w:jc w:val="right"/>
              <w:ind w:right="139"/>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686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940" w:type="dxa"/>
            <w:vAlign w:val="bottom"/>
            <w:shd w:val="clear" w:color="auto" w:fill="CCEEFF"/>
          </w:tcPr>
          <w:p>
            <w:pPr>
              <w:spacing w:after="0"/>
              <w:rPr>
                <w:sz w:val="20"/>
                <w:szCs w:val="20"/>
                <w:color w:val="auto"/>
              </w:rPr>
            </w:pPr>
            <w:r>
              <w:rPr>
                <w:rFonts w:ascii="Arial" w:cs="Arial" w:eastAsia="Arial" w:hAnsi="Arial"/>
                <w:sz w:val="16"/>
                <w:szCs w:val="16"/>
                <w:color w:val="auto"/>
              </w:rPr>
              <w:t>Unrealized Loss on Marketable Securities</w:t>
            </w: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(22)</w:t>
            </w:r>
          </w:p>
        </w:tc>
        <w:tc>
          <w:tcPr>
            <w:tcW w:w="18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(22)</w:t>
            </w:r>
          </w:p>
        </w:tc>
        <w:tc>
          <w:tcPr>
            <w:tcW w:w="0" w:type="dxa"/>
            <w:vAlign w:val="bottom"/>
          </w:tcPr>
          <w:p>
            <w:pPr>
              <w:spacing w:after="0"/>
              <w:rPr>
                <w:sz w:val="1"/>
                <w:szCs w:val="1"/>
                <w:color w:val="auto"/>
              </w:rPr>
            </w:pPr>
          </w:p>
        </w:tc>
      </w:tr>
      <w:tr>
        <w:trPr>
          <w:trHeight w:val="213"/>
        </w:trPr>
        <w:tc>
          <w:tcPr>
            <w:tcW w:w="3940" w:type="dxa"/>
            <w:vAlign w:val="bottom"/>
          </w:tcPr>
          <w:p>
            <w:pPr>
              <w:spacing w:after="0"/>
              <w:rPr>
                <w:sz w:val="20"/>
                <w:szCs w:val="20"/>
                <w:color w:val="auto"/>
              </w:rPr>
            </w:pPr>
            <w:r>
              <w:rPr>
                <w:rFonts w:ascii="Arial" w:cs="Arial" w:eastAsia="Arial" w:hAnsi="Arial"/>
                <w:sz w:val="16"/>
                <w:szCs w:val="16"/>
                <w:color w:val="auto"/>
              </w:rPr>
              <w:t>Net Loss</w:t>
            </w:r>
          </w:p>
        </w:tc>
        <w:tc>
          <w:tcPr>
            <w:tcW w:w="11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040" w:type="dxa"/>
            <w:vAlign w:val="bottom"/>
            <w:gridSpan w:val="2"/>
          </w:tcPr>
          <w:p>
            <w:pPr>
              <w:jc w:val="right"/>
              <w:ind w:right="79"/>
              <w:spacing w:after="0"/>
              <w:rPr>
                <w:sz w:val="20"/>
                <w:szCs w:val="20"/>
                <w:color w:val="auto"/>
              </w:rPr>
            </w:pPr>
            <w:r>
              <w:rPr>
                <w:rFonts w:ascii="Arial" w:cs="Arial" w:eastAsia="Arial" w:hAnsi="Arial"/>
                <w:sz w:val="16"/>
                <w:szCs w:val="16"/>
                <w:color w:val="auto"/>
              </w:rPr>
              <w:t>(12,625)</w:t>
            </w:r>
          </w:p>
        </w:tc>
        <w:tc>
          <w:tcPr>
            <w:tcW w:w="160" w:type="dxa"/>
            <w:vAlign w:val="bottom"/>
          </w:tcPr>
          <w:p>
            <w:pPr>
              <w:spacing w:after="0"/>
              <w:rPr>
                <w:sz w:val="18"/>
                <w:szCs w:val="18"/>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6"/>
                <w:szCs w:val="16"/>
                <w:color w:val="auto"/>
              </w:rPr>
              <w:t>(12,625)</w:t>
            </w:r>
          </w:p>
        </w:tc>
        <w:tc>
          <w:tcPr>
            <w:tcW w:w="0" w:type="dxa"/>
            <w:vAlign w:val="bottom"/>
          </w:tcPr>
          <w:p>
            <w:pPr>
              <w:spacing w:after="0"/>
              <w:rPr>
                <w:sz w:val="1"/>
                <w:szCs w:val="1"/>
                <w:color w:val="auto"/>
              </w:rPr>
            </w:pPr>
          </w:p>
        </w:tc>
      </w:tr>
      <w:tr>
        <w:trPr>
          <w:trHeight w:val="199"/>
        </w:trPr>
        <w:tc>
          <w:tcPr>
            <w:tcW w:w="39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rPr>
              <w:t>Consolidated Balance at March 31, 2020</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17,730,802</w:t>
            </w:r>
          </w:p>
        </w:tc>
        <w:tc>
          <w:tcPr>
            <w:tcW w:w="1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w:t>
            </w:r>
          </w:p>
        </w:tc>
        <w:tc>
          <w:tcPr>
            <w:tcW w:w="2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1,107,029</w:t>
            </w:r>
          </w:p>
        </w:tc>
        <w:tc>
          <w:tcPr>
            <w:tcW w:w="2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2,597</w:t>
            </w:r>
          </w:p>
        </w:tc>
        <w:tc>
          <w:tcPr>
            <w:tcW w:w="2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7"/>
              </w:rPr>
              <w:t>(1,025,941)</w:t>
            </w:r>
          </w:p>
        </w:tc>
        <w:tc>
          <w:tcPr>
            <w:tcW w:w="2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83,703</w:t>
            </w:r>
          </w:p>
        </w:tc>
        <w:tc>
          <w:tcPr>
            <w:tcW w:w="100" w:type="dxa"/>
            <w:vAlign w:val="bottom"/>
            <w:tcBorders>
              <w:top w:val="single" w:sz="8" w:color="CCEEFF"/>
              <w:left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940" w:type="dxa"/>
            <w:vAlign w:val="bottom"/>
          </w:tcPr>
          <w:p>
            <w:pPr>
              <w:spacing w:after="0"/>
              <w:rPr>
                <w:sz w:val="20"/>
                <w:szCs w:val="20"/>
                <w:color w:val="auto"/>
              </w:rPr>
            </w:pPr>
            <w:r>
              <w:rPr>
                <w:rFonts w:ascii="Arial" w:cs="Arial" w:eastAsia="Arial" w:hAnsi="Arial"/>
                <w:sz w:val="16"/>
                <w:szCs w:val="16"/>
                <w:color w:val="auto"/>
              </w:rPr>
              <w:t>Shares Issued in Connection with Cantor Agreement</w:t>
            </w:r>
          </w:p>
        </w:tc>
        <w:tc>
          <w:tcPr>
            <w:tcW w:w="1180" w:type="dxa"/>
            <w:vAlign w:val="bottom"/>
            <w:gridSpan w:val="2"/>
          </w:tcPr>
          <w:p>
            <w:pPr>
              <w:jc w:val="right"/>
              <w:ind w:right="140"/>
              <w:spacing w:after="0"/>
              <w:rPr>
                <w:sz w:val="20"/>
                <w:szCs w:val="20"/>
                <w:color w:val="auto"/>
              </w:rPr>
            </w:pPr>
            <w:r>
              <w:rPr>
                <w:rFonts w:ascii="Arial" w:cs="Arial" w:eastAsia="Arial" w:hAnsi="Arial"/>
                <w:sz w:val="16"/>
                <w:szCs w:val="16"/>
                <w:color w:val="auto"/>
              </w:rPr>
              <w:t>5,978,452</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6</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23,686</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1040" w:type="dxa"/>
            <w:vAlign w:val="bottom"/>
            <w:gridSpan w:val="2"/>
          </w:tcPr>
          <w:p>
            <w:pPr>
              <w:jc w:val="right"/>
              <w:ind w:right="139"/>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23,692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940" w:type="dxa"/>
            <w:vAlign w:val="bottom"/>
            <w:shd w:val="clear" w:color="auto" w:fill="CCEEFF"/>
          </w:tcPr>
          <w:p>
            <w:pPr>
              <w:spacing w:after="0"/>
              <w:rPr>
                <w:sz w:val="20"/>
                <w:szCs w:val="20"/>
                <w:color w:val="auto"/>
              </w:rPr>
            </w:pPr>
            <w:r>
              <w:rPr>
                <w:rFonts w:ascii="Arial" w:cs="Arial" w:eastAsia="Arial" w:hAnsi="Arial"/>
                <w:sz w:val="16"/>
                <w:szCs w:val="16"/>
                <w:color w:val="auto"/>
              </w:rPr>
              <w:t>Shares Issued in Underwritten Offering</w:t>
            </w: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15,384,614</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141,346</w:t>
            </w: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141,361</w:t>
            </w:r>
          </w:p>
        </w:tc>
        <w:tc>
          <w:tcPr>
            <w:tcW w:w="100" w:type="dxa"/>
            <w:vAlign w:val="bottom"/>
            <w:tcBorders>
              <w:left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940" w:type="dxa"/>
            <w:vAlign w:val="bottom"/>
          </w:tcPr>
          <w:p>
            <w:pPr>
              <w:spacing w:after="0"/>
              <w:rPr>
                <w:sz w:val="20"/>
                <w:szCs w:val="20"/>
                <w:color w:val="auto"/>
              </w:rPr>
            </w:pPr>
            <w:r>
              <w:rPr>
                <w:rFonts w:ascii="Arial" w:cs="Arial" w:eastAsia="Arial" w:hAnsi="Arial"/>
                <w:sz w:val="16"/>
                <w:szCs w:val="16"/>
                <w:color w:val="auto"/>
              </w:rPr>
              <w:t>Share-Based Compensation</w:t>
            </w:r>
          </w:p>
        </w:tc>
        <w:tc>
          <w:tcPr>
            <w:tcW w:w="11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722</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1040" w:type="dxa"/>
            <w:vAlign w:val="bottom"/>
            <w:gridSpan w:val="2"/>
          </w:tcPr>
          <w:p>
            <w:pPr>
              <w:jc w:val="right"/>
              <w:ind w:right="139"/>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722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940" w:type="dxa"/>
            <w:vAlign w:val="bottom"/>
            <w:shd w:val="clear" w:color="auto" w:fill="CCEEFF"/>
          </w:tcPr>
          <w:p>
            <w:pPr>
              <w:spacing w:after="0"/>
              <w:rPr>
                <w:sz w:val="20"/>
                <w:szCs w:val="20"/>
                <w:color w:val="auto"/>
              </w:rPr>
            </w:pPr>
            <w:r>
              <w:rPr>
                <w:rFonts w:ascii="Arial" w:cs="Arial" w:eastAsia="Arial" w:hAnsi="Arial"/>
                <w:sz w:val="16"/>
                <w:szCs w:val="16"/>
                <w:color w:val="auto"/>
              </w:rPr>
              <w:t>Unrealized Loss on Marketable Securities</w:t>
            </w: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(3)</w:t>
            </w:r>
          </w:p>
        </w:tc>
        <w:tc>
          <w:tcPr>
            <w:tcW w:w="18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13"/>
        </w:trPr>
        <w:tc>
          <w:tcPr>
            <w:tcW w:w="3940" w:type="dxa"/>
            <w:vAlign w:val="bottom"/>
          </w:tcPr>
          <w:p>
            <w:pPr>
              <w:spacing w:after="0"/>
              <w:rPr>
                <w:sz w:val="20"/>
                <w:szCs w:val="20"/>
                <w:color w:val="auto"/>
              </w:rPr>
            </w:pPr>
            <w:r>
              <w:rPr>
                <w:rFonts w:ascii="Arial" w:cs="Arial" w:eastAsia="Arial" w:hAnsi="Arial"/>
                <w:sz w:val="16"/>
                <w:szCs w:val="16"/>
                <w:color w:val="auto"/>
              </w:rPr>
              <w:t>Net Loss</w:t>
            </w:r>
          </w:p>
        </w:tc>
        <w:tc>
          <w:tcPr>
            <w:tcW w:w="11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040" w:type="dxa"/>
            <w:vAlign w:val="bottom"/>
            <w:gridSpan w:val="2"/>
          </w:tcPr>
          <w:p>
            <w:pPr>
              <w:jc w:val="right"/>
              <w:ind w:right="79"/>
              <w:spacing w:after="0"/>
              <w:rPr>
                <w:sz w:val="20"/>
                <w:szCs w:val="20"/>
                <w:color w:val="auto"/>
              </w:rPr>
            </w:pPr>
            <w:r>
              <w:rPr>
                <w:rFonts w:ascii="Arial" w:cs="Arial" w:eastAsia="Arial" w:hAnsi="Arial"/>
                <w:sz w:val="16"/>
                <w:szCs w:val="16"/>
                <w:color w:val="auto"/>
              </w:rPr>
              <w:t>(11,031)</w:t>
            </w:r>
          </w:p>
        </w:tc>
        <w:tc>
          <w:tcPr>
            <w:tcW w:w="160" w:type="dxa"/>
            <w:vAlign w:val="bottom"/>
          </w:tcPr>
          <w:p>
            <w:pPr>
              <w:spacing w:after="0"/>
              <w:rPr>
                <w:sz w:val="18"/>
                <w:szCs w:val="18"/>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6"/>
                <w:szCs w:val="16"/>
                <w:color w:val="auto"/>
              </w:rPr>
              <w:t>(11,031)</w:t>
            </w:r>
          </w:p>
        </w:tc>
        <w:tc>
          <w:tcPr>
            <w:tcW w:w="0" w:type="dxa"/>
            <w:vAlign w:val="bottom"/>
          </w:tcPr>
          <w:p>
            <w:pPr>
              <w:spacing w:after="0"/>
              <w:rPr>
                <w:sz w:val="1"/>
                <w:szCs w:val="1"/>
                <w:color w:val="auto"/>
              </w:rPr>
            </w:pPr>
          </w:p>
        </w:tc>
      </w:tr>
      <w:tr>
        <w:trPr>
          <w:trHeight w:val="199"/>
        </w:trPr>
        <w:tc>
          <w:tcPr>
            <w:tcW w:w="39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rPr>
              <w:t>Consolidated Balance at June 30, 2020</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39,093,868</w:t>
            </w:r>
          </w:p>
        </w:tc>
        <w:tc>
          <w:tcPr>
            <w:tcW w:w="1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w:t>
            </w:r>
          </w:p>
        </w:tc>
        <w:tc>
          <w:tcPr>
            <w:tcW w:w="2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1,272,783</w:t>
            </w:r>
          </w:p>
        </w:tc>
        <w:tc>
          <w:tcPr>
            <w:tcW w:w="2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2,594</w:t>
            </w:r>
          </w:p>
        </w:tc>
        <w:tc>
          <w:tcPr>
            <w:tcW w:w="2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7"/>
              </w:rPr>
              <w:t>(1,036,972)</w:t>
            </w:r>
          </w:p>
        </w:tc>
        <w:tc>
          <w:tcPr>
            <w:tcW w:w="2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238,444</w:t>
            </w:r>
          </w:p>
        </w:tc>
        <w:tc>
          <w:tcPr>
            <w:tcW w:w="100" w:type="dxa"/>
            <w:vAlign w:val="bottom"/>
            <w:tcBorders>
              <w:top w:val="single" w:sz="8" w:color="CCEEFF"/>
              <w:left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3940" w:type="dxa"/>
            <w:vAlign w:val="bottom"/>
          </w:tcPr>
          <w:p>
            <w:pPr>
              <w:spacing w:after="0"/>
              <w:rPr>
                <w:sz w:val="20"/>
                <w:szCs w:val="20"/>
                <w:color w:val="auto"/>
              </w:rPr>
            </w:pPr>
            <w:r>
              <w:rPr>
                <w:rFonts w:ascii="Arial" w:cs="Arial" w:eastAsia="Arial" w:hAnsi="Arial"/>
                <w:sz w:val="16"/>
                <w:szCs w:val="16"/>
                <w:color w:val="auto"/>
              </w:rPr>
              <w:t>Shares Issued under Stock Option and Employee</w:t>
            </w:r>
          </w:p>
        </w:tc>
        <w:tc>
          <w:tcPr>
            <w:tcW w:w="10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3940" w:type="dxa"/>
            <w:vAlign w:val="bottom"/>
          </w:tcPr>
          <w:p>
            <w:pPr>
              <w:ind w:left="180"/>
              <w:spacing w:after="0"/>
              <w:rPr>
                <w:sz w:val="20"/>
                <w:szCs w:val="20"/>
                <w:color w:val="auto"/>
              </w:rPr>
            </w:pPr>
            <w:r>
              <w:rPr>
                <w:rFonts w:ascii="Arial" w:cs="Arial" w:eastAsia="Arial" w:hAnsi="Arial"/>
                <w:sz w:val="16"/>
                <w:szCs w:val="16"/>
                <w:color w:val="auto"/>
              </w:rPr>
              <w:t>Stock Purchase Plans</w:t>
            </w:r>
          </w:p>
        </w:tc>
        <w:tc>
          <w:tcPr>
            <w:tcW w:w="1180" w:type="dxa"/>
            <w:vAlign w:val="bottom"/>
            <w:gridSpan w:val="2"/>
          </w:tcPr>
          <w:p>
            <w:pPr>
              <w:jc w:val="right"/>
              <w:ind w:right="140"/>
              <w:spacing w:after="0"/>
              <w:rPr>
                <w:sz w:val="20"/>
                <w:szCs w:val="20"/>
                <w:color w:val="auto"/>
              </w:rPr>
            </w:pPr>
            <w:r>
              <w:rPr>
                <w:rFonts w:ascii="Arial" w:cs="Arial" w:eastAsia="Arial" w:hAnsi="Arial"/>
                <w:sz w:val="16"/>
                <w:szCs w:val="16"/>
                <w:color w:val="auto"/>
              </w:rPr>
              <w:t>68,204</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194</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040" w:type="dxa"/>
            <w:vAlign w:val="bottom"/>
            <w:gridSpan w:val="2"/>
          </w:tcPr>
          <w:p>
            <w:pPr>
              <w:jc w:val="right"/>
              <w:ind w:right="139"/>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194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3940" w:type="dxa"/>
            <w:vAlign w:val="bottom"/>
            <w:shd w:val="clear" w:color="auto" w:fill="CCEEFF"/>
          </w:tcPr>
          <w:p>
            <w:pPr>
              <w:spacing w:after="0"/>
              <w:rPr>
                <w:sz w:val="20"/>
                <w:szCs w:val="20"/>
                <w:color w:val="auto"/>
              </w:rPr>
            </w:pPr>
            <w:r>
              <w:rPr>
                <w:rFonts w:ascii="Arial" w:cs="Arial" w:eastAsia="Arial" w:hAnsi="Arial"/>
                <w:sz w:val="16"/>
                <w:szCs w:val="16"/>
                <w:color w:val="auto"/>
              </w:rPr>
              <w:t>Shares Issued in Connection with Cantor Agreement</w:t>
            </w: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400,400</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4,296</w:t>
            </w: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4,297</w:t>
            </w:r>
          </w:p>
        </w:tc>
        <w:tc>
          <w:tcPr>
            <w:tcW w:w="100" w:type="dxa"/>
            <w:vAlign w:val="bottom"/>
            <w:tcBorders>
              <w:left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940" w:type="dxa"/>
            <w:vAlign w:val="bottom"/>
          </w:tcPr>
          <w:p>
            <w:pPr>
              <w:spacing w:after="0"/>
              <w:rPr>
                <w:sz w:val="20"/>
                <w:szCs w:val="20"/>
                <w:color w:val="auto"/>
              </w:rPr>
            </w:pPr>
            <w:r>
              <w:rPr>
                <w:rFonts w:ascii="Arial" w:cs="Arial" w:eastAsia="Arial" w:hAnsi="Arial"/>
                <w:sz w:val="16"/>
                <w:szCs w:val="16"/>
                <w:color w:val="auto"/>
              </w:rPr>
              <w:t>Share-Based Compensation</w:t>
            </w:r>
          </w:p>
        </w:tc>
        <w:tc>
          <w:tcPr>
            <w:tcW w:w="11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1,250</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1040" w:type="dxa"/>
            <w:vAlign w:val="bottom"/>
            <w:gridSpan w:val="2"/>
          </w:tcPr>
          <w:p>
            <w:pPr>
              <w:jc w:val="right"/>
              <w:ind w:right="139"/>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1,250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940" w:type="dxa"/>
            <w:vAlign w:val="bottom"/>
            <w:shd w:val="clear" w:color="auto" w:fill="CCEEFF"/>
          </w:tcPr>
          <w:p>
            <w:pPr>
              <w:spacing w:after="0"/>
              <w:rPr>
                <w:sz w:val="20"/>
                <w:szCs w:val="20"/>
                <w:color w:val="auto"/>
              </w:rPr>
            </w:pPr>
            <w:r>
              <w:rPr>
                <w:rFonts w:ascii="Arial" w:cs="Arial" w:eastAsia="Arial" w:hAnsi="Arial"/>
                <w:sz w:val="16"/>
                <w:szCs w:val="16"/>
                <w:color w:val="auto"/>
              </w:rPr>
              <w:t>Unrealized Gain on Marketable Securities</w:t>
            </w: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14</w:t>
            </w:r>
          </w:p>
        </w:tc>
        <w:tc>
          <w:tcPr>
            <w:tcW w:w="18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100" w:type="dxa"/>
            <w:vAlign w:val="bottom"/>
            <w:tcBorders>
              <w:left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3940" w:type="dxa"/>
            <w:vAlign w:val="bottom"/>
          </w:tcPr>
          <w:p>
            <w:pPr>
              <w:spacing w:after="0"/>
              <w:rPr>
                <w:sz w:val="20"/>
                <w:szCs w:val="20"/>
                <w:color w:val="auto"/>
              </w:rPr>
            </w:pPr>
            <w:r>
              <w:rPr>
                <w:rFonts w:ascii="Arial" w:cs="Arial" w:eastAsia="Arial" w:hAnsi="Arial"/>
                <w:sz w:val="16"/>
                <w:szCs w:val="16"/>
                <w:color w:val="auto"/>
              </w:rPr>
              <w:t>Net Loss</w:t>
            </w:r>
          </w:p>
        </w:tc>
        <w:tc>
          <w:tcPr>
            <w:tcW w:w="104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040" w:type="dxa"/>
            <w:vAlign w:val="bottom"/>
            <w:gridSpan w:val="2"/>
          </w:tcPr>
          <w:p>
            <w:pPr>
              <w:jc w:val="right"/>
              <w:ind w:right="79"/>
              <w:spacing w:after="0"/>
              <w:rPr>
                <w:sz w:val="20"/>
                <w:szCs w:val="20"/>
                <w:color w:val="auto"/>
              </w:rPr>
            </w:pPr>
            <w:r>
              <w:rPr>
                <w:rFonts w:ascii="Arial" w:cs="Arial" w:eastAsia="Arial" w:hAnsi="Arial"/>
                <w:sz w:val="16"/>
                <w:szCs w:val="16"/>
                <w:color w:val="auto"/>
              </w:rPr>
              <w:t>(14,224)</w:t>
            </w:r>
          </w:p>
        </w:tc>
        <w:tc>
          <w:tcPr>
            <w:tcW w:w="160" w:type="dxa"/>
            <w:vAlign w:val="bottom"/>
          </w:tcPr>
          <w:p>
            <w:pPr>
              <w:spacing w:after="0"/>
              <w:rPr>
                <w:sz w:val="18"/>
                <w:szCs w:val="18"/>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6"/>
                <w:szCs w:val="16"/>
                <w:color w:val="auto"/>
              </w:rPr>
              <w:t>(14,224)</w:t>
            </w:r>
          </w:p>
        </w:tc>
        <w:tc>
          <w:tcPr>
            <w:tcW w:w="0" w:type="dxa"/>
            <w:vAlign w:val="bottom"/>
          </w:tcPr>
          <w:p>
            <w:pPr>
              <w:spacing w:after="0"/>
              <w:rPr>
                <w:sz w:val="1"/>
                <w:szCs w:val="1"/>
                <w:color w:val="auto"/>
              </w:rPr>
            </w:pPr>
          </w:p>
        </w:tc>
      </w:tr>
      <w:tr>
        <w:trPr>
          <w:trHeight w:val="20"/>
        </w:trPr>
        <w:tc>
          <w:tcPr>
            <w:tcW w:w="3940" w:type="dxa"/>
            <w:vAlign w:val="bottom"/>
            <w:vMerge w:val="restart"/>
            <w:shd w:val="clear" w:color="auto" w:fill="CCEEFF"/>
          </w:tcPr>
          <w:p>
            <w:pPr>
              <w:spacing w:after="0"/>
              <w:rPr>
                <w:sz w:val="20"/>
                <w:szCs w:val="20"/>
                <w:color w:val="auto"/>
              </w:rPr>
            </w:pPr>
            <w:r>
              <w:rPr>
                <w:rFonts w:ascii="Arial" w:cs="Arial" w:eastAsia="Arial" w:hAnsi="Arial"/>
                <w:sz w:val="16"/>
                <w:szCs w:val="16"/>
                <w:b w:val="1"/>
                <w:bCs w:val="1"/>
                <w:color w:val="auto"/>
              </w:rPr>
              <w:t>Consolidated Balance at September 30, 2020</w:t>
            </w:r>
          </w:p>
        </w:tc>
        <w:tc>
          <w:tcPr>
            <w:tcW w:w="10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EEFF"/>
          </w:tcPr>
          <w:p>
            <w:pPr>
              <w:jc w:val="right"/>
              <w:ind w:right="79"/>
              <w:spacing w:after="0"/>
              <w:rPr>
                <w:sz w:val="20"/>
                <w:szCs w:val="20"/>
                <w:color w:val="auto"/>
              </w:rPr>
            </w:pPr>
            <w:r>
              <w:rPr>
                <w:rFonts w:ascii="Arial" w:cs="Arial" w:eastAsia="Arial" w:hAnsi="Arial"/>
                <w:sz w:val="16"/>
                <w:szCs w:val="16"/>
                <w:color w:val="auto"/>
                <w:w w:val="74"/>
              </w:rPr>
              <w:t>)</w:t>
            </w:r>
          </w:p>
        </w:tc>
        <w:tc>
          <w:tcPr>
            <w:tcW w:w="1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tcBorders>
              <w:left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940" w:type="dxa"/>
            <w:vAlign w:val="bottom"/>
            <w:vMerge w:val="continue"/>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39,562,472</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1,278,523</w:t>
            </w:r>
          </w:p>
        </w:tc>
        <w:tc>
          <w:tcPr>
            <w:tcW w:w="40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2,608</w:t>
            </w:r>
          </w:p>
        </w:tc>
        <w:tc>
          <w:tcPr>
            <w:tcW w:w="1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(1,051,196</w:t>
            </w:r>
          </w:p>
        </w:tc>
        <w:tc>
          <w:tcPr>
            <w:tcW w:w="220" w:type="dxa"/>
            <w:vAlign w:val="bottom"/>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229,975</w:t>
            </w:r>
          </w:p>
        </w:tc>
        <w:tc>
          <w:tcPr>
            <w:tcW w:w="10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94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8"/>
        </w:trPr>
        <w:tc>
          <w:tcPr>
            <w:tcW w:w="39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gridSpan w:val="3"/>
          </w:tcPr>
          <w:p>
            <w:pPr>
              <w:jc w:val="center"/>
              <w:ind w:right="240"/>
              <w:spacing w:after="0"/>
              <w:rPr>
                <w:sz w:val="20"/>
                <w:szCs w:val="20"/>
                <w:color w:val="auto"/>
              </w:rPr>
            </w:pPr>
            <w:r>
              <w:rPr>
                <w:rFonts w:ascii="Arial" w:cs="Arial" w:eastAsia="Arial" w:hAnsi="Arial"/>
                <w:sz w:val="16"/>
                <w:szCs w:val="16"/>
                <w:b w:val="1"/>
                <w:bCs w:val="1"/>
                <w:color w:val="auto"/>
                <w:w w:val="91"/>
              </w:rPr>
              <w:t>Accumulated</w:t>
            </w: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3940" w:type="dxa"/>
            <w:vAlign w:val="bottom"/>
          </w:tcPr>
          <w:p>
            <w:pPr>
              <w:spacing w:after="0"/>
              <w:rPr>
                <w:sz w:val="17"/>
                <w:szCs w:val="17"/>
                <w:color w:val="auto"/>
              </w:rPr>
            </w:pPr>
          </w:p>
        </w:tc>
        <w:tc>
          <w:tcPr>
            <w:tcW w:w="118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92"/>
              </w:rPr>
              <w:t>Common</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jc w:val="center"/>
              <w:ind w:right="39"/>
              <w:spacing w:after="0"/>
              <w:rPr>
                <w:sz w:val="20"/>
                <w:szCs w:val="20"/>
                <w:color w:val="auto"/>
              </w:rPr>
            </w:pPr>
            <w:r>
              <w:rPr>
                <w:rFonts w:ascii="Arial" w:cs="Arial" w:eastAsia="Arial" w:hAnsi="Arial"/>
                <w:sz w:val="16"/>
                <w:szCs w:val="16"/>
                <w:b w:val="1"/>
                <w:bCs w:val="1"/>
                <w:color w:val="auto"/>
                <w:w w:val="92"/>
              </w:rPr>
              <w:t>Common</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jc w:val="center"/>
              <w:ind w:right="19"/>
              <w:spacing w:after="0"/>
              <w:rPr>
                <w:sz w:val="20"/>
                <w:szCs w:val="20"/>
                <w:color w:val="auto"/>
              </w:rPr>
            </w:pPr>
            <w:r>
              <w:rPr>
                <w:rFonts w:ascii="Arial" w:cs="Arial" w:eastAsia="Arial" w:hAnsi="Arial"/>
                <w:sz w:val="16"/>
                <w:szCs w:val="16"/>
                <w:b w:val="1"/>
                <w:bCs w:val="1"/>
                <w:color w:val="auto"/>
                <w:w w:val="91"/>
              </w:rPr>
              <w:t>Additional</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gridSpan w:val="2"/>
          </w:tcPr>
          <w:p>
            <w:pPr>
              <w:jc w:val="center"/>
              <w:ind w:right="400"/>
              <w:spacing w:after="0"/>
              <w:rPr>
                <w:sz w:val="20"/>
                <w:szCs w:val="20"/>
                <w:color w:val="auto"/>
              </w:rPr>
            </w:pPr>
            <w:r>
              <w:rPr>
                <w:rFonts w:ascii="Arial" w:cs="Arial" w:eastAsia="Arial" w:hAnsi="Arial"/>
                <w:sz w:val="16"/>
                <w:szCs w:val="16"/>
                <w:b w:val="1"/>
                <w:bCs w:val="1"/>
                <w:color w:val="auto"/>
                <w:w w:val="98"/>
              </w:rPr>
              <w:t>Other</w:t>
            </w: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88"/>
              </w:rPr>
              <w:t>Total</w:t>
            </w:r>
          </w:p>
        </w:tc>
        <w:tc>
          <w:tcPr>
            <w:tcW w:w="0" w:type="dxa"/>
            <w:vAlign w:val="bottom"/>
          </w:tcPr>
          <w:p>
            <w:pPr>
              <w:spacing w:after="0"/>
              <w:rPr>
                <w:sz w:val="1"/>
                <w:szCs w:val="1"/>
                <w:color w:val="auto"/>
              </w:rPr>
            </w:pPr>
          </w:p>
        </w:tc>
      </w:tr>
      <w:tr>
        <w:trPr>
          <w:trHeight w:val="203"/>
        </w:trPr>
        <w:tc>
          <w:tcPr>
            <w:tcW w:w="3940" w:type="dxa"/>
            <w:vAlign w:val="bottom"/>
          </w:tcPr>
          <w:p>
            <w:pPr>
              <w:spacing w:after="0"/>
              <w:rPr>
                <w:sz w:val="17"/>
                <w:szCs w:val="17"/>
                <w:color w:val="auto"/>
              </w:rPr>
            </w:pPr>
          </w:p>
        </w:tc>
        <w:tc>
          <w:tcPr>
            <w:tcW w:w="118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91"/>
              </w:rPr>
              <w:t>Stock</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jc w:val="center"/>
              <w:ind w:right="39"/>
              <w:spacing w:after="0"/>
              <w:rPr>
                <w:sz w:val="20"/>
                <w:szCs w:val="20"/>
                <w:color w:val="auto"/>
              </w:rPr>
            </w:pPr>
            <w:r>
              <w:rPr>
                <w:rFonts w:ascii="Arial" w:cs="Arial" w:eastAsia="Arial" w:hAnsi="Arial"/>
                <w:sz w:val="16"/>
                <w:szCs w:val="16"/>
                <w:b w:val="1"/>
                <w:bCs w:val="1"/>
                <w:color w:val="auto"/>
                <w:w w:val="92"/>
              </w:rPr>
              <w:t>Stock Par</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jc w:val="center"/>
              <w:ind w:right="19"/>
              <w:spacing w:after="0"/>
              <w:rPr>
                <w:sz w:val="20"/>
                <w:szCs w:val="20"/>
                <w:color w:val="auto"/>
              </w:rPr>
            </w:pPr>
            <w:r>
              <w:rPr>
                <w:rFonts w:ascii="Arial" w:cs="Arial" w:eastAsia="Arial" w:hAnsi="Arial"/>
                <w:sz w:val="16"/>
                <w:szCs w:val="16"/>
                <w:b w:val="1"/>
                <w:bCs w:val="1"/>
                <w:color w:val="auto"/>
                <w:w w:val="97"/>
              </w:rPr>
              <w:t>Paid-In</w:t>
            </w:r>
          </w:p>
        </w:tc>
        <w:tc>
          <w:tcPr>
            <w:tcW w:w="1500" w:type="dxa"/>
            <w:vAlign w:val="bottom"/>
            <w:gridSpan w:val="4"/>
          </w:tcPr>
          <w:p>
            <w:pPr>
              <w:ind w:left="220"/>
              <w:spacing w:after="0"/>
              <w:rPr>
                <w:sz w:val="20"/>
                <w:szCs w:val="20"/>
                <w:color w:val="auto"/>
              </w:rPr>
            </w:pPr>
            <w:r>
              <w:rPr>
                <w:rFonts w:ascii="Arial" w:cs="Arial" w:eastAsia="Arial" w:hAnsi="Arial"/>
                <w:sz w:val="16"/>
                <w:szCs w:val="16"/>
                <w:b w:val="1"/>
                <w:bCs w:val="1"/>
                <w:color w:val="auto"/>
              </w:rPr>
              <w:t>Comprehensive</w:t>
            </w:r>
          </w:p>
        </w:tc>
        <w:tc>
          <w:tcPr>
            <w:tcW w:w="1220" w:type="dxa"/>
            <w:vAlign w:val="bottom"/>
            <w:gridSpan w:val="3"/>
          </w:tcPr>
          <w:p>
            <w:pPr>
              <w:jc w:val="center"/>
              <w:ind w:right="139"/>
              <w:spacing w:after="0"/>
              <w:rPr>
                <w:sz w:val="20"/>
                <w:szCs w:val="20"/>
                <w:color w:val="auto"/>
              </w:rPr>
            </w:pPr>
            <w:r>
              <w:rPr>
                <w:rFonts w:ascii="Arial" w:cs="Arial" w:eastAsia="Arial" w:hAnsi="Arial"/>
                <w:sz w:val="16"/>
                <w:szCs w:val="16"/>
                <w:b w:val="1"/>
                <w:bCs w:val="1"/>
                <w:color w:val="auto"/>
                <w:w w:val="91"/>
              </w:rPr>
              <w:t>Accumulated</w:t>
            </w:r>
          </w:p>
        </w:tc>
        <w:tc>
          <w:tcPr>
            <w:tcW w:w="1100" w:type="dxa"/>
            <w:vAlign w:val="bottom"/>
            <w:gridSpan w:val="3"/>
          </w:tcPr>
          <w:p>
            <w:pPr>
              <w:ind w:left="20"/>
              <w:spacing w:after="0"/>
              <w:rPr>
                <w:sz w:val="20"/>
                <w:szCs w:val="20"/>
                <w:color w:val="auto"/>
              </w:rPr>
            </w:pPr>
            <w:r>
              <w:rPr>
                <w:rFonts w:ascii="Arial" w:cs="Arial" w:eastAsia="Arial" w:hAnsi="Arial"/>
                <w:sz w:val="16"/>
                <w:szCs w:val="16"/>
                <w:b w:val="1"/>
                <w:bCs w:val="1"/>
                <w:color w:val="auto"/>
              </w:rPr>
              <w:t>Stockholders’</w:t>
            </w:r>
          </w:p>
        </w:tc>
        <w:tc>
          <w:tcPr>
            <w:tcW w:w="0" w:type="dxa"/>
            <w:vAlign w:val="bottom"/>
          </w:tcPr>
          <w:p>
            <w:pPr>
              <w:spacing w:after="0"/>
              <w:rPr>
                <w:sz w:val="1"/>
                <w:szCs w:val="1"/>
                <w:color w:val="auto"/>
              </w:rPr>
            </w:pPr>
          </w:p>
        </w:tc>
      </w:tr>
      <w:tr>
        <w:trPr>
          <w:trHeight w:val="213"/>
        </w:trPr>
        <w:tc>
          <w:tcPr>
            <w:tcW w:w="3940" w:type="dxa"/>
            <w:vAlign w:val="bottom"/>
          </w:tcPr>
          <w:p>
            <w:pPr>
              <w:spacing w:after="0"/>
              <w:rPr>
                <w:sz w:val="18"/>
                <w:szCs w:val="18"/>
                <w:color w:val="auto"/>
              </w:rPr>
            </w:pPr>
          </w:p>
        </w:tc>
        <w:tc>
          <w:tcPr>
            <w:tcW w:w="118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86"/>
              </w:rPr>
              <w:t>Shares</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center"/>
              <w:ind w:right="39"/>
              <w:spacing w:after="0"/>
              <w:rPr>
                <w:sz w:val="20"/>
                <w:szCs w:val="20"/>
                <w:color w:val="auto"/>
              </w:rPr>
            </w:pPr>
            <w:r>
              <w:rPr>
                <w:rFonts w:ascii="Arial" w:cs="Arial" w:eastAsia="Arial" w:hAnsi="Arial"/>
                <w:sz w:val="16"/>
                <w:szCs w:val="16"/>
                <w:b w:val="1"/>
                <w:bCs w:val="1"/>
                <w:color w:val="auto"/>
                <w:w w:val="93"/>
              </w:rPr>
              <w:t>Value</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center"/>
              <w:ind w:right="19"/>
              <w:spacing w:after="0"/>
              <w:rPr>
                <w:sz w:val="20"/>
                <w:szCs w:val="20"/>
                <w:color w:val="auto"/>
              </w:rPr>
            </w:pPr>
            <w:r>
              <w:rPr>
                <w:rFonts w:ascii="Arial" w:cs="Arial" w:eastAsia="Arial" w:hAnsi="Arial"/>
                <w:sz w:val="16"/>
                <w:szCs w:val="16"/>
                <w:b w:val="1"/>
                <w:bCs w:val="1"/>
                <w:color w:val="auto"/>
                <w:w w:val="97"/>
              </w:rPr>
              <w:t>Capital</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center"/>
              <w:ind w:right="400"/>
              <w:spacing w:after="0"/>
              <w:rPr>
                <w:sz w:val="20"/>
                <w:szCs w:val="20"/>
                <w:color w:val="auto"/>
              </w:rPr>
            </w:pPr>
            <w:r>
              <w:rPr>
                <w:rFonts w:ascii="Arial" w:cs="Arial" w:eastAsia="Arial" w:hAnsi="Arial"/>
                <w:sz w:val="16"/>
                <w:szCs w:val="16"/>
                <w:b w:val="1"/>
                <w:bCs w:val="1"/>
                <w:color w:val="auto"/>
                <w:w w:val="89"/>
              </w:rPr>
              <w:t>Income</w:t>
            </w:r>
          </w:p>
        </w:tc>
        <w:tc>
          <w:tcPr>
            <w:tcW w:w="180" w:type="dxa"/>
            <w:vAlign w:val="bottom"/>
          </w:tcPr>
          <w:p>
            <w:pPr>
              <w:spacing w:after="0"/>
              <w:rPr>
                <w:sz w:val="18"/>
                <w:szCs w:val="18"/>
                <w:color w:val="auto"/>
              </w:rPr>
            </w:pPr>
          </w:p>
        </w:tc>
        <w:tc>
          <w:tcPr>
            <w:tcW w:w="1040" w:type="dxa"/>
            <w:vAlign w:val="bottom"/>
            <w:gridSpan w:val="2"/>
          </w:tcPr>
          <w:p>
            <w:pPr>
              <w:jc w:val="center"/>
              <w:ind w:right="339"/>
              <w:spacing w:after="0"/>
              <w:rPr>
                <w:sz w:val="20"/>
                <w:szCs w:val="20"/>
                <w:color w:val="auto"/>
              </w:rPr>
            </w:pPr>
            <w:r>
              <w:rPr>
                <w:rFonts w:ascii="Arial" w:cs="Arial" w:eastAsia="Arial" w:hAnsi="Arial"/>
                <w:sz w:val="16"/>
                <w:szCs w:val="16"/>
                <w:b w:val="1"/>
                <w:bCs w:val="1"/>
                <w:color w:val="auto"/>
                <w:w w:val="93"/>
              </w:rPr>
              <w:t>Deficit</w:t>
            </w:r>
          </w:p>
        </w:tc>
        <w:tc>
          <w:tcPr>
            <w:tcW w:w="160" w:type="dxa"/>
            <w:vAlign w:val="bottom"/>
          </w:tcPr>
          <w:p>
            <w:pPr>
              <w:spacing w:after="0"/>
              <w:rPr>
                <w:sz w:val="18"/>
                <w:szCs w:val="18"/>
                <w:color w:val="auto"/>
              </w:rPr>
            </w:pPr>
          </w:p>
        </w:tc>
        <w:tc>
          <w:tcPr>
            <w:tcW w:w="94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3"/>
              </w:rPr>
              <w:t>Equity</w:t>
            </w:r>
          </w:p>
        </w:tc>
        <w:tc>
          <w:tcPr>
            <w:tcW w:w="0" w:type="dxa"/>
            <w:vAlign w:val="bottom"/>
          </w:tcPr>
          <w:p>
            <w:pPr>
              <w:spacing w:after="0"/>
              <w:rPr>
                <w:sz w:val="1"/>
                <w:szCs w:val="1"/>
                <w:color w:val="auto"/>
              </w:rPr>
            </w:pPr>
          </w:p>
        </w:tc>
      </w:tr>
      <w:tr>
        <w:trPr>
          <w:trHeight w:val="199"/>
        </w:trPr>
        <w:tc>
          <w:tcPr>
            <w:tcW w:w="3940" w:type="dxa"/>
            <w:vAlign w:val="bottom"/>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2720" w:type="dxa"/>
            <w:vAlign w:val="bottom"/>
            <w:tcBorders>
              <w:top w:val="single" w:sz="8" w:color="auto"/>
            </w:tcBorders>
            <w:gridSpan w:val="7"/>
          </w:tcPr>
          <w:p>
            <w:pPr>
              <w:jc w:val="right"/>
              <w:ind w:right="100"/>
              <w:spacing w:after="0"/>
              <w:rPr>
                <w:sz w:val="20"/>
                <w:szCs w:val="20"/>
                <w:color w:val="auto"/>
              </w:rPr>
            </w:pPr>
            <w:r>
              <w:rPr>
                <w:rFonts w:ascii="Arial" w:cs="Arial" w:eastAsia="Arial" w:hAnsi="Arial"/>
                <w:sz w:val="16"/>
                <w:szCs w:val="16"/>
                <w:b w:val="1"/>
                <w:bCs w:val="1"/>
                <w:color w:val="auto"/>
                <w:w w:val="90"/>
              </w:rPr>
              <w:t>(In thousands, except share amounts)</w:t>
            </w:r>
          </w:p>
        </w:tc>
        <w:tc>
          <w:tcPr>
            <w:tcW w:w="18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94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Consolidated Balance at December 31, 2018</w:t>
            </w: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11,957,635</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1,083,903</w:t>
            </w:r>
          </w:p>
        </w:tc>
        <w:tc>
          <w:tcPr>
            <w:tcW w:w="40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2,583</w:t>
            </w:r>
          </w:p>
        </w:tc>
        <w:tc>
          <w:tcPr>
            <w:tcW w:w="1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79"/>
              <w:spacing w:after="0"/>
              <w:rPr>
                <w:sz w:val="20"/>
                <w:szCs w:val="20"/>
                <w:color w:val="auto"/>
              </w:rPr>
            </w:pPr>
            <w:r>
              <w:rPr>
                <w:rFonts w:ascii="Arial" w:cs="Arial" w:eastAsia="Arial" w:hAnsi="Arial"/>
                <w:sz w:val="16"/>
                <w:szCs w:val="16"/>
                <w:color w:val="auto"/>
              </w:rPr>
              <w:t>(962,438)</w:t>
            </w:r>
          </w:p>
        </w:tc>
        <w:tc>
          <w:tcPr>
            <w:tcW w:w="16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124,060</w:t>
            </w:r>
          </w:p>
        </w:tc>
        <w:tc>
          <w:tcPr>
            <w:tcW w:w="100" w:type="dxa"/>
            <w:vAlign w:val="bottom"/>
            <w:tcBorders>
              <w:left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3940" w:type="dxa"/>
            <w:vAlign w:val="bottom"/>
          </w:tcPr>
          <w:p>
            <w:pPr>
              <w:spacing w:after="0"/>
              <w:rPr>
                <w:sz w:val="20"/>
                <w:szCs w:val="20"/>
                <w:color w:val="auto"/>
              </w:rPr>
            </w:pPr>
            <w:r>
              <w:rPr>
                <w:rFonts w:ascii="Arial" w:cs="Arial" w:eastAsia="Arial" w:hAnsi="Arial"/>
                <w:sz w:val="16"/>
                <w:szCs w:val="16"/>
                <w:color w:val="auto"/>
              </w:rPr>
              <w:t>Shares Issued under Stock Option and Employee</w:t>
            </w:r>
          </w:p>
        </w:tc>
        <w:tc>
          <w:tcPr>
            <w:tcW w:w="10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3940" w:type="dxa"/>
            <w:vAlign w:val="bottom"/>
          </w:tcPr>
          <w:p>
            <w:pPr>
              <w:ind w:left="180"/>
              <w:spacing w:after="0"/>
              <w:rPr>
                <w:sz w:val="20"/>
                <w:szCs w:val="20"/>
                <w:color w:val="auto"/>
              </w:rPr>
            </w:pPr>
            <w:r>
              <w:rPr>
                <w:rFonts w:ascii="Arial" w:cs="Arial" w:eastAsia="Arial" w:hAnsi="Arial"/>
                <w:sz w:val="16"/>
                <w:szCs w:val="16"/>
                <w:color w:val="auto"/>
              </w:rPr>
              <w:t>Stock Purchase Plans</w:t>
            </w:r>
          </w:p>
        </w:tc>
        <w:tc>
          <w:tcPr>
            <w:tcW w:w="1180" w:type="dxa"/>
            <w:vAlign w:val="bottom"/>
            <w:gridSpan w:val="2"/>
          </w:tcPr>
          <w:p>
            <w:pPr>
              <w:jc w:val="right"/>
              <w:ind w:right="140"/>
              <w:spacing w:after="0"/>
              <w:rPr>
                <w:sz w:val="20"/>
                <w:szCs w:val="20"/>
                <w:color w:val="auto"/>
              </w:rPr>
            </w:pPr>
            <w:r>
              <w:rPr>
                <w:rFonts w:ascii="Arial" w:cs="Arial" w:eastAsia="Arial" w:hAnsi="Arial"/>
                <w:sz w:val="16"/>
                <w:szCs w:val="16"/>
                <w:color w:val="auto"/>
              </w:rPr>
              <w:t>3,507</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9</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040" w:type="dxa"/>
            <w:vAlign w:val="bottom"/>
            <w:gridSpan w:val="2"/>
          </w:tcPr>
          <w:p>
            <w:pPr>
              <w:jc w:val="right"/>
              <w:ind w:right="139"/>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3940" w:type="dxa"/>
            <w:vAlign w:val="bottom"/>
            <w:shd w:val="clear" w:color="auto" w:fill="CCEEFF"/>
          </w:tcPr>
          <w:p>
            <w:pPr>
              <w:spacing w:after="0"/>
              <w:rPr>
                <w:sz w:val="20"/>
                <w:szCs w:val="20"/>
                <w:color w:val="auto"/>
              </w:rPr>
            </w:pPr>
            <w:r>
              <w:rPr>
                <w:rFonts w:ascii="Arial" w:cs="Arial" w:eastAsia="Arial" w:hAnsi="Arial"/>
                <w:sz w:val="16"/>
                <w:szCs w:val="16"/>
                <w:color w:val="auto"/>
              </w:rPr>
              <w:t>Shares Issued in Connection with Cantor Agreement</w:t>
            </w: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883,569</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4,150</w:t>
            </w: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4,151</w:t>
            </w:r>
          </w:p>
        </w:tc>
        <w:tc>
          <w:tcPr>
            <w:tcW w:w="100" w:type="dxa"/>
            <w:vAlign w:val="bottom"/>
            <w:tcBorders>
              <w:left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940" w:type="dxa"/>
            <w:vAlign w:val="bottom"/>
          </w:tcPr>
          <w:p>
            <w:pPr>
              <w:spacing w:after="0"/>
              <w:rPr>
                <w:sz w:val="20"/>
                <w:szCs w:val="20"/>
                <w:color w:val="auto"/>
              </w:rPr>
            </w:pPr>
            <w:r>
              <w:rPr>
                <w:rFonts w:ascii="Arial" w:cs="Arial" w:eastAsia="Arial" w:hAnsi="Arial"/>
                <w:sz w:val="16"/>
                <w:szCs w:val="16"/>
                <w:color w:val="auto"/>
              </w:rPr>
              <w:t>Share-Based Compensation</w:t>
            </w:r>
          </w:p>
        </w:tc>
        <w:tc>
          <w:tcPr>
            <w:tcW w:w="11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1,693</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1040" w:type="dxa"/>
            <w:vAlign w:val="bottom"/>
            <w:gridSpan w:val="2"/>
          </w:tcPr>
          <w:p>
            <w:pPr>
              <w:jc w:val="right"/>
              <w:ind w:right="139"/>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1,693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940" w:type="dxa"/>
            <w:vAlign w:val="bottom"/>
            <w:shd w:val="clear" w:color="auto" w:fill="CCEEFF"/>
          </w:tcPr>
          <w:p>
            <w:pPr>
              <w:spacing w:after="0"/>
              <w:rPr>
                <w:sz w:val="20"/>
                <w:szCs w:val="20"/>
                <w:color w:val="auto"/>
              </w:rPr>
            </w:pPr>
            <w:r>
              <w:rPr>
                <w:rFonts w:ascii="Arial" w:cs="Arial" w:eastAsia="Arial" w:hAnsi="Arial"/>
                <w:sz w:val="16"/>
                <w:szCs w:val="16"/>
                <w:color w:val="auto"/>
              </w:rPr>
              <w:t>Unrealized Gain on Marketable Securities</w:t>
            </w: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19</w:t>
            </w:r>
          </w:p>
        </w:tc>
        <w:tc>
          <w:tcPr>
            <w:tcW w:w="18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w:t>
            </w:r>
          </w:p>
        </w:tc>
        <w:tc>
          <w:tcPr>
            <w:tcW w:w="100" w:type="dxa"/>
            <w:vAlign w:val="bottom"/>
            <w:tcBorders>
              <w:left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3940" w:type="dxa"/>
            <w:vAlign w:val="bottom"/>
          </w:tcPr>
          <w:p>
            <w:pPr>
              <w:spacing w:after="0"/>
              <w:rPr>
                <w:sz w:val="20"/>
                <w:szCs w:val="20"/>
                <w:color w:val="auto"/>
              </w:rPr>
            </w:pPr>
            <w:r>
              <w:rPr>
                <w:rFonts w:ascii="Arial" w:cs="Arial" w:eastAsia="Arial" w:hAnsi="Arial"/>
                <w:sz w:val="16"/>
                <w:szCs w:val="16"/>
                <w:color w:val="auto"/>
              </w:rPr>
              <w:t>Net Loss</w:t>
            </w:r>
          </w:p>
        </w:tc>
        <w:tc>
          <w:tcPr>
            <w:tcW w:w="11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040" w:type="dxa"/>
            <w:vAlign w:val="bottom"/>
            <w:gridSpan w:val="2"/>
          </w:tcPr>
          <w:p>
            <w:pPr>
              <w:jc w:val="right"/>
              <w:ind w:right="79"/>
              <w:spacing w:after="0"/>
              <w:rPr>
                <w:sz w:val="20"/>
                <w:szCs w:val="20"/>
                <w:color w:val="auto"/>
              </w:rPr>
            </w:pPr>
            <w:r>
              <w:rPr>
                <w:rFonts w:ascii="Arial" w:cs="Arial" w:eastAsia="Arial" w:hAnsi="Arial"/>
                <w:sz w:val="16"/>
                <w:szCs w:val="16"/>
                <w:color w:val="auto"/>
              </w:rPr>
              <w:t>(17,239)</w:t>
            </w:r>
          </w:p>
        </w:tc>
        <w:tc>
          <w:tcPr>
            <w:tcW w:w="160" w:type="dxa"/>
            <w:vAlign w:val="bottom"/>
          </w:tcPr>
          <w:p>
            <w:pPr>
              <w:spacing w:after="0"/>
              <w:rPr>
                <w:sz w:val="18"/>
                <w:szCs w:val="18"/>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6"/>
                <w:szCs w:val="16"/>
                <w:color w:val="auto"/>
              </w:rPr>
              <w:t>(17,239)</w:t>
            </w:r>
          </w:p>
        </w:tc>
        <w:tc>
          <w:tcPr>
            <w:tcW w:w="0" w:type="dxa"/>
            <w:vAlign w:val="bottom"/>
          </w:tcPr>
          <w:p>
            <w:pPr>
              <w:spacing w:after="0"/>
              <w:rPr>
                <w:sz w:val="1"/>
                <w:szCs w:val="1"/>
                <w:color w:val="auto"/>
              </w:rPr>
            </w:pPr>
          </w:p>
        </w:tc>
      </w:tr>
      <w:tr>
        <w:trPr>
          <w:trHeight w:val="199"/>
        </w:trPr>
        <w:tc>
          <w:tcPr>
            <w:tcW w:w="39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rPr>
              <w:t>Consolidated Balance at March 31, 2019</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12,844,711</w:t>
            </w:r>
          </w:p>
        </w:tc>
        <w:tc>
          <w:tcPr>
            <w:tcW w:w="1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2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1,089,755</w:t>
            </w:r>
          </w:p>
        </w:tc>
        <w:tc>
          <w:tcPr>
            <w:tcW w:w="2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2,602</w:t>
            </w:r>
          </w:p>
        </w:tc>
        <w:tc>
          <w:tcPr>
            <w:tcW w:w="2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(979,677)</w:t>
            </w:r>
          </w:p>
        </w:tc>
        <w:tc>
          <w:tcPr>
            <w:tcW w:w="2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112,693</w:t>
            </w:r>
          </w:p>
        </w:tc>
        <w:tc>
          <w:tcPr>
            <w:tcW w:w="100" w:type="dxa"/>
            <w:vAlign w:val="bottom"/>
            <w:tcBorders>
              <w:top w:val="single" w:sz="8" w:color="CCEEFF"/>
              <w:left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3940" w:type="dxa"/>
            <w:vAlign w:val="bottom"/>
          </w:tcPr>
          <w:p>
            <w:pPr>
              <w:spacing w:after="0"/>
              <w:rPr>
                <w:sz w:val="20"/>
                <w:szCs w:val="20"/>
                <w:color w:val="auto"/>
              </w:rPr>
            </w:pPr>
            <w:r>
              <w:rPr>
                <w:rFonts w:ascii="Arial" w:cs="Arial" w:eastAsia="Arial" w:hAnsi="Arial"/>
                <w:sz w:val="16"/>
                <w:szCs w:val="16"/>
                <w:color w:val="auto"/>
                <w:w w:val="93"/>
              </w:rPr>
              <w:t>Shares Cancelled under Stock Option and Employee Stock</w:t>
            </w:r>
          </w:p>
        </w:tc>
        <w:tc>
          <w:tcPr>
            <w:tcW w:w="10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3940" w:type="dxa"/>
            <w:vAlign w:val="bottom"/>
          </w:tcPr>
          <w:p>
            <w:pPr>
              <w:ind w:left="180"/>
              <w:spacing w:after="0"/>
              <w:rPr>
                <w:sz w:val="20"/>
                <w:szCs w:val="20"/>
                <w:color w:val="auto"/>
              </w:rPr>
            </w:pPr>
            <w:r>
              <w:rPr>
                <w:rFonts w:ascii="Arial" w:cs="Arial" w:eastAsia="Arial" w:hAnsi="Arial"/>
                <w:sz w:val="16"/>
                <w:szCs w:val="16"/>
                <w:color w:val="auto"/>
              </w:rPr>
              <w:t>Purchase Plans</w:t>
            </w:r>
          </w:p>
        </w:tc>
        <w:tc>
          <w:tcPr>
            <w:tcW w:w="1180" w:type="dxa"/>
            <w:vAlign w:val="bottom"/>
            <w:gridSpan w:val="2"/>
          </w:tcPr>
          <w:p>
            <w:pPr>
              <w:jc w:val="right"/>
              <w:ind w:right="80"/>
              <w:spacing w:after="0"/>
              <w:rPr>
                <w:sz w:val="20"/>
                <w:szCs w:val="20"/>
                <w:color w:val="auto"/>
              </w:rPr>
            </w:pPr>
            <w:r>
              <w:rPr>
                <w:rFonts w:ascii="Arial" w:cs="Arial" w:eastAsia="Arial" w:hAnsi="Arial"/>
                <w:sz w:val="16"/>
                <w:szCs w:val="16"/>
                <w:color w:val="auto"/>
              </w:rPr>
              <w:t>(222)</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040" w:type="dxa"/>
            <w:vAlign w:val="bottom"/>
            <w:gridSpan w:val="2"/>
          </w:tcPr>
          <w:p>
            <w:pPr>
              <w:jc w:val="right"/>
              <w:ind w:right="139"/>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5"/>
        </w:trPr>
        <w:tc>
          <w:tcPr>
            <w:tcW w:w="3940" w:type="dxa"/>
            <w:vAlign w:val="bottom"/>
            <w:shd w:val="clear" w:color="auto" w:fill="CCEEFF"/>
          </w:tcPr>
          <w:p>
            <w:pPr>
              <w:spacing w:after="0"/>
              <w:rPr>
                <w:sz w:val="20"/>
                <w:szCs w:val="20"/>
                <w:color w:val="auto"/>
              </w:rPr>
            </w:pPr>
            <w:r>
              <w:rPr>
                <w:rFonts w:ascii="Arial" w:cs="Arial" w:eastAsia="Arial" w:hAnsi="Arial"/>
                <w:sz w:val="16"/>
                <w:szCs w:val="16"/>
                <w:color w:val="auto"/>
              </w:rPr>
              <w:t>Shares Issued in Connection with Cantor Agreement</w:t>
            </w: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1,972,428</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7,210</w:t>
            </w: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7,212</w:t>
            </w:r>
          </w:p>
        </w:tc>
        <w:tc>
          <w:tcPr>
            <w:tcW w:w="100" w:type="dxa"/>
            <w:vAlign w:val="bottom"/>
            <w:tcBorders>
              <w:left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940" w:type="dxa"/>
            <w:vAlign w:val="bottom"/>
          </w:tcPr>
          <w:p>
            <w:pPr>
              <w:spacing w:after="0"/>
              <w:rPr>
                <w:sz w:val="20"/>
                <w:szCs w:val="20"/>
                <w:color w:val="auto"/>
              </w:rPr>
            </w:pPr>
            <w:r>
              <w:rPr>
                <w:rFonts w:ascii="Arial" w:cs="Arial" w:eastAsia="Arial" w:hAnsi="Arial"/>
                <w:sz w:val="16"/>
                <w:szCs w:val="16"/>
                <w:color w:val="auto"/>
              </w:rPr>
              <w:t>Share-Based Compensation</w:t>
            </w:r>
          </w:p>
        </w:tc>
        <w:tc>
          <w:tcPr>
            <w:tcW w:w="11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1,464</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1040" w:type="dxa"/>
            <w:vAlign w:val="bottom"/>
            <w:gridSpan w:val="2"/>
          </w:tcPr>
          <w:p>
            <w:pPr>
              <w:jc w:val="right"/>
              <w:ind w:right="139"/>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1,464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940" w:type="dxa"/>
            <w:vAlign w:val="bottom"/>
            <w:shd w:val="clear" w:color="auto" w:fill="CCEEFF"/>
          </w:tcPr>
          <w:p>
            <w:pPr>
              <w:spacing w:after="0"/>
              <w:rPr>
                <w:sz w:val="20"/>
                <w:szCs w:val="20"/>
                <w:color w:val="auto"/>
              </w:rPr>
            </w:pPr>
            <w:r>
              <w:rPr>
                <w:rFonts w:ascii="Arial" w:cs="Arial" w:eastAsia="Arial" w:hAnsi="Arial"/>
                <w:sz w:val="16"/>
                <w:szCs w:val="16"/>
                <w:color w:val="auto"/>
              </w:rPr>
              <w:t>Unrealized Gain on Marketable Securities</w:t>
            </w: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36</w:t>
            </w:r>
          </w:p>
        </w:tc>
        <w:tc>
          <w:tcPr>
            <w:tcW w:w="18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w:t>
            </w:r>
          </w:p>
        </w:tc>
        <w:tc>
          <w:tcPr>
            <w:tcW w:w="100" w:type="dxa"/>
            <w:vAlign w:val="bottom"/>
            <w:tcBorders>
              <w:left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3940" w:type="dxa"/>
            <w:vAlign w:val="bottom"/>
          </w:tcPr>
          <w:p>
            <w:pPr>
              <w:spacing w:after="0"/>
              <w:rPr>
                <w:sz w:val="20"/>
                <w:szCs w:val="20"/>
                <w:color w:val="auto"/>
              </w:rPr>
            </w:pPr>
            <w:r>
              <w:rPr>
                <w:rFonts w:ascii="Arial" w:cs="Arial" w:eastAsia="Arial" w:hAnsi="Arial"/>
                <w:sz w:val="16"/>
                <w:szCs w:val="16"/>
                <w:color w:val="auto"/>
              </w:rPr>
              <w:t>Net Loss</w:t>
            </w:r>
          </w:p>
        </w:tc>
        <w:tc>
          <w:tcPr>
            <w:tcW w:w="11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040" w:type="dxa"/>
            <w:vAlign w:val="bottom"/>
            <w:gridSpan w:val="2"/>
          </w:tcPr>
          <w:p>
            <w:pPr>
              <w:jc w:val="right"/>
              <w:ind w:right="79"/>
              <w:spacing w:after="0"/>
              <w:rPr>
                <w:sz w:val="20"/>
                <w:szCs w:val="20"/>
                <w:color w:val="auto"/>
              </w:rPr>
            </w:pPr>
            <w:r>
              <w:rPr>
                <w:rFonts w:ascii="Arial" w:cs="Arial" w:eastAsia="Arial" w:hAnsi="Arial"/>
                <w:sz w:val="16"/>
                <w:szCs w:val="16"/>
                <w:color w:val="auto"/>
              </w:rPr>
              <w:t>(11,779)</w:t>
            </w:r>
          </w:p>
        </w:tc>
        <w:tc>
          <w:tcPr>
            <w:tcW w:w="160" w:type="dxa"/>
            <w:vAlign w:val="bottom"/>
          </w:tcPr>
          <w:p>
            <w:pPr>
              <w:spacing w:after="0"/>
              <w:rPr>
                <w:sz w:val="18"/>
                <w:szCs w:val="18"/>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6"/>
                <w:szCs w:val="16"/>
                <w:color w:val="auto"/>
              </w:rPr>
              <w:t>(11,779)</w:t>
            </w:r>
          </w:p>
        </w:tc>
        <w:tc>
          <w:tcPr>
            <w:tcW w:w="0" w:type="dxa"/>
            <w:vAlign w:val="bottom"/>
          </w:tcPr>
          <w:p>
            <w:pPr>
              <w:spacing w:after="0"/>
              <w:rPr>
                <w:sz w:val="1"/>
                <w:szCs w:val="1"/>
                <w:color w:val="auto"/>
              </w:rPr>
            </w:pPr>
          </w:p>
        </w:tc>
      </w:tr>
      <w:tr>
        <w:trPr>
          <w:trHeight w:val="199"/>
        </w:trPr>
        <w:tc>
          <w:tcPr>
            <w:tcW w:w="39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rPr>
              <w:t>Consolidated Balance at June 30, 2019</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14,816,917</w:t>
            </w:r>
          </w:p>
        </w:tc>
        <w:tc>
          <w:tcPr>
            <w:tcW w:w="1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w:t>
            </w:r>
          </w:p>
        </w:tc>
        <w:tc>
          <w:tcPr>
            <w:tcW w:w="2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1,098,429</w:t>
            </w:r>
          </w:p>
        </w:tc>
        <w:tc>
          <w:tcPr>
            <w:tcW w:w="2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2,638</w:t>
            </w:r>
          </w:p>
        </w:tc>
        <w:tc>
          <w:tcPr>
            <w:tcW w:w="2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(991,456)</w:t>
            </w:r>
          </w:p>
        </w:tc>
        <w:tc>
          <w:tcPr>
            <w:tcW w:w="2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109,626</w:t>
            </w:r>
          </w:p>
        </w:tc>
        <w:tc>
          <w:tcPr>
            <w:tcW w:w="100" w:type="dxa"/>
            <w:vAlign w:val="bottom"/>
            <w:tcBorders>
              <w:top w:val="single" w:sz="8" w:color="CCEEFF"/>
              <w:left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940" w:type="dxa"/>
            <w:vAlign w:val="bottom"/>
          </w:tcPr>
          <w:p>
            <w:pPr>
              <w:spacing w:after="0"/>
              <w:rPr>
                <w:sz w:val="20"/>
                <w:szCs w:val="20"/>
                <w:color w:val="auto"/>
              </w:rPr>
            </w:pPr>
            <w:r>
              <w:rPr>
                <w:rFonts w:ascii="Arial" w:cs="Arial" w:eastAsia="Arial" w:hAnsi="Arial"/>
                <w:sz w:val="16"/>
                <w:szCs w:val="16"/>
                <w:color w:val="auto"/>
              </w:rPr>
              <w:t>Shares Issued in Connection with Cantor Agreement</w:t>
            </w:r>
          </w:p>
        </w:tc>
        <w:tc>
          <w:tcPr>
            <w:tcW w:w="1180" w:type="dxa"/>
            <w:vAlign w:val="bottom"/>
            <w:gridSpan w:val="2"/>
          </w:tcPr>
          <w:p>
            <w:pPr>
              <w:jc w:val="right"/>
              <w:ind w:right="140"/>
              <w:spacing w:after="0"/>
              <w:rPr>
                <w:sz w:val="20"/>
                <w:szCs w:val="20"/>
                <w:color w:val="auto"/>
              </w:rPr>
            </w:pPr>
            <w:r>
              <w:rPr>
                <w:rFonts w:ascii="Arial" w:cs="Arial" w:eastAsia="Arial" w:hAnsi="Arial"/>
                <w:sz w:val="16"/>
                <w:szCs w:val="16"/>
                <w:color w:val="auto"/>
              </w:rPr>
              <w:t>1,087,603</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2,462</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1040" w:type="dxa"/>
            <w:vAlign w:val="bottom"/>
            <w:gridSpan w:val="2"/>
          </w:tcPr>
          <w:p>
            <w:pPr>
              <w:jc w:val="right"/>
              <w:ind w:right="139"/>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2,463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940" w:type="dxa"/>
            <w:vAlign w:val="bottom"/>
            <w:shd w:val="clear" w:color="auto" w:fill="CCEEFF"/>
          </w:tcPr>
          <w:p>
            <w:pPr>
              <w:spacing w:after="0"/>
              <w:rPr>
                <w:sz w:val="20"/>
                <w:szCs w:val="20"/>
                <w:color w:val="auto"/>
              </w:rPr>
            </w:pPr>
            <w:r>
              <w:rPr>
                <w:rFonts w:ascii="Arial" w:cs="Arial" w:eastAsia="Arial" w:hAnsi="Arial"/>
                <w:sz w:val="16"/>
                <w:szCs w:val="16"/>
                <w:color w:val="auto"/>
              </w:rPr>
              <w:t>Share-Based Compensation</w:t>
            </w: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707</w:t>
            </w: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707</w:t>
            </w:r>
          </w:p>
        </w:tc>
        <w:tc>
          <w:tcPr>
            <w:tcW w:w="100" w:type="dxa"/>
            <w:vAlign w:val="bottom"/>
            <w:tcBorders>
              <w:left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3940" w:type="dxa"/>
            <w:vAlign w:val="bottom"/>
          </w:tcPr>
          <w:p>
            <w:pPr>
              <w:spacing w:after="0"/>
              <w:rPr>
                <w:sz w:val="20"/>
                <w:szCs w:val="20"/>
                <w:color w:val="auto"/>
              </w:rPr>
            </w:pPr>
            <w:r>
              <w:rPr>
                <w:rFonts w:ascii="Arial" w:cs="Arial" w:eastAsia="Arial" w:hAnsi="Arial"/>
                <w:sz w:val="16"/>
                <w:szCs w:val="16"/>
                <w:color w:val="auto"/>
              </w:rPr>
              <w:t>Unrealized Loss on Marketable Securities</w:t>
            </w:r>
          </w:p>
        </w:tc>
        <w:tc>
          <w:tcPr>
            <w:tcW w:w="11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6"/>
                <w:szCs w:val="16"/>
                <w:color w:val="auto"/>
              </w:rPr>
              <w:t>(3)</w:t>
            </w:r>
          </w:p>
        </w:tc>
        <w:tc>
          <w:tcPr>
            <w:tcW w:w="180" w:type="dxa"/>
            <w:vAlign w:val="bottom"/>
          </w:tcPr>
          <w:p>
            <w:pPr>
              <w:spacing w:after="0"/>
              <w:rPr>
                <w:sz w:val="17"/>
                <w:szCs w:val="17"/>
                <w:color w:val="auto"/>
              </w:rPr>
            </w:pPr>
          </w:p>
        </w:tc>
        <w:tc>
          <w:tcPr>
            <w:tcW w:w="1040" w:type="dxa"/>
            <w:vAlign w:val="bottom"/>
            <w:gridSpan w:val="2"/>
          </w:tcPr>
          <w:p>
            <w:pPr>
              <w:jc w:val="right"/>
              <w:ind w:right="139"/>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16"/>
        </w:trPr>
        <w:tc>
          <w:tcPr>
            <w:tcW w:w="3940" w:type="dxa"/>
            <w:vAlign w:val="bottom"/>
            <w:shd w:val="clear" w:color="auto" w:fill="CCEEFF"/>
          </w:tcPr>
          <w:p>
            <w:pPr>
              <w:spacing w:after="0"/>
              <w:rPr>
                <w:sz w:val="20"/>
                <w:szCs w:val="20"/>
                <w:color w:val="auto"/>
              </w:rPr>
            </w:pPr>
            <w:r>
              <w:rPr>
                <w:rFonts w:ascii="Arial" w:cs="Arial" w:eastAsia="Arial" w:hAnsi="Arial"/>
                <w:sz w:val="16"/>
                <w:szCs w:val="16"/>
                <w:color w:val="auto"/>
              </w:rPr>
              <w:t>Net Loss</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79"/>
              <w:spacing w:after="0"/>
              <w:rPr>
                <w:sz w:val="20"/>
                <w:szCs w:val="20"/>
                <w:color w:val="auto"/>
              </w:rPr>
            </w:pPr>
            <w:r>
              <w:rPr>
                <w:rFonts w:ascii="Arial" w:cs="Arial" w:eastAsia="Arial" w:hAnsi="Arial"/>
                <w:sz w:val="16"/>
                <w:szCs w:val="16"/>
                <w:color w:val="auto"/>
              </w:rPr>
              <w:t>(11,413)</w:t>
            </w: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(11,413)</w:t>
            </w:r>
          </w:p>
        </w:tc>
        <w:tc>
          <w:tcPr>
            <w:tcW w:w="0" w:type="dxa"/>
            <w:vAlign w:val="bottom"/>
          </w:tcPr>
          <w:p>
            <w:pPr>
              <w:spacing w:after="0"/>
              <w:rPr>
                <w:sz w:val="1"/>
                <w:szCs w:val="1"/>
                <w:color w:val="auto"/>
              </w:rPr>
            </w:pPr>
          </w:p>
        </w:tc>
      </w:tr>
      <w:tr>
        <w:trPr>
          <w:trHeight w:val="20"/>
        </w:trPr>
        <w:tc>
          <w:tcPr>
            <w:tcW w:w="3940" w:type="dxa"/>
            <w:vAlign w:val="bottom"/>
            <w:vMerge w:val="restart"/>
          </w:tcPr>
          <w:p>
            <w:pPr>
              <w:spacing w:after="0"/>
              <w:rPr>
                <w:sz w:val="20"/>
                <w:szCs w:val="20"/>
                <w:color w:val="auto"/>
              </w:rPr>
            </w:pPr>
            <w:r>
              <w:rPr>
                <w:rFonts w:ascii="Arial" w:cs="Arial" w:eastAsia="Arial" w:hAnsi="Arial"/>
                <w:sz w:val="16"/>
                <w:szCs w:val="16"/>
                <w:b w:val="1"/>
                <w:bCs w:val="1"/>
                <w:color w:val="auto"/>
              </w:rPr>
              <w:t>Consolidated Balance at September 30, 2019</w:t>
            </w:r>
          </w:p>
        </w:tc>
        <w:tc>
          <w:tcPr>
            <w:tcW w:w="10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vMerge w:val="restart"/>
          </w:tcPr>
          <w:p>
            <w:pPr>
              <w:jc w:val="right"/>
              <w:ind w:right="79"/>
              <w:spacing w:after="0"/>
              <w:rPr>
                <w:sz w:val="20"/>
                <w:szCs w:val="20"/>
                <w:color w:val="auto"/>
              </w:rPr>
            </w:pPr>
            <w:r>
              <w:rPr>
                <w:rFonts w:ascii="Arial" w:cs="Arial" w:eastAsia="Arial" w:hAnsi="Arial"/>
                <w:sz w:val="16"/>
                <w:szCs w:val="16"/>
                <w:color w:val="auto"/>
                <w:w w:val="74"/>
              </w:rPr>
              <w:t>)</w:t>
            </w:r>
          </w:p>
        </w:tc>
        <w:tc>
          <w:tcPr>
            <w:tcW w:w="1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3940" w:type="dxa"/>
            <w:vAlign w:val="bottom"/>
            <w:vMerge w:val="continue"/>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15,904,520</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16</w:t>
            </w:r>
          </w:p>
        </w:tc>
        <w:tc>
          <w:tcPr>
            <w:tcW w:w="22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1,101,598</w:t>
            </w:r>
          </w:p>
        </w:tc>
        <w:tc>
          <w:tcPr>
            <w:tcW w:w="400" w:type="dxa"/>
            <w:vAlign w:val="bottom"/>
            <w:gridSpan w:val="2"/>
          </w:tcPr>
          <w:p>
            <w:pPr>
              <w:ind w:left="220"/>
              <w:spacing w:after="0"/>
              <w:rPr>
                <w:sz w:val="20"/>
                <w:szCs w:val="20"/>
                <w:color w:val="auto"/>
              </w:rPr>
            </w:pPr>
            <w:r>
              <w:rPr>
                <w:rFonts w:ascii="Arial" w:cs="Arial" w:eastAsia="Arial" w:hAnsi="Arial"/>
                <w:sz w:val="16"/>
                <w:szCs w:val="16"/>
                <w:color w:val="auto"/>
              </w:rPr>
              <w:t>$</w:t>
            </w: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2,635</w:t>
            </w:r>
          </w:p>
        </w:tc>
        <w:tc>
          <w:tcPr>
            <w:tcW w:w="180" w:type="dxa"/>
            <w:vAlign w:val="bottom"/>
          </w:tcPr>
          <w:p>
            <w:pPr>
              <w:jc w:val="right"/>
              <w:ind w:right="23"/>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(1,002,869</w:t>
            </w:r>
          </w:p>
        </w:tc>
        <w:tc>
          <w:tcPr>
            <w:tcW w:w="220" w:type="dxa"/>
            <w:vAlign w:val="bottom"/>
            <w:vMerge w:val="continue"/>
          </w:tcPr>
          <w:p>
            <w:pPr>
              <w:spacing w:after="0"/>
              <w:rPr>
                <w:sz w:val="17"/>
                <w:szCs w:val="17"/>
                <w:color w:val="auto"/>
              </w:rPr>
            </w:pPr>
          </w:p>
        </w:tc>
        <w:tc>
          <w:tcPr>
            <w:tcW w:w="160" w:type="dxa"/>
            <w:vAlign w:val="bottom"/>
          </w:tcPr>
          <w:p>
            <w:pPr>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101,380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94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124" w:right="339" w:bottom="1440"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234"/>
        </w:trPr>
        <w:tc>
          <w:tcPr>
            <w:tcW w:w="6980" w:type="dxa"/>
            <w:vAlign w:val="bottom"/>
          </w:tcPr>
          <w:p>
            <w:pPr>
              <w:spacing w:after="0"/>
              <w:rPr>
                <w:sz w:val="20"/>
                <w:szCs w:val="20"/>
                <w:color w:val="auto"/>
              </w:rPr>
            </w:pPr>
            <w:r>
              <w:rPr>
                <w:rFonts w:ascii="Arial" w:cs="Arial" w:eastAsia="Arial" w:hAnsi="Arial"/>
                <w:sz w:val="18"/>
                <w:szCs w:val="18"/>
                <w:b w:val="1"/>
                <w:bCs w:val="1"/>
                <w:color w:val="auto"/>
              </w:rPr>
              <w:t>(9) Stock-Based Compensation</w:t>
            </w:r>
          </w:p>
        </w:tc>
        <w:tc>
          <w:tcPr>
            <w:tcW w:w="1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1"/>
        </w:trPr>
        <w:tc>
          <w:tcPr>
            <w:tcW w:w="8460" w:type="dxa"/>
            <w:vAlign w:val="bottom"/>
            <w:gridSpan w:val="3"/>
          </w:tcPr>
          <w:p>
            <w:pPr>
              <w:ind w:left="660"/>
              <w:spacing w:after="0"/>
              <w:rPr>
                <w:sz w:val="20"/>
                <w:szCs w:val="20"/>
                <w:color w:val="auto"/>
              </w:rPr>
            </w:pPr>
            <w:r>
              <w:rPr>
                <w:rFonts w:ascii="Arial" w:cs="Arial" w:eastAsia="Arial" w:hAnsi="Arial"/>
                <w:sz w:val="18"/>
                <w:szCs w:val="18"/>
                <w:color w:val="auto"/>
              </w:rPr>
              <w:t>A summary of stock option activity for the nine months ended September 30, 2020 is as follows:</w:t>
            </w: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3"/>
        </w:trPr>
        <w:tc>
          <w:tcPr>
            <w:tcW w:w="69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8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1"/>
              </w:rPr>
              <w:t>Weighted</w:t>
            </w:r>
          </w:p>
        </w:tc>
        <w:tc>
          <w:tcPr>
            <w:tcW w:w="13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8"/>
              </w:rPr>
              <w:t>Weighted</w:t>
            </w:r>
          </w:p>
        </w:tc>
        <w:tc>
          <w:tcPr>
            <w:tcW w:w="0" w:type="dxa"/>
            <w:vAlign w:val="bottom"/>
          </w:tcPr>
          <w:p>
            <w:pPr>
              <w:spacing w:after="0"/>
              <w:rPr>
                <w:sz w:val="1"/>
                <w:szCs w:val="1"/>
                <w:color w:val="auto"/>
              </w:rPr>
            </w:pPr>
          </w:p>
        </w:tc>
      </w:tr>
      <w:tr>
        <w:trPr>
          <w:trHeight w:val="216"/>
        </w:trPr>
        <w:tc>
          <w:tcPr>
            <w:tcW w:w="69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7"/>
              </w:rPr>
              <w:t>Average</w:t>
            </w:r>
          </w:p>
        </w:tc>
        <w:tc>
          <w:tcPr>
            <w:tcW w:w="13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0"/>
              </w:rPr>
              <w:t>Average</w:t>
            </w:r>
          </w:p>
        </w:tc>
        <w:tc>
          <w:tcPr>
            <w:tcW w:w="0" w:type="dxa"/>
            <w:vAlign w:val="bottom"/>
          </w:tcPr>
          <w:p>
            <w:pPr>
              <w:spacing w:after="0"/>
              <w:rPr>
                <w:sz w:val="1"/>
                <w:szCs w:val="1"/>
                <w:color w:val="auto"/>
              </w:rPr>
            </w:pPr>
          </w:p>
        </w:tc>
      </w:tr>
      <w:tr>
        <w:trPr>
          <w:trHeight w:val="216"/>
        </w:trPr>
        <w:tc>
          <w:tcPr>
            <w:tcW w:w="69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6"/>
              </w:rPr>
              <w:t>Exercise</w:t>
            </w:r>
          </w:p>
        </w:tc>
        <w:tc>
          <w:tcPr>
            <w:tcW w:w="13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Remaining</w:t>
            </w:r>
          </w:p>
        </w:tc>
        <w:tc>
          <w:tcPr>
            <w:tcW w:w="0" w:type="dxa"/>
            <w:vAlign w:val="bottom"/>
          </w:tcPr>
          <w:p>
            <w:pPr>
              <w:spacing w:after="0"/>
              <w:rPr>
                <w:sz w:val="1"/>
                <w:szCs w:val="1"/>
                <w:color w:val="auto"/>
              </w:rPr>
            </w:pPr>
          </w:p>
        </w:tc>
      </w:tr>
      <w:tr>
        <w:trPr>
          <w:trHeight w:val="216"/>
        </w:trPr>
        <w:tc>
          <w:tcPr>
            <w:tcW w:w="69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0"/>
              </w:rPr>
              <w:t>Price</w:t>
            </w:r>
          </w:p>
        </w:tc>
        <w:tc>
          <w:tcPr>
            <w:tcW w:w="13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Contractual</w:t>
            </w:r>
          </w:p>
        </w:tc>
        <w:tc>
          <w:tcPr>
            <w:tcW w:w="0" w:type="dxa"/>
            <w:vAlign w:val="bottom"/>
          </w:tcPr>
          <w:p>
            <w:pPr>
              <w:spacing w:after="0"/>
              <w:rPr>
                <w:sz w:val="1"/>
                <w:szCs w:val="1"/>
                <w:color w:val="auto"/>
              </w:rPr>
            </w:pPr>
          </w:p>
        </w:tc>
      </w:tr>
      <w:tr>
        <w:trPr>
          <w:trHeight w:val="234"/>
        </w:trPr>
        <w:tc>
          <w:tcPr>
            <w:tcW w:w="6980" w:type="dxa"/>
            <w:vAlign w:val="bottom"/>
          </w:tcPr>
          <w:p>
            <w:pPr>
              <w:spacing w:after="0"/>
              <w:rPr>
                <w:sz w:val="20"/>
                <w:szCs w:val="20"/>
                <w:color w:val="auto"/>
              </w:rPr>
            </w:pPr>
          </w:p>
        </w:tc>
        <w:tc>
          <w:tcPr>
            <w:tcW w:w="1480" w:type="dxa"/>
            <w:vAlign w:val="bottom"/>
            <w:gridSpan w:val="2"/>
          </w:tcPr>
          <w:p>
            <w:pPr>
              <w:jc w:val="right"/>
              <w:ind w:right="580"/>
              <w:spacing w:after="0"/>
              <w:rPr>
                <w:sz w:val="20"/>
                <w:szCs w:val="20"/>
                <w:color w:val="auto"/>
              </w:rPr>
            </w:pPr>
            <w:r>
              <w:rPr>
                <w:rFonts w:ascii="Arial" w:cs="Arial" w:eastAsia="Arial" w:hAnsi="Arial"/>
                <w:sz w:val="18"/>
                <w:szCs w:val="18"/>
                <w:b w:val="1"/>
                <w:bCs w:val="1"/>
                <w:color w:val="auto"/>
              </w:rPr>
              <w:t>Shares</w:t>
            </w:r>
          </w:p>
        </w:tc>
        <w:tc>
          <w:tcPr>
            <w:tcW w:w="160" w:type="dxa"/>
            <w:vAlign w:val="bottom"/>
          </w:tcPr>
          <w:p>
            <w:pPr>
              <w:spacing w:after="0"/>
              <w:rPr>
                <w:sz w:val="20"/>
                <w:szCs w:val="20"/>
                <w:color w:val="auto"/>
              </w:rPr>
            </w:pPr>
          </w:p>
        </w:tc>
        <w:tc>
          <w:tcPr>
            <w:tcW w:w="128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0"/>
              </w:rPr>
              <w:t>Per Share</w:t>
            </w:r>
          </w:p>
        </w:tc>
        <w:tc>
          <w:tcPr>
            <w:tcW w:w="134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w w:val="91"/>
              </w:rPr>
              <w:t>Term (In Years)</w:t>
            </w:r>
          </w:p>
        </w:tc>
        <w:tc>
          <w:tcPr>
            <w:tcW w:w="0" w:type="dxa"/>
            <w:vAlign w:val="bottom"/>
          </w:tcPr>
          <w:p>
            <w:pPr>
              <w:spacing w:after="0"/>
              <w:rPr>
                <w:sz w:val="1"/>
                <w:szCs w:val="1"/>
                <w:color w:val="auto"/>
              </w:rPr>
            </w:pPr>
          </w:p>
        </w:tc>
      </w:tr>
      <w:tr>
        <w:trPr>
          <w:trHeight w:val="210"/>
        </w:trPr>
        <w:tc>
          <w:tcPr>
            <w:tcW w:w="69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Options Outstanding at December 31, 2019</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1,699,202</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tcBorders>
            <w:shd w:val="clear" w:color="auto" w:fill="CCEEFF"/>
          </w:tcPr>
          <w:p>
            <w:pPr>
              <w:ind w:left="660"/>
              <w:spacing w:after="0"/>
              <w:rPr>
                <w:sz w:val="20"/>
                <w:szCs w:val="20"/>
                <w:color w:val="auto"/>
              </w:rPr>
            </w:pPr>
            <w:r>
              <w:rPr>
                <w:rFonts w:ascii="Arial" w:cs="Arial" w:eastAsia="Arial" w:hAnsi="Arial"/>
                <w:sz w:val="18"/>
                <w:szCs w:val="18"/>
                <w:color w:val="auto"/>
                <w:w w:val="84"/>
              </w:rPr>
              <w:t>44.87</w:t>
            </w:r>
          </w:p>
        </w:tc>
        <w:tc>
          <w:tcPr>
            <w:tcW w:w="22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6980" w:type="dxa"/>
            <w:vAlign w:val="bottom"/>
          </w:tcPr>
          <w:p>
            <w:pPr>
              <w:spacing w:after="0"/>
              <w:rPr>
                <w:sz w:val="20"/>
                <w:szCs w:val="20"/>
                <w:color w:val="auto"/>
              </w:rPr>
            </w:pPr>
            <w:r>
              <w:rPr>
                <w:rFonts w:ascii="Arial" w:cs="Arial" w:eastAsia="Arial" w:hAnsi="Arial"/>
                <w:sz w:val="18"/>
                <w:szCs w:val="18"/>
                <w:color w:val="auto"/>
              </w:rPr>
              <w:t>Granted</w:t>
            </w: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1,490,925</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1280" w:type="dxa"/>
            <w:vAlign w:val="bottom"/>
            <w:gridSpan w:val="2"/>
          </w:tcPr>
          <w:p>
            <w:pPr>
              <w:ind w:left="660"/>
              <w:spacing w:after="0"/>
              <w:rPr>
                <w:sz w:val="20"/>
                <w:szCs w:val="20"/>
                <w:color w:val="auto"/>
              </w:rPr>
            </w:pPr>
            <w:r>
              <w:rPr>
                <w:rFonts w:ascii="Arial" w:cs="Arial" w:eastAsia="Arial" w:hAnsi="Arial"/>
                <w:sz w:val="18"/>
                <w:szCs w:val="18"/>
                <w:color w:val="auto"/>
              </w:rPr>
              <w:t>10.42</w:t>
            </w: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14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(36,960)</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28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rPr>
              <w:t>3.85</w:t>
            </w:r>
          </w:p>
        </w:tc>
        <w:tc>
          <w:tcPr>
            <w:tcW w:w="12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6980" w:type="dxa"/>
            <w:vAlign w:val="bottom"/>
          </w:tcPr>
          <w:p>
            <w:pPr>
              <w:spacing w:after="0"/>
              <w:rPr>
                <w:sz w:val="20"/>
                <w:szCs w:val="20"/>
                <w:color w:val="auto"/>
              </w:rPr>
            </w:pPr>
            <w:r>
              <w:rPr>
                <w:rFonts w:ascii="Arial" w:cs="Arial" w:eastAsia="Arial" w:hAnsi="Arial"/>
                <w:sz w:val="18"/>
                <w:szCs w:val="18"/>
                <w:color w:val="auto"/>
              </w:rPr>
              <w:t>Canceled</w:t>
            </w:r>
          </w:p>
        </w:tc>
        <w:tc>
          <w:tcPr>
            <w:tcW w:w="1480" w:type="dxa"/>
            <w:vAlign w:val="bottom"/>
            <w:gridSpan w:val="2"/>
          </w:tcPr>
          <w:p>
            <w:pPr>
              <w:jc w:val="right"/>
              <w:ind w:right="160"/>
              <w:spacing w:after="0"/>
              <w:rPr>
                <w:sz w:val="20"/>
                <w:szCs w:val="20"/>
                <w:color w:val="auto"/>
              </w:rPr>
            </w:pPr>
            <w:r>
              <w:rPr>
                <w:rFonts w:ascii="Arial" w:cs="Arial" w:eastAsia="Arial" w:hAnsi="Arial"/>
                <w:sz w:val="18"/>
                <w:szCs w:val="18"/>
                <w:color w:val="auto"/>
              </w:rPr>
              <w:t>(78,335)</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1280" w:type="dxa"/>
            <w:vAlign w:val="bottom"/>
            <w:gridSpan w:val="2"/>
          </w:tcPr>
          <w:p>
            <w:pPr>
              <w:ind w:left="660"/>
              <w:spacing w:after="0"/>
              <w:rPr>
                <w:sz w:val="20"/>
                <w:szCs w:val="20"/>
                <w:color w:val="auto"/>
              </w:rPr>
            </w:pPr>
            <w:r>
              <w:rPr>
                <w:rFonts w:ascii="Arial" w:cs="Arial" w:eastAsia="Arial" w:hAnsi="Arial"/>
                <w:sz w:val="18"/>
                <w:szCs w:val="18"/>
                <w:color w:val="auto"/>
              </w:rPr>
              <w:t>35.80</w:t>
            </w:r>
          </w:p>
        </w:tc>
        <w:tc>
          <w:tcPr>
            <w:tcW w:w="1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69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Options Outstanding at September 30, 2020</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3,074,832</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shd w:val="clear" w:color="auto" w:fill="CCEEFF"/>
          </w:tcPr>
          <w:p>
            <w:pPr>
              <w:ind w:left="660"/>
              <w:spacing w:after="0"/>
              <w:rPr>
                <w:sz w:val="20"/>
                <w:szCs w:val="20"/>
                <w:color w:val="auto"/>
              </w:rPr>
            </w:pPr>
            <w:r>
              <w:rPr>
                <w:rFonts w:ascii="Arial" w:cs="Arial" w:eastAsia="Arial" w:hAnsi="Arial"/>
                <w:sz w:val="18"/>
                <w:szCs w:val="18"/>
                <w:color w:val="auto"/>
                <w:w w:val="84"/>
              </w:rPr>
              <w:t>28.89</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980" w:type="dxa"/>
            <w:vAlign w:val="bottom"/>
            <w:vMerge w:val="restart"/>
          </w:tcPr>
          <w:p>
            <w:pPr>
              <w:spacing w:after="0"/>
              <w:rPr>
                <w:sz w:val="20"/>
                <w:szCs w:val="20"/>
                <w:color w:val="auto"/>
              </w:rPr>
            </w:pPr>
            <w:r>
              <w:rPr>
                <w:rFonts w:ascii="Arial" w:cs="Arial" w:eastAsia="Arial" w:hAnsi="Arial"/>
                <w:sz w:val="18"/>
                <w:szCs w:val="18"/>
                <w:color w:val="auto"/>
              </w:rPr>
              <w:t>Options Vested and Expected to Vest at September 30, 2020</w:t>
            </w:r>
          </w:p>
        </w:tc>
        <w:tc>
          <w:tcPr>
            <w:tcW w:w="1260" w:type="dxa"/>
            <w:vAlign w:val="bottom"/>
            <w:tcBorders>
              <w:bottom w:val="single" w:sz="8" w:color="auto"/>
            </w:tcBorders>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980" w:type="dxa"/>
            <w:vAlign w:val="bottom"/>
            <w:vMerge w:val="continue"/>
          </w:tcPr>
          <w:p>
            <w:pPr>
              <w:spacing w:after="0"/>
              <w:rPr>
                <w:sz w:val="17"/>
                <w:szCs w:val="17"/>
                <w:color w:val="auto"/>
              </w:rPr>
            </w:pPr>
          </w:p>
        </w:tc>
        <w:tc>
          <w:tcPr>
            <w:tcW w:w="1260" w:type="dxa"/>
            <w:vAlign w:val="bottom"/>
          </w:tcPr>
          <w:p>
            <w:pPr>
              <w:jc w:val="right"/>
              <w:spacing w:after="0" w:line="196" w:lineRule="exact"/>
              <w:rPr>
                <w:sz w:val="20"/>
                <w:szCs w:val="20"/>
                <w:color w:val="auto"/>
              </w:rPr>
            </w:pPr>
            <w:r>
              <w:rPr>
                <w:rFonts w:ascii="Arial" w:cs="Arial" w:eastAsia="Arial" w:hAnsi="Arial"/>
                <w:sz w:val="18"/>
                <w:szCs w:val="18"/>
                <w:color w:val="auto"/>
              </w:rPr>
              <w:t>2,888,532</w:t>
            </w:r>
          </w:p>
        </w:tc>
        <w:tc>
          <w:tcPr>
            <w:tcW w:w="220" w:type="dxa"/>
            <w:vAlign w:val="bottom"/>
            <w:vMerge w:val="continue"/>
          </w:tcPr>
          <w:p>
            <w:pPr>
              <w:spacing w:after="0"/>
              <w:rPr>
                <w:sz w:val="17"/>
                <w:szCs w:val="17"/>
                <w:color w:val="auto"/>
              </w:rPr>
            </w:pP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1060" w:type="dxa"/>
            <w:vAlign w:val="bottom"/>
          </w:tcPr>
          <w:p>
            <w:pPr>
              <w:ind w:left="660"/>
              <w:spacing w:after="0" w:line="196" w:lineRule="exact"/>
              <w:rPr>
                <w:sz w:val="20"/>
                <w:szCs w:val="20"/>
                <w:color w:val="auto"/>
              </w:rPr>
            </w:pPr>
            <w:r>
              <w:rPr>
                <w:rFonts w:ascii="Arial" w:cs="Arial" w:eastAsia="Arial" w:hAnsi="Arial"/>
                <w:sz w:val="18"/>
                <w:szCs w:val="18"/>
                <w:color w:val="auto"/>
                <w:w w:val="84"/>
              </w:rPr>
              <w:t>30.19</w:t>
            </w:r>
          </w:p>
        </w:tc>
        <w:tc>
          <w:tcPr>
            <w:tcW w:w="220" w:type="dxa"/>
            <w:vAlign w:val="bottom"/>
            <w:vMerge w:val="continue"/>
          </w:tcPr>
          <w:p>
            <w:pPr>
              <w:spacing w:after="0"/>
              <w:rPr>
                <w:sz w:val="17"/>
                <w:szCs w:val="17"/>
                <w:color w:val="auto"/>
              </w:rPr>
            </w:pPr>
          </w:p>
        </w:tc>
        <w:tc>
          <w:tcPr>
            <w:tcW w:w="1240" w:type="dxa"/>
            <w:vAlign w:val="bottom"/>
          </w:tcPr>
          <w:p>
            <w:pPr>
              <w:jc w:val="right"/>
              <w:spacing w:after="0" w:line="196" w:lineRule="exact"/>
              <w:rPr>
                <w:sz w:val="20"/>
                <w:szCs w:val="20"/>
                <w:color w:val="auto"/>
              </w:rPr>
            </w:pPr>
            <w:r>
              <w:rPr>
                <w:rFonts w:ascii="Arial" w:cs="Arial" w:eastAsia="Arial" w:hAnsi="Arial"/>
                <w:sz w:val="18"/>
                <w:szCs w:val="18"/>
                <w:color w:val="auto"/>
              </w:rPr>
              <w:t>8.4</w:t>
            </w:r>
          </w:p>
        </w:tc>
        <w:tc>
          <w:tcPr>
            <w:tcW w:w="1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Options Exercisable at September 30, 2020</w:t>
            </w:r>
          </w:p>
        </w:tc>
        <w:tc>
          <w:tcPr>
            <w:tcW w:w="14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871,007</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28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80.35</w:t>
            </w: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43"/>
        </w:trPr>
        <w:tc>
          <w:tcPr>
            <w:tcW w:w="6980" w:type="dxa"/>
            <w:vAlign w:val="bottom"/>
          </w:tcPr>
          <w:p>
            <w:pPr>
              <w:spacing w:after="0"/>
              <w:rPr>
                <w:sz w:val="20"/>
                <w:szCs w:val="20"/>
                <w:color w:val="auto"/>
              </w:rPr>
            </w:pPr>
            <w:r>
              <w:rPr>
                <w:rFonts w:ascii="Arial" w:cs="Arial" w:eastAsia="Arial" w:hAnsi="Arial"/>
                <w:sz w:val="18"/>
                <w:szCs w:val="18"/>
                <w:color w:val="auto"/>
              </w:rPr>
              <w:t>Shares Available for Grant Under the 2008 Plan</w:t>
            </w: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907,673</w:t>
            </w:r>
          </w:p>
        </w:tc>
        <w:tc>
          <w:tcPr>
            <w:tcW w:w="1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121" w:lineRule="exact"/>
        <w:rPr>
          <w:sz w:val="20"/>
          <w:szCs w:val="20"/>
          <w:color w:val="auto"/>
        </w:rPr>
      </w:pPr>
    </w:p>
    <w:p>
      <w:pPr>
        <w:jc w:val="both"/>
        <w:ind w:right="120" w:firstLine="648"/>
        <w:spacing w:after="0" w:line="342" w:lineRule="auto"/>
        <w:rPr>
          <w:sz w:val="20"/>
          <w:szCs w:val="20"/>
          <w:color w:val="auto"/>
        </w:rPr>
      </w:pPr>
      <w:r>
        <w:rPr>
          <w:rFonts w:ascii="Arial" w:cs="Arial" w:eastAsia="Arial" w:hAnsi="Arial"/>
          <w:sz w:val="16"/>
          <w:szCs w:val="16"/>
          <w:color w:val="auto"/>
        </w:rPr>
        <w:t>The weighted average grant-date fair value of stock options granted during the three and nine month period ended September 30, 2020 was $9.25 and $7.99, respectively. Stock-based compensation expense for the three and nine months ended September 30, 2020 and 2019 was recorded as follows:</w:t>
      </w:r>
    </w:p>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240" w:type="dxa"/>
            <w:vAlign w:val="bottom"/>
          </w:tcPr>
          <w:p>
            <w:pPr>
              <w:spacing w:after="0"/>
              <w:rPr>
                <w:sz w:val="20"/>
                <w:szCs w:val="20"/>
                <w:color w:val="auto"/>
              </w:rPr>
            </w:pPr>
          </w:p>
        </w:tc>
        <w:tc>
          <w:tcPr>
            <w:tcW w:w="4220" w:type="dxa"/>
            <w:vAlign w:val="bottom"/>
            <w:gridSpan w:val="7"/>
          </w:tcPr>
          <w:p>
            <w:pPr>
              <w:jc w:val="right"/>
              <w:ind w:right="220"/>
              <w:spacing w:after="0"/>
              <w:rPr>
                <w:sz w:val="20"/>
                <w:szCs w:val="20"/>
                <w:color w:val="auto"/>
              </w:rPr>
            </w:pPr>
            <w:r>
              <w:rPr>
                <w:rFonts w:ascii="Arial" w:cs="Arial" w:eastAsia="Arial" w:hAnsi="Arial"/>
                <w:sz w:val="18"/>
                <w:szCs w:val="18"/>
                <w:b w:val="1"/>
                <w:bCs w:val="1"/>
                <w:color w:val="auto"/>
              </w:rPr>
              <w:t>Three months ended September 30,</w:t>
            </w:r>
          </w:p>
        </w:tc>
        <w:tc>
          <w:tcPr>
            <w:tcW w:w="2780" w:type="dxa"/>
            <w:vAlign w:val="bottom"/>
            <w:gridSpan w:val="7"/>
          </w:tcPr>
          <w:p>
            <w:pPr>
              <w:ind w:left="20"/>
              <w:spacing w:after="0"/>
              <w:rPr>
                <w:sz w:val="20"/>
                <w:szCs w:val="20"/>
                <w:color w:val="auto"/>
              </w:rPr>
            </w:pPr>
            <w:r>
              <w:rPr>
                <w:rFonts w:ascii="Arial" w:cs="Arial" w:eastAsia="Arial" w:hAnsi="Arial"/>
                <w:sz w:val="18"/>
                <w:szCs w:val="18"/>
                <w:b w:val="1"/>
                <w:bCs w:val="1"/>
                <w:color w:val="auto"/>
                <w:w w:val="92"/>
              </w:rPr>
              <w:t>Nine months ended September 30,</w:t>
            </w:r>
          </w:p>
        </w:tc>
      </w:tr>
      <w:tr>
        <w:trPr>
          <w:trHeight w:val="223"/>
        </w:trPr>
        <w:tc>
          <w:tcPr>
            <w:tcW w:w="42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2020</w:t>
            </w:r>
          </w:p>
        </w:tc>
        <w:tc>
          <w:tcPr>
            <w:tcW w:w="220" w:type="dxa"/>
            <w:vAlign w:val="bottom"/>
            <w:tcBorders>
              <w:top w:val="single" w:sz="8" w:color="auto"/>
              <w:bottom w:val="single" w:sz="8" w:color="auto"/>
            </w:tcBorders>
          </w:tcPr>
          <w:p>
            <w:pPr>
              <w:spacing w:after="0"/>
              <w:rPr>
                <w:sz w:val="19"/>
                <w:szCs w:val="19"/>
                <w:color w:val="auto"/>
              </w:rPr>
            </w:pPr>
          </w:p>
        </w:tc>
        <w:tc>
          <w:tcPr>
            <w:tcW w:w="44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w w:val="84"/>
              </w:rPr>
              <w:t>2019</w:t>
            </w:r>
          </w:p>
        </w:tc>
        <w:tc>
          <w:tcPr>
            <w:tcW w:w="220" w:type="dxa"/>
            <w:vAlign w:val="bottom"/>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2020</w:t>
            </w:r>
          </w:p>
        </w:tc>
        <w:tc>
          <w:tcPr>
            <w:tcW w:w="12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19"/>
                <w:szCs w:val="19"/>
                <w:color w:val="auto"/>
              </w:rPr>
            </w:pPr>
          </w:p>
        </w:tc>
      </w:tr>
      <w:tr>
        <w:trPr>
          <w:trHeight w:val="223"/>
        </w:trPr>
        <w:tc>
          <w:tcPr>
            <w:tcW w:w="42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40" w:type="dxa"/>
            <w:vAlign w:val="bottom"/>
            <w:gridSpan w:val="3"/>
          </w:tcPr>
          <w:p>
            <w:pPr>
              <w:jc w:val="right"/>
              <w:spacing w:after="0"/>
              <w:rPr>
                <w:sz w:val="20"/>
                <w:szCs w:val="20"/>
                <w:color w:val="auto"/>
              </w:rPr>
            </w:pPr>
            <w:r>
              <w:rPr>
                <w:rFonts w:ascii="Arial" w:cs="Arial" w:eastAsia="Arial" w:hAnsi="Arial"/>
                <w:sz w:val="18"/>
                <w:szCs w:val="18"/>
                <w:b w:val="1"/>
                <w:bCs w:val="1"/>
                <w:color w:val="auto"/>
              </w:rPr>
              <w:t>(In thousands)</w:t>
            </w: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420" w:type="dxa"/>
            <w:vAlign w:val="bottom"/>
            <w:gridSpan w:val="5"/>
          </w:tcPr>
          <w:p>
            <w:pPr>
              <w:jc w:val="right"/>
              <w:ind w:right="690"/>
              <w:spacing w:after="0"/>
              <w:rPr>
                <w:sz w:val="20"/>
                <w:szCs w:val="20"/>
                <w:color w:val="auto"/>
              </w:rPr>
            </w:pPr>
            <w:r>
              <w:rPr>
                <w:rFonts w:ascii="Arial" w:cs="Arial" w:eastAsia="Arial" w:hAnsi="Arial"/>
                <w:sz w:val="18"/>
                <w:szCs w:val="18"/>
                <w:b w:val="1"/>
                <w:bCs w:val="1"/>
                <w:color w:val="auto"/>
              </w:rPr>
              <w:t>(In thousands)</w:t>
            </w:r>
          </w:p>
        </w:tc>
        <w:tc>
          <w:tcPr>
            <w:tcW w:w="100" w:type="dxa"/>
            <w:vAlign w:val="bottom"/>
          </w:tcPr>
          <w:p>
            <w:pPr>
              <w:spacing w:after="0"/>
              <w:rPr>
                <w:sz w:val="19"/>
                <w:szCs w:val="19"/>
                <w:color w:val="auto"/>
              </w:rPr>
            </w:pPr>
          </w:p>
        </w:tc>
      </w:tr>
      <w:tr>
        <w:trPr>
          <w:trHeight w:val="216"/>
        </w:trPr>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156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642</w:t>
            </w:r>
          </w:p>
        </w:tc>
        <w:tc>
          <w:tcPr>
            <w:tcW w:w="4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330</w:t>
            </w:r>
          </w:p>
        </w:tc>
        <w:tc>
          <w:tcPr>
            <w:tcW w:w="260" w:type="dxa"/>
            <w:vAlign w:val="bottom"/>
            <w:shd w:val="clear" w:color="auto" w:fill="CCEEFF"/>
          </w:tcPr>
          <w:p>
            <w:pPr>
              <w:jc w:val="right"/>
              <w:ind w:right="101"/>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1,294</w:t>
            </w:r>
          </w:p>
        </w:tc>
        <w:tc>
          <w:tcPr>
            <w:tcW w:w="36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1,740</w:t>
            </w:r>
          </w:p>
        </w:tc>
      </w:tr>
      <w:tr>
        <w:trPr>
          <w:trHeight w:val="229"/>
        </w:trPr>
        <w:tc>
          <w:tcPr>
            <w:tcW w:w="424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1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608</w:t>
            </w:r>
          </w:p>
        </w:tc>
        <w:tc>
          <w:tcPr>
            <w:tcW w:w="440" w:type="dxa"/>
            <w:vAlign w:val="bottom"/>
          </w:tcPr>
          <w:p>
            <w:pPr>
              <w:spacing w:after="0"/>
              <w:rPr>
                <w:sz w:val="19"/>
                <w:szCs w:val="19"/>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377</w:t>
            </w:r>
          </w:p>
        </w:tc>
        <w:tc>
          <w:tcPr>
            <w:tcW w:w="260" w:type="dxa"/>
            <w:vAlign w:val="bottom"/>
          </w:tcPr>
          <w:p>
            <w:pPr>
              <w:spacing w:after="0"/>
              <w:rPr>
                <w:sz w:val="19"/>
                <w:szCs w:val="19"/>
                <w:color w:val="auto"/>
              </w:rPr>
            </w:pPr>
          </w:p>
        </w:tc>
        <w:tc>
          <w:tcPr>
            <w:tcW w:w="1080" w:type="dxa"/>
            <w:vAlign w:val="bottom"/>
            <w:gridSpan w:val="2"/>
          </w:tcPr>
          <w:p>
            <w:pPr>
              <w:ind w:left="560"/>
              <w:spacing w:after="0"/>
              <w:rPr>
                <w:sz w:val="20"/>
                <w:szCs w:val="20"/>
                <w:color w:val="auto"/>
              </w:rPr>
            </w:pPr>
            <w:r>
              <w:rPr>
                <w:rFonts w:ascii="Arial" w:cs="Arial" w:eastAsia="Arial" w:hAnsi="Arial"/>
                <w:sz w:val="18"/>
                <w:szCs w:val="18"/>
                <w:color w:val="auto"/>
              </w:rPr>
              <w:t>1,364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2,124</w:t>
            </w:r>
          </w:p>
        </w:tc>
      </w:tr>
      <w:tr>
        <w:trPr>
          <w:trHeight w:val="223"/>
        </w:trPr>
        <w:tc>
          <w:tcPr>
            <w:tcW w:w="42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stock-based compensation expense</w:t>
            </w:r>
          </w:p>
        </w:tc>
        <w:tc>
          <w:tcPr>
            <w:tcW w:w="128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1,250</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440" w:type="dxa"/>
            <w:vAlign w:val="bottom"/>
            <w:tcBorders>
              <w:top w:val="single" w:sz="8" w:color="auto"/>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707</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101"/>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CCEEFF"/>
          </w:tcPr>
          <w:p>
            <w:pPr>
              <w:ind w:left="560"/>
              <w:spacing w:after="0"/>
              <w:rPr>
                <w:sz w:val="20"/>
                <w:szCs w:val="20"/>
                <w:color w:val="auto"/>
              </w:rPr>
            </w:pPr>
            <w:r>
              <w:rPr>
                <w:rFonts w:ascii="Arial" w:cs="Arial" w:eastAsia="Arial" w:hAnsi="Arial"/>
                <w:sz w:val="18"/>
                <w:szCs w:val="18"/>
                <w:color w:val="auto"/>
                <w:w w:val="84"/>
              </w:rPr>
              <w:t>2,658</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3,864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42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21"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The fair values of employee and director stock options granted during the three and nine months ended September 30, 2020 and 2019 were valued using the Black-Scholes option pricing model with the following assumptions: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320" w:type="dxa"/>
            <w:vAlign w:val="bottom"/>
          </w:tcPr>
          <w:p>
            <w:pPr>
              <w:spacing w:after="0"/>
              <w:rPr>
                <w:sz w:val="20"/>
                <w:szCs w:val="20"/>
                <w:color w:val="auto"/>
              </w:rPr>
            </w:pPr>
          </w:p>
        </w:tc>
        <w:tc>
          <w:tcPr>
            <w:tcW w:w="3040" w:type="dxa"/>
            <w:vAlign w:val="bottom"/>
            <w:gridSpan w:val="4"/>
          </w:tcPr>
          <w:p>
            <w:pPr>
              <w:jc w:val="right"/>
              <w:ind w:right="300"/>
              <w:spacing w:after="0"/>
              <w:rPr>
                <w:sz w:val="20"/>
                <w:szCs w:val="20"/>
                <w:color w:val="auto"/>
              </w:rPr>
            </w:pPr>
            <w:r>
              <w:rPr>
                <w:rFonts w:ascii="Arial" w:cs="Arial" w:eastAsia="Arial" w:hAnsi="Arial"/>
                <w:sz w:val="18"/>
                <w:szCs w:val="18"/>
                <w:b w:val="1"/>
                <w:bCs w:val="1"/>
                <w:color w:val="auto"/>
                <w:w w:val="89"/>
              </w:rPr>
              <w:t>Three months ended September 30,</w:t>
            </w:r>
          </w:p>
        </w:tc>
        <w:tc>
          <w:tcPr>
            <w:tcW w:w="2880" w:type="dxa"/>
            <w:vAlign w:val="bottom"/>
            <w:gridSpan w:val="4"/>
          </w:tcPr>
          <w:p>
            <w:pPr>
              <w:jc w:val="right"/>
              <w:ind w:right="220"/>
              <w:spacing w:after="0"/>
              <w:rPr>
                <w:sz w:val="20"/>
                <w:szCs w:val="20"/>
                <w:color w:val="auto"/>
              </w:rPr>
            </w:pPr>
            <w:r>
              <w:rPr>
                <w:rFonts w:ascii="Arial" w:cs="Arial" w:eastAsia="Arial" w:hAnsi="Arial"/>
                <w:sz w:val="18"/>
                <w:szCs w:val="18"/>
                <w:b w:val="1"/>
                <w:bCs w:val="1"/>
                <w:color w:val="auto"/>
                <w:w w:val="89"/>
              </w:rPr>
              <w:t>Nine months ended September 30,</w:t>
            </w:r>
          </w:p>
        </w:tc>
      </w:tr>
      <w:tr>
        <w:trPr>
          <w:trHeight w:val="223"/>
        </w:trPr>
        <w:tc>
          <w:tcPr>
            <w:tcW w:w="5320" w:type="dxa"/>
            <w:vAlign w:val="bottom"/>
            <w:tcBorders>
              <w:bottom w:val="single" w:sz="8" w:color="CCEEFF"/>
            </w:tcBorders>
          </w:tcPr>
          <w:p>
            <w:pPr>
              <w:spacing w:after="0"/>
              <w:rPr>
                <w:sz w:val="19"/>
                <w:szCs w:val="19"/>
                <w:color w:val="auto"/>
              </w:rPr>
            </w:pPr>
          </w:p>
        </w:tc>
        <w:tc>
          <w:tcPr>
            <w:tcW w:w="124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2020</w:t>
            </w:r>
          </w:p>
        </w:tc>
        <w:tc>
          <w:tcPr>
            <w:tcW w:w="280" w:type="dxa"/>
            <w:vAlign w:val="bottom"/>
            <w:tcBorders>
              <w:top w:val="single" w:sz="8" w:color="auto"/>
              <w:bottom w:val="single" w:sz="8" w:color="CCEEFF"/>
            </w:tcBorders>
          </w:tcPr>
          <w:p>
            <w:pPr>
              <w:spacing w:after="0"/>
              <w:rPr>
                <w:sz w:val="19"/>
                <w:szCs w:val="19"/>
                <w:color w:val="auto"/>
              </w:rPr>
            </w:pPr>
          </w:p>
        </w:tc>
        <w:tc>
          <w:tcPr>
            <w:tcW w:w="124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2019</w:t>
            </w:r>
          </w:p>
        </w:tc>
        <w:tc>
          <w:tcPr>
            <w:tcW w:w="280" w:type="dxa"/>
            <w:vAlign w:val="bottom"/>
            <w:tcBorders>
              <w:bottom w:val="single" w:sz="8" w:color="CCEEFF"/>
            </w:tcBorders>
          </w:tcPr>
          <w:p>
            <w:pPr>
              <w:spacing w:after="0"/>
              <w:rPr>
                <w:sz w:val="19"/>
                <w:szCs w:val="19"/>
                <w:color w:val="auto"/>
              </w:rPr>
            </w:pPr>
          </w:p>
        </w:tc>
        <w:tc>
          <w:tcPr>
            <w:tcW w:w="122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2020</w:t>
            </w:r>
          </w:p>
        </w:tc>
        <w:tc>
          <w:tcPr>
            <w:tcW w:w="260" w:type="dxa"/>
            <w:vAlign w:val="bottom"/>
            <w:tcBorders>
              <w:top w:val="single" w:sz="8" w:color="auto"/>
              <w:bottom w:val="single" w:sz="8" w:color="CCEEFF"/>
            </w:tcBorders>
          </w:tcPr>
          <w:p>
            <w:pPr>
              <w:spacing w:after="0"/>
              <w:rPr>
                <w:sz w:val="19"/>
                <w:szCs w:val="19"/>
                <w:color w:val="auto"/>
              </w:rPr>
            </w:pPr>
          </w:p>
        </w:tc>
        <w:tc>
          <w:tcPr>
            <w:tcW w:w="124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2019</w:t>
            </w:r>
          </w:p>
        </w:tc>
        <w:tc>
          <w:tcPr>
            <w:tcW w:w="160" w:type="dxa"/>
            <w:vAlign w:val="bottom"/>
            <w:tcBorders>
              <w:bottom w:val="single" w:sz="8" w:color="CCEEFF"/>
            </w:tcBorders>
          </w:tcPr>
          <w:p>
            <w:pPr>
              <w:spacing w:after="0"/>
              <w:rPr>
                <w:sz w:val="19"/>
                <w:szCs w:val="19"/>
                <w:color w:val="auto"/>
              </w:rPr>
            </w:pPr>
          </w:p>
        </w:tc>
      </w:tr>
      <w:tr>
        <w:trPr>
          <w:trHeight w:val="209"/>
        </w:trPr>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Expected stock price volatility</w:t>
            </w:r>
          </w:p>
        </w:tc>
        <w:tc>
          <w:tcPr>
            <w:tcW w:w="15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98%</w:t>
            </w:r>
          </w:p>
        </w:tc>
        <w:tc>
          <w:tcPr>
            <w:tcW w:w="15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91%</w:t>
            </w:r>
          </w:p>
        </w:tc>
        <w:tc>
          <w:tcPr>
            <w:tcW w:w="14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91 – 98%</w:t>
            </w:r>
          </w:p>
        </w:tc>
        <w:tc>
          <w:tcPr>
            <w:tcW w:w="1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91%</w:t>
            </w:r>
          </w:p>
        </w:tc>
      </w:tr>
      <w:tr>
        <w:trPr>
          <w:trHeight w:val="216"/>
        </w:trPr>
        <w:tc>
          <w:tcPr>
            <w:tcW w:w="5320" w:type="dxa"/>
            <w:vAlign w:val="bottom"/>
          </w:tcPr>
          <w:p>
            <w:pPr>
              <w:spacing w:after="0"/>
              <w:rPr>
                <w:sz w:val="20"/>
                <w:szCs w:val="20"/>
                <w:color w:val="auto"/>
              </w:rPr>
            </w:pPr>
            <w:r>
              <w:rPr>
                <w:rFonts w:ascii="Arial" w:cs="Arial" w:eastAsia="Arial" w:hAnsi="Arial"/>
                <w:sz w:val="18"/>
                <w:szCs w:val="18"/>
                <w:color w:val="auto"/>
              </w:rPr>
              <w:t>Expected option term</w:t>
            </w:r>
          </w:p>
        </w:tc>
        <w:tc>
          <w:tcPr>
            <w:tcW w:w="1520" w:type="dxa"/>
            <w:vAlign w:val="bottom"/>
            <w:gridSpan w:val="2"/>
          </w:tcPr>
          <w:p>
            <w:pPr>
              <w:jc w:val="right"/>
              <w:ind w:right="280"/>
              <w:spacing w:after="0"/>
              <w:rPr>
                <w:sz w:val="20"/>
                <w:szCs w:val="20"/>
                <w:color w:val="auto"/>
              </w:rPr>
            </w:pPr>
            <w:r>
              <w:rPr>
                <w:rFonts w:ascii="Arial" w:cs="Arial" w:eastAsia="Arial" w:hAnsi="Arial"/>
                <w:sz w:val="18"/>
                <w:szCs w:val="18"/>
                <w:color w:val="auto"/>
              </w:rPr>
              <w:t>6.0 Years</w:t>
            </w:r>
          </w:p>
        </w:tc>
        <w:tc>
          <w:tcPr>
            <w:tcW w:w="1520" w:type="dxa"/>
            <w:vAlign w:val="bottom"/>
            <w:gridSpan w:val="2"/>
          </w:tcPr>
          <w:p>
            <w:pPr>
              <w:jc w:val="right"/>
              <w:ind w:right="280"/>
              <w:spacing w:after="0"/>
              <w:rPr>
                <w:sz w:val="20"/>
                <w:szCs w:val="20"/>
                <w:color w:val="auto"/>
              </w:rPr>
            </w:pPr>
            <w:r>
              <w:rPr>
                <w:rFonts w:ascii="Arial" w:cs="Arial" w:eastAsia="Arial" w:hAnsi="Arial"/>
                <w:sz w:val="18"/>
                <w:szCs w:val="18"/>
                <w:color w:val="auto"/>
              </w:rPr>
              <w:t>6.0 Years</w:t>
            </w:r>
          </w:p>
        </w:tc>
        <w:tc>
          <w:tcPr>
            <w:tcW w:w="1480" w:type="dxa"/>
            <w:vAlign w:val="bottom"/>
            <w:gridSpan w:val="2"/>
          </w:tcPr>
          <w:p>
            <w:pPr>
              <w:jc w:val="right"/>
              <w:ind w:right="260"/>
              <w:spacing w:after="0"/>
              <w:rPr>
                <w:sz w:val="20"/>
                <w:szCs w:val="20"/>
                <w:color w:val="auto"/>
              </w:rPr>
            </w:pPr>
            <w:r>
              <w:rPr>
                <w:rFonts w:ascii="Arial" w:cs="Arial" w:eastAsia="Arial" w:hAnsi="Arial"/>
                <w:sz w:val="18"/>
                <w:szCs w:val="18"/>
                <w:color w:val="auto"/>
              </w:rPr>
              <w:t>6.0 Years</w:t>
            </w: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6.0 Years</w:t>
            </w:r>
          </w:p>
        </w:tc>
      </w:tr>
      <w:tr>
        <w:trPr>
          <w:trHeight w:val="216"/>
        </w:trPr>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15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0.5%</w:t>
            </w:r>
          </w:p>
        </w:tc>
        <w:tc>
          <w:tcPr>
            <w:tcW w:w="15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 – 1.9%</w:t>
            </w:r>
          </w:p>
        </w:tc>
        <w:tc>
          <w:tcPr>
            <w:tcW w:w="14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0.5 – 0.6%</w:t>
            </w:r>
          </w:p>
        </w:tc>
        <w:tc>
          <w:tcPr>
            <w:tcW w:w="1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 – 2.5%</w:t>
            </w:r>
          </w:p>
        </w:tc>
      </w:tr>
      <w:tr>
        <w:trPr>
          <w:trHeight w:val="230"/>
        </w:trPr>
        <w:tc>
          <w:tcPr>
            <w:tcW w:w="5320" w:type="dxa"/>
            <w:vAlign w:val="bottom"/>
          </w:tcPr>
          <w:p>
            <w:pPr>
              <w:spacing w:after="0"/>
              <w:rPr>
                <w:sz w:val="20"/>
                <w:szCs w:val="20"/>
                <w:color w:val="auto"/>
              </w:rPr>
            </w:pPr>
            <w:r>
              <w:rPr>
                <w:rFonts w:ascii="Arial" w:cs="Arial" w:eastAsia="Arial" w:hAnsi="Arial"/>
                <w:sz w:val="18"/>
                <w:szCs w:val="18"/>
                <w:color w:val="auto"/>
              </w:rPr>
              <w:t>Expected dividend yield</w:t>
            </w:r>
          </w:p>
        </w:tc>
        <w:tc>
          <w:tcPr>
            <w:tcW w:w="1520" w:type="dxa"/>
            <w:vAlign w:val="bottom"/>
            <w:gridSpan w:val="2"/>
          </w:tcPr>
          <w:p>
            <w:pPr>
              <w:jc w:val="right"/>
              <w:ind w:right="280"/>
              <w:spacing w:after="0"/>
              <w:rPr>
                <w:sz w:val="20"/>
                <w:szCs w:val="20"/>
                <w:color w:val="auto"/>
              </w:rPr>
            </w:pPr>
            <w:r>
              <w:rPr>
                <w:rFonts w:ascii="Arial" w:cs="Arial" w:eastAsia="Arial" w:hAnsi="Arial"/>
                <w:sz w:val="18"/>
                <w:szCs w:val="18"/>
                <w:color w:val="auto"/>
              </w:rPr>
              <w:t>None</w:t>
            </w:r>
          </w:p>
        </w:tc>
        <w:tc>
          <w:tcPr>
            <w:tcW w:w="1520" w:type="dxa"/>
            <w:vAlign w:val="bottom"/>
            <w:gridSpan w:val="2"/>
          </w:tcPr>
          <w:p>
            <w:pPr>
              <w:jc w:val="right"/>
              <w:ind w:right="280"/>
              <w:spacing w:after="0"/>
              <w:rPr>
                <w:sz w:val="20"/>
                <w:szCs w:val="20"/>
                <w:color w:val="auto"/>
              </w:rPr>
            </w:pPr>
            <w:r>
              <w:rPr>
                <w:rFonts w:ascii="Arial" w:cs="Arial" w:eastAsia="Arial" w:hAnsi="Arial"/>
                <w:sz w:val="18"/>
                <w:szCs w:val="18"/>
                <w:color w:val="auto"/>
              </w:rPr>
              <w:t>None</w:t>
            </w:r>
          </w:p>
        </w:tc>
        <w:tc>
          <w:tcPr>
            <w:tcW w:w="1480" w:type="dxa"/>
            <w:vAlign w:val="bottom"/>
            <w:gridSpan w:val="2"/>
          </w:tcPr>
          <w:p>
            <w:pPr>
              <w:jc w:val="right"/>
              <w:ind w:right="260"/>
              <w:spacing w:after="0"/>
              <w:rPr>
                <w:sz w:val="20"/>
                <w:szCs w:val="20"/>
                <w:color w:val="auto"/>
              </w:rPr>
            </w:pPr>
            <w:r>
              <w:rPr>
                <w:rFonts w:ascii="Arial" w:cs="Arial" w:eastAsia="Arial" w:hAnsi="Arial"/>
                <w:sz w:val="18"/>
                <w:szCs w:val="18"/>
                <w:color w:val="auto"/>
              </w:rPr>
              <w:t>None</w:t>
            </w: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None</w:t>
            </w:r>
          </w:p>
        </w:tc>
      </w:tr>
    </w:tbl>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Accumulated Other Comprehensive Income</w:t>
      </w:r>
    </w:p>
    <w:p>
      <w:pPr>
        <w:spacing w:after="0" w:line="148" w:lineRule="exact"/>
        <w:rPr>
          <w:sz w:val="20"/>
          <w:szCs w:val="20"/>
          <w:color w:val="auto"/>
        </w:rPr>
      </w:pPr>
    </w:p>
    <w:p>
      <w:pPr>
        <w:ind w:left="620"/>
        <w:spacing w:after="0"/>
        <w:rPr>
          <w:sz w:val="20"/>
          <w:szCs w:val="20"/>
          <w:color w:val="auto"/>
        </w:rPr>
      </w:pPr>
      <w:r>
        <w:rPr>
          <w:rFonts w:ascii="Arial" w:cs="Arial" w:eastAsia="Arial" w:hAnsi="Arial"/>
          <w:sz w:val="16"/>
          <w:szCs w:val="16"/>
          <w:color w:val="auto"/>
        </w:rPr>
        <w:t>The changes in accumulated other comprehensive income, which is reported as a component of stockholders’ equity, for the nine months ended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2020 are summarized below:</w:t>
      </w:r>
    </w:p>
    <w:p>
      <w:pPr>
        <w:sectPr>
          <w:pgSz w:w="11900" w:h="16838" w:orient="portrait"/>
          <w:cols w:equalWidth="0" w:num="1">
            <w:col w:w="11240"/>
          </w:cols>
          <w:pgMar w:left="320" w:top="90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6"/>
          <w:szCs w:val="16"/>
          <w:color w:val="auto"/>
        </w:rPr>
        <w:t>Balance at December 31, 2019</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Other comprehensive loss</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Balance at September 30, 2020</w:t>
      </w:r>
    </w:p>
    <w:p>
      <w:pPr>
        <w:spacing w:after="0" w:line="20" w:lineRule="exact"/>
        <w:rPr>
          <w:sz w:val="20"/>
          <w:szCs w:val="20"/>
          <w:color w:val="auto"/>
        </w:rPr>
      </w:pPr>
      <w:r>
        <w:rPr>
          <w:sz w:val="20"/>
          <w:szCs w:val="20"/>
          <w:color w:val="auto"/>
        </w:rPr>
        <w:br w:type="column"/>
      </w:r>
    </w:p>
    <w:p>
      <w:pPr>
        <w:spacing w:after="0" w:line="10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2"/>
              </w:rPr>
              <w:t>Unrealized</w:t>
            </w: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460" w:type="dxa"/>
            <w:vAlign w:val="bottom"/>
            <w:gridSpan w:val="3"/>
          </w:tcPr>
          <w:p>
            <w:pPr>
              <w:jc w:val="center"/>
              <w:ind w:right="240"/>
              <w:spacing w:after="0"/>
              <w:rPr>
                <w:sz w:val="20"/>
                <w:szCs w:val="20"/>
                <w:color w:val="auto"/>
              </w:rPr>
            </w:pPr>
            <w:r>
              <w:rPr>
                <w:rFonts w:ascii="Arial" w:cs="Arial" w:eastAsia="Arial" w:hAnsi="Arial"/>
                <w:sz w:val="18"/>
                <w:szCs w:val="18"/>
                <w:b w:val="1"/>
                <w:bCs w:val="1"/>
                <w:color w:val="auto"/>
                <w:w w:val="90"/>
              </w:rPr>
              <w:t>Gain/(Loss) on</w:t>
            </w: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5"/>
              </w:rPr>
              <w:t>Marketable</w:t>
            </w:r>
          </w:p>
        </w:tc>
        <w:tc>
          <w:tcPr>
            <w:tcW w:w="200" w:type="dxa"/>
            <w:vAlign w:val="bottom"/>
          </w:tcPr>
          <w:p>
            <w:pPr>
              <w:spacing w:after="0"/>
              <w:rPr>
                <w:sz w:val="18"/>
                <w:szCs w:val="18"/>
                <w:color w:val="auto"/>
              </w:rPr>
            </w:pPr>
          </w:p>
        </w:tc>
        <w:tc>
          <w:tcPr>
            <w:tcW w:w="124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Foreign</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34"/>
        </w:trPr>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5"/>
              </w:rPr>
              <w:t>Securities</w:t>
            </w:r>
          </w:p>
        </w:tc>
        <w:tc>
          <w:tcPr>
            <w:tcW w:w="1440" w:type="dxa"/>
            <w:vAlign w:val="bottom"/>
            <w:gridSpan w:val="3"/>
          </w:tcPr>
          <w:p>
            <w:pPr>
              <w:spacing w:after="0"/>
              <w:rPr>
                <w:sz w:val="20"/>
                <w:szCs w:val="20"/>
                <w:color w:val="auto"/>
              </w:rPr>
            </w:pPr>
            <w:r>
              <w:rPr>
                <w:rFonts w:ascii="Arial" w:cs="Arial" w:eastAsia="Arial" w:hAnsi="Arial"/>
                <w:sz w:val="18"/>
                <w:szCs w:val="18"/>
                <w:b w:val="1"/>
                <w:bCs w:val="1"/>
                <w:color w:val="auto"/>
              </w:rPr>
              <w:t>Currency Items</w:t>
            </w: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4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Total</w:t>
            </w:r>
          </w:p>
        </w:tc>
      </w:tr>
      <w:tr>
        <w:trPr>
          <w:trHeight w:val="209"/>
        </w:trPr>
        <w:tc>
          <w:tcPr>
            <w:tcW w:w="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440" w:type="dxa"/>
            <w:vAlign w:val="bottom"/>
            <w:tcBorders>
              <w:top w:val="single" w:sz="8" w:color="auto"/>
            </w:tcBorders>
            <w:gridSpan w:val="3"/>
          </w:tcPr>
          <w:p>
            <w:pPr>
              <w:ind w:left="40"/>
              <w:spacing w:after="0"/>
              <w:rPr>
                <w:sz w:val="20"/>
                <w:szCs w:val="20"/>
                <w:color w:val="auto"/>
              </w:rPr>
            </w:pPr>
            <w:r>
              <w:rPr>
                <w:rFonts w:ascii="Arial" w:cs="Arial" w:eastAsia="Arial" w:hAnsi="Arial"/>
                <w:sz w:val="18"/>
                <w:szCs w:val="18"/>
                <w:b w:val="1"/>
                <w:bCs w:val="1"/>
                <w:color w:val="auto"/>
              </w:rPr>
              <w:t>(In thousands)</w:t>
            </w:r>
          </w:p>
        </w:tc>
        <w:tc>
          <w:tcPr>
            <w:tcW w:w="2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14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23</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2,596</w:t>
            </w:r>
          </w:p>
        </w:tc>
        <w:tc>
          <w:tcPr>
            <w:tcW w:w="260" w:type="dxa"/>
            <w:vAlign w:val="bottom"/>
            <w:gridSpan w:val="2"/>
          </w:tcPr>
          <w:p>
            <w:pPr>
              <w:jc w:val="right"/>
              <w:ind w:right="87"/>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2,619</w:t>
            </w:r>
          </w:p>
        </w:tc>
        <w:tc>
          <w:tcPr>
            <w:tcW w:w="60" w:type="dxa"/>
            <w:vAlign w:val="bottom"/>
          </w:tcPr>
          <w:p>
            <w:pPr>
              <w:spacing w:after="0"/>
              <w:rPr>
                <w:sz w:val="18"/>
                <w:szCs w:val="18"/>
                <w:color w:val="auto"/>
              </w:rPr>
            </w:pPr>
          </w:p>
        </w:tc>
      </w:tr>
      <w:tr>
        <w:trPr>
          <w:trHeight w:val="244"/>
        </w:trPr>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(11)</w:t>
            </w:r>
          </w:p>
        </w:tc>
        <w:tc>
          <w:tcPr>
            <w:tcW w:w="20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(11)</w:t>
            </w:r>
          </w:p>
        </w:tc>
      </w:tr>
      <w:tr>
        <w:trPr>
          <w:trHeight w:val="223"/>
        </w:trPr>
        <w:tc>
          <w:tcPr>
            <w:tcW w:w="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22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2,596</w:t>
            </w:r>
          </w:p>
        </w:tc>
        <w:tc>
          <w:tcPr>
            <w:tcW w:w="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2,608</w:t>
            </w:r>
          </w:p>
        </w:tc>
        <w:tc>
          <w:tcPr>
            <w:tcW w:w="6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-4426585</wp:posOffset>
            </wp:positionH>
            <wp:positionV relativeFrom="paragraph">
              <wp:posOffset>-462280</wp:posOffset>
            </wp:positionV>
            <wp:extent cx="7132320" cy="13716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-4426585</wp:posOffset>
            </wp:positionH>
            <wp:positionV relativeFrom="paragraph">
              <wp:posOffset>-179705</wp:posOffset>
            </wp:positionV>
            <wp:extent cx="7132320" cy="16319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121" w:lineRule="exact"/>
        <w:rPr>
          <w:sz w:val="20"/>
          <w:szCs w:val="20"/>
          <w:color w:val="auto"/>
        </w:rPr>
      </w:pPr>
    </w:p>
    <w:p>
      <w:pPr>
        <w:sectPr>
          <w:pgSz w:w="11900" w:h="16838" w:orient="portrait"/>
          <w:cols w:equalWidth="0" w:num="2">
            <w:col w:w="6260" w:space="720"/>
            <w:col w:w="4260"/>
          </w:cols>
          <w:pgMar w:left="320" w:top="904" w:right="339" w:bottom="1440" w:gutter="0" w:footer="0" w:header="0"/>
          <w:type w:val="continuous"/>
        </w:sectPr>
      </w:pPr>
    </w:p>
    <w:p>
      <w:pPr>
        <w:ind w:left="620"/>
        <w:spacing w:after="0"/>
        <w:rPr>
          <w:sz w:val="20"/>
          <w:szCs w:val="20"/>
          <w:color w:val="auto"/>
        </w:rPr>
      </w:pPr>
      <w:r>
        <w:rPr>
          <w:rFonts w:ascii="Arial" w:cs="Arial" w:eastAsia="Arial" w:hAnsi="Arial"/>
          <w:sz w:val="16"/>
          <w:szCs w:val="16"/>
          <w:color w:val="auto"/>
        </w:rPr>
        <w:t>No amounts were reclassified out of accumulated other comprehensive income during the nine months ended September 30, 2020.</w:t>
      </w: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type w:val="continuous"/>
        </w:sectPr>
      </w:pPr>
    </w:p>
    <w:bookmarkStart w:id="12" w:name="page13"/>
    <w:bookmarkEnd w:id="12"/>
    <w:p>
      <w:pPr>
        <w:spacing w:after="0"/>
        <w:rPr>
          <w:sz w:val="20"/>
          <w:szCs w:val="20"/>
          <w:color w:val="auto"/>
        </w:rPr>
      </w:pPr>
      <w:r>
        <w:rPr>
          <w:rFonts w:ascii="Arial" w:cs="Arial" w:eastAsia="Arial" w:hAnsi="Arial"/>
          <w:sz w:val="18"/>
          <w:szCs w:val="18"/>
          <w:b w:val="1"/>
          <w:bCs w:val="1"/>
          <w:color w:val="auto"/>
        </w:rPr>
        <w:t>(11) Revenue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Product Development and Licensing Revenue</w:t>
      </w:r>
    </w:p>
    <w:p>
      <w:pPr>
        <w:spacing w:after="0" w:line="225" w:lineRule="exact"/>
        <w:rPr>
          <w:sz w:val="20"/>
          <w:szCs w:val="20"/>
          <w:color w:val="auto"/>
        </w:rPr>
      </w:pPr>
    </w:p>
    <w:p>
      <w:pPr>
        <w:ind w:right="100" w:firstLine="648"/>
        <w:spacing w:after="0" w:line="255" w:lineRule="auto"/>
        <w:rPr>
          <w:sz w:val="20"/>
          <w:szCs w:val="20"/>
          <w:color w:val="auto"/>
        </w:rPr>
      </w:pPr>
      <w:r>
        <w:rPr>
          <w:rFonts w:ascii="Arial" w:cs="Arial" w:eastAsia="Arial" w:hAnsi="Arial"/>
          <w:sz w:val="18"/>
          <w:szCs w:val="18"/>
          <w:color w:val="auto"/>
        </w:rPr>
        <w:t>The Company entered into an agreement with Rockefeller University in September 2013, as amended, (the “Rockefeller Agreement”) pursuant to which the Company performs manufacturing and development services for Rockefeller University for their portfolio of antibodies against HIV. This portfolio was licensed to Gilead Sciences in January 2020 from Rockefeller University (“Rockefeller Transaction”). Pursuant to the Rockefeller Agreement, the Company received an upfront payment of $1.8 million as a result of the Rockefeller Transaction which was recorded to revenue during the first quarter of 2020. The Company is eligible to receive additional payments from Rockefeller University if this portfolio progresses through clinical and commercial development.</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 and Grants Revenue</w:t>
      </w:r>
    </w:p>
    <w:p>
      <w:pPr>
        <w:spacing w:after="0" w:line="225" w:lineRule="exact"/>
        <w:rPr>
          <w:sz w:val="20"/>
          <w:szCs w:val="20"/>
          <w:color w:val="auto"/>
        </w:rPr>
      </w:pPr>
    </w:p>
    <w:p>
      <w:pPr>
        <w:ind w:right="180" w:firstLine="648"/>
        <w:spacing w:after="0" w:line="279" w:lineRule="auto"/>
        <w:rPr>
          <w:sz w:val="20"/>
          <w:szCs w:val="20"/>
          <w:color w:val="auto"/>
        </w:rPr>
      </w:pPr>
      <w:r>
        <w:rPr>
          <w:rFonts w:ascii="Arial" w:cs="Arial" w:eastAsia="Arial" w:hAnsi="Arial"/>
          <w:sz w:val="17"/>
          <w:szCs w:val="17"/>
          <w:color w:val="auto"/>
        </w:rPr>
        <w:t>The Company has entered into the Rockefeller Agreement and an agreement with Duke University pursuant to which the Company performs manufacturing and research and development services on a time-and-materials basis or at a negotiated fixed-price. The Company recognized $0.2 million and $0.7 million in revenue under these agreements during the three and nine months ended September 30, 2020, respectively, and $0.4 million and $1.9 million during the three and nine months ended September 30, 2019, respectively.</w:t>
      </w:r>
    </w:p>
    <w:p>
      <w:pPr>
        <w:spacing w:after="0" w:line="171" w:lineRule="exact"/>
        <w:rPr>
          <w:sz w:val="20"/>
          <w:szCs w:val="20"/>
          <w:color w:val="auto"/>
        </w:rPr>
      </w:pPr>
    </w:p>
    <w:p>
      <w:pPr>
        <w:ind w:right="100" w:firstLine="648"/>
        <w:spacing w:after="0" w:line="263" w:lineRule="auto"/>
        <w:rPr>
          <w:sz w:val="20"/>
          <w:szCs w:val="20"/>
          <w:color w:val="auto"/>
        </w:rPr>
      </w:pPr>
      <w:r>
        <w:rPr>
          <w:rFonts w:ascii="Arial" w:cs="Arial" w:eastAsia="Arial" w:hAnsi="Arial"/>
          <w:sz w:val="18"/>
          <w:szCs w:val="18"/>
          <w:color w:val="auto"/>
        </w:rPr>
        <w:t>During the quarter ended September 30, 2020, the Company was awarded a Small Business Innovation Research (“SBIR”) grant from the National Institutes of Health (NIH) to support the Company’s CDX-1140 and CDX-301 programs. The Company recognized $0.3 million in grant revenue under the award during the three months ended September 30, 2020.</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 Assets and Liabilities</w:t>
      </w:r>
    </w:p>
    <w:p>
      <w:pPr>
        <w:spacing w:after="0" w:line="225"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At December 31, 2019 and September 30, 2020, the Company’s right to consideration under all contracts was considered unconditional, and as such, there were no recorded contract assets. At December 31, 2019 and September 30, 2020, the Company had $0.3 million and $0.6 million in contract liabilities recorded, respectively. Revenue recognized from contract liabilities as of December 31, 2019 during the three and nine months ended September 30, 2020 was $0.0 million and $0.2 million, respectively.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Income Taxes</w:t>
      </w:r>
    </w:p>
    <w:p>
      <w:pPr>
        <w:spacing w:after="0" w:line="229" w:lineRule="exact"/>
        <w:rPr>
          <w:sz w:val="20"/>
          <w:szCs w:val="20"/>
          <w:color w:val="auto"/>
        </w:rPr>
      </w:pPr>
    </w:p>
    <w:p>
      <w:pPr>
        <w:ind w:right="400" w:firstLine="648"/>
        <w:spacing w:after="0" w:line="311" w:lineRule="auto"/>
        <w:rPr>
          <w:sz w:val="20"/>
          <w:szCs w:val="20"/>
          <w:color w:val="auto"/>
        </w:rPr>
      </w:pPr>
      <w:r>
        <w:rPr>
          <w:rFonts w:ascii="Arial" w:cs="Arial" w:eastAsia="Arial" w:hAnsi="Arial"/>
          <w:sz w:val="16"/>
          <w:szCs w:val="16"/>
          <w:color w:val="auto"/>
        </w:rPr>
        <w:t>The Company has evaluated the positive and negative evidence bearing upon the realizability of its net deferred tax assets and considered its history of losses, ultimately concluding that it is “more likely than not” that the Company will not recognize the benefits of federal, state and foreign deferred tax assets and, as such, has maintained a full valuation allowance on its deferred tax assets as of September 30, 2020 and December 31, 2019.</w:t>
      </w:r>
    </w:p>
    <w:p>
      <w:pPr>
        <w:spacing w:after="0" w:line="149" w:lineRule="exact"/>
        <w:rPr>
          <w:sz w:val="20"/>
          <w:szCs w:val="20"/>
          <w:color w:val="auto"/>
        </w:rPr>
      </w:pPr>
    </w:p>
    <w:p>
      <w:pPr>
        <w:ind w:firstLine="648"/>
        <w:spacing w:after="0" w:line="311" w:lineRule="auto"/>
        <w:rPr>
          <w:sz w:val="20"/>
          <w:szCs w:val="20"/>
          <w:color w:val="auto"/>
        </w:rPr>
      </w:pPr>
      <w:r>
        <w:rPr>
          <w:rFonts w:ascii="Arial" w:cs="Arial" w:eastAsia="Arial" w:hAnsi="Arial"/>
          <w:sz w:val="16"/>
          <w:szCs w:val="16"/>
          <w:color w:val="auto"/>
        </w:rPr>
        <w:t>The net deferred tax liability of $2.8 million and $3.0 million at September 30, 2020 and December 31, 2019, respectively, relates to the temporary differences associated with the IPR&amp;D intangible assets acquired in previous business combinations and is not deductible for tax purposes. During the second quarter of 2020, a $0.2 million non-cash income tax benefit was recorded related to the impairment of the CDX-3379 IPR&amp;D asset.</w:t>
      </w:r>
    </w:p>
    <w:p>
      <w:pPr>
        <w:spacing w:after="0" w:line="149" w:lineRule="exact"/>
        <w:rPr>
          <w:sz w:val="20"/>
          <w:szCs w:val="20"/>
          <w:color w:val="auto"/>
        </w:rPr>
      </w:pPr>
    </w:p>
    <w:p>
      <w:pPr>
        <w:ind w:right="360" w:firstLine="648"/>
        <w:spacing w:after="0" w:line="308" w:lineRule="auto"/>
        <w:rPr>
          <w:sz w:val="20"/>
          <w:szCs w:val="20"/>
          <w:color w:val="auto"/>
        </w:rPr>
      </w:pPr>
      <w:r>
        <w:rPr>
          <w:rFonts w:ascii="Arial" w:cs="Arial" w:eastAsia="Arial" w:hAnsi="Arial"/>
          <w:sz w:val="17"/>
          <w:szCs w:val="17"/>
          <w:color w:val="auto"/>
        </w:rPr>
        <w:t>Massachusetts, New Jersey, New York and Connecticut are the jurisdictions in which the Company primarily operates or has operated and has income tax nexus. The Company is not currently under examination by these or any other jurisdictions for any tax year.</w:t>
      </w: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color w:val="auto"/>
        </w:rPr>
        <w:t>(13) Net Loss Per Share</w:t>
      </w:r>
    </w:p>
    <w:p>
      <w:pPr>
        <w:spacing w:after="0" w:line="229"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Basic net loss per common share is based upon the weighted-average number of common shares outstanding during the period, excluding restricted stock that has been issued but is not yet vested. Diluted net loss per common share is based upon the weighted-average number of common shares outstanding during the period plus additional weighted-average potentially dilutive common shares outstanding during the period when the effect is dilutive. In periods in which the Company reports a net loss, there is no difference between basic and diluted net loss per share because dilutive shares of common stock are not assumed to have been issued as their effect is anti-dilutive. The potentially dilutive common shares that have not been included in the net loss per common share calculations because the effect would have been anti-dilutive are as follows: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440" w:type="dxa"/>
            <w:vAlign w:val="bottom"/>
          </w:tcPr>
          <w:p>
            <w:pPr>
              <w:spacing w:after="0"/>
              <w:rPr>
                <w:sz w:val="20"/>
                <w:szCs w:val="20"/>
                <w:color w:val="auto"/>
              </w:rPr>
            </w:pPr>
          </w:p>
        </w:tc>
        <w:tc>
          <w:tcPr>
            <w:tcW w:w="2800" w:type="dxa"/>
            <w:vAlign w:val="bottom"/>
            <w:gridSpan w:val="4"/>
          </w:tcPr>
          <w:p>
            <w:pPr>
              <w:spacing w:after="0"/>
              <w:rPr>
                <w:sz w:val="20"/>
                <w:szCs w:val="20"/>
                <w:color w:val="auto"/>
              </w:rPr>
            </w:pPr>
            <w:r>
              <w:rPr>
                <w:rFonts w:ascii="Arial" w:cs="Arial" w:eastAsia="Arial" w:hAnsi="Arial"/>
                <w:sz w:val="18"/>
                <w:szCs w:val="18"/>
                <w:b w:val="1"/>
                <w:bCs w:val="1"/>
                <w:color w:val="auto"/>
                <w:w w:val="93"/>
              </w:rPr>
              <w:t>Nine Months Ended September 30,</w:t>
            </w:r>
          </w:p>
        </w:tc>
      </w:tr>
      <w:tr>
        <w:trPr>
          <w:trHeight w:val="223"/>
        </w:trPr>
        <w:tc>
          <w:tcPr>
            <w:tcW w:w="8440" w:type="dxa"/>
            <w:vAlign w:val="bottom"/>
            <w:tcBorders>
              <w:bottom w:val="single" w:sz="8" w:color="CCEEFF"/>
            </w:tcBorders>
          </w:tcPr>
          <w:p>
            <w:pPr>
              <w:spacing w:after="0"/>
              <w:rPr>
                <w:sz w:val="19"/>
                <w:szCs w:val="19"/>
                <w:color w:val="auto"/>
              </w:rPr>
            </w:pPr>
          </w:p>
        </w:tc>
        <w:tc>
          <w:tcPr>
            <w:tcW w:w="124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2020</w:t>
            </w:r>
          </w:p>
        </w:tc>
        <w:tc>
          <w:tcPr>
            <w:tcW w:w="220" w:type="dxa"/>
            <w:vAlign w:val="bottom"/>
            <w:tcBorders>
              <w:top w:val="single" w:sz="8" w:color="auto"/>
              <w:bottom w:val="single" w:sz="8" w:color="CCEEFF"/>
            </w:tcBorders>
          </w:tcPr>
          <w:p>
            <w:pPr>
              <w:spacing w:after="0"/>
              <w:rPr>
                <w:sz w:val="19"/>
                <w:szCs w:val="19"/>
                <w:color w:val="auto"/>
              </w:rPr>
            </w:pPr>
          </w:p>
        </w:tc>
        <w:tc>
          <w:tcPr>
            <w:tcW w:w="124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2019</w:t>
            </w:r>
          </w:p>
        </w:tc>
        <w:tc>
          <w:tcPr>
            <w:tcW w:w="100" w:type="dxa"/>
            <w:vAlign w:val="bottom"/>
            <w:tcBorders>
              <w:bottom w:val="single" w:sz="8" w:color="CCEEFF"/>
            </w:tcBorders>
          </w:tcPr>
          <w:p>
            <w:pPr>
              <w:spacing w:after="0"/>
              <w:rPr>
                <w:sz w:val="19"/>
                <w:szCs w:val="19"/>
                <w:color w:val="auto"/>
              </w:rPr>
            </w:pPr>
          </w:p>
        </w:tc>
      </w:tr>
      <w:tr>
        <w:trPr>
          <w:trHeight w:val="209"/>
        </w:trPr>
        <w:tc>
          <w:tcPr>
            <w:tcW w:w="8440" w:type="dxa"/>
            <w:vAlign w:val="bottom"/>
            <w:shd w:val="clear" w:color="auto" w:fill="CCEEFF"/>
          </w:tcPr>
          <w:p>
            <w:pPr>
              <w:spacing w:after="0"/>
              <w:rPr>
                <w:sz w:val="20"/>
                <w:szCs w:val="20"/>
                <w:color w:val="auto"/>
              </w:rPr>
            </w:pPr>
            <w:r>
              <w:rPr>
                <w:rFonts w:ascii="Arial" w:cs="Arial" w:eastAsia="Arial" w:hAnsi="Arial"/>
                <w:sz w:val="18"/>
                <w:szCs w:val="18"/>
                <w:color w:val="auto"/>
              </w:rPr>
              <w:t>Stock Options</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3,074,832</w:t>
            </w: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1,724,758</w:t>
            </w:r>
          </w:p>
        </w:tc>
        <w:tc>
          <w:tcPr>
            <w:tcW w:w="100" w:type="dxa"/>
            <w:vAlign w:val="bottom"/>
            <w:shd w:val="clear" w:color="auto" w:fill="CCEEFF"/>
          </w:tcPr>
          <w:p>
            <w:pPr>
              <w:spacing w:after="0"/>
              <w:rPr>
                <w:sz w:val="18"/>
                <w:szCs w:val="18"/>
                <w:color w:val="auto"/>
              </w:rPr>
            </w:pPr>
          </w:p>
        </w:tc>
      </w:tr>
      <w:tr>
        <w:trPr>
          <w:trHeight w:val="230"/>
        </w:trPr>
        <w:tc>
          <w:tcPr>
            <w:tcW w:w="8440" w:type="dxa"/>
            <w:vAlign w:val="bottom"/>
          </w:tcPr>
          <w:p>
            <w:pPr>
              <w:spacing w:after="0"/>
              <w:rPr>
                <w:sz w:val="20"/>
                <w:szCs w:val="20"/>
                <w:color w:val="auto"/>
              </w:rPr>
            </w:pPr>
            <w:r>
              <w:rPr>
                <w:rFonts w:ascii="Arial" w:cs="Arial" w:eastAsia="Arial" w:hAnsi="Arial"/>
                <w:sz w:val="18"/>
                <w:szCs w:val="18"/>
                <w:color w:val="auto"/>
              </w:rPr>
              <w:t>Restricted Stock</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1,110</w:t>
            </w:r>
          </w:p>
        </w:tc>
      </w:tr>
      <w:tr>
        <w:trPr>
          <w:trHeight w:val="20"/>
        </w:trPr>
        <w:tc>
          <w:tcPr>
            <w:tcW w:w="8440" w:type="dxa"/>
            <w:vAlign w:val="bottom"/>
            <w:shd w:val="clear" w:color="auto" w:fill="CCEEFF"/>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50"/>
        </w:trPr>
        <w:tc>
          <w:tcPr>
            <w:tcW w:w="8440" w:type="dxa"/>
            <w:vAlign w:val="bottom"/>
            <w:shd w:val="clear" w:color="auto" w:fill="CCEEFF"/>
          </w:tcPr>
          <w:p>
            <w:pPr>
              <w:spacing w:after="0"/>
              <w:rPr>
                <w:sz w:val="21"/>
                <w:szCs w:val="21"/>
                <w:color w:val="auto"/>
              </w:rPr>
            </w:pP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3,074,832</w:t>
            </w: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1,725,868</w:t>
            </w:r>
          </w:p>
        </w:tc>
      </w:tr>
      <w:tr>
        <w:trPr>
          <w:trHeight w:val="20"/>
        </w:trPr>
        <w:tc>
          <w:tcPr>
            <w:tcW w:w="844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Kolltan Acquisition</w:t>
      </w:r>
    </w:p>
    <w:p>
      <w:pPr>
        <w:spacing w:after="0" w:line="229" w:lineRule="exact"/>
        <w:rPr>
          <w:sz w:val="20"/>
          <w:szCs w:val="20"/>
          <w:color w:val="auto"/>
        </w:rPr>
      </w:pPr>
    </w:p>
    <w:p>
      <w:pPr>
        <w:ind w:right="100" w:firstLine="648"/>
        <w:spacing w:after="0" w:line="291" w:lineRule="auto"/>
        <w:rPr>
          <w:sz w:val="20"/>
          <w:szCs w:val="20"/>
          <w:color w:val="auto"/>
        </w:rPr>
      </w:pPr>
      <w:r>
        <w:rPr>
          <w:rFonts w:ascii="Arial" w:cs="Arial" w:eastAsia="Arial" w:hAnsi="Arial"/>
          <w:sz w:val="16"/>
          <w:szCs w:val="16"/>
          <w:color w:val="auto"/>
        </w:rPr>
        <w:t>On November 29, 2016, the Company acquired all of the share and debt interests of Kolltan Pharmaceuticals, Inc. (“Kolltan”), a clinical-stage biopharmaceutical company, in exchange for 1,217,200 shares of the Company’s common stock plus contingent consideration in the form of development, regulatory approval and sales-based milestones (“Kolltan Milestones”) of up to $172.5 million. The Kolltan Milestone payments, if any, may be made, at Celldex’s sole election, in cash, in shares of Celldex’s common stock or a combination of both, subject to provisions of the Merger Agreement. Certain Kolltan Milestones related to the METRIC clinical study, TAM partnership closing within two years of the acquisition, CDX-3379 and CDX-0158 have been abandoned consistent with the provisions of the Merger Agreement and, because of this, as of September 30, 2020, the Company believes that the adjusted amount we may be required to pay for future consideration is up to $107.5 million contingent upon the achievement of the Kolltan Milestones.</w:t>
      </w:r>
    </w:p>
    <w:p>
      <w:pPr>
        <w:spacing w:after="0" w:line="166" w:lineRule="exact"/>
        <w:rPr>
          <w:sz w:val="20"/>
          <w:szCs w:val="20"/>
          <w:color w:val="auto"/>
        </w:rPr>
      </w:pPr>
    </w:p>
    <w:p>
      <w:pPr>
        <w:ind w:right="280" w:firstLine="648"/>
        <w:spacing w:after="0" w:line="311" w:lineRule="auto"/>
        <w:rPr>
          <w:sz w:val="20"/>
          <w:szCs w:val="20"/>
          <w:color w:val="auto"/>
        </w:rPr>
      </w:pPr>
      <w:r>
        <w:rPr>
          <w:rFonts w:ascii="Arial" w:cs="Arial" w:eastAsia="Arial" w:hAnsi="Arial"/>
          <w:sz w:val="16"/>
          <w:szCs w:val="16"/>
          <w:color w:val="auto"/>
        </w:rPr>
        <w:t>In October 2019, the Company received a letter from Shareholder Representative Services LLC (“SRS”), the hired representative of the former stockholders of Kolltan, notifying the Company that it objected to the Company’s abandonment of certain Kolltan Milestones relating to development, regulatory approval and sales-based milestones. The Company disagrees with their objection and believes their objection to be without merit.</w:t>
      </w:r>
    </w:p>
    <w:p>
      <w:pPr>
        <w:spacing w:after="0" w:line="149"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On August 18, 2020, Celldex filed a Verified Complaint in the Court of Chancery of the State of Delaware against SRS (acting in its capacity as the representative of the former stockholders of Kolltan pursuant to the Merger Agreement) seeking declaratory relief with respect to the rights and obligations of the parties relating to certain contingent milestone payments under the Merger Agreement. Specifically, Celldex sought the entry of an order declaring that:</w:t>
      </w:r>
    </w:p>
    <w:p>
      <w:pPr>
        <w:spacing w:after="0" w:line="187" w:lineRule="exact"/>
        <w:rPr>
          <w:sz w:val="20"/>
          <w:szCs w:val="20"/>
          <w:color w:val="auto"/>
        </w:rPr>
      </w:pPr>
    </w:p>
    <w:p>
      <w:pPr>
        <w:ind w:left="980" w:right="60" w:hanging="648"/>
        <w:spacing w:after="0" w:line="258" w:lineRule="auto"/>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Celldex’s determination to discontinue the development of CDX-0158 (formerly known as KTN0158) was proper and valid under the Merger Agreement;</w:t>
      </w:r>
    </w:p>
    <w:p>
      <w:pPr>
        <w:spacing w:after="0" w:line="1" w:lineRule="exact"/>
        <w:rPr>
          <w:rFonts w:ascii="Arial" w:cs="Arial" w:eastAsia="Arial" w:hAnsi="Arial"/>
          <w:sz w:val="18"/>
          <w:szCs w:val="18"/>
          <w:color w:val="auto"/>
        </w:rPr>
      </w:pPr>
    </w:p>
    <w:p>
      <w:pPr>
        <w:ind w:left="980" w:right="160" w:hanging="648"/>
        <w:spacing w:after="0" w:line="281" w:lineRule="auto"/>
        <w:tabs>
          <w:tab w:leader="none" w:pos="98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Milestone Abandonment Notice dated December 5, 2018 from Celldex was valid and effective under the Merger Agreement and that the “Successful Completion of Phase I Clinical Trial for KTN0158” Milestone has not been achieved and has properly been abandoned; and</w:t>
      </w:r>
    </w:p>
    <w:p>
      <w:pPr>
        <w:spacing w:after="0" w:line="1" w:lineRule="exact"/>
        <w:rPr>
          <w:rFonts w:ascii="Arial" w:cs="Arial" w:eastAsia="Arial" w:hAnsi="Arial"/>
          <w:sz w:val="16"/>
          <w:szCs w:val="16"/>
          <w:color w:val="auto"/>
        </w:rPr>
      </w:pPr>
    </w:p>
    <w:p>
      <w:pPr>
        <w:ind w:left="980" w:hanging="648"/>
        <w:spacing w:after="0"/>
        <w:tabs>
          <w:tab w:leader="none" w:pos="980" w:val="left"/>
        </w:tabs>
        <w:numPr>
          <w:ilvl w:val="0"/>
          <w:numId w:val="3"/>
        </w:numPr>
        <w:rPr>
          <w:rFonts w:ascii="Arial" w:cs="Arial" w:eastAsia="Arial" w:hAnsi="Arial"/>
          <w:sz w:val="17"/>
          <w:szCs w:val="17"/>
          <w:color w:val="auto"/>
        </w:rPr>
      </w:pPr>
      <w:r>
        <w:rPr>
          <w:rFonts w:ascii="Arial" w:cs="Arial" w:eastAsia="Arial" w:hAnsi="Arial"/>
          <w:sz w:val="17"/>
          <w:szCs w:val="17"/>
          <w:color w:val="auto"/>
        </w:rPr>
        <w:t>under the Merger Agreement, the CDX-0159 program is not a program that results in milestone payments under the Merger Agreement.</w:t>
      </w:r>
    </w:p>
    <w:p>
      <w:pPr>
        <w:spacing w:after="0" w:line="222" w:lineRule="exact"/>
        <w:rPr>
          <w:sz w:val="20"/>
          <w:szCs w:val="20"/>
          <w:color w:val="auto"/>
        </w:rPr>
      </w:pPr>
    </w:p>
    <w:p>
      <w:pPr>
        <w:ind w:right="80" w:firstLine="648"/>
        <w:spacing w:after="0" w:line="263" w:lineRule="auto"/>
        <w:rPr>
          <w:sz w:val="20"/>
          <w:szCs w:val="20"/>
          <w:color w:val="auto"/>
        </w:rPr>
      </w:pPr>
      <w:r>
        <w:rPr>
          <w:rFonts w:ascii="Arial" w:cs="Arial" w:eastAsia="Arial" w:hAnsi="Arial"/>
          <w:sz w:val="18"/>
          <w:szCs w:val="18"/>
          <w:color w:val="auto"/>
        </w:rPr>
        <w:t>In SRS’ responsive Answer and Verified Counterclaim, SRS made claims of breach of contract with respect to the Merger Agreement, breach of implied covenant of good faith and fair dealing, declaratory relief, and unjust enrichment. The case remains ongoing and we are currently unable to predict or estimate the outcome of this matter.</w:t>
      </w:r>
    </w:p>
    <w:p>
      <w:pPr>
        <w:spacing w:after="0" w:line="184" w:lineRule="exact"/>
        <w:rPr>
          <w:sz w:val="20"/>
          <w:szCs w:val="20"/>
          <w:color w:val="auto"/>
        </w:rPr>
      </w:pPr>
    </w:p>
    <w:p>
      <w:pPr>
        <w:ind w:right="80" w:firstLine="648"/>
        <w:spacing w:after="0" w:line="263" w:lineRule="auto"/>
        <w:rPr>
          <w:sz w:val="20"/>
          <w:szCs w:val="20"/>
          <w:color w:val="auto"/>
        </w:rPr>
      </w:pPr>
      <w:r>
        <w:rPr>
          <w:rFonts w:ascii="Arial" w:cs="Arial" w:eastAsia="Arial" w:hAnsi="Arial"/>
          <w:sz w:val="18"/>
          <w:szCs w:val="18"/>
          <w:color w:val="auto"/>
        </w:rPr>
        <w:t>Following the Company’s discontinuation of the CDX-3379 program, the Company sent a milestone abandonment notice to SRS with respect to Kolltan Milestones related to the CDX-3379 program. In October 2020, the Company received notice that SRS has objected to that notice, seeking further information from the Company.</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b w:val="1"/>
          <w:bCs w:val="1"/>
          <w:u w:val="single" w:color="auto"/>
          <w:color w:val="auto"/>
        </w:rPr>
        <w:t>Management’s Discussion and Analysis of Financial Condition and Results of Operations</w:t>
      </w:r>
    </w:p>
    <w:p>
      <w:pPr>
        <w:spacing w:after="0" w:line="229" w:lineRule="exact"/>
        <w:rPr>
          <w:sz w:val="20"/>
          <w:szCs w:val="20"/>
          <w:color w:val="auto"/>
        </w:rPr>
      </w:pPr>
    </w:p>
    <w:p>
      <w:pPr>
        <w:ind w:right="20" w:firstLine="648"/>
        <w:spacing w:after="0" w:line="289" w:lineRule="auto"/>
        <w:rPr>
          <w:sz w:val="20"/>
          <w:szCs w:val="20"/>
          <w:color w:val="auto"/>
        </w:rPr>
      </w:pPr>
      <w:r>
        <w:rPr>
          <w:rFonts w:ascii="Arial" w:cs="Arial" w:eastAsia="Arial" w:hAnsi="Arial"/>
          <w:sz w:val="16"/>
          <w:szCs w:val="16"/>
          <w:b w:val="1"/>
          <w:bCs w:val="1"/>
          <w:i w:val="1"/>
          <w:iCs w:val="1"/>
          <w:color w:val="auto"/>
        </w:rPr>
        <w:t xml:space="preserve">Safe Harbor Statement under the Private Securities Litigation Reform Act of 1995: </w:t>
      </w:r>
      <w:r>
        <w:rPr>
          <w:rFonts w:ascii="Arial" w:cs="Arial" w:eastAsia="Arial" w:hAnsi="Arial"/>
          <w:sz w:val="16"/>
          <w:szCs w:val="16"/>
          <w:color w:val="auto"/>
        </w:rPr>
        <w:t>This report on Form 10-Q contains forward-looking</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statements made pursuant to the safe harbor provisions of the Private Securities Litigation Reform Act of 1995 under Section 27A of the Securities Act of 1933, as amended, and Section 21E of the Securities Exchange Act of 1934, as amended. Forward-looking statements include statements with respect to our beliefs, plans, objectives, goals, expectations, anticipations, assumptions, estimates, intentions and future performance, and involve known and unknown risks, uncertainties and other factors, which may be beyond our control, and which may cause our actual results, performance or achievements to be materially different from future results, performance or achievements expressed or implied by such forward-looking statements. All statements other than statements of historical fact are statements that could be forward-looking statements. You can identify these forward-looking statements through our use of words such as “may,” “will,” “can,” “anticipate,” “assume,” “should,” “indicate,” “would,” “believe,” “contemplate,” “expect,” “seek,” “estimate,” “continue,” “plan,” “point to,” “project,” “predict,” “could,” “intend,” “target,” “potential” and other similar words and expressions of the future.</w:t>
      </w:r>
    </w:p>
    <w:p>
      <w:pPr>
        <w:spacing w:after="0" w:line="166" w:lineRule="exact"/>
        <w:rPr>
          <w:sz w:val="20"/>
          <w:szCs w:val="20"/>
          <w:color w:val="auto"/>
        </w:rPr>
      </w:pPr>
    </w:p>
    <w:p>
      <w:pPr>
        <w:ind w:right="500" w:firstLine="648"/>
        <w:spacing w:after="0" w:line="277" w:lineRule="auto"/>
        <w:rPr>
          <w:sz w:val="20"/>
          <w:szCs w:val="20"/>
          <w:color w:val="auto"/>
        </w:rPr>
      </w:pPr>
      <w:r>
        <w:rPr>
          <w:rFonts w:ascii="Arial" w:cs="Arial" w:eastAsia="Arial" w:hAnsi="Arial"/>
          <w:sz w:val="18"/>
          <w:szCs w:val="18"/>
          <w:color w:val="auto"/>
        </w:rPr>
        <w:t>There are a number of important factors that could cause the actual results to differ materially from those expressed in any forward-looking statement made by us. These factors include, but are not limited to:</w:t>
      </w:r>
    </w:p>
    <w:p>
      <w:pPr>
        <w:spacing w:after="0" w:line="170" w:lineRule="exact"/>
        <w:rPr>
          <w:sz w:val="20"/>
          <w:szCs w:val="20"/>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dependence on product candidates, which are still in an early development stage;</w:t>
      </w:r>
    </w:p>
    <w:p>
      <w:pPr>
        <w:spacing w:after="0" w:line="252" w:lineRule="exact"/>
        <w:rPr>
          <w:rFonts w:ascii="Arial" w:cs="Arial" w:eastAsia="Arial" w:hAnsi="Arial"/>
          <w:sz w:val="18"/>
          <w:szCs w:val="18"/>
          <w:color w:val="auto"/>
        </w:rPr>
      </w:pPr>
    </w:p>
    <w:p>
      <w:pPr>
        <w:ind w:left="980" w:right="300" w:hanging="324"/>
        <w:spacing w:after="0" w:line="308" w:lineRule="auto"/>
        <w:tabs>
          <w:tab w:leader="none" w:pos="980" w:val="left"/>
        </w:tabs>
        <w:numPr>
          <w:ilvl w:val="0"/>
          <w:numId w:val="4"/>
        </w:numPr>
        <w:rPr>
          <w:rFonts w:ascii="Arial" w:cs="Arial" w:eastAsia="Arial" w:hAnsi="Arial"/>
          <w:sz w:val="17"/>
          <w:szCs w:val="17"/>
          <w:color w:val="auto"/>
        </w:rPr>
      </w:pPr>
      <w:r>
        <w:rPr>
          <w:rFonts w:ascii="Arial" w:cs="Arial" w:eastAsia="Arial" w:hAnsi="Arial"/>
          <w:sz w:val="17"/>
          <w:szCs w:val="17"/>
          <w:color w:val="auto"/>
        </w:rPr>
        <w:t>our ability to successfully complete research and further development, including animal, preclinical and clinical studies, and, if we obtain regulatory approval, commercialization of our drug candidates and the growth of the markets for those drug candidates;</w:t>
      </w:r>
    </w:p>
    <w:p>
      <w:pPr>
        <w:spacing w:after="0" w:line="146" w:lineRule="exact"/>
        <w:rPr>
          <w:rFonts w:ascii="Arial" w:cs="Arial" w:eastAsia="Arial" w:hAnsi="Arial"/>
          <w:sz w:val="17"/>
          <w:szCs w:val="17"/>
          <w:color w:val="auto"/>
        </w:rPr>
      </w:pPr>
    </w:p>
    <w:p>
      <w:pPr>
        <w:ind w:left="980" w:right="360" w:hanging="324"/>
        <w:spacing w:after="0" w:line="277" w:lineRule="auto"/>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anticipated timing for preclinical development, regulatory submissions, commencement and completion of clinical trials and product approvals;</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impact of the recent outbreak of a novel strain of coronavirus on our business or on the economy generally;</w:t>
      </w:r>
    </w:p>
    <w:p>
      <w:pPr>
        <w:spacing w:after="0" w:line="252" w:lineRule="exact"/>
        <w:rPr>
          <w:rFonts w:ascii="Arial" w:cs="Arial" w:eastAsia="Arial" w:hAnsi="Arial"/>
          <w:sz w:val="18"/>
          <w:szCs w:val="18"/>
          <w:color w:val="auto"/>
        </w:rPr>
      </w:pPr>
    </w:p>
    <w:p>
      <w:pPr>
        <w:ind w:left="980" w:right="80" w:hanging="324"/>
        <w:spacing w:after="0" w:line="277" w:lineRule="auto"/>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Whether the recent coronavirus outbreak will affect the timing of the completion of our planned and/or currently ongoing preclinical/clinical trials;</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negotiate strategic partnerships, where appropriate, for our drug candidates;</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manage multiple clinical trials for a variety of drug candidates at different stages of development;</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cost, timing, scope and results of ongoing preclinical and clinical testing;</w:t>
      </w:r>
    </w:p>
    <w:p>
      <w:pPr>
        <w:spacing w:after="0" w:line="252"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expectations of the attributes of our product and development candidates, including pharmaceutical properties, efficacy, safety and dosing regimens;</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cost, timing and uncertainty of obtaining regulatory approvals for our drug candidates;</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4"/>
        </w:numPr>
        <w:rPr>
          <w:rFonts w:ascii="Arial" w:cs="Arial" w:eastAsia="Arial" w:hAnsi="Arial"/>
          <w:sz w:val="17"/>
          <w:szCs w:val="17"/>
          <w:color w:val="auto"/>
        </w:rPr>
      </w:pPr>
      <w:r>
        <w:rPr>
          <w:rFonts w:ascii="Arial" w:cs="Arial" w:eastAsia="Arial" w:hAnsi="Arial"/>
          <w:sz w:val="17"/>
          <w:szCs w:val="17"/>
          <w:color w:val="auto"/>
        </w:rPr>
        <w:t>the availability, cost, delivery and quality of clinical management services provided by our clinical research organization partners;</w:t>
      </w:r>
    </w:p>
    <w:p>
      <w:pPr>
        <w:spacing w:after="0" w:line="263" w:lineRule="exact"/>
        <w:rPr>
          <w:rFonts w:ascii="Arial" w:cs="Arial" w:eastAsia="Arial" w:hAnsi="Arial"/>
          <w:sz w:val="17"/>
          <w:szCs w:val="17"/>
          <w:color w:val="auto"/>
        </w:rPr>
      </w:pPr>
    </w:p>
    <w:p>
      <w:pPr>
        <w:ind w:left="980" w:right="20" w:hanging="324"/>
        <w:spacing w:after="0" w:line="277" w:lineRule="auto"/>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availability, cost, delivery and quality of clinical and commercial-grade materials produced by our own manufacturing facility or supplied by contract manufacturers, suppliers and partners;</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4"/>
        </w:numPr>
        <w:rPr>
          <w:rFonts w:ascii="Arial" w:cs="Arial" w:eastAsia="Arial" w:hAnsi="Arial"/>
          <w:sz w:val="16"/>
          <w:szCs w:val="16"/>
          <w:color w:val="auto"/>
        </w:rPr>
      </w:pPr>
      <w:r>
        <w:rPr>
          <w:rFonts w:ascii="Arial" w:cs="Arial" w:eastAsia="Arial" w:hAnsi="Arial"/>
          <w:sz w:val="16"/>
          <w:szCs w:val="16"/>
          <w:color w:val="auto"/>
        </w:rPr>
        <w:t>our ability to develop and commercialize products before competitors that are superior to the alternatives developed by such competitors;</w:t>
      </w:r>
    </w:p>
    <w:p>
      <w:pPr>
        <w:spacing w:after="0" w:line="200" w:lineRule="exact"/>
        <w:rPr>
          <w:sz w:val="20"/>
          <w:szCs w:val="20"/>
          <w:color w:val="auto"/>
        </w:rPr>
      </w:pPr>
    </w:p>
    <w:p>
      <w:pPr>
        <w:spacing w:after="0" w:line="29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80"/>
          </w:cols>
          <w:pgMar w:left="320" w:top="904" w:right="399" w:bottom="1440" w:gutter="0" w:footer="0" w:header="0"/>
        </w:sectPr>
      </w:pPr>
    </w:p>
    <w:bookmarkStart w:id="15" w:name="page16"/>
    <w:bookmarkEnd w:id="15"/>
    <w:p>
      <w:pPr>
        <w:ind w:left="980" w:right="40" w:hanging="324"/>
        <w:spacing w:after="0" w:line="342" w:lineRule="auto"/>
        <w:tabs>
          <w:tab w:leader="none" w:pos="980" w:val="left"/>
        </w:tabs>
        <w:numPr>
          <w:ilvl w:val="0"/>
          <w:numId w:val="5"/>
        </w:numPr>
        <w:rPr>
          <w:rFonts w:ascii="Arial" w:cs="Arial" w:eastAsia="Arial" w:hAnsi="Arial"/>
          <w:sz w:val="16"/>
          <w:szCs w:val="16"/>
          <w:color w:val="auto"/>
        </w:rPr>
      </w:pPr>
      <w:r>
        <w:rPr>
          <w:rFonts w:ascii="Arial" w:cs="Arial" w:eastAsia="Arial" w:hAnsi="Arial"/>
          <w:sz w:val="16"/>
          <w:szCs w:val="16"/>
          <w:color w:val="auto"/>
        </w:rPr>
        <w:t>our ability to develop technological capabilities, including identification of novel and clinically important targets, exploiting our existing technology platforms to develop new drug candidates and expand our focus to broader markets for our existing targeted immunotherapeutics;</w:t>
      </w:r>
    </w:p>
    <w:p>
      <w:pPr>
        <w:spacing w:after="0" w:line="123" w:lineRule="exact"/>
        <w:rPr>
          <w:rFonts w:ascii="Arial" w:cs="Arial" w:eastAsia="Arial" w:hAnsi="Arial"/>
          <w:sz w:val="16"/>
          <w:szCs w:val="16"/>
          <w:color w:val="auto"/>
        </w:rPr>
      </w:pPr>
    </w:p>
    <w:p>
      <w:pPr>
        <w:jc w:val="both"/>
        <w:ind w:left="980" w:right="160" w:hanging="324"/>
        <w:spacing w:after="0" w:line="263" w:lineRule="auto"/>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cost of paying development, regulatory approval and sales-based milestones under the merger agreement by which we acquired Kolltan, including under any future amendment to that agreement and the cost, timing, and outcome of our declaratory judgment action against SRS with respect to certain of those milestones;</w:t>
      </w:r>
    </w:p>
    <w:p>
      <w:pPr>
        <w:spacing w:after="0" w:line="183" w:lineRule="exact"/>
        <w:rPr>
          <w:rFonts w:ascii="Arial" w:cs="Arial" w:eastAsia="Arial" w:hAnsi="Arial"/>
          <w:sz w:val="18"/>
          <w:szCs w:val="18"/>
          <w:color w:val="auto"/>
        </w:rPr>
      </w:pPr>
    </w:p>
    <w:p>
      <w:pPr>
        <w:ind w:left="980" w:hanging="324"/>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realize the anticipated benefits from the acquisition of Kolltan;</w:t>
      </w:r>
    </w:p>
    <w:p>
      <w:pPr>
        <w:spacing w:after="0" w:line="252" w:lineRule="exact"/>
        <w:rPr>
          <w:rFonts w:ascii="Arial" w:cs="Arial" w:eastAsia="Arial" w:hAnsi="Arial"/>
          <w:sz w:val="18"/>
          <w:szCs w:val="18"/>
          <w:color w:val="auto"/>
        </w:rPr>
      </w:pPr>
    </w:p>
    <w:p>
      <w:pPr>
        <w:ind w:left="980" w:hanging="324"/>
        <w:spacing w:after="0" w:line="279" w:lineRule="auto"/>
        <w:tabs>
          <w:tab w:leader="none" w:pos="980" w:val="left"/>
        </w:tabs>
        <w:numPr>
          <w:ilvl w:val="0"/>
          <w:numId w:val="5"/>
        </w:numPr>
        <w:rPr>
          <w:rFonts w:ascii="Arial" w:cs="Arial" w:eastAsia="Arial" w:hAnsi="Arial"/>
          <w:sz w:val="17"/>
          <w:szCs w:val="17"/>
          <w:color w:val="auto"/>
        </w:rPr>
      </w:pPr>
      <w:r>
        <w:rPr>
          <w:rFonts w:ascii="Arial" w:cs="Arial" w:eastAsia="Arial" w:hAnsi="Arial"/>
          <w:sz w:val="17"/>
          <w:szCs w:val="17"/>
          <w:color w:val="auto"/>
        </w:rPr>
        <w:t>our ability to raise sufficient capital to fund our animal, preclinical and clinical studies and to meet our liquidity needs, on terms acceptable to us, or at all. If we are unable to raise the funds necessary to meet our liquidity needs, we may have to delay or discontinue the development of one or more programs, discontinue or delay ongoing or anticipated clinical trials, license out programs earlier than expected, raise funds at significant discount or on other unfavorable terms, if at all, or sell all or part of our business;</w:t>
      </w:r>
    </w:p>
    <w:p>
      <w:pPr>
        <w:spacing w:after="0" w:line="171" w:lineRule="exact"/>
        <w:rPr>
          <w:rFonts w:ascii="Arial" w:cs="Arial" w:eastAsia="Arial" w:hAnsi="Arial"/>
          <w:sz w:val="17"/>
          <w:szCs w:val="17"/>
          <w:color w:val="auto"/>
        </w:rPr>
      </w:pPr>
    </w:p>
    <w:p>
      <w:pPr>
        <w:ind w:left="980" w:right="300" w:hanging="324"/>
        <w:spacing w:after="0" w:line="277" w:lineRule="auto"/>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protect our intellectual property rights and our ability to avoid intellectual property litigation, which can be costly and divert management time and attention;</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develop and commercialize products without infringing the intellectual property rights of third parties; and</w:t>
      </w:r>
    </w:p>
    <w:p>
      <w:pPr>
        <w:spacing w:after="0" w:line="252" w:lineRule="exact"/>
        <w:rPr>
          <w:rFonts w:ascii="Arial" w:cs="Arial" w:eastAsia="Arial" w:hAnsi="Arial"/>
          <w:sz w:val="18"/>
          <w:szCs w:val="18"/>
          <w:color w:val="auto"/>
        </w:rPr>
      </w:pPr>
    </w:p>
    <w:p>
      <w:pPr>
        <w:jc w:val="both"/>
        <w:ind w:left="980" w:right="40" w:hanging="324"/>
        <w:spacing w:after="0" w:line="311" w:lineRule="auto"/>
        <w:tabs>
          <w:tab w:leader="none" w:pos="980" w:val="left"/>
        </w:tabs>
        <w:numPr>
          <w:ilvl w:val="0"/>
          <w:numId w:val="5"/>
        </w:numPr>
        <w:rPr>
          <w:rFonts w:ascii="Arial" w:cs="Arial" w:eastAsia="Arial" w:hAnsi="Arial"/>
          <w:sz w:val="16"/>
          <w:szCs w:val="16"/>
          <w:color w:val="auto"/>
        </w:rPr>
      </w:pPr>
      <w:r>
        <w:rPr>
          <w:rFonts w:ascii="Arial" w:cs="Arial" w:eastAsia="Arial" w:hAnsi="Arial"/>
          <w:sz w:val="16"/>
          <w:szCs w:val="16"/>
          <w:color w:val="auto"/>
        </w:rPr>
        <w:t>the risk factors set forth elsewhere in this quarterly report on Form 10-Q and the factors listed under the headings “Business,” “Risk Factors” and “Management’s Discussion and Analysis of Financial Condition and Results of Operations” in the Company’s annual report on Form 10-K for the year ended December 31, 2019 and other reports that we file with the Securities and Exchange Commission</w:t>
      </w:r>
      <w:r>
        <w:rPr>
          <w:rFonts w:ascii="Arial" w:cs="Arial" w:eastAsia="Arial" w:hAnsi="Arial"/>
          <w:sz w:val="16"/>
          <w:szCs w:val="16"/>
          <w:i w:val="1"/>
          <w:iCs w:val="1"/>
          <w:color w:val="auto"/>
        </w:rPr>
        <w:t>.</w:t>
      </w:r>
    </w:p>
    <w:p>
      <w:pPr>
        <w:spacing w:after="0" w:line="149" w:lineRule="exact"/>
        <w:rPr>
          <w:sz w:val="20"/>
          <w:szCs w:val="20"/>
          <w:color w:val="auto"/>
        </w:rPr>
      </w:pPr>
    </w:p>
    <w:p>
      <w:pPr>
        <w:ind w:right="40" w:firstLine="648"/>
        <w:spacing w:after="0" w:line="296" w:lineRule="auto"/>
        <w:rPr>
          <w:sz w:val="20"/>
          <w:szCs w:val="20"/>
          <w:color w:val="auto"/>
        </w:rPr>
      </w:pPr>
      <w:r>
        <w:rPr>
          <w:rFonts w:ascii="Arial" w:cs="Arial" w:eastAsia="Arial" w:hAnsi="Arial"/>
          <w:sz w:val="16"/>
          <w:szCs w:val="16"/>
          <w:color w:val="auto"/>
        </w:rPr>
        <w:t>All forward-looking statements are expressly qualified in their entirety by this cautionary notice. You are cautioned not to place undue reliance on any forward-looking statements, which speak only as of the date of this report or the date of the document incorporated by reference into this report. We have no obligation, and expressly disclaim any obligation, to update, revise or correct any of the forward-looking statements, whether as a result of new information, future events or otherwise. We have expressed our expectations, beliefs and projections in good faith, and we believe they have a reasonable basis. However, we cannot assure you that our expectations, beliefs or projections will result or be achieved or accomplished.</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right="120" w:firstLine="648"/>
        <w:spacing w:after="0" w:line="286" w:lineRule="auto"/>
        <w:rPr>
          <w:sz w:val="20"/>
          <w:szCs w:val="20"/>
          <w:color w:val="auto"/>
        </w:rPr>
      </w:pPr>
      <w:r>
        <w:rPr>
          <w:rFonts w:ascii="Arial" w:cs="Arial" w:eastAsia="Arial" w:hAnsi="Arial"/>
          <w:sz w:val="17"/>
          <w:szCs w:val="17"/>
          <w:color w:val="auto"/>
        </w:rPr>
        <w:t>We are a biopharmaceutical company dedicated to developing therapeutic monoclonal and bispecific antibodies that address diseases for which available treatments are inadequate. Our drug candidates include antibody-based therapeutics which have the ability to engage the human immune system and/or directly affect critical pathways to improve the lives of patients with inflammatory diseases and many forms of cancer.</w:t>
      </w:r>
    </w:p>
    <w:p>
      <w:pPr>
        <w:spacing w:after="0" w:line="16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are focusing our efforts and resources on the continued research and development of:</w:t>
      </w:r>
    </w:p>
    <w:p>
      <w:pPr>
        <w:spacing w:after="0" w:line="225" w:lineRule="exact"/>
        <w:rPr>
          <w:sz w:val="20"/>
          <w:szCs w:val="20"/>
          <w:color w:val="auto"/>
        </w:rPr>
      </w:pPr>
    </w:p>
    <w:p>
      <w:pPr>
        <w:ind w:left="980" w:right="260" w:hanging="324"/>
        <w:spacing w:after="0" w:line="301" w:lineRule="auto"/>
        <w:tabs>
          <w:tab w:leader="none" w:pos="980" w:val="left"/>
        </w:tabs>
        <w:numPr>
          <w:ilvl w:val="0"/>
          <w:numId w:val="6"/>
        </w:numPr>
        <w:rPr>
          <w:rFonts w:ascii="Arial" w:cs="Arial" w:eastAsia="Arial" w:hAnsi="Arial"/>
          <w:sz w:val="16"/>
          <w:szCs w:val="16"/>
          <w:color w:val="auto"/>
        </w:rPr>
      </w:pPr>
      <w:r>
        <w:rPr>
          <w:rFonts w:ascii="Arial" w:cs="Arial" w:eastAsia="Arial" w:hAnsi="Arial"/>
          <w:sz w:val="16"/>
          <w:szCs w:val="16"/>
          <w:color w:val="auto"/>
        </w:rPr>
        <w:t>CDX-0159, a monoclonal antibody that specifically binds the KIT receptor and potently inhibits its activity, which recently completed a Phase 1a study in healthy subjects. We are studying CDX-0159 in mast cell driven diseases, including, initially, in urticarias. In October 2020, we announced that enrollment had opened and the first patient had been dosed in a Phase 1b study in chronic spontaneous urticaria (CSU). In addition, patients are currently being screened for enrollment to a second Phase 1b study in chronic inducible urticaria (CIndU);</w:t>
      </w:r>
    </w:p>
    <w:p>
      <w:pPr>
        <w:spacing w:after="0" w:line="37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1124" w:right="379" w:bottom="1440" w:gutter="0" w:footer="0" w:header="0"/>
        </w:sectPr>
      </w:pPr>
    </w:p>
    <w:bookmarkStart w:id="16" w:name="page17"/>
    <w:bookmarkEnd w:id="16"/>
    <w:p>
      <w:pPr>
        <w:ind w:left="980" w:right="20" w:hanging="324"/>
        <w:spacing w:after="0" w:line="238" w:lineRule="auto"/>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CDX-1140, an agonist monoclonal antibody targeted to CD40, a key activator of immune response, currently being studied as a single-agent and in combination with CDX-301, a dendritic cell growth factor. Dose escalation was completed in a Phase 1 study in solid tumors and lymphoma and the recommended dose for further study was determined to be 1.5 mg/kg for both CDX-1140 monotherapy and in combination with CDX-301. We have initiated multiple expansion cohorts within the study, including a combination cohort with KEYTRUDA</w:t>
      </w:r>
      <w:r>
        <w:rPr>
          <w:rFonts w:ascii="Arial" w:cs="Arial" w:eastAsia="Arial" w:hAnsi="Arial"/>
          <w:sz w:val="29"/>
          <w:szCs w:val="29"/>
          <w:color w:val="auto"/>
          <w:vertAlign w:val="superscript"/>
        </w:rPr>
        <w:t>®</w:t>
      </w:r>
      <w:r>
        <w:rPr>
          <w:rFonts w:ascii="Arial" w:cs="Arial" w:eastAsia="Arial" w:hAnsi="Arial"/>
          <w:sz w:val="18"/>
          <w:szCs w:val="18"/>
          <w:color w:val="auto"/>
        </w:rPr>
        <w:t xml:space="preserve"> (pembrolizumab) in patients refractory to PD1/PDL1 treatment and a combination cohort with standard of care chemotherapy in patients with untreated metastatic pancreatic cancer. We are exploring additional combination cohorts with mechanisms that we believe could be complementary or synergistic with CDX-1140; and</w:t>
      </w:r>
    </w:p>
    <w:p>
      <w:pPr>
        <w:spacing w:after="0" w:line="206" w:lineRule="exact"/>
        <w:rPr>
          <w:rFonts w:ascii="Arial" w:cs="Arial" w:eastAsia="Arial" w:hAnsi="Arial"/>
          <w:sz w:val="18"/>
          <w:szCs w:val="18"/>
          <w:color w:val="auto"/>
        </w:rPr>
      </w:pPr>
    </w:p>
    <w:p>
      <w:pPr>
        <w:ind w:left="980" w:right="400" w:hanging="324"/>
        <w:spacing w:after="0" w:line="342" w:lineRule="auto"/>
        <w:tabs>
          <w:tab w:leader="none" w:pos="980" w:val="left"/>
        </w:tabs>
        <w:numPr>
          <w:ilvl w:val="0"/>
          <w:numId w:val="7"/>
        </w:numPr>
        <w:rPr>
          <w:rFonts w:ascii="Arial" w:cs="Arial" w:eastAsia="Arial" w:hAnsi="Arial"/>
          <w:sz w:val="16"/>
          <w:szCs w:val="16"/>
          <w:color w:val="auto"/>
        </w:rPr>
      </w:pPr>
      <w:r>
        <w:rPr>
          <w:rFonts w:ascii="Arial" w:cs="Arial" w:eastAsia="Arial" w:hAnsi="Arial"/>
          <w:sz w:val="16"/>
          <w:szCs w:val="16"/>
          <w:color w:val="auto"/>
        </w:rPr>
        <w:t>CDX-527, a bispecific antibody that uses our proprietary highly active anti-PD-L1 and CD27 human antibodies to couple CD27 co-stimulation with blockade of the PD-L1/PD-1 pathway, for which we initiated a Phase 1 study in advanced solid tumors in August 2020.</w:t>
      </w:r>
    </w:p>
    <w:p>
      <w:pPr>
        <w:spacing w:after="0" w:line="124" w:lineRule="exact"/>
        <w:rPr>
          <w:sz w:val="20"/>
          <w:szCs w:val="20"/>
          <w:color w:val="auto"/>
        </w:rPr>
      </w:pPr>
    </w:p>
    <w:p>
      <w:pPr>
        <w:ind w:right="600" w:firstLine="648"/>
        <w:spacing w:after="0" w:line="277" w:lineRule="auto"/>
        <w:rPr>
          <w:sz w:val="20"/>
          <w:szCs w:val="20"/>
          <w:color w:val="auto"/>
        </w:rPr>
      </w:pPr>
      <w:r>
        <w:rPr>
          <w:rFonts w:ascii="Arial" w:cs="Arial" w:eastAsia="Arial" w:hAnsi="Arial"/>
          <w:sz w:val="18"/>
          <w:szCs w:val="18"/>
          <w:color w:val="auto"/>
        </w:rPr>
        <w:t>We routinely work with external parties to collaboratively advance our drug candidates. In addition to Celldex-led studies, we also have an Investigator Initiated Research (IIR) program with multiple studies ongoing with our drug candidates.</w:t>
      </w:r>
    </w:p>
    <w:p>
      <w:pPr>
        <w:spacing w:after="0" w:line="170" w:lineRule="exact"/>
        <w:rPr>
          <w:sz w:val="20"/>
          <w:szCs w:val="20"/>
          <w:color w:val="auto"/>
        </w:rPr>
      </w:pPr>
    </w:p>
    <w:p>
      <w:pPr>
        <w:ind w:right="140" w:firstLine="648"/>
        <w:spacing w:after="0" w:line="301" w:lineRule="auto"/>
        <w:rPr>
          <w:sz w:val="20"/>
          <w:szCs w:val="20"/>
          <w:color w:val="auto"/>
        </w:rPr>
      </w:pPr>
      <w:r>
        <w:rPr>
          <w:rFonts w:ascii="Arial" w:cs="Arial" w:eastAsia="Arial" w:hAnsi="Arial"/>
          <w:sz w:val="16"/>
          <w:szCs w:val="16"/>
          <w:color w:val="auto"/>
        </w:rPr>
        <w:t>Our goal is to build a fully integrated, commercial-stage biopharmaceutical company that develops important therapies for patients with unmet medical needs. We believe our program assets provide us with the strategic options to either retain full economic rights to our innovative therapies or seek favorable economic terms through advantageous commercial partnerships. This approach allows us to maximize the overall value of our technology and product portfolio while best ensuring the expeditious development of each individual product. Currently, all programs are fully owned by Celldex.</w:t>
      </w:r>
    </w:p>
    <w:p>
      <w:pPr>
        <w:spacing w:after="0" w:line="157" w:lineRule="exact"/>
        <w:rPr>
          <w:sz w:val="20"/>
          <w:szCs w:val="20"/>
          <w:color w:val="auto"/>
        </w:rPr>
      </w:pPr>
    </w:p>
    <w:p>
      <w:pPr>
        <w:ind w:right="40" w:firstLine="648"/>
        <w:spacing w:after="0" w:line="301" w:lineRule="auto"/>
        <w:rPr>
          <w:sz w:val="20"/>
          <w:szCs w:val="20"/>
          <w:color w:val="auto"/>
        </w:rPr>
      </w:pPr>
      <w:r>
        <w:rPr>
          <w:rFonts w:ascii="Arial" w:cs="Arial" w:eastAsia="Arial" w:hAnsi="Arial"/>
          <w:sz w:val="16"/>
          <w:szCs w:val="16"/>
          <w:color w:val="auto"/>
        </w:rPr>
        <w:t>The expenditures that will be necessary to execute our business plan are subject to numerous uncertainties. Completion of clinical trials may take several years or more, and the length of time generally varies substantially according to the type, complexity, novelty and intended use of a drug candidate. It is not unusual for the clinical development of these types of drug candidates to each take five years or more, and for total development costs to exceed $100 million for each drug candidate. We estimate that clinical trials of the type we generally conduct are typically completed over the following timelines: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jc w:val="center"/>
              <w:spacing w:after="0"/>
              <w:rPr>
                <w:sz w:val="20"/>
                <w:szCs w:val="20"/>
                <w:color w:val="auto"/>
              </w:rPr>
            </w:pPr>
            <w:r>
              <w:rPr>
                <w:rFonts w:ascii="Arial" w:cs="Arial" w:eastAsia="Arial" w:hAnsi="Arial"/>
                <w:sz w:val="18"/>
                <w:szCs w:val="18"/>
                <w:b w:val="1"/>
                <w:bCs w:val="1"/>
                <w:color w:val="auto"/>
                <w:w w:val="90"/>
              </w:rPr>
              <w:t>Estimated</w:t>
            </w:r>
          </w:p>
        </w:tc>
      </w:tr>
      <w:tr>
        <w:trPr>
          <w:trHeight w:val="216"/>
        </w:trPr>
        <w:tc>
          <w:tcPr>
            <w:tcW w:w="9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jc w:val="center"/>
              <w:spacing w:after="0"/>
              <w:rPr>
                <w:sz w:val="20"/>
                <w:szCs w:val="20"/>
                <w:color w:val="auto"/>
              </w:rPr>
            </w:pPr>
            <w:r>
              <w:rPr>
                <w:rFonts w:ascii="Arial" w:cs="Arial" w:eastAsia="Arial" w:hAnsi="Arial"/>
                <w:sz w:val="18"/>
                <w:szCs w:val="18"/>
                <w:b w:val="1"/>
                <w:bCs w:val="1"/>
                <w:color w:val="auto"/>
                <w:w w:val="90"/>
              </w:rPr>
              <w:t>Completion</w:t>
            </w:r>
          </w:p>
        </w:tc>
      </w:tr>
      <w:tr>
        <w:trPr>
          <w:trHeight w:val="234"/>
        </w:trPr>
        <w:tc>
          <w:tcPr>
            <w:tcW w:w="9900" w:type="dxa"/>
            <w:vAlign w:val="bottom"/>
            <w:gridSpan w:val="2"/>
          </w:tcPr>
          <w:p>
            <w:pPr>
              <w:spacing w:after="0"/>
              <w:rPr>
                <w:sz w:val="20"/>
                <w:szCs w:val="20"/>
                <w:color w:val="auto"/>
              </w:rPr>
            </w:pPr>
            <w:r>
              <w:rPr>
                <w:rFonts w:ascii="Arial" w:cs="Arial" w:eastAsia="Arial" w:hAnsi="Arial"/>
                <w:sz w:val="18"/>
                <w:szCs w:val="18"/>
                <w:b w:val="1"/>
                <w:bCs w:val="1"/>
                <w:color w:val="auto"/>
              </w:rPr>
              <w:t>Clinical Phase</w:t>
            </w:r>
          </w:p>
        </w:tc>
        <w:tc>
          <w:tcPr>
            <w:tcW w:w="1340" w:type="dxa"/>
            <w:vAlign w:val="bottom"/>
          </w:tcPr>
          <w:p>
            <w:pPr>
              <w:jc w:val="center"/>
              <w:spacing w:after="0"/>
              <w:rPr>
                <w:sz w:val="20"/>
                <w:szCs w:val="20"/>
                <w:color w:val="auto"/>
              </w:rPr>
            </w:pPr>
            <w:r>
              <w:rPr>
                <w:rFonts w:ascii="Arial" w:cs="Arial" w:eastAsia="Arial" w:hAnsi="Arial"/>
                <w:sz w:val="18"/>
                <w:szCs w:val="18"/>
                <w:b w:val="1"/>
                <w:bCs w:val="1"/>
                <w:color w:val="auto"/>
                <w:w w:val="89"/>
              </w:rPr>
              <w:t>Period</w:t>
            </w:r>
          </w:p>
        </w:tc>
      </w:tr>
      <w:tr>
        <w:trPr>
          <w:trHeight w:val="210"/>
        </w:trPr>
        <w:tc>
          <w:tcPr>
            <w:tcW w:w="97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Phase 1</w:t>
            </w:r>
          </w:p>
        </w:tc>
        <w:tc>
          <w:tcPr>
            <w:tcW w:w="120" w:type="dxa"/>
            <w:vAlign w:val="bottom"/>
            <w:tcBorders>
              <w:top w:val="single" w:sz="8" w:color="CCEEFF"/>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8"/>
              </w:rPr>
              <w:t>1 - 2 Years</w:t>
            </w:r>
          </w:p>
        </w:tc>
      </w:tr>
      <w:tr>
        <w:trPr>
          <w:trHeight w:val="216"/>
        </w:trPr>
        <w:tc>
          <w:tcPr>
            <w:tcW w:w="9900" w:type="dxa"/>
            <w:vAlign w:val="bottom"/>
            <w:gridSpan w:val="2"/>
          </w:tcPr>
          <w:p>
            <w:pPr>
              <w:spacing w:after="0"/>
              <w:rPr>
                <w:sz w:val="20"/>
                <w:szCs w:val="20"/>
                <w:color w:val="auto"/>
              </w:rPr>
            </w:pPr>
            <w:r>
              <w:rPr>
                <w:rFonts w:ascii="Arial" w:cs="Arial" w:eastAsia="Arial" w:hAnsi="Arial"/>
                <w:sz w:val="18"/>
                <w:szCs w:val="18"/>
                <w:color w:val="auto"/>
              </w:rPr>
              <w:t>Phase 2</w:t>
            </w:r>
          </w:p>
        </w:tc>
        <w:tc>
          <w:tcPr>
            <w:tcW w:w="1340" w:type="dxa"/>
            <w:vAlign w:val="bottom"/>
          </w:tcPr>
          <w:p>
            <w:pPr>
              <w:jc w:val="center"/>
              <w:spacing w:after="0"/>
              <w:rPr>
                <w:sz w:val="20"/>
                <w:szCs w:val="20"/>
                <w:color w:val="auto"/>
              </w:rPr>
            </w:pPr>
            <w:r>
              <w:rPr>
                <w:rFonts w:ascii="Arial" w:cs="Arial" w:eastAsia="Arial" w:hAnsi="Arial"/>
                <w:sz w:val="18"/>
                <w:szCs w:val="18"/>
                <w:color w:val="auto"/>
                <w:w w:val="88"/>
              </w:rPr>
              <w:t>1 - 5 Years</w:t>
            </w:r>
          </w:p>
        </w:tc>
      </w:tr>
      <w:tr>
        <w:trPr>
          <w:trHeight w:val="216"/>
        </w:trPr>
        <w:tc>
          <w:tcPr>
            <w:tcW w:w="9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Phase 3</w:t>
            </w:r>
          </w:p>
        </w:tc>
        <w:tc>
          <w:tcPr>
            <w:tcW w:w="13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1 - 5 Years</w:t>
            </w:r>
          </w:p>
        </w:tc>
      </w:tr>
    </w:tbl>
    <w:p>
      <w:pPr>
        <w:spacing w:after="0" w:line="202"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The duration and the cost of clinical trials may vary significantly over the life of a project as a result of differences arising during the clinical trial protocol, including, among others, the following:</w:t>
      </w:r>
    </w:p>
    <w:p>
      <w:pPr>
        <w:spacing w:after="0" w:line="170" w:lineRule="exact"/>
        <w:rPr>
          <w:sz w:val="20"/>
          <w:szCs w:val="20"/>
          <w:color w:val="auto"/>
        </w:rPr>
      </w:pPr>
    </w:p>
    <w:p>
      <w:pPr>
        <w:ind w:left="980" w:hanging="324"/>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number of patients that ultimately participate in the trial;</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duration of patient follow-up that seems appropriate in view of results;</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number of clinical sites included in the trials;</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length of time required to enroll suitable patient subjects; and</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efficacy and safety profile of the drug candidate.</w:t>
      </w:r>
    </w:p>
    <w:p>
      <w:pPr>
        <w:spacing w:after="0" w:line="252" w:lineRule="exact"/>
        <w:rPr>
          <w:sz w:val="20"/>
          <w:szCs w:val="20"/>
          <w:color w:val="auto"/>
        </w:rPr>
      </w:pPr>
    </w:p>
    <w:p>
      <w:pPr>
        <w:ind w:right="360" w:firstLine="648"/>
        <w:spacing w:after="0" w:line="263" w:lineRule="auto"/>
        <w:rPr>
          <w:sz w:val="20"/>
          <w:szCs w:val="20"/>
          <w:color w:val="auto"/>
        </w:rPr>
      </w:pPr>
      <w:r>
        <w:rPr>
          <w:rFonts w:ascii="Arial" w:cs="Arial" w:eastAsia="Arial" w:hAnsi="Arial"/>
          <w:sz w:val="18"/>
          <w:szCs w:val="18"/>
          <w:color w:val="auto"/>
        </w:rPr>
        <w:t>We test potential drug candidates in numerous preclinical studies for safety, toxicology and immunogenicity. We may then conduct multiple clinical trials for each drug candidate. As we obtain results from trials, we may elect to discontinue or delay clinical trials for certain drug candidates in order to focus our resources on more promising drug candidates.</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7" w:name="page18"/>
    <w:bookmarkEnd w:id="17"/>
    <w:p>
      <w:pPr>
        <w:jc w:val="both"/>
        <w:ind w:right="80" w:firstLine="648"/>
        <w:spacing w:after="0" w:line="263" w:lineRule="auto"/>
        <w:rPr>
          <w:sz w:val="20"/>
          <w:szCs w:val="20"/>
          <w:color w:val="auto"/>
        </w:rPr>
      </w:pPr>
      <w:r>
        <w:rPr>
          <w:rFonts w:ascii="Arial" w:cs="Arial" w:eastAsia="Arial" w:hAnsi="Arial"/>
          <w:sz w:val="18"/>
          <w:szCs w:val="18"/>
          <w:color w:val="auto"/>
        </w:rPr>
        <w:t>An element of our business strategy is to pursue the discovery, research and development of a broad portfolio of drug candidates. This is intended to allow us to diversify the risks associated with our research and development expenditures. To the extent we are unable to maintain a broad range of drug candidates, our dependence on the success of one or a few drug candidates increases.</w:t>
      </w:r>
    </w:p>
    <w:p>
      <w:pPr>
        <w:spacing w:after="0" w:line="184" w:lineRule="exact"/>
        <w:rPr>
          <w:sz w:val="20"/>
          <w:szCs w:val="20"/>
          <w:color w:val="auto"/>
        </w:rPr>
      </w:pPr>
    </w:p>
    <w:p>
      <w:pPr>
        <w:ind w:right="40" w:firstLine="648"/>
        <w:spacing w:after="0" w:line="275" w:lineRule="auto"/>
        <w:rPr>
          <w:sz w:val="20"/>
          <w:szCs w:val="20"/>
          <w:color w:val="auto"/>
        </w:rPr>
      </w:pPr>
      <w:r>
        <w:rPr>
          <w:rFonts w:ascii="Arial" w:cs="Arial" w:eastAsia="Arial" w:hAnsi="Arial"/>
          <w:sz w:val="17"/>
          <w:szCs w:val="17"/>
          <w:color w:val="auto"/>
        </w:rPr>
        <w:t>Regulatory approval is required before we can market our drug candidates as therapeutic products. In order to proceed to subsequent clinical trial stages and to ultimately achieve regulatory approval, the regulatory agency must conclude that our clinical data demonstrate that our product candidates are safe and effective. Historically, the results from preclinical testing and early clinical trials (through Phase 2) have often not been predictive of results obtained in later clinical trials. A number of new drugs and biologics have shown promising results in early clinical trials but subsequently failed to establish sufficient safety and efficacy data to obtain necessary regulatory approvals.</w:t>
      </w:r>
    </w:p>
    <w:p>
      <w:pPr>
        <w:spacing w:after="0" w:line="176"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Furthermore, our business strategy includes the option of entering into collaborative arrangements with third parties to complete the development and commercialization of our drug candidates. In the event that third parties take over the clinical trial process for one of our drug candidates, the estimated completion date would largely be under control of that third party rather than us. We cannot forecast with any degree of certainty which proprietary products, if any, will be subject to future collaborative arrangements, in whole or in part, and how such arrangements would affect our development plan or capital requirements. Our programs may also benefit from subsidies, grants, contracts or government or agency-sponsored studies that could reduce our development costs.</w:t>
      </w:r>
    </w:p>
    <w:p>
      <w:pPr>
        <w:spacing w:after="0" w:line="192" w:lineRule="exact"/>
        <w:rPr>
          <w:sz w:val="20"/>
          <w:szCs w:val="20"/>
          <w:color w:val="auto"/>
        </w:rPr>
      </w:pPr>
    </w:p>
    <w:p>
      <w:pPr>
        <w:ind w:right="80" w:firstLine="648"/>
        <w:spacing w:after="0" w:line="273" w:lineRule="auto"/>
        <w:rPr>
          <w:sz w:val="20"/>
          <w:szCs w:val="20"/>
          <w:color w:val="auto"/>
        </w:rPr>
      </w:pPr>
      <w:r>
        <w:rPr>
          <w:rFonts w:ascii="Arial" w:cs="Arial" w:eastAsia="Arial" w:hAnsi="Arial"/>
          <w:sz w:val="17"/>
          <w:szCs w:val="17"/>
          <w:color w:val="auto"/>
        </w:rPr>
        <w:t>As a result of the uncertainties discussed above, among others, it is difficult to accurately estimate the duration and completion costs of our research and development projects or when, if ever, and to what extent we will receive cash inflows from the commercialization and sale of a product. Our inability to complete our research and development projects in a timely manner or our failure to enter into collaborative agreements, when appropriate, could significantly increase our capital requirements and could adversely impact our liquidity. These uncertainties could force us to seek additional, external sources of financing from time to time in order to continue with our business strategy. Our inability to raise additional capital, or to do so on terms reasonably acceptable to us, would jeopardize the future success of our business.</w:t>
      </w:r>
    </w:p>
    <w:p>
      <w:pPr>
        <w:spacing w:after="0" w:line="178" w:lineRule="exact"/>
        <w:rPr>
          <w:sz w:val="20"/>
          <w:szCs w:val="20"/>
          <w:color w:val="auto"/>
        </w:rPr>
      </w:pPr>
    </w:p>
    <w:p>
      <w:pPr>
        <w:ind w:right="240" w:firstLine="648"/>
        <w:spacing w:after="0" w:line="301" w:lineRule="auto"/>
        <w:rPr>
          <w:sz w:val="20"/>
          <w:szCs w:val="20"/>
          <w:color w:val="auto"/>
        </w:rPr>
      </w:pPr>
      <w:r>
        <w:rPr>
          <w:rFonts w:ascii="Arial" w:cs="Arial" w:eastAsia="Arial" w:hAnsi="Arial"/>
          <w:sz w:val="16"/>
          <w:szCs w:val="16"/>
          <w:color w:val="auto"/>
        </w:rPr>
        <w:t>During the past five years through December 31, 2019, we incurred an aggregate of $408.2 million in research and development expenses. The following table indicates the amount incurred for each of our significant research programs and for other identified research and development activities during the nine months ended September 30, 2020 and 2019. The amounts disclosed in the following table reflect direct research and development costs, license fees associated with the underlying technology and an allocation of indirect research and development costs to each program.</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72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980" w:type="dxa"/>
            <w:vAlign w:val="bottom"/>
            <w:gridSpan w:val="2"/>
          </w:tcPr>
          <w:p>
            <w:pPr>
              <w:ind w:left="40"/>
              <w:spacing w:after="0"/>
              <w:rPr>
                <w:sz w:val="20"/>
                <w:szCs w:val="20"/>
                <w:color w:val="auto"/>
              </w:rPr>
            </w:pPr>
            <w:r>
              <w:rPr>
                <w:rFonts w:ascii="Arial" w:cs="Arial" w:eastAsia="Arial" w:hAnsi="Arial"/>
                <w:sz w:val="18"/>
                <w:szCs w:val="18"/>
                <w:b w:val="1"/>
                <w:bCs w:val="1"/>
                <w:color w:val="auto"/>
              </w:rPr>
              <w:t>Nine Months Ended</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80" w:type="dxa"/>
            <w:vAlign w:val="bottom"/>
            <w:gridSpan w:val="3"/>
          </w:tcPr>
          <w:p>
            <w:pPr>
              <w:ind w:left="60"/>
              <w:spacing w:after="0"/>
              <w:rPr>
                <w:sz w:val="20"/>
                <w:szCs w:val="20"/>
                <w:color w:val="auto"/>
              </w:rPr>
            </w:pPr>
            <w:r>
              <w:rPr>
                <w:rFonts w:ascii="Arial" w:cs="Arial" w:eastAsia="Arial" w:hAnsi="Arial"/>
                <w:sz w:val="18"/>
                <w:szCs w:val="18"/>
                <w:b w:val="1"/>
                <w:bCs w:val="1"/>
                <w:color w:val="auto"/>
              </w:rPr>
              <w:t>Nine Months Ended</w:t>
            </w:r>
          </w:p>
        </w:tc>
      </w:tr>
      <w:tr>
        <w:trPr>
          <w:trHeight w:val="234"/>
        </w:trPr>
        <w:tc>
          <w:tcPr>
            <w:tcW w:w="472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980" w:type="dxa"/>
            <w:vAlign w:val="bottom"/>
            <w:gridSpan w:val="2"/>
          </w:tcPr>
          <w:p>
            <w:pPr>
              <w:ind w:left="60"/>
              <w:spacing w:after="0"/>
              <w:rPr>
                <w:sz w:val="20"/>
                <w:szCs w:val="20"/>
                <w:color w:val="auto"/>
              </w:rPr>
            </w:pPr>
            <w:r>
              <w:rPr>
                <w:rFonts w:ascii="Arial" w:cs="Arial" w:eastAsia="Arial" w:hAnsi="Arial"/>
                <w:sz w:val="18"/>
                <w:szCs w:val="18"/>
                <w:b w:val="1"/>
                <w:bCs w:val="1"/>
                <w:color w:val="auto"/>
              </w:rPr>
              <w:t>September 30, 2020</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80" w:type="dxa"/>
            <w:vAlign w:val="bottom"/>
            <w:gridSpan w:val="3"/>
          </w:tcPr>
          <w:p>
            <w:pPr>
              <w:ind w:left="60"/>
              <w:spacing w:after="0"/>
              <w:rPr>
                <w:sz w:val="20"/>
                <w:szCs w:val="20"/>
                <w:color w:val="auto"/>
              </w:rPr>
            </w:pPr>
            <w:r>
              <w:rPr>
                <w:rFonts w:ascii="Arial" w:cs="Arial" w:eastAsia="Arial" w:hAnsi="Arial"/>
                <w:sz w:val="18"/>
                <w:szCs w:val="18"/>
                <w:b w:val="1"/>
                <w:bCs w:val="1"/>
                <w:color w:val="auto"/>
              </w:rPr>
              <w:t>September 30, 2019</w:t>
            </w:r>
          </w:p>
        </w:tc>
      </w:tr>
      <w:tr>
        <w:trPr>
          <w:trHeight w:val="223"/>
        </w:trPr>
        <w:tc>
          <w:tcPr>
            <w:tcW w:w="4720" w:type="dxa"/>
            <w:vAlign w:val="bottom"/>
          </w:tcPr>
          <w:p>
            <w:pPr>
              <w:spacing w:after="0"/>
              <w:rPr>
                <w:sz w:val="19"/>
                <w:szCs w:val="19"/>
                <w:color w:val="auto"/>
              </w:rPr>
            </w:pPr>
          </w:p>
        </w:tc>
        <w:tc>
          <w:tcPr>
            <w:tcW w:w="23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3900" w:type="dxa"/>
            <w:vAlign w:val="bottom"/>
            <w:tcBorders>
              <w:top w:val="single" w:sz="8" w:color="auto"/>
            </w:tcBorders>
            <w:gridSpan w:val="5"/>
          </w:tcPr>
          <w:p>
            <w:pPr>
              <w:jc w:val="right"/>
              <w:ind w:right="1370"/>
              <w:spacing w:after="0"/>
              <w:rPr>
                <w:sz w:val="20"/>
                <w:szCs w:val="20"/>
                <w:color w:val="auto"/>
              </w:rPr>
            </w:pPr>
            <w:r>
              <w:rPr>
                <w:rFonts w:ascii="Arial" w:cs="Arial" w:eastAsia="Arial" w:hAnsi="Arial"/>
                <w:sz w:val="18"/>
                <w:szCs w:val="18"/>
                <w:b w:val="1"/>
                <w:bCs w:val="1"/>
                <w:color w:val="auto"/>
              </w:rPr>
              <w:t>(In thousands)</w:t>
            </w:r>
          </w:p>
        </w:tc>
        <w:tc>
          <w:tcPr>
            <w:tcW w:w="100" w:type="dxa"/>
            <w:vAlign w:val="bottom"/>
            <w:gridSpan w:val="2"/>
          </w:tcPr>
          <w:p>
            <w:pPr>
              <w:spacing w:after="0"/>
              <w:rPr>
                <w:sz w:val="19"/>
                <w:szCs w:val="19"/>
                <w:color w:val="auto"/>
              </w:rPr>
            </w:pPr>
          </w:p>
        </w:tc>
      </w:tr>
      <w:tr>
        <w:trPr>
          <w:trHeight w:val="216"/>
        </w:trPr>
        <w:tc>
          <w:tcPr>
            <w:tcW w:w="47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CDX-0159/Anti-KIT Program</w:t>
            </w:r>
          </w:p>
        </w:tc>
        <w:tc>
          <w:tcPr>
            <w:tcW w:w="2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5,233</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3,079</w:t>
            </w:r>
          </w:p>
        </w:tc>
        <w:tc>
          <w:tcPr>
            <w:tcW w:w="80" w:type="dxa"/>
            <w:vAlign w:val="bottom"/>
            <w:shd w:val="clear" w:color="auto" w:fill="CCEEFF"/>
          </w:tcPr>
          <w:p>
            <w:pPr>
              <w:spacing w:after="0"/>
              <w:rPr>
                <w:sz w:val="18"/>
                <w:szCs w:val="18"/>
                <w:color w:val="auto"/>
              </w:rPr>
            </w:pPr>
          </w:p>
        </w:tc>
      </w:tr>
      <w:tr>
        <w:trPr>
          <w:trHeight w:val="216"/>
        </w:trPr>
        <w:tc>
          <w:tcPr>
            <w:tcW w:w="4720" w:type="dxa"/>
            <w:vAlign w:val="bottom"/>
          </w:tcPr>
          <w:p>
            <w:pPr>
              <w:ind w:left="180"/>
              <w:spacing w:after="0"/>
              <w:rPr>
                <w:sz w:val="20"/>
                <w:szCs w:val="20"/>
                <w:color w:val="auto"/>
              </w:rPr>
            </w:pPr>
            <w:r>
              <w:rPr>
                <w:rFonts w:ascii="Arial" w:cs="Arial" w:eastAsia="Arial" w:hAnsi="Arial"/>
                <w:sz w:val="18"/>
                <w:szCs w:val="18"/>
                <w:color w:val="auto"/>
              </w:rPr>
              <w:t>CDX-1140</w:t>
            </w:r>
          </w:p>
        </w:tc>
        <w:tc>
          <w:tcPr>
            <w:tcW w:w="2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980" w:type="dxa"/>
            <w:vAlign w:val="bottom"/>
            <w:gridSpan w:val="2"/>
          </w:tcPr>
          <w:p>
            <w:pPr>
              <w:jc w:val="right"/>
              <w:ind w:right="200"/>
              <w:spacing w:after="0"/>
              <w:rPr>
                <w:sz w:val="20"/>
                <w:szCs w:val="20"/>
                <w:color w:val="auto"/>
              </w:rPr>
            </w:pPr>
            <w:r>
              <w:rPr>
                <w:rFonts w:ascii="Arial" w:cs="Arial" w:eastAsia="Arial" w:hAnsi="Arial"/>
                <w:sz w:val="18"/>
                <w:szCs w:val="18"/>
                <w:color w:val="auto"/>
              </w:rPr>
              <w:t>6,816</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0" w:type="dxa"/>
            <w:vAlign w:val="bottom"/>
            <w:gridSpan w:val="2"/>
          </w:tcPr>
          <w:p>
            <w:pPr>
              <w:jc w:val="right"/>
              <w:ind w:right="20"/>
              <w:spacing w:after="0"/>
              <w:rPr>
                <w:sz w:val="20"/>
                <w:szCs w:val="20"/>
                <w:color w:val="auto"/>
              </w:rPr>
            </w:pPr>
            <w:r>
              <w:rPr>
                <w:rFonts w:ascii="Arial" w:cs="Arial" w:eastAsia="Arial" w:hAnsi="Arial"/>
                <w:sz w:val="18"/>
                <w:szCs w:val="18"/>
                <w:color w:val="auto"/>
              </w:rPr>
              <w:t>5,514</w:t>
            </w:r>
          </w:p>
        </w:tc>
        <w:tc>
          <w:tcPr>
            <w:tcW w:w="80" w:type="dxa"/>
            <w:vAlign w:val="bottom"/>
          </w:tcPr>
          <w:p>
            <w:pPr>
              <w:spacing w:after="0"/>
              <w:rPr>
                <w:sz w:val="18"/>
                <w:szCs w:val="18"/>
                <w:color w:val="auto"/>
              </w:rPr>
            </w:pPr>
          </w:p>
        </w:tc>
      </w:tr>
      <w:tr>
        <w:trPr>
          <w:trHeight w:val="216"/>
        </w:trPr>
        <w:tc>
          <w:tcPr>
            <w:tcW w:w="47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CDX-527</w:t>
            </w:r>
          </w:p>
        </w:tc>
        <w:tc>
          <w:tcPr>
            <w:tcW w:w="2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7,719</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6,823</w:t>
            </w:r>
          </w:p>
        </w:tc>
        <w:tc>
          <w:tcPr>
            <w:tcW w:w="80" w:type="dxa"/>
            <w:vAlign w:val="bottom"/>
            <w:shd w:val="clear" w:color="auto" w:fill="CCEEFF"/>
          </w:tcPr>
          <w:p>
            <w:pPr>
              <w:spacing w:after="0"/>
              <w:rPr>
                <w:sz w:val="18"/>
                <w:szCs w:val="18"/>
                <w:color w:val="auto"/>
              </w:rPr>
            </w:pPr>
          </w:p>
        </w:tc>
      </w:tr>
      <w:tr>
        <w:trPr>
          <w:trHeight w:val="216"/>
        </w:trPr>
        <w:tc>
          <w:tcPr>
            <w:tcW w:w="4720" w:type="dxa"/>
            <w:vAlign w:val="bottom"/>
          </w:tcPr>
          <w:p>
            <w:pPr>
              <w:ind w:left="180"/>
              <w:spacing w:after="0"/>
              <w:rPr>
                <w:sz w:val="20"/>
                <w:szCs w:val="20"/>
                <w:color w:val="auto"/>
              </w:rPr>
            </w:pPr>
            <w:r>
              <w:rPr>
                <w:rFonts w:ascii="Arial" w:cs="Arial" w:eastAsia="Arial" w:hAnsi="Arial"/>
                <w:sz w:val="18"/>
                <w:szCs w:val="18"/>
                <w:color w:val="auto"/>
              </w:rPr>
              <w:t>TAM Program</w:t>
            </w:r>
          </w:p>
        </w:tc>
        <w:tc>
          <w:tcPr>
            <w:tcW w:w="2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980" w:type="dxa"/>
            <w:vAlign w:val="bottom"/>
            <w:gridSpan w:val="2"/>
          </w:tcPr>
          <w:p>
            <w:pPr>
              <w:jc w:val="right"/>
              <w:ind w:right="200"/>
              <w:spacing w:after="0"/>
              <w:rPr>
                <w:sz w:val="20"/>
                <w:szCs w:val="20"/>
                <w:color w:val="auto"/>
              </w:rPr>
            </w:pPr>
            <w:r>
              <w:rPr>
                <w:rFonts w:ascii="Arial" w:cs="Arial" w:eastAsia="Arial" w:hAnsi="Arial"/>
                <w:sz w:val="18"/>
                <w:szCs w:val="18"/>
                <w:color w:val="auto"/>
              </w:rPr>
              <w:t>1,715</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0" w:type="dxa"/>
            <w:vAlign w:val="bottom"/>
            <w:gridSpan w:val="2"/>
          </w:tcPr>
          <w:p>
            <w:pPr>
              <w:jc w:val="right"/>
              <w:ind w:right="20"/>
              <w:spacing w:after="0"/>
              <w:rPr>
                <w:sz w:val="20"/>
                <w:szCs w:val="20"/>
                <w:color w:val="auto"/>
              </w:rPr>
            </w:pPr>
            <w:r>
              <w:rPr>
                <w:rFonts w:ascii="Arial" w:cs="Arial" w:eastAsia="Arial" w:hAnsi="Arial"/>
                <w:sz w:val="18"/>
                <w:szCs w:val="18"/>
                <w:color w:val="auto"/>
              </w:rPr>
              <w:t>3,670</w:t>
            </w:r>
          </w:p>
        </w:tc>
        <w:tc>
          <w:tcPr>
            <w:tcW w:w="80" w:type="dxa"/>
            <w:vAlign w:val="bottom"/>
          </w:tcPr>
          <w:p>
            <w:pPr>
              <w:spacing w:after="0"/>
              <w:rPr>
                <w:sz w:val="18"/>
                <w:szCs w:val="18"/>
                <w:color w:val="auto"/>
              </w:rPr>
            </w:pPr>
          </w:p>
        </w:tc>
      </w:tr>
      <w:tr>
        <w:trPr>
          <w:trHeight w:val="230"/>
        </w:trPr>
        <w:tc>
          <w:tcPr>
            <w:tcW w:w="47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Programs</w:t>
            </w:r>
          </w:p>
        </w:tc>
        <w:tc>
          <w:tcPr>
            <w:tcW w:w="23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10,626</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13,247</w:t>
            </w:r>
          </w:p>
        </w:tc>
        <w:tc>
          <w:tcPr>
            <w:tcW w:w="80" w:type="dxa"/>
            <w:vAlign w:val="bottom"/>
            <w:shd w:val="clear" w:color="auto" w:fill="CCEEFF"/>
          </w:tcPr>
          <w:p>
            <w:pPr>
              <w:spacing w:after="0"/>
              <w:rPr>
                <w:sz w:val="19"/>
                <w:szCs w:val="19"/>
                <w:color w:val="auto"/>
              </w:rPr>
            </w:pPr>
          </w:p>
        </w:tc>
      </w:tr>
      <w:tr>
        <w:trPr>
          <w:trHeight w:val="223"/>
        </w:trPr>
        <w:tc>
          <w:tcPr>
            <w:tcW w:w="4720" w:type="dxa"/>
            <w:vAlign w:val="bottom"/>
          </w:tcPr>
          <w:p>
            <w:pPr>
              <w:spacing w:after="0"/>
              <w:rPr>
                <w:sz w:val="20"/>
                <w:szCs w:val="20"/>
                <w:color w:val="auto"/>
              </w:rPr>
            </w:pPr>
            <w:r>
              <w:rPr>
                <w:rFonts w:ascii="Arial" w:cs="Arial" w:eastAsia="Arial" w:hAnsi="Arial"/>
                <w:sz w:val="18"/>
                <w:szCs w:val="18"/>
                <w:color w:val="auto"/>
              </w:rPr>
              <w:t>Total R&amp;D Expense</w:t>
            </w:r>
          </w:p>
        </w:tc>
        <w:tc>
          <w:tcPr>
            <w:tcW w:w="23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32,109</w:t>
            </w: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32,333</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472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Clinical Development Programs</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While our clinical development programs have not been significantly, negatively impacted by COVID-19 to date, we continue to carefully monitor the evolving situation closely across all our development programs and work to minimize potential impact/disruptions.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CDX-0159</w:t>
      </w:r>
    </w:p>
    <w:p>
      <w:pPr>
        <w:spacing w:after="0" w:line="225" w:lineRule="exact"/>
        <w:rPr>
          <w:sz w:val="20"/>
          <w:szCs w:val="20"/>
          <w:color w:val="auto"/>
        </w:rPr>
      </w:pPr>
    </w:p>
    <w:p>
      <w:pPr>
        <w:ind w:right="20" w:firstLine="648"/>
        <w:spacing w:after="0" w:line="279" w:lineRule="auto"/>
        <w:rPr>
          <w:sz w:val="20"/>
          <w:szCs w:val="20"/>
          <w:color w:val="auto"/>
        </w:rPr>
      </w:pPr>
      <w:r>
        <w:rPr>
          <w:rFonts w:ascii="Arial" w:cs="Arial" w:eastAsia="Arial" w:hAnsi="Arial"/>
          <w:sz w:val="17"/>
          <w:szCs w:val="17"/>
          <w:color w:val="auto"/>
        </w:rPr>
        <w:t>CDX-0159 is a humanized monoclonal antibody that specifically binds the receptor tyrosine kinase KIT and potently inhibits its activity. KIT is expressed in a variety of cells, including mast cells, and its activation by its ligand SCF regulates mast cell growth, differentiation, survival, chemotaxis and degranulation. In certain inflammatory diseases, such as chronic spontaneous urticaria (CSU), also known as chronic idiopathic urticaria (CIU) and chronic inducible urticaria (CIndU), mast cell degranulation plays a central role in the onset and progression of the disease.</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8" w:name="page19"/>
    <w:bookmarkEnd w:id="18"/>
    <w:p>
      <w:pPr>
        <w:ind w:right="400" w:firstLine="648"/>
        <w:spacing w:after="0" w:line="342" w:lineRule="auto"/>
        <w:rPr>
          <w:sz w:val="20"/>
          <w:szCs w:val="20"/>
          <w:color w:val="auto"/>
        </w:rPr>
      </w:pPr>
      <w:r>
        <w:rPr>
          <w:rFonts w:ascii="Arial" w:cs="Arial" w:eastAsia="Arial" w:hAnsi="Arial"/>
          <w:sz w:val="16"/>
          <w:szCs w:val="16"/>
          <w:color w:val="auto"/>
        </w:rPr>
        <w:t>CDX-0159 is designed to block KIT activation by disrupting both SCF binding and KIT dimerization. Celldex believes that by targeting KIT, CDX-0159 may be able to inhibit mast cell activity and decrease mast cell numbers to provide potential clinical benefit in mast cell related diseases.</w:t>
      </w:r>
    </w:p>
    <w:p>
      <w:pPr>
        <w:spacing w:after="0" w:line="124" w:lineRule="exact"/>
        <w:rPr>
          <w:sz w:val="20"/>
          <w:szCs w:val="20"/>
          <w:color w:val="auto"/>
        </w:rPr>
      </w:pPr>
    </w:p>
    <w:p>
      <w:pPr>
        <w:ind w:right="40" w:firstLine="648"/>
        <w:spacing w:after="0" w:line="291" w:lineRule="auto"/>
        <w:rPr>
          <w:sz w:val="20"/>
          <w:szCs w:val="20"/>
          <w:color w:val="auto"/>
        </w:rPr>
      </w:pPr>
      <w:r>
        <w:rPr>
          <w:rFonts w:ascii="Arial" w:cs="Arial" w:eastAsia="Arial" w:hAnsi="Arial"/>
          <w:sz w:val="16"/>
          <w:szCs w:val="16"/>
          <w:color w:val="auto"/>
        </w:rPr>
        <w:t>In June 2020, we completed a randomized, double-blind, placebo-controlled, single ascending dose escalation Phase 1a study of CDX-0159 in healthy subjects (n=32; 8 subjects per cohort, 6 CDX-0159; 2 placebo). Subjects received a single intravenous infusion of CDX-0159 at 0.3, 1.0, 3.0, or 9.0 mg/kg or placebo. The objectives of the study included safety and tolerability, pharmacokinetics (PK) and pharmacodynamics (tryptase and stem cell factor) and immunogenicity. Tryptase is an enzyme synthesized and secreted almost exclusively by mast cells and decreases in plasma tryptase levels are believed to reflect a systemic reduction in mast cell burden in both healthy volunteers and in disease. Data from the study were featured in a late breaking presentation at the European Academy of Allergy and Clinical Immunology (EAACI) Annual Congress 2020 in June. CDX-0159 demonstrated a favorable safety profile as well as profound and durable reductions of plasma tryptase, consistent with systemic mast cell suppression.</w:t>
      </w:r>
    </w:p>
    <w:p>
      <w:pPr>
        <w:spacing w:after="0" w:line="166" w:lineRule="exact"/>
        <w:rPr>
          <w:sz w:val="20"/>
          <w:szCs w:val="20"/>
          <w:color w:val="auto"/>
        </w:rPr>
      </w:pPr>
    </w:p>
    <w:p>
      <w:pPr>
        <w:ind w:left="660" w:right="860" w:hanging="328"/>
        <w:spacing w:after="0" w:line="308" w:lineRule="auto"/>
        <w:tabs>
          <w:tab w:leader="none" w:pos="660" w:val="left"/>
        </w:tabs>
        <w:numPr>
          <w:ilvl w:val="0"/>
          <w:numId w:val="9"/>
        </w:numPr>
        <w:rPr>
          <w:rFonts w:ascii="Arial" w:cs="Arial" w:eastAsia="Arial" w:hAnsi="Arial"/>
          <w:sz w:val="17"/>
          <w:szCs w:val="17"/>
          <w:color w:val="auto"/>
        </w:rPr>
      </w:pPr>
      <w:r>
        <w:rPr>
          <w:rFonts w:ascii="Arial" w:cs="Arial" w:eastAsia="Arial" w:hAnsi="Arial"/>
          <w:sz w:val="17"/>
          <w:szCs w:val="17"/>
          <w:color w:val="auto"/>
        </w:rPr>
        <w:t>Most common adverse events were mild infusion-related reactions, all of which spontaneously resolved without intervention. Mild and asymptomatic decreases in neutrophil and white blood cell count were observed in laboratory testing.</w:t>
      </w:r>
    </w:p>
    <w:p>
      <w:pPr>
        <w:spacing w:after="0" w:line="146" w:lineRule="exact"/>
        <w:rPr>
          <w:rFonts w:ascii="Arial" w:cs="Arial" w:eastAsia="Arial" w:hAnsi="Arial"/>
          <w:sz w:val="17"/>
          <w:szCs w:val="17"/>
          <w:color w:val="auto"/>
        </w:rPr>
      </w:pPr>
    </w:p>
    <w:p>
      <w:pPr>
        <w:ind w:left="660" w:right="60" w:hanging="328"/>
        <w:spacing w:after="0" w:line="257"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A single dose of CDX-0159 suppressed plasma tryptase levels in a dose-dependent manner, indicative of systemic mast cell suppression. Tryptase suppression below the level of detection was observed after a single 1.0 mg/kg dose and was maintained for more than 2 months at single doses of both 3.0 and 9.0 mg/kg of CDX-0159. A subset of subjects from the 3mg/kg and 9 mg/kg cohorts agreed to continued follow up for tryptase suppression which remained below the level of detection for over 3 months (14 weeks) in 50% of subjects and over 4 months (18 weeks) in all subjects, respectively.</w:t>
      </w:r>
    </w:p>
    <w:p>
      <w:pPr>
        <w:spacing w:after="0" w:line="187" w:lineRule="exact"/>
        <w:rPr>
          <w:rFonts w:ascii="Arial" w:cs="Arial" w:eastAsia="Arial" w:hAnsi="Arial"/>
          <w:sz w:val="18"/>
          <w:szCs w:val="18"/>
          <w:color w:val="auto"/>
        </w:rPr>
      </w:pPr>
    </w:p>
    <w:p>
      <w:pPr>
        <w:ind w:left="660" w:right="40" w:hanging="328"/>
        <w:spacing w:after="0" w:line="277"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Dose dependent increases in plasma stem cell factor mirror decreases in tryptase, consistent with allosteric blockade of stem cell factor to KIT and demonstrate complete target engagement in vivo.</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Long serum half-life and non-immunogenic profile support a convenient dosing schedule.</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Enhanced PK profile and durable tryptase suppression at low doses support re-formulation for sub-cutaneous administration.</w:t>
      </w:r>
    </w:p>
    <w:p>
      <w:pPr>
        <w:spacing w:after="0" w:line="252" w:lineRule="exact"/>
        <w:rPr>
          <w:sz w:val="20"/>
          <w:szCs w:val="20"/>
          <w:color w:val="auto"/>
        </w:rPr>
      </w:pPr>
    </w:p>
    <w:p>
      <w:pPr>
        <w:ind w:firstLine="648"/>
        <w:spacing w:after="0" w:line="290" w:lineRule="auto"/>
        <w:rPr>
          <w:sz w:val="20"/>
          <w:szCs w:val="20"/>
          <w:color w:val="auto"/>
        </w:rPr>
      </w:pPr>
      <w:r>
        <w:rPr>
          <w:rFonts w:ascii="Arial" w:cs="Arial" w:eastAsia="Arial" w:hAnsi="Arial"/>
          <w:sz w:val="16"/>
          <w:szCs w:val="16"/>
          <w:color w:val="auto"/>
        </w:rPr>
        <w:t>These data support expansion of the CDX-0159 program into mast cell driven diseases, including initially in chronic spontaneous urticaria (CSU) and chronic inducible urticaria (CIndU), diseases where mast cell degranulation plays a central role in the onset and progression of the disease. The prevalence of CSU and CIndU is approximately 0.5-1% of the total population or up to 1 to 3 million patients in the United States alone (Weller et al. 2010. Hautarzt. 61(8), Bartlett et al. 2018. DermNet. Org). CSU presents as itchy hives, angioedema or both for at least six weeks without a specific trigger; multiple episodes can play out over years or even decades. About 50% of patients with CSU achieve symptomatic control with antihistamines or leukotriene receptor antagonists. Omalizumab, an IgE inhibitor, provides relief for roughly half of the remaining antihistamine/leukotriene refractory patients. Consequently, there is a need for additional therapies. CIndUs are forms of urticaria that have an attributable cause or trigger associated with them, typically resulting in hives or wheals. Celldex is exploring cold-induced and dermographism (scratch-induced) urticarias.</w:t>
      </w:r>
    </w:p>
    <w:p>
      <w:pPr>
        <w:spacing w:after="0" w:line="165" w:lineRule="exact"/>
        <w:rPr>
          <w:sz w:val="20"/>
          <w:szCs w:val="20"/>
          <w:color w:val="auto"/>
        </w:rPr>
      </w:pPr>
    </w:p>
    <w:p>
      <w:pPr>
        <w:ind w:right="60" w:firstLine="648"/>
        <w:spacing w:after="0" w:line="254" w:lineRule="auto"/>
        <w:rPr>
          <w:sz w:val="20"/>
          <w:szCs w:val="20"/>
          <w:color w:val="auto"/>
        </w:rPr>
      </w:pPr>
      <w:r>
        <w:rPr>
          <w:rFonts w:ascii="Arial" w:cs="Arial" w:eastAsia="Arial" w:hAnsi="Arial"/>
          <w:sz w:val="18"/>
          <w:szCs w:val="18"/>
          <w:color w:val="auto"/>
        </w:rPr>
        <w:t>In October 2020, we announced that enrollment had opened and the first patient had been dosed in a Phase 1b multi-center study of CDX-0159 in CSU. This study is a randomized, double-blind, placebo-controlled clinical trial designed to assess the safety of multiple ascending doses of CDX-0159 in up to 40 patients with CSU who remain symptomatic despite treatment with antihistamines. Secondary and exploratory objectives include pharmacokinetic and pharmacodynamic assessments, including measurement of tryptase and stem cell factor levels and clinical activity outcomes (impact on urticaria symptoms, disease control, clinical response) as well as quality of life assessments. CDX-0159 will be administered intravenously (0.5, 1.5, 3 and 4.5 mg/kg at varying dosing schedules) as add on treatment to H1-antihistamines, either alone or in combination with H2-antihistamines and/or leukotriene receptor agonists.</w:t>
      </w: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9" w:name="page20"/>
    <w:bookmarkEnd w:id="19"/>
    <w:p>
      <w:pPr>
        <w:ind w:right="20" w:firstLine="648"/>
        <w:spacing w:after="0" w:line="254" w:lineRule="auto"/>
        <w:rPr>
          <w:sz w:val="20"/>
          <w:szCs w:val="20"/>
          <w:color w:val="auto"/>
        </w:rPr>
      </w:pPr>
      <w:r>
        <w:rPr>
          <w:rFonts w:ascii="Arial" w:cs="Arial" w:eastAsia="Arial" w:hAnsi="Arial"/>
          <w:sz w:val="18"/>
          <w:szCs w:val="18"/>
          <w:color w:val="auto"/>
        </w:rPr>
        <w:t>A second Phase 1b study in CIndU is being conducted in Germany and recently opened to enrollment. This study is an open label clinical trial designed to evaluate the safety of a single dose of CDX-0159 in up to 20 patients with cold contact urticaria (n=10) or symptomatic dermographism (n=10) who are refractory to antihistamines. Patient’s symptoms will be induced via provocation testing that resembles real life triggering situations. Secondary and exploratory objectives include pharmacokinetic and pharmacodynamic assessments, including changes from baseline provocation thresholds, measurement of tryptase and stem cell factor levels, clinical activity outcomes (impact on urticaria symptoms, disease control, clinical response), quality of life assessments and measurement of tissue mast cells through skin biopsies. CDX-0159 will be administered intravenously (3.0 mg/kg) on Day 1 as add on treatment to H1-antihistamines.</w:t>
      </w:r>
    </w:p>
    <w:p>
      <w:pPr>
        <w:spacing w:after="0" w:line="19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are also exploring additional mast cell driven diseases for future development.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CDX-1140</w:t>
      </w:r>
    </w:p>
    <w:p>
      <w:pPr>
        <w:spacing w:after="0" w:line="225" w:lineRule="exact"/>
        <w:rPr>
          <w:sz w:val="20"/>
          <w:szCs w:val="20"/>
          <w:color w:val="auto"/>
        </w:rPr>
      </w:pPr>
    </w:p>
    <w:p>
      <w:pPr>
        <w:ind w:right="20" w:firstLine="648"/>
        <w:spacing w:after="0" w:line="271" w:lineRule="auto"/>
        <w:rPr>
          <w:sz w:val="20"/>
          <w:szCs w:val="20"/>
          <w:color w:val="auto"/>
        </w:rPr>
      </w:pPr>
      <w:r>
        <w:rPr>
          <w:rFonts w:ascii="Arial" w:cs="Arial" w:eastAsia="Arial" w:hAnsi="Arial"/>
          <w:sz w:val="17"/>
          <w:szCs w:val="17"/>
          <w:color w:val="auto"/>
        </w:rPr>
        <w:t>CDX-1140 is a fully human agonist monoclonal antibody targeted to CD40, a key activator of immune response, which is found on dendritic cells, macrophages and B cells and is also expressed on many cancer cells. Potent CD40 agonist antibodies have shown encouraging results in early clinical studies; however, systemic toxicity associated with broad CD40 activation has limited their dosing. CDX-1140 has unique properties relative to other CD40 agonist antibodies: potent agonist activity is independent of Fc receptor interaction, contributing to more consistent, controlled immune activation; CD40L binding is not blocked, leading to potential synergistic effects of agonist activity near activated T cells in lymph nodes and tumors; and the antibody does not promote cytokine production in whole blood assays. CDX-1140 has shown direct anti-tumor activity in preclinical models of lymphoma. Preclinical studies of CDX-1140 clearly demonstrate strong immune activation effects and low systemic toxicity and support the design of the Phase 1 study to identify the dose for characterizing single-agent and combination activity.</w:t>
      </w:r>
    </w:p>
    <w:p>
      <w:pPr>
        <w:spacing w:after="0" w:line="178" w:lineRule="exact"/>
        <w:rPr>
          <w:sz w:val="20"/>
          <w:szCs w:val="20"/>
          <w:color w:val="auto"/>
        </w:rPr>
      </w:pPr>
    </w:p>
    <w:p>
      <w:pPr>
        <w:ind w:right="120" w:firstLine="648"/>
        <w:spacing w:after="0" w:line="272" w:lineRule="auto"/>
        <w:rPr>
          <w:sz w:val="20"/>
          <w:szCs w:val="20"/>
          <w:color w:val="auto"/>
        </w:rPr>
      </w:pPr>
      <w:r>
        <w:rPr>
          <w:rFonts w:ascii="Arial" w:cs="Arial" w:eastAsia="Arial" w:hAnsi="Arial"/>
          <w:sz w:val="17"/>
          <w:szCs w:val="17"/>
          <w:color w:val="auto"/>
        </w:rPr>
        <w:t>We initiated a Phase 1 study of CDX-1140 in November 2017. This study is expected to enroll up to approximately 260 patients with recurrent, locally advanced or metastatic solid tumors and B cell lymphomas. The study is designed to determine the maximum tolerated dose, or MTD, during a dose-escalation phase (0.01 to 3.0 mg/kg once every four weeks until confirmed progression or intolerance) and to recommend a dose level for further study in a subsequent expansion phase. The expansion is designed to further evaluate the tolerability and biologic effects of selected dose(s) of CDX-1140 in specific tumor types. Secondary objectives include assessments of safety and tolerability, pharmacodynamics, pharmacokinetics, immunogenicity and additional measures of anti-tumor activity, including clinical benefit rate. We believe that the potential for CDX-1140 will be best defined in combination studies with other immunotherapies or conventional cancer treatments.</w:t>
      </w:r>
    </w:p>
    <w:p>
      <w:pPr>
        <w:spacing w:after="0" w:line="177"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In support of this, the Phase 1 study protocol also allows for the exploration of CDX-1140 in combination with CDX-301 at a fixed dose of CDX-301 and escalating doses of CDX-1140. Dendritic cells, which express CD40, are often rare or missing from the tumor microenvironment and are critical for initiating anti-tumor immunity. CDX-301, a recombinant FMS-like tyrosine kinase 3 ligand, or Flt3L, is a hematopoietic cytokine that uniquely expands dendritic cells and hematopoietic stem cells, and in combination with other agents may potentiate anti-tumor responses. CDX-301 is being utilized as a priming agent in this study to increase the number of dendritic cells in blood and tissue available for CDX-1140 activation. CDX-1140 should, in turn, activate and mature the dendritic cells, an important step for enhancing anti-tumor immune responses.</w:t>
      </w:r>
    </w:p>
    <w:p>
      <w:pPr>
        <w:spacing w:after="0" w:line="178" w:lineRule="exact"/>
        <w:rPr>
          <w:sz w:val="20"/>
          <w:szCs w:val="20"/>
          <w:color w:val="auto"/>
        </w:rPr>
      </w:pPr>
    </w:p>
    <w:p>
      <w:pPr>
        <w:ind w:right="80" w:firstLine="648"/>
        <w:spacing w:after="0" w:line="272" w:lineRule="auto"/>
        <w:rPr>
          <w:sz w:val="20"/>
          <w:szCs w:val="20"/>
          <w:color w:val="auto"/>
        </w:rPr>
      </w:pPr>
      <w:r>
        <w:rPr>
          <w:rFonts w:ascii="Arial" w:cs="Arial" w:eastAsia="Arial" w:hAnsi="Arial"/>
          <w:sz w:val="17"/>
          <w:szCs w:val="17"/>
          <w:color w:val="auto"/>
        </w:rPr>
        <w:t>Interim data from this ongoing study were presented at the Society for Immunotherapy of Cancer’s (SITC) 34th Annual Meeting in November 2019. CDX-1140 monotherapy dose escalation in the study is complete and the maximum tolerated dose and recommended dose was defined as 1.5 mg/kg every four weeks. CDX-1140 monotherapy and combination with CDX-301 was generally well tolerated, with mostly grade 1 or grade 2 drug related adverse events reported. Two patients out of six experienced pneumonitis as dose limiting toxicities (DLTs) in the CDX-1140 3.0 mg/kg monotherapy cohort. There were no DLTs observed in the CDX-301 combination cohorts up to 0.72 mg/kg CDX-1140. A cohort of CDX-1140 at 1.5 mg/kg plus CDX-301, which was ongoing at the time of data release, has subsequently completed dose escalation with no DLTs observed; therefore, the recommended dose of CDX-1140 in combination with CDX-301 is 1.5mg/kg.</w:t>
      </w:r>
    </w:p>
    <w:p>
      <w:pPr>
        <w:spacing w:after="0" w:line="3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0" w:name="page21"/>
    <w:bookmarkEnd w:id="20"/>
    <w:p>
      <w:pPr>
        <w:ind w:right="100" w:firstLine="648"/>
        <w:spacing w:after="0" w:line="286" w:lineRule="auto"/>
        <w:rPr>
          <w:sz w:val="20"/>
          <w:szCs w:val="20"/>
          <w:color w:val="auto"/>
        </w:rPr>
      </w:pPr>
      <w:r>
        <w:rPr>
          <w:rFonts w:ascii="Arial" w:cs="Arial" w:eastAsia="Arial" w:hAnsi="Arial"/>
          <w:sz w:val="17"/>
          <w:szCs w:val="17"/>
          <w:color w:val="auto"/>
        </w:rPr>
        <w:t>As of the cut-off date for data reporting for SITC, 62 patients with advanced refractory solid tumors or lymphoma were enrolled and 38 patients had pre- and post-treatment scans available. Patients were heavily pretreated (median of 4 prior therapies) and per protocol were required to have received all standard of care treatments prior to study entry. CDX-1140 demonstrated clinical and biological activity in the study.</w:t>
      </w:r>
    </w:p>
    <w:p>
      <w:pPr>
        <w:spacing w:after="0" w:line="165" w:lineRule="exact"/>
        <w:rPr>
          <w:sz w:val="20"/>
          <w:szCs w:val="20"/>
          <w:color w:val="auto"/>
        </w:rPr>
      </w:pPr>
    </w:p>
    <w:p>
      <w:pPr>
        <w:ind w:left="980" w:hanging="324"/>
        <w:spacing w:after="0" w:line="301" w:lineRule="auto"/>
        <w:tabs>
          <w:tab w:leader="none" w:pos="980" w:val="left"/>
        </w:tabs>
        <w:numPr>
          <w:ilvl w:val="0"/>
          <w:numId w:val="10"/>
        </w:numPr>
        <w:rPr>
          <w:rFonts w:ascii="Arial" w:cs="Arial" w:eastAsia="Arial" w:hAnsi="Arial"/>
          <w:sz w:val="16"/>
          <w:szCs w:val="16"/>
          <w:color w:val="auto"/>
        </w:rPr>
      </w:pPr>
      <w:r>
        <w:rPr>
          <w:rFonts w:ascii="Arial" w:cs="Arial" w:eastAsia="Arial" w:hAnsi="Arial"/>
          <w:sz w:val="16"/>
          <w:szCs w:val="16"/>
          <w:color w:val="auto"/>
        </w:rPr>
        <w:t>Two of five patients with head and neck squamous cell carcinoma (HNSCC) treated with CDX-1140 doses of 0.72 mg/kg or higher experienced clinical activity. The first patient experienced dramatic shrinkage of a large, protruding neck mass on physical exam after two doses of CDX-1140 at 1.5 mg/kg with documented evidence of tumor necrosis/cavitation on CT scan. This patient also reported decreased tumor pain. A second patient experienced cavitation of greater than 50% of lung metastases on CT scan after one dose of CDX-1140 3 mg/kg.</w:t>
      </w:r>
    </w:p>
    <w:p>
      <w:pPr>
        <w:spacing w:after="0" w:line="157" w:lineRule="exact"/>
        <w:rPr>
          <w:rFonts w:ascii="Arial" w:cs="Arial" w:eastAsia="Arial" w:hAnsi="Arial"/>
          <w:sz w:val="16"/>
          <w:szCs w:val="16"/>
          <w:color w:val="auto"/>
        </w:rPr>
      </w:pPr>
    </w:p>
    <w:p>
      <w:pPr>
        <w:ind w:left="980" w:right="200" w:hanging="324"/>
        <w:spacing w:after="0" w:line="263" w:lineRule="auto"/>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 patient with gastroesophageal carcinoma experienced a RECIST response after two cycles of CDX-1140 0.36 mg/kg plus CDX-301 that included 41% shrinkage of liver and lymph node target lesions, with near complete resolution of the liver lesion. This response was durable for four months.</w:t>
      </w:r>
    </w:p>
    <w:p>
      <w:pPr>
        <w:spacing w:after="0" w:line="183" w:lineRule="exact"/>
        <w:rPr>
          <w:rFonts w:ascii="Arial" w:cs="Arial" w:eastAsia="Arial" w:hAnsi="Arial"/>
          <w:sz w:val="18"/>
          <w:szCs w:val="18"/>
          <w:color w:val="auto"/>
        </w:rPr>
      </w:pPr>
    </w:p>
    <w:p>
      <w:pPr>
        <w:ind w:left="980" w:right="80" w:hanging="324"/>
        <w:spacing w:after="0" w:line="277" w:lineRule="auto"/>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Six patients experienced stable disease (n=4 CDX-1140 monotherapy; n=2 CDX-1140/CDX-301 combination) with a duration of 1.8 months to 5.4 months.</w:t>
      </w:r>
    </w:p>
    <w:p>
      <w:pPr>
        <w:spacing w:after="0" w:line="170" w:lineRule="exact"/>
        <w:rPr>
          <w:rFonts w:ascii="Arial" w:cs="Arial" w:eastAsia="Arial" w:hAnsi="Arial"/>
          <w:sz w:val="18"/>
          <w:szCs w:val="18"/>
          <w:color w:val="auto"/>
        </w:rPr>
      </w:pPr>
    </w:p>
    <w:p>
      <w:pPr>
        <w:ind w:left="980" w:right="400" w:hanging="324"/>
        <w:spacing w:after="0" w:line="277" w:lineRule="auto"/>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One patient experienced immune unconfirmed progressive disease on their first scan and continued on treatment for 10+ months without confirmation of progressive disease at CDX-1140 0.09 mg/kg plus CDX-301.</w:t>
      </w:r>
    </w:p>
    <w:p>
      <w:pPr>
        <w:spacing w:after="0" w:line="170" w:lineRule="exact"/>
        <w:rPr>
          <w:sz w:val="20"/>
          <w:szCs w:val="20"/>
          <w:color w:val="auto"/>
        </w:rPr>
      </w:pPr>
    </w:p>
    <w:p>
      <w:pPr>
        <w:ind w:right="260" w:firstLine="648"/>
        <w:spacing w:after="0" w:line="279" w:lineRule="auto"/>
        <w:rPr>
          <w:sz w:val="20"/>
          <w:szCs w:val="20"/>
          <w:color w:val="auto"/>
        </w:rPr>
      </w:pPr>
      <w:r>
        <w:rPr>
          <w:rFonts w:ascii="Arial" w:cs="Arial" w:eastAsia="Arial" w:hAnsi="Arial"/>
          <w:sz w:val="17"/>
          <w:szCs w:val="17"/>
          <w:color w:val="auto"/>
        </w:rPr>
        <w:t>Potent pharmacological effects associated with immune activation were also observed, including transient induction of inflammatory cytokines and chemokines associated with dendritic cell and T cell activation at higher dose levels. Similar activation was observed with each cycle of therapy. Peripheral blood immune cells had upregulated immune activation markers and CDX-301 markedly increased the number of dendritic cells and was associated with higher IL-12p40 induction, a key molecule for inducing anti-tumor T cell responses.</w:t>
      </w:r>
    </w:p>
    <w:p>
      <w:pPr>
        <w:spacing w:after="0" w:line="90" w:lineRule="exact"/>
        <w:rPr>
          <w:sz w:val="20"/>
          <w:szCs w:val="20"/>
          <w:color w:val="auto"/>
        </w:rPr>
      </w:pPr>
    </w:p>
    <w:p>
      <w:pPr>
        <w:ind w:right="40" w:firstLine="648"/>
        <w:spacing w:after="0" w:line="291" w:lineRule="auto"/>
        <w:rPr>
          <w:sz w:val="20"/>
          <w:szCs w:val="20"/>
          <w:color w:val="auto"/>
        </w:rPr>
      </w:pPr>
      <w:r>
        <w:rPr>
          <w:rFonts w:ascii="Arial" w:cs="Arial" w:eastAsia="Arial" w:hAnsi="Arial"/>
          <w:sz w:val="16"/>
          <w:szCs w:val="16"/>
          <w:color w:val="auto"/>
        </w:rPr>
        <w:t>CDX-1140 monotherapy expansion cohorts in HNSCC, renal cell carcinoma and gastroesophageal adenocarcinoma have been added to the study, along with a combination cohort of CDX-1140 and CDX-301 in HNSCC. In addition, we have prioritized and are enrolling a cohort to evaluate CDX-1140</w:t>
      </w:r>
    </w:p>
    <w:p>
      <w:pPr>
        <w:ind w:right="20"/>
        <w:spacing w:after="0" w:line="231" w:lineRule="auto"/>
        <w:rPr>
          <w:sz w:val="20"/>
          <w:szCs w:val="20"/>
          <w:color w:val="auto"/>
        </w:rPr>
      </w:pPr>
      <w:r>
        <w:rPr>
          <w:rFonts w:ascii="Arial" w:cs="Arial" w:eastAsia="Arial" w:hAnsi="Arial"/>
          <w:sz w:val="18"/>
          <w:szCs w:val="18"/>
          <w:color w:val="auto"/>
        </w:rPr>
        <w:t>in combination with KEYTRUDA</w:t>
      </w:r>
      <w:r>
        <w:rPr>
          <w:rFonts w:ascii="Arial" w:cs="Arial" w:eastAsia="Arial" w:hAnsi="Arial"/>
          <w:sz w:val="29"/>
          <w:szCs w:val="29"/>
          <w:color w:val="auto"/>
          <w:vertAlign w:val="superscript"/>
        </w:rPr>
        <w:t>®</w:t>
      </w:r>
      <w:r>
        <w:rPr>
          <w:rFonts w:ascii="Arial" w:cs="Arial" w:eastAsia="Arial" w:hAnsi="Arial"/>
          <w:sz w:val="18"/>
          <w:szCs w:val="18"/>
          <w:color w:val="auto"/>
        </w:rPr>
        <w:t xml:space="preserve"> (pembrolizumab), Merck’s anti-PD-1 therapy, under a clinical trial collaboration agreement with Merck (known as MSD outside of the U.S. and Canada). The cohort is designed to characterize the safety, pharmacodynamics and activity of CDX-1140 in combination with pembrolizumab in patients refractory to PD1/PDL1 treatment. We also recently initiated a cohort in combination with standard of care chemotherapy in patients with previously untreated metastatic pancreatic cancer. The Company is exploring additional combination cohorts with mechanisms that we believe could be complementary or synergistic with CDX-1140.</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CDX-527</w:t>
      </w:r>
    </w:p>
    <w:p>
      <w:pPr>
        <w:spacing w:after="0" w:line="144"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CDX-527 is the first candidate from Celldex’s bispecific antibody platform. Bispecifics provide opportunities to engage two independent pathways involved in controlling immune responses to tumors. CDX-527 uses Celldex’s proprietary highly active anti-PD-L1 and CD27 human antibodies to couple CD27 co-stimulation with blockade of the PD-L1/PD-1 pathway to help prime and activate anti-tumor T cell responses through CD27 costimulation, while preventing PD-1 inhibitory signals that subvert the immune response.</w:t>
      </w:r>
    </w:p>
    <w:p>
      <w:pPr>
        <w:spacing w:after="0" w:line="187" w:lineRule="exact"/>
        <w:rPr>
          <w:sz w:val="20"/>
          <w:szCs w:val="20"/>
          <w:color w:val="auto"/>
        </w:rPr>
      </w:pPr>
    </w:p>
    <w:p>
      <w:pPr>
        <w:ind w:right="140" w:firstLine="648"/>
        <w:spacing w:after="0" w:line="263" w:lineRule="auto"/>
        <w:rPr>
          <w:sz w:val="20"/>
          <w:szCs w:val="20"/>
          <w:color w:val="auto"/>
        </w:rPr>
      </w:pPr>
      <w:r>
        <w:rPr>
          <w:rFonts w:ascii="Arial" w:cs="Arial" w:eastAsia="Arial" w:hAnsi="Arial"/>
          <w:sz w:val="18"/>
          <w:szCs w:val="18"/>
          <w:color w:val="auto"/>
        </w:rPr>
        <w:t>Celldex’s prior clinical experience with combining CD27 activation and PD-1 blockade provide the rationale for linking these two pathways into one molecule. Preclinical data presented at the SITC 34th Annual Meeting in November 2019 demonstrated that CDX-527 is more potent at T cell activation and anti-tumor immunity than the combination of parental monoclonal antibodies.</w:t>
      </w:r>
    </w:p>
    <w:p>
      <w:pPr>
        <w:spacing w:after="0" w:line="184" w:lineRule="exact"/>
        <w:rPr>
          <w:sz w:val="20"/>
          <w:szCs w:val="20"/>
          <w:color w:val="auto"/>
        </w:rPr>
      </w:pPr>
    </w:p>
    <w:p>
      <w:pPr>
        <w:ind w:right="20" w:firstLine="648"/>
        <w:spacing w:after="0" w:line="301" w:lineRule="auto"/>
        <w:rPr>
          <w:sz w:val="20"/>
          <w:szCs w:val="20"/>
          <w:color w:val="auto"/>
        </w:rPr>
      </w:pPr>
      <w:r>
        <w:rPr>
          <w:rFonts w:ascii="Arial" w:cs="Arial" w:eastAsia="Arial" w:hAnsi="Arial"/>
          <w:sz w:val="16"/>
          <w:szCs w:val="16"/>
          <w:color w:val="auto"/>
        </w:rPr>
        <w:t>In August 2020, we announced the initiation of a Phase 1 dose-escalation study in up to ~90 patients with advanced or metastatic solid tumors that have progressed during or after standard of care therapy to be followed by tumor-specific expansion cohorts. The study is designed to determine the maximum tolerated dose, or MTD, during a dose-escalation phase and to recommend a dose level for further study in the subsequent expansion phase. The expansion is designed to further evaluate the tolerability, and biologic and anti-tumor effects of selected dose level(s) of CDX-527 in specific tumor types.</w:t>
      </w:r>
    </w:p>
    <w:p>
      <w:pPr>
        <w:spacing w:after="0" w:line="37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1124" w:right="35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color w:val="auto"/>
        </w:rPr>
        <w:t>CRITICAL ACCOUNTING POLICIES</w:t>
      </w:r>
    </w:p>
    <w:p>
      <w:pPr>
        <w:spacing w:after="0" w:line="229" w:lineRule="exact"/>
        <w:rPr>
          <w:sz w:val="20"/>
          <w:szCs w:val="20"/>
          <w:color w:val="auto"/>
        </w:rPr>
      </w:pPr>
    </w:p>
    <w:p>
      <w:pPr>
        <w:ind w:right="60" w:firstLine="648"/>
        <w:spacing w:after="0" w:line="275" w:lineRule="auto"/>
        <w:rPr>
          <w:sz w:val="20"/>
          <w:szCs w:val="20"/>
          <w:color w:val="auto"/>
        </w:rPr>
      </w:pPr>
      <w:r>
        <w:rPr>
          <w:rFonts w:ascii="Arial" w:cs="Arial" w:eastAsia="Arial" w:hAnsi="Arial"/>
          <w:sz w:val="17"/>
          <w:szCs w:val="17"/>
          <w:color w:val="auto"/>
        </w:rPr>
        <w:t>See Note 2 to the unaudited condensed consolidated financial statements included elsewhere in this Quarterly Report on Form 10-Q for information regarding newly adopted and recent accounting pronouncements. See also Note 2 to our financial statements included in our Annual Report on Form 10-K for the year ended December 31, 2019 for a discussion of our critical accounting policies. There have been no material changes to such critical accounting policies. We believe our most critical accounting policies include accounting for contingent consideration, revenue recognition, intangible and long-lived assets, research and development expenses and stock-based compensation expense.</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September 30, 2020 Compared with Three Months Ended September 30, 2019</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40" w:type="dxa"/>
            <w:vAlign w:val="bottom"/>
            <w:gridSpan w:val="6"/>
          </w:tcPr>
          <w:p>
            <w:pPr>
              <w:jc w:val="right"/>
              <w:ind w:right="661"/>
              <w:spacing w:after="0"/>
              <w:rPr>
                <w:sz w:val="20"/>
                <w:szCs w:val="20"/>
                <w:color w:val="auto"/>
              </w:rPr>
            </w:pPr>
            <w:r>
              <w:rPr>
                <w:rFonts w:ascii="Arial" w:cs="Arial" w:eastAsia="Arial" w:hAnsi="Arial"/>
                <w:sz w:val="18"/>
                <w:szCs w:val="18"/>
                <w:b w:val="1"/>
                <w:bCs w:val="1"/>
                <w:color w:val="auto"/>
              </w:rPr>
              <w:t>Three Months Ended</w:t>
            </w:r>
          </w:p>
        </w:tc>
        <w:tc>
          <w:tcPr>
            <w:tcW w:w="140" w:type="dxa"/>
            <w:vAlign w:val="bottom"/>
          </w:tcPr>
          <w:p>
            <w:pPr>
              <w:spacing w:after="0"/>
              <w:rPr>
                <w:sz w:val="18"/>
                <w:szCs w:val="18"/>
                <w:color w:val="auto"/>
              </w:rPr>
            </w:pPr>
          </w:p>
        </w:tc>
        <w:tc>
          <w:tcPr>
            <w:tcW w:w="130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9"/>
              </w:rPr>
              <w:t>Increase/</w:t>
            </w:r>
          </w:p>
        </w:tc>
        <w:tc>
          <w:tcPr>
            <w:tcW w:w="144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89"/>
              </w:rPr>
              <w:t>Increase/</w:t>
            </w:r>
          </w:p>
        </w:tc>
      </w:tr>
      <w:tr>
        <w:trPr>
          <w:trHeight w:val="234"/>
        </w:trPr>
        <w:tc>
          <w:tcPr>
            <w:tcW w:w="54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640" w:type="dxa"/>
            <w:vAlign w:val="bottom"/>
            <w:gridSpan w:val="6"/>
          </w:tcPr>
          <w:p>
            <w:pPr>
              <w:jc w:val="right"/>
              <w:ind w:right="941"/>
              <w:spacing w:after="0"/>
              <w:rPr>
                <w:sz w:val="20"/>
                <w:szCs w:val="20"/>
                <w:color w:val="auto"/>
              </w:rPr>
            </w:pPr>
            <w:r>
              <w:rPr>
                <w:rFonts w:ascii="Arial" w:cs="Arial" w:eastAsia="Arial" w:hAnsi="Arial"/>
                <w:sz w:val="18"/>
                <w:szCs w:val="18"/>
                <w:b w:val="1"/>
                <w:bCs w:val="1"/>
                <w:color w:val="auto"/>
              </w:rPr>
              <w:t>September 30,</w:t>
            </w:r>
          </w:p>
        </w:tc>
        <w:tc>
          <w:tcPr>
            <w:tcW w:w="140" w:type="dxa"/>
            <w:vAlign w:val="bottom"/>
          </w:tcPr>
          <w:p>
            <w:pPr>
              <w:spacing w:after="0"/>
              <w:rPr>
                <w:sz w:val="20"/>
                <w:szCs w:val="20"/>
                <w:color w:val="auto"/>
              </w:rPr>
            </w:pPr>
          </w:p>
        </w:tc>
        <w:tc>
          <w:tcPr>
            <w:tcW w:w="130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6"/>
              </w:rPr>
              <w:t>(Decrease)</w:t>
            </w:r>
          </w:p>
        </w:tc>
        <w:tc>
          <w:tcPr>
            <w:tcW w:w="144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89"/>
              </w:rPr>
              <w:t>(Decrease)</w:t>
            </w:r>
          </w:p>
        </w:tc>
      </w:tr>
      <w:tr>
        <w:trPr>
          <w:trHeight w:val="223"/>
        </w:trPr>
        <w:tc>
          <w:tcPr>
            <w:tcW w:w="5460" w:type="dxa"/>
            <w:vAlign w:val="bottom"/>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2020</w:t>
            </w:r>
          </w:p>
        </w:tc>
        <w:tc>
          <w:tcPr>
            <w:tcW w:w="120" w:type="dxa"/>
            <w:vAlign w:val="bottom"/>
            <w:tcBorders>
              <w:top w:val="single" w:sz="8" w:color="auto"/>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2019</w:t>
            </w:r>
          </w:p>
        </w:tc>
        <w:tc>
          <w:tcPr>
            <w:tcW w:w="220" w:type="dxa"/>
            <w:vAlign w:val="bottom"/>
            <w:tcBorders>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99"/>
              </w:rPr>
              <w:t>$</w:t>
            </w:r>
          </w:p>
        </w:tc>
        <w:tc>
          <w:tcPr>
            <w:tcW w:w="220" w:type="dxa"/>
            <w:vAlign w:val="bottom"/>
            <w:tcBorders>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b w:val="1"/>
                <w:bCs w:val="1"/>
                <w:color w:val="auto"/>
              </w:rPr>
              <w:t>%</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r>
      <w:tr>
        <w:trPr>
          <w:trHeight w:val="223"/>
        </w:trPr>
        <w:tc>
          <w:tcPr>
            <w:tcW w:w="54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640" w:type="dxa"/>
            <w:vAlign w:val="bottom"/>
            <w:gridSpan w:val="5"/>
          </w:tcPr>
          <w:p>
            <w:pPr>
              <w:jc w:val="right"/>
              <w:ind w:right="1000"/>
              <w:spacing w:after="0"/>
              <w:rPr>
                <w:sz w:val="20"/>
                <w:szCs w:val="20"/>
                <w:color w:val="auto"/>
              </w:rPr>
            </w:pPr>
            <w:r>
              <w:rPr>
                <w:rFonts w:ascii="Arial" w:cs="Arial" w:eastAsia="Arial" w:hAnsi="Arial"/>
                <w:sz w:val="18"/>
                <w:szCs w:val="18"/>
                <w:b w:val="1"/>
                <w:bCs w:val="1"/>
                <w:color w:val="auto"/>
              </w:rPr>
              <w:t>(In thousands)</w:t>
            </w:r>
          </w:p>
        </w:tc>
        <w:tc>
          <w:tcPr>
            <w:tcW w:w="1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r>
      <w:tr>
        <w:trPr>
          <w:trHeight w:val="243"/>
        </w:trPr>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26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r>
      <w:tr>
        <w:trPr>
          <w:trHeight w:val="216"/>
        </w:trPr>
        <w:tc>
          <w:tcPr>
            <w:tcW w:w="5460" w:type="dxa"/>
            <w:vAlign w:val="bottom"/>
          </w:tcPr>
          <w:p>
            <w:pPr>
              <w:spacing w:after="0"/>
              <w:rPr>
                <w:sz w:val="20"/>
                <w:szCs w:val="20"/>
                <w:color w:val="auto"/>
              </w:rPr>
            </w:pPr>
            <w:r>
              <w:rPr>
                <w:rFonts w:ascii="Arial" w:cs="Arial" w:eastAsia="Arial" w:hAnsi="Arial"/>
                <w:sz w:val="18"/>
                <w:szCs w:val="18"/>
                <w:color w:val="auto"/>
              </w:rPr>
              <w:t>Product Development and Licensing Agreements</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41"/>
              <w:spacing w:after="0"/>
              <w:rPr>
                <w:sz w:val="20"/>
                <w:szCs w:val="20"/>
                <w:color w:val="auto"/>
              </w:rPr>
            </w:pPr>
            <w:r>
              <w:rPr>
                <w:rFonts w:ascii="Arial" w:cs="Arial" w:eastAsia="Arial" w:hAnsi="Arial"/>
                <w:sz w:val="18"/>
                <w:szCs w:val="18"/>
                <w:color w:val="auto"/>
              </w:rPr>
              <w:t>12</w:t>
            </w:r>
          </w:p>
        </w:tc>
        <w:tc>
          <w:tcPr>
            <w:tcW w:w="34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141"/>
              <w:spacing w:after="0"/>
              <w:rPr>
                <w:sz w:val="20"/>
                <w:szCs w:val="20"/>
                <w:color w:val="auto"/>
              </w:rPr>
            </w:pPr>
            <w:r>
              <w:rPr>
                <w:rFonts w:ascii="Arial" w:cs="Arial" w:eastAsia="Arial" w:hAnsi="Arial"/>
                <w:sz w:val="18"/>
                <w:szCs w:val="18"/>
                <w:color w:val="auto"/>
              </w:rPr>
              <w:t>55</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(43)</w:t>
            </w:r>
          </w:p>
        </w:tc>
        <w:tc>
          <w:tcPr>
            <w:tcW w:w="1440" w:type="dxa"/>
            <w:vAlign w:val="bottom"/>
            <w:gridSpan w:val="3"/>
          </w:tcPr>
          <w:p>
            <w:pPr>
              <w:jc w:val="right"/>
              <w:spacing w:after="0"/>
              <w:rPr>
                <w:sz w:val="20"/>
                <w:szCs w:val="20"/>
                <w:color w:val="auto"/>
              </w:rPr>
            </w:pPr>
            <w:r>
              <w:rPr>
                <w:rFonts w:ascii="Arial" w:cs="Arial" w:eastAsia="Arial" w:hAnsi="Arial"/>
                <w:sz w:val="18"/>
                <w:szCs w:val="18"/>
                <w:color w:val="auto"/>
              </w:rPr>
              <w:t>(78)%</w:t>
            </w:r>
          </w:p>
        </w:tc>
      </w:tr>
      <w:tr>
        <w:trPr>
          <w:trHeight w:val="229"/>
        </w:trPr>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Contracts and Grants</w:t>
            </w:r>
          </w:p>
        </w:tc>
        <w:tc>
          <w:tcPr>
            <w:tcW w:w="26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656</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491</w:t>
            </w:r>
          </w:p>
        </w:tc>
        <w:tc>
          <w:tcPr>
            <w:tcW w:w="1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165</w:t>
            </w:r>
          </w:p>
        </w:tc>
        <w:tc>
          <w:tcPr>
            <w:tcW w:w="14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34%</w:t>
            </w:r>
          </w:p>
        </w:tc>
      </w:tr>
      <w:tr>
        <w:trPr>
          <w:trHeight w:val="263"/>
        </w:trPr>
        <w:tc>
          <w:tcPr>
            <w:tcW w:w="54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Revenue</w:t>
            </w: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668</w:t>
            </w:r>
          </w:p>
        </w:tc>
        <w:tc>
          <w:tcPr>
            <w:tcW w:w="12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546</w:t>
            </w:r>
          </w:p>
        </w:tc>
        <w:tc>
          <w:tcPr>
            <w:tcW w:w="220" w:type="dxa"/>
            <w:vAlign w:val="bottom"/>
            <w:tcBorders>
              <w:bottom w:val="single" w:sz="8" w:color="CCEEFF"/>
            </w:tcBorders>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122</w:t>
            </w:r>
          </w:p>
        </w:tc>
        <w:tc>
          <w:tcPr>
            <w:tcW w:w="220" w:type="dxa"/>
            <w:vAlign w:val="bottom"/>
            <w:tcBorders>
              <w:bottom w:val="single" w:sz="8" w:color="CCEEFF"/>
            </w:tcBorders>
          </w:tcPr>
          <w:p>
            <w:pPr>
              <w:spacing w:after="0"/>
              <w:rPr>
                <w:sz w:val="22"/>
                <w:szCs w:val="22"/>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w:t>
            </w:r>
          </w:p>
        </w:tc>
        <w:tc>
          <w:tcPr>
            <w:tcW w:w="220" w:type="dxa"/>
            <w:vAlign w:val="bottom"/>
            <w:tcBorders>
              <w:bottom w:val="single" w:sz="8" w:color="CCEEFF"/>
            </w:tcBorders>
            <w:gridSpan w:val="2"/>
          </w:tcPr>
          <w:p>
            <w:pPr>
              <w:jc w:val="right"/>
              <w:ind w:right="60"/>
              <w:spacing w:after="0"/>
              <w:rPr>
                <w:sz w:val="20"/>
                <w:szCs w:val="20"/>
                <w:color w:val="auto"/>
              </w:rPr>
            </w:pPr>
            <w:r>
              <w:rPr>
                <w:rFonts w:ascii="Arial" w:cs="Arial" w:eastAsia="Arial" w:hAnsi="Arial"/>
                <w:sz w:val="18"/>
                <w:szCs w:val="18"/>
                <w:color w:val="auto"/>
                <w:w w:val="87"/>
              </w:rPr>
              <w:t>%</w:t>
            </w:r>
          </w:p>
        </w:tc>
      </w:tr>
      <w:tr>
        <w:trPr>
          <w:trHeight w:val="223"/>
        </w:trPr>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r>
      <w:tr>
        <w:trPr>
          <w:trHeight w:val="216"/>
        </w:trPr>
        <w:tc>
          <w:tcPr>
            <w:tcW w:w="546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260" w:type="dxa"/>
            <w:vAlign w:val="bottom"/>
          </w:tcPr>
          <w:p>
            <w:pPr>
              <w:spacing w:after="0"/>
              <w:rPr>
                <w:sz w:val="18"/>
                <w:szCs w:val="18"/>
                <w:color w:val="auto"/>
              </w:rPr>
            </w:pPr>
          </w:p>
        </w:tc>
        <w:tc>
          <w:tcPr>
            <w:tcW w:w="1100" w:type="dxa"/>
            <w:vAlign w:val="bottom"/>
            <w:gridSpan w:val="2"/>
          </w:tcPr>
          <w:p>
            <w:pPr>
              <w:jc w:val="right"/>
              <w:ind w:right="41"/>
              <w:spacing w:after="0"/>
              <w:rPr>
                <w:sz w:val="20"/>
                <w:szCs w:val="20"/>
                <w:color w:val="auto"/>
              </w:rPr>
            </w:pPr>
            <w:r>
              <w:rPr>
                <w:rFonts w:ascii="Arial" w:cs="Arial" w:eastAsia="Arial" w:hAnsi="Arial"/>
                <w:sz w:val="18"/>
                <w:szCs w:val="18"/>
                <w:color w:val="auto"/>
              </w:rPr>
              <w:t>10,708</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gridSpan w:val="2"/>
          </w:tcPr>
          <w:p>
            <w:pPr>
              <w:jc w:val="right"/>
              <w:ind w:right="141"/>
              <w:spacing w:after="0"/>
              <w:rPr>
                <w:sz w:val="20"/>
                <w:szCs w:val="20"/>
                <w:color w:val="auto"/>
              </w:rPr>
            </w:pPr>
            <w:r>
              <w:rPr>
                <w:rFonts w:ascii="Arial" w:cs="Arial" w:eastAsia="Arial" w:hAnsi="Arial"/>
                <w:sz w:val="18"/>
                <w:szCs w:val="18"/>
                <w:color w:val="auto"/>
              </w:rPr>
              <w:t>11,101</w:t>
            </w:r>
          </w:p>
        </w:tc>
        <w:tc>
          <w:tcPr>
            <w:tcW w:w="14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(393)</w:t>
            </w:r>
          </w:p>
        </w:tc>
        <w:tc>
          <w:tcPr>
            <w:tcW w:w="1440" w:type="dxa"/>
            <w:vAlign w:val="bottom"/>
            <w:gridSpan w:val="3"/>
          </w:tcPr>
          <w:p>
            <w:pPr>
              <w:jc w:val="right"/>
              <w:spacing w:after="0"/>
              <w:rPr>
                <w:sz w:val="20"/>
                <w:szCs w:val="20"/>
                <w:color w:val="auto"/>
              </w:rPr>
            </w:pPr>
            <w:r>
              <w:rPr>
                <w:rFonts w:ascii="Arial" w:cs="Arial" w:eastAsia="Arial" w:hAnsi="Arial"/>
                <w:sz w:val="18"/>
                <w:szCs w:val="18"/>
                <w:color w:val="auto"/>
              </w:rPr>
              <w:t>(4)%</w:t>
            </w:r>
          </w:p>
        </w:tc>
      </w:tr>
      <w:tr>
        <w:trPr>
          <w:trHeight w:val="216"/>
        </w:trPr>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3,640</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3,403</w:t>
            </w:r>
          </w:p>
        </w:tc>
        <w:tc>
          <w:tcPr>
            <w:tcW w:w="1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237</w:t>
            </w:r>
          </w:p>
        </w:tc>
        <w:tc>
          <w:tcPr>
            <w:tcW w:w="14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7%</w:t>
            </w:r>
          </w:p>
        </w:tc>
      </w:tr>
      <w:tr>
        <w:trPr>
          <w:trHeight w:val="230"/>
        </w:trPr>
        <w:tc>
          <w:tcPr>
            <w:tcW w:w="5460" w:type="dxa"/>
            <w:vAlign w:val="bottom"/>
          </w:tcPr>
          <w:p>
            <w:pPr>
              <w:spacing w:after="0"/>
              <w:rPr>
                <w:sz w:val="20"/>
                <w:szCs w:val="20"/>
                <w:color w:val="auto"/>
              </w:rPr>
            </w:pPr>
            <w:r>
              <w:rPr>
                <w:rFonts w:ascii="Arial" w:cs="Arial" w:eastAsia="Arial" w:hAnsi="Arial"/>
                <w:sz w:val="18"/>
                <w:szCs w:val="18"/>
                <w:color w:val="auto"/>
                <w:w w:val="95"/>
              </w:rPr>
              <w:t>Loss (Gain) on Fair Value Remeasurement of Contingent Consideration</w:t>
            </w:r>
          </w:p>
        </w:tc>
        <w:tc>
          <w:tcPr>
            <w:tcW w:w="260" w:type="dxa"/>
            <w:vAlign w:val="bottom"/>
          </w:tcPr>
          <w:p>
            <w:pPr>
              <w:spacing w:after="0"/>
              <w:rPr>
                <w:sz w:val="19"/>
                <w:szCs w:val="19"/>
                <w:color w:val="auto"/>
              </w:rPr>
            </w:pPr>
          </w:p>
        </w:tc>
        <w:tc>
          <w:tcPr>
            <w:tcW w:w="1100" w:type="dxa"/>
            <w:vAlign w:val="bottom"/>
            <w:gridSpan w:val="2"/>
          </w:tcPr>
          <w:p>
            <w:pPr>
              <w:jc w:val="right"/>
              <w:ind w:right="41"/>
              <w:spacing w:after="0"/>
              <w:rPr>
                <w:sz w:val="20"/>
                <w:szCs w:val="20"/>
                <w:color w:val="auto"/>
              </w:rPr>
            </w:pPr>
            <w:r>
              <w:rPr>
                <w:rFonts w:ascii="Arial" w:cs="Arial" w:eastAsia="Arial" w:hAnsi="Arial"/>
                <w:sz w:val="18"/>
                <w:szCs w:val="18"/>
                <w:color w:val="auto"/>
              </w:rPr>
              <w:t>662</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0" w:type="dxa"/>
            <w:vAlign w:val="bottom"/>
            <w:gridSpan w:val="2"/>
          </w:tcPr>
          <w:p>
            <w:pPr>
              <w:jc w:val="right"/>
              <w:ind w:right="81"/>
              <w:spacing w:after="0"/>
              <w:rPr>
                <w:sz w:val="20"/>
                <w:szCs w:val="20"/>
                <w:color w:val="auto"/>
              </w:rPr>
            </w:pPr>
            <w:r>
              <w:rPr>
                <w:rFonts w:ascii="Arial" w:cs="Arial" w:eastAsia="Arial" w:hAnsi="Arial"/>
                <w:sz w:val="18"/>
                <w:szCs w:val="18"/>
                <w:color w:val="auto"/>
              </w:rPr>
              <w:t>(2,114)</w:t>
            </w:r>
          </w:p>
        </w:tc>
        <w:tc>
          <w:tcPr>
            <w:tcW w:w="140" w:type="dxa"/>
            <w:vAlign w:val="bottom"/>
          </w:tcPr>
          <w:p>
            <w:pPr>
              <w:spacing w:after="0"/>
              <w:rPr>
                <w:sz w:val="19"/>
                <w:szCs w:val="19"/>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2,776</w:t>
            </w:r>
          </w:p>
        </w:tc>
        <w:tc>
          <w:tcPr>
            <w:tcW w:w="1440" w:type="dxa"/>
            <w:vAlign w:val="bottom"/>
            <w:gridSpan w:val="3"/>
          </w:tcPr>
          <w:p>
            <w:pPr>
              <w:jc w:val="right"/>
              <w:ind w:right="60"/>
              <w:spacing w:after="0"/>
              <w:rPr>
                <w:sz w:val="20"/>
                <w:szCs w:val="20"/>
                <w:color w:val="auto"/>
              </w:rPr>
            </w:pPr>
            <w:r>
              <w:rPr>
                <w:rFonts w:ascii="Arial" w:cs="Arial" w:eastAsia="Arial" w:hAnsi="Arial"/>
                <w:sz w:val="18"/>
                <w:szCs w:val="18"/>
                <w:color w:val="auto"/>
              </w:rPr>
              <w:t>131%</w:t>
            </w:r>
          </w:p>
        </w:tc>
      </w:tr>
      <w:tr>
        <w:trPr>
          <w:trHeight w:val="209"/>
        </w:trPr>
        <w:tc>
          <w:tcPr>
            <w:tcW w:w="54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Operating Expense</w:t>
            </w: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15,010</w:t>
            </w: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12,390</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2,620</w:t>
            </w:r>
          </w:p>
        </w:tc>
        <w:tc>
          <w:tcPr>
            <w:tcW w:w="22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220" w:type="dxa"/>
            <w:vAlign w:val="bottom"/>
            <w:tcBorders>
              <w:top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7"/>
              </w:rPr>
              <w:t>%</w:t>
            </w:r>
          </w:p>
        </w:tc>
      </w:tr>
      <w:tr>
        <w:trPr>
          <w:trHeight w:val="210"/>
        </w:trPr>
        <w:tc>
          <w:tcPr>
            <w:tcW w:w="5460" w:type="dxa"/>
            <w:vAlign w:val="bottom"/>
          </w:tcPr>
          <w:p>
            <w:pPr>
              <w:spacing w:after="0"/>
              <w:rPr>
                <w:sz w:val="20"/>
                <w:szCs w:val="20"/>
                <w:color w:val="auto"/>
              </w:rPr>
            </w:pPr>
            <w:r>
              <w:rPr>
                <w:rFonts w:ascii="Arial" w:cs="Arial" w:eastAsia="Arial" w:hAnsi="Arial"/>
                <w:sz w:val="18"/>
                <w:szCs w:val="18"/>
                <w:color w:val="auto"/>
              </w:rPr>
              <w:t>Operating Loss</w:t>
            </w: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(14,342)</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(11,844)</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2,498</w:t>
            </w:r>
          </w:p>
        </w:tc>
        <w:tc>
          <w:tcPr>
            <w:tcW w:w="220" w:type="dxa"/>
            <w:vAlign w:val="bottom"/>
          </w:tcPr>
          <w:p>
            <w:pPr>
              <w:spacing w:after="0"/>
              <w:rPr>
                <w:sz w:val="18"/>
                <w:szCs w:val="18"/>
                <w:color w:val="auto"/>
              </w:rPr>
            </w:pPr>
          </w:p>
        </w:tc>
        <w:tc>
          <w:tcPr>
            <w:tcW w:w="1440" w:type="dxa"/>
            <w:vAlign w:val="bottom"/>
            <w:gridSpan w:val="3"/>
          </w:tcPr>
          <w:p>
            <w:pPr>
              <w:jc w:val="right"/>
              <w:ind w:right="60"/>
              <w:spacing w:after="0"/>
              <w:rPr>
                <w:sz w:val="20"/>
                <w:szCs w:val="20"/>
                <w:color w:val="auto"/>
              </w:rPr>
            </w:pPr>
            <w:r>
              <w:rPr>
                <w:rFonts w:ascii="Arial" w:cs="Arial" w:eastAsia="Arial" w:hAnsi="Arial"/>
                <w:sz w:val="18"/>
                <w:szCs w:val="18"/>
                <w:color w:val="auto"/>
              </w:rPr>
              <w:t>21%</w:t>
            </w:r>
          </w:p>
        </w:tc>
      </w:tr>
      <w:tr>
        <w:trPr>
          <w:trHeight w:val="229"/>
        </w:trPr>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Investment and Other Income, Net</w:t>
            </w:r>
          </w:p>
        </w:tc>
        <w:tc>
          <w:tcPr>
            <w:tcW w:w="26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118</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431</w:t>
            </w:r>
          </w:p>
        </w:tc>
        <w:tc>
          <w:tcPr>
            <w:tcW w:w="1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(313)</w:t>
            </w:r>
          </w:p>
        </w:tc>
        <w:tc>
          <w:tcPr>
            <w:tcW w:w="14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(73)%</w:t>
            </w:r>
          </w:p>
        </w:tc>
      </w:tr>
      <w:tr>
        <w:trPr>
          <w:trHeight w:val="223"/>
        </w:trPr>
        <w:tc>
          <w:tcPr>
            <w:tcW w:w="5460" w:type="dxa"/>
            <w:vAlign w:val="bottom"/>
          </w:tcPr>
          <w:p>
            <w:pPr>
              <w:spacing w:after="0"/>
              <w:rPr>
                <w:sz w:val="20"/>
                <w:szCs w:val="20"/>
                <w:color w:val="auto"/>
              </w:rPr>
            </w:pPr>
            <w:r>
              <w:rPr>
                <w:rFonts w:ascii="Arial" w:cs="Arial" w:eastAsia="Arial" w:hAnsi="Arial"/>
                <w:sz w:val="18"/>
                <w:szCs w:val="18"/>
                <w:color w:val="auto"/>
              </w:rPr>
              <w:t>Net Loss</w:t>
            </w:r>
          </w:p>
        </w:tc>
        <w:tc>
          <w:tcPr>
            <w:tcW w:w="2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(14,224</w:t>
            </w:r>
          </w:p>
        </w:tc>
        <w:tc>
          <w:tcPr>
            <w:tcW w:w="12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Pr>
          <w:p>
            <w:pPr>
              <w:spacing w:after="0"/>
              <w:rPr>
                <w:sz w:val="19"/>
                <w:szCs w:val="19"/>
                <w:color w:val="auto"/>
              </w:rPr>
            </w:pPr>
          </w:p>
        </w:tc>
        <w:tc>
          <w:tcPr>
            <w:tcW w:w="2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(11,413</w:t>
            </w:r>
          </w:p>
        </w:tc>
        <w:tc>
          <w:tcPr>
            <w:tcW w:w="220" w:type="dxa"/>
            <w:vAlign w:val="bottom"/>
          </w:tcPr>
          <w:p>
            <w:pPr>
              <w:jc w:val="right"/>
              <w:ind w:right="81"/>
              <w:spacing w:after="0"/>
              <w:rPr>
                <w:sz w:val="20"/>
                <w:szCs w:val="20"/>
                <w:color w:val="auto"/>
              </w:rPr>
            </w:pPr>
            <w:r>
              <w:rPr>
                <w:rFonts w:ascii="Arial" w:cs="Arial" w:eastAsia="Arial" w:hAnsi="Arial"/>
                <w:sz w:val="16"/>
                <w:szCs w:val="16"/>
                <w:color w:val="auto"/>
                <w:w w:val="74"/>
              </w:rPr>
              <w:t>)</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2,811</w:t>
            </w:r>
          </w:p>
        </w:tc>
        <w:tc>
          <w:tcPr>
            <w:tcW w:w="220" w:type="dxa"/>
            <w:vAlign w:val="bottom"/>
          </w:tcPr>
          <w:p>
            <w:pPr>
              <w:spacing w:after="0"/>
              <w:rPr>
                <w:sz w:val="19"/>
                <w:szCs w:val="19"/>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w:t>
            </w:r>
          </w:p>
        </w:tc>
        <w:tc>
          <w:tcPr>
            <w:tcW w:w="220" w:type="dxa"/>
            <w:vAlign w:val="bottom"/>
            <w:gridSpan w:val="2"/>
          </w:tcPr>
          <w:p>
            <w:pPr>
              <w:jc w:val="right"/>
              <w:ind w:right="60"/>
              <w:spacing w:after="0"/>
              <w:rPr>
                <w:sz w:val="20"/>
                <w:szCs w:val="20"/>
                <w:color w:val="auto"/>
              </w:rPr>
            </w:pPr>
            <w:r>
              <w:rPr>
                <w:rFonts w:ascii="Arial" w:cs="Arial" w:eastAsia="Arial" w:hAnsi="Arial"/>
                <w:sz w:val="18"/>
                <w:szCs w:val="18"/>
                <w:color w:val="auto"/>
                <w:w w:val="87"/>
              </w:rPr>
              <w:t>%</w:t>
            </w:r>
          </w:p>
        </w:tc>
      </w:tr>
      <w:tr>
        <w:trPr>
          <w:trHeight w:val="20"/>
        </w:trPr>
        <w:tc>
          <w:tcPr>
            <w:tcW w:w="54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Loss</w:t>
      </w:r>
    </w:p>
    <w:p>
      <w:pPr>
        <w:spacing w:after="0" w:line="225"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The $2.8 million increase in net loss for the three months ended September 30, 2020, as compared to the three months ended September 30, 2019, was primarily the result of an increase in the loss on fair value remeasurement of contingent consideration.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w:t>
      </w:r>
    </w:p>
    <w:p>
      <w:pPr>
        <w:spacing w:after="0" w:line="225" w:lineRule="exact"/>
        <w:rPr>
          <w:sz w:val="20"/>
          <w:szCs w:val="20"/>
          <w:color w:val="auto"/>
        </w:rPr>
      </w:pPr>
    </w:p>
    <w:p>
      <w:pPr>
        <w:ind w:right="160" w:firstLine="648"/>
        <w:spacing w:after="0" w:line="275" w:lineRule="auto"/>
        <w:rPr>
          <w:sz w:val="20"/>
          <w:szCs w:val="20"/>
          <w:color w:val="auto"/>
        </w:rPr>
      </w:pPr>
      <w:r>
        <w:rPr>
          <w:rFonts w:ascii="Arial" w:cs="Arial" w:eastAsia="Arial" w:hAnsi="Arial"/>
          <w:sz w:val="17"/>
          <w:szCs w:val="17"/>
          <w:color w:val="auto"/>
        </w:rPr>
        <w:t>Product development and licensing agreements revenue for the three months ended September 30, 2020 was consistent with the three months ended September 30, 2019. The $0.2 million increase in contracts and grants revenue for the three months ended September 30, 2020, as compared to the three months ended September 30, 2019, was primarily due to an increase in revenue from the Company’s SBIR grant, partially offset by a decrease in services performed under our contract manufacturing and research and development agreement with Rockefeller University. We expect revenue to remain relatively consistent over the next twelve months, although there may be fluctuations on a quarterly basis.</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2" w:name="page23"/>
    <w:bookmarkEnd w:id="22"/>
    <w:p>
      <w:pPr>
        <w:spacing w:after="0"/>
        <w:rPr>
          <w:sz w:val="20"/>
          <w:szCs w:val="20"/>
          <w:color w:val="auto"/>
        </w:rPr>
      </w:pPr>
      <w:r>
        <w:rPr>
          <w:rFonts w:ascii="Arial" w:cs="Arial" w:eastAsia="Arial" w:hAnsi="Arial"/>
          <w:sz w:val="18"/>
          <w:szCs w:val="18"/>
          <w:i w:val="1"/>
          <w:iCs w:val="1"/>
          <w:color w:val="auto"/>
        </w:rPr>
        <w:t>Research and Development Expense</w:t>
      </w:r>
    </w:p>
    <w:p>
      <w:pPr>
        <w:spacing w:after="0" w:line="225"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Research and development expenses consist primarily of (i) personnel expenses, (ii) laboratory supply expenses relating to the development of our technology, (iii) facility expenses and (iv) product development expenses associated with our drug candidates as follows: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460" w:type="dxa"/>
            <w:vAlign w:val="bottom"/>
          </w:tcPr>
          <w:p>
            <w:pPr>
              <w:spacing w:after="0"/>
              <w:rPr>
                <w:sz w:val="18"/>
                <w:szCs w:val="18"/>
                <w:color w:val="auto"/>
              </w:rPr>
            </w:pPr>
          </w:p>
        </w:tc>
        <w:tc>
          <w:tcPr>
            <w:tcW w:w="2260" w:type="dxa"/>
            <w:vAlign w:val="bottom"/>
            <w:gridSpan w:val="3"/>
          </w:tcPr>
          <w:p>
            <w:pPr>
              <w:jc w:val="center"/>
              <w:ind w:left="330"/>
              <w:spacing w:after="0"/>
              <w:rPr>
                <w:sz w:val="20"/>
                <w:szCs w:val="20"/>
                <w:color w:val="auto"/>
              </w:rPr>
            </w:pPr>
            <w:r>
              <w:rPr>
                <w:rFonts w:ascii="Arial" w:cs="Arial" w:eastAsia="Arial" w:hAnsi="Arial"/>
                <w:sz w:val="18"/>
                <w:szCs w:val="18"/>
                <w:b w:val="1"/>
                <w:bCs w:val="1"/>
                <w:color w:val="auto"/>
                <w:w w:val="92"/>
              </w:rPr>
              <w:t>Three Months Ended</w:t>
            </w: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60" w:type="dxa"/>
            <w:vAlign w:val="bottom"/>
          </w:tcPr>
          <w:p>
            <w:pPr>
              <w:jc w:val="right"/>
              <w:ind w:right="70"/>
              <w:spacing w:after="0"/>
              <w:rPr>
                <w:sz w:val="20"/>
                <w:szCs w:val="20"/>
                <w:color w:val="auto"/>
              </w:rPr>
            </w:pPr>
            <w:r>
              <w:rPr>
                <w:rFonts w:ascii="Arial" w:cs="Arial" w:eastAsia="Arial" w:hAnsi="Arial"/>
                <w:sz w:val="18"/>
                <w:szCs w:val="18"/>
                <w:b w:val="1"/>
                <w:bCs w:val="1"/>
                <w:color w:val="auto"/>
              </w:rPr>
              <w:t>Increase/</w:t>
            </w: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34"/>
        </w:trPr>
        <w:tc>
          <w:tcPr>
            <w:tcW w:w="5460" w:type="dxa"/>
            <w:vAlign w:val="bottom"/>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gridSpan w:val="2"/>
          </w:tcPr>
          <w:p>
            <w:pPr>
              <w:jc w:val="center"/>
              <w:ind w:right="290"/>
              <w:spacing w:after="0"/>
              <w:rPr>
                <w:sz w:val="20"/>
                <w:szCs w:val="20"/>
                <w:color w:val="auto"/>
              </w:rPr>
            </w:pPr>
            <w:r>
              <w:rPr>
                <w:rFonts w:ascii="Arial" w:cs="Arial" w:eastAsia="Arial" w:hAnsi="Arial"/>
                <w:sz w:val="18"/>
                <w:szCs w:val="18"/>
                <w:b w:val="1"/>
                <w:bCs w:val="1"/>
                <w:color w:val="auto"/>
                <w:w w:val="88"/>
              </w:rPr>
              <w:t>September 30</w:t>
            </w:r>
          </w:p>
        </w:tc>
        <w:tc>
          <w:tcPr>
            <w:tcW w:w="42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(Decrease)</w:t>
            </w:r>
          </w:p>
        </w:tc>
        <w:tc>
          <w:tcPr>
            <w:tcW w:w="82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r>
      <w:tr>
        <w:trPr>
          <w:trHeight w:val="223"/>
        </w:trPr>
        <w:tc>
          <w:tcPr>
            <w:tcW w:w="5460" w:type="dxa"/>
            <w:vAlign w:val="bottom"/>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2020</w:t>
            </w:r>
          </w:p>
        </w:tc>
        <w:tc>
          <w:tcPr>
            <w:tcW w:w="5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2019</w:t>
            </w:r>
          </w:p>
        </w:tc>
        <w:tc>
          <w:tcPr>
            <w:tcW w:w="4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38"/>
              <w:spacing w:after="0"/>
              <w:rPr>
                <w:sz w:val="20"/>
                <w:szCs w:val="20"/>
                <w:color w:val="auto"/>
              </w:rPr>
            </w:pPr>
            <w:r>
              <w:rPr>
                <w:rFonts w:ascii="Arial" w:cs="Arial" w:eastAsia="Arial" w:hAnsi="Arial"/>
                <w:sz w:val="18"/>
                <w:szCs w:val="18"/>
                <w:b w:val="1"/>
                <w:bCs w:val="1"/>
                <w:color w:val="auto"/>
              </w:rPr>
              <w:t>$</w:t>
            </w:r>
          </w:p>
        </w:tc>
        <w:tc>
          <w:tcPr>
            <w:tcW w:w="10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19"/>
                <w:szCs w:val="19"/>
                <w:color w:val="auto"/>
              </w:rPr>
            </w:pPr>
          </w:p>
        </w:tc>
      </w:tr>
      <w:tr>
        <w:trPr>
          <w:trHeight w:val="223"/>
        </w:trPr>
        <w:tc>
          <w:tcPr>
            <w:tcW w:w="54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340" w:type="dxa"/>
            <w:vAlign w:val="bottom"/>
            <w:gridSpan w:val="4"/>
          </w:tcPr>
          <w:p>
            <w:pPr>
              <w:jc w:val="right"/>
              <w:ind w:right="258"/>
              <w:spacing w:after="0"/>
              <w:rPr>
                <w:sz w:val="20"/>
                <w:szCs w:val="20"/>
                <w:color w:val="auto"/>
              </w:rPr>
            </w:pPr>
            <w:r>
              <w:rPr>
                <w:rFonts w:ascii="Arial" w:cs="Arial" w:eastAsia="Arial" w:hAnsi="Arial"/>
                <w:sz w:val="18"/>
                <w:szCs w:val="18"/>
                <w:b w:val="1"/>
                <w:bCs w:val="1"/>
                <w:color w:val="auto"/>
              </w:rPr>
              <w:t>(In thousands)</w:t>
            </w:r>
          </w:p>
        </w:tc>
        <w:tc>
          <w:tcPr>
            <w:tcW w:w="10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20" w:type="dxa"/>
            <w:vAlign w:val="bottom"/>
          </w:tcPr>
          <w:p>
            <w:pPr>
              <w:spacing w:after="0"/>
              <w:rPr>
                <w:sz w:val="19"/>
                <w:szCs w:val="19"/>
                <w:color w:val="auto"/>
              </w:rPr>
            </w:pPr>
          </w:p>
        </w:tc>
      </w:tr>
      <w:tr>
        <w:trPr>
          <w:trHeight w:val="216"/>
        </w:trPr>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Personnel</w:t>
            </w:r>
          </w:p>
        </w:tc>
        <w:tc>
          <w:tcPr>
            <w:tcW w:w="800" w:type="dxa"/>
            <w:vAlign w:val="bottom"/>
            <w:shd w:val="clear" w:color="auto" w:fill="CCEEFF"/>
          </w:tcPr>
          <w:p>
            <w:pPr>
              <w:jc w:val="right"/>
              <w:ind w:right="610"/>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3"/>
              </w:rPr>
              <w:t>5,680</w:t>
            </w:r>
          </w:p>
        </w:tc>
        <w:tc>
          <w:tcPr>
            <w:tcW w:w="920" w:type="dxa"/>
            <w:vAlign w:val="bottom"/>
            <w:shd w:val="clear" w:color="auto" w:fill="CCEEFF"/>
          </w:tcPr>
          <w:p>
            <w:pPr>
              <w:jc w:val="right"/>
              <w:ind w:right="63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8"/>
              </w:rPr>
              <w:t>5,493</w:t>
            </w:r>
          </w:p>
        </w:tc>
        <w:tc>
          <w:tcPr>
            <w:tcW w:w="780" w:type="dxa"/>
            <w:vAlign w:val="bottom"/>
            <w:shd w:val="clear" w:color="auto" w:fill="CCEEFF"/>
          </w:tcPr>
          <w:p>
            <w:pPr>
              <w:jc w:val="right"/>
              <w:ind w:right="618"/>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CEEFF"/>
          </w:tcPr>
          <w:p>
            <w:pPr>
              <w:jc w:val="right"/>
              <w:ind w:right="530"/>
              <w:spacing w:after="0"/>
              <w:rPr>
                <w:sz w:val="20"/>
                <w:szCs w:val="20"/>
                <w:color w:val="auto"/>
              </w:rPr>
            </w:pPr>
            <w:r>
              <w:rPr>
                <w:rFonts w:ascii="Arial" w:cs="Arial" w:eastAsia="Arial" w:hAnsi="Arial"/>
                <w:sz w:val="18"/>
                <w:szCs w:val="18"/>
                <w:color w:val="auto"/>
              </w:rPr>
              <w:t>187</w:t>
            </w: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w:t>
            </w:r>
          </w:p>
        </w:tc>
      </w:tr>
      <w:tr>
        <w:trPr>
          <w:trHeight w:val="216"/>
        </w:trPr>
        <w:tc>
          <w:tcPr>
            <w:tcW w:w="5460" w:type="dxa"/>
            <w:vAlign w:val="bottom"/>
          </w:tcPr>
          <w:p>
            <w:pPr>
              <w:spacing w:after="0"/>
              <w:rPr>
                <w:sz w:val="20"/>
                <w:szCs w:val="20"/>
                <w:color w:val="auto"/>
              </w:rPr>
            </w:pPr>
            <w:r>
              <w:rPr>
                <w:rFonts w:ascii="Arial" w:cs="Arial" w:eastAsia="Arial" w:hAnsi="Arial"/>
                <w:sz w:val="18"/>
                <w:szCs w:val="18"/>
                <w:color w:val="auto"/>
              </w:rPr>
              <w:t>Laboratory Supplies</w:t>
            </w:r>
          </w:p>
        </w:tc>
        <w:tc>
          <w:tcPr>
            <w:tcW w:w="800" w:type="dxa"/>
            <w:vAlign w:val="bottom"/>
          </w:tcPr>
          <w:p>
            <w:pPr>
              <w:spacing w:after="0"/>
              <w:rPr>
                <w:sz w:val="18"/>
                <w:szCs w:val="18"/>
                <w:color w:val="auto"/>
              </w:rPr>
            </w:pPr>
          </w:p>
        </w:tc>
        <w:tc>
          <w:tcPr>
            <w:tcW w:w="540" w:type="dxa"/>
            <w:vAlign w:val="bottom"/>
          </w:tcPr>
          <w:p>
            <w:pPr>
              <w:jc w:val="right"/>
              <w:ind w:right="10"/>
              <w:spacing w:after="0"/>
              <w:rPr>
                <w:sz w:val="20"/>
                <w:szCs w:val="20"/>
                <w:color w:val="auto"/>
              </w:rPr>
            </w:pPr>
            <w:r>
              <w:rPr>
                <w:rFonts w:ascii="Arial" w:cs="Arial" w:eastAsia="Arial" w:hAnsi="Arial"/>
                <w:sz w:val="18"/>
                <w:szCs w:val="18"/>
                <w:color w:val="auto"/>
              </w:rPr>
              <w:t>763</w:t>
            </w:r>
          </w:p>
        </w:tc>
        <w:tc>
          <w:tcPr>
            <w:tcW w:w="920" w:type="dxa"/>
            <w:vAlign w:val="bottom"/>
          </w:tcPr>
          <w:p>
            <w:pPr>
              <w:spacing w:after="0"/>
              <w:rPr>
                <w:sz w:val="18"/>
                <w:szCs w:val="18"/>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8"/>
                <w:szCs w:val="18"/>
                <w:color w:val="auto"/>
                <w:w w:val="88"/>
              </w:rPr>
              <w:t>1,380</w:t>
            </w:r>
          </w:p>
        </w:tc>
        <w:tc>
          <w:tcPr>
            <w:tcW w:w="780" w:type="dxa"/>
            <w:vAlign w:val="bottom"/>
          </w:tcPr>
          <w:p>
            <w:pPr>
              <w:spacing w:after="0"/>
              <w:rPr>
                <w:sz w:val="18"/>
                <w:szCs w:val="18"/>
                <w:color w:val="auto"/>
              </w:rPr>
            </w:pPr>
          </w:p>
        </w:tc>
        <w:tc>
          <w:tcPr>
            <w:tcW w:w="1060" w:type="dxa"/>
            <w:vAlign w:val="bottom"/>
          </w:tcPr>
          <w:p>
            <w:pPr>
              <w:jc w:val="right"/>
              <w:ind w:right="470"/>
              <w:spacing w:after="0"/>
              <w:rPr>
                <w:sz w:val="20"/>
                <w:szCs w:val="20"/>
                <w:color w:val="auto"/>
              </w:rPr>
            </w:pPr>
            <w:r>
              <w:rPr>
                <w:rFonts w:ascii="Arial" w:cs="Arial" w:eastAsia="Arial" w:hAnsi="Arial"/>
                <w:sz w:val="18"/>
                <w:szCs w:val="18"/>
                <w:color w:val="auto"/>
              </w:rPr>
              <w:t>(617)</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(45)%</w:t>
            </w:r>
          </w:p>
        </w:tc>
      </w:tr>
      <w:tr>
        <w:trPr>
          <w:trHeight w:val="216"/>
        </w:trPr>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Facility</w:t>
            </w:r>
          </w:p>
        </w:tc>
        <w:tc>
          <w:tcPr>
            <w:tcW w:w="800" w:type="dxa"/>
            <w:vAlign w:val="bottom"/>
            <w:shd w:val="clear" w:color="auto" w:fill="CCEEFF"/>
          </w:tcPr>
          <w:p>
            <w:pPr>
              <w:spacing w:after="0"/>
              <w:rPr>
                <w:sz w:val="18"/>
                <w:szCs w:val="18"/>
                <w:color w:val="auto"/>
              </w:rPr>
            </w:pPr>
          </w:p>
        </w:tc>
        <w:tc>
          <w:tcPr>
            <w:tcW w:w="5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3"/>
              </w:rPr>
              <w:t>1,606</w:t>
            </w:r>
          </w:p>
        </w:tc>
        <w:tc>
          <w:tcPr>
            <w:tcW w:w="9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8"/>
              </w:rPr>
              <w:t>1,709</w:t>
            </w:r>
          </w:p>
        </w:tc>
        <w:tc>
          <w:tcPr>
            <w:tcW w:w="78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(103)</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w:t>
            </w:r>
          </w:p>
        </w:tc>
      </w:tr>
      <w:tr>
        <w:trPr>
          <w:trHeight w:val="230"/>
        </w:trPr>
        <w:tc>
          <w:tcPr>
            <w:tcW w:w="5460" w:type="dxa"/>
            <w:vAlign w:val="bottom"/>
          </w:tcPr>
          <w:p>
            <w:pPr>
              <w:spacing w:after="0"/>
              <w:rPr>
                <w:sz w:val="20"/>
                <w:szCs w:val="20"/>
                <w:color w:val="auto"/>
              </w:rPr>
            </w:pPr>
            <w:r>
              <w:rPr>
                <w:rFonts w:ascii="Arial" w:cs="Arial" w:eastAsia="Arial" w:hAnsi="Arial"/>
                <w:sz w:val="18"/>
                <w:szCs w:val="18"/>
                <w:color w:val="auto"/>
              </w:rPr>
              <w:t>Product Development</w:t>
            </w:r>
          </w:p>
        </w:tc>
        <w:tc>
          <w:tcPr>
            <w:tcW w:w="800" w:type="dxa"/>
            <w:vAlign w:val="bottom"/>
          </w:tcPr>
          <w:p>
            <w:pPr>
              <w:spacing w:after="0"/>
              <w:rPr>
                <w:sz w:val="20"/>
                <w:szCs w:val="20"/>
                <w:color w:val="auto"/>
              </w:rPr>
            </w:pPr>
          </w:p>
        </w:tc>
        <w:tc>
          <w:tcPr>
            <w:tcW w:w="540" w:type="dxa"/>
            <w:vAlign w:val="bottom"/>
          </w:tcPr>
          <w:p>
            <w:pPr>
              <w:jc w:val="right"/>
              <w:ind w:right="10"/>
              <w:spacing w:after="0"/>
              <w:rPr>
                <w:sz w:val="20"/>
                <w:szCs w:val="20"/>
                <w:color w:val="auto"/>
              </w:rPr>
            </w:pPr>
            <w:r>
              <w:rPr>
                <w:rFonts w:ascii="Arial" w:cs="Arial" w:eastAsia="Arial" w:hAnsi="Arial"/>
                <w:sz w:val="18"/>
                <w:szCs w:val="18"/>
                <w:color w:val="auto"/>
                <w:w w:val="93"/>
              </w:rPr>
              <w:t>1,852</w:t>
            </w:r>
          </w:p>
        </w:tc>
        <w:tc>
          <w:tcPr>
            <w:tcW w:w="920" w:type="dxa"/>
            <w:vAlign w:val="bottom"/>
          </w:tcPr>
          <w:p>
            <w:pPr>
              <w:spacing w:after="0"/>
              <w:rPr>
                <w:sz w:val="20"/>
                <w:szCs w:val="20"/>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8"/>
                <w:szCs w:val="18"/>
                <w:color w:val="auto"/>
                <w:w w:val="88"/>
              </w:rPr>
              <w:t>1,579</w:t>
            </w:r>
          </w:p>
        </w:tc>
        <w:tc>
          <w:tcPr>
            <w:tcW w:w="780" w:type="dxa"/>
            <w:vAlign w:val="bottom"/>
          </w:tcPr>
          <w:p>
            <w:pPr>
              <w:spacing w:after="0"/>
              <w:rPr>
                <w:sz w:val="20"/>
                <w:szCs w:val="20"/>
                <w:color w:val="auto"/>
              </w:rPr>
            </w:pPr>
          </w:p>
        </w:tc>
        <w:tc>
          <w:tcPr>
            <w:tcW w:w="1060" w:type="dxa"/>
            <w:vAlign w:val="bottom"/>
          </w:tcPr>
          <w:p>
            <w:pPr>
              <w:jc w:val="right"/>
              <w:ind w:right="530"/>
              <w:spacing w:after="0"/>
              <w:rPr>
                <w:sz w:val="20"/>
                <w:szCs w:val="20"/>
                <w:color w:val="auto"/>
              </w:rPr>
            </w:pPr>
            <w:r>
              <w:rPr>
                <w:rFonts w:ascii="Arial" w:cs="Arial" w:eastAsia="Arial" w:hAnsi="Arial"/>
                <w:sz w:val="18"/>
                <w:szCs w:val="18"/>
                <w:color w:val="auto"/>
              </w:rPr>
              <w:t>273</w:t>
            </w: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17%</w:t>
            </w:r>
          </w:p>
        </w:tc>
      </w:tr>
    </w:tbl>
    <w:p>
      <w:pPr>
        <w:spacing w:after="0" w:line="187" w:lineRule="exact"/>
        <w:rPr>
          <w:sz w:val="20"/>
          <w:szCs w:val="20"/>
          <w:color w:val="auto"/>
        </w:rPr>
      </w:pPr>
    </w:p>
    <w:p>
      <w:pPr>
        <w:ind w:right="160" w:firstLine="648"/>
        <w:spacing w:after="0" w:line="259" w:lineRule="auto"/>
        <w:rPr>
          <w:sz w:val="20"/>
          <w:szCs w:val="20"/>
          <w:color w:val="auto"/>
        </w:rPr>
      </w:pPr>
      <w:r>
        <w:rPr>
          <w:rFonts w:ascii="Arial" w:cs="Arial" w:eastAsia="Arial" w:hAnsi="Arial"/>
          <w:sz w:val="18"/>
          <w:szCs w:val="18"/>
          <w:color w:val="auto"/>
        </w:rPr>
        <w:t>Personnel expenses primarily include salary, benefits, stock-based compensation and payroll taxes. The $0.2 million increase in personnel expenses for the three months ended September 30, 2020, as compared to the three months ended September 30, 2019, was primarily due to higher stock-based compensation expense. We expect personnel expenses to remain relatively consistent over the next twelve months, although there may be fluctuations on a quarterly basis.</w:t>
      </w:r>
    </w:p>
    <w:p>
      <w:pPr>
        <w:spacing w:after="0" w:line="187" w:lineRule="exact"/>
        <w:rPr>
          <w:sz w:val="20"/>
          <w:szCs w:val="20"/>
          <w:color w:val="auto"/>
        </w:rPr>
      </w:pPr>
    </w:p>
    <w:p>
      <w:pPr>
        <w:ind w:right="240" w:firstLine="648"/>
        <w:spacing w:after="0" w:line="279" w:lineRule="auto"/>
        <w:rPr>
          <w:sz w:val="20"/>
          <w:szCs w:val="20"/>
          <w:color w:val="auto"/>
        </w:rPr>
      </w:pPr>
      <w:r>
        <w:rPr>
          <w:rFonts w:ascii="Arial" w:cs="Arial" w:eastAsia="Arial" w:hAnsi="Arial"/>
          <w:sz w:val="17"/>
          <w:szCs w:val="17"/>
          <w:color w:val="auto"/>
        </w:rPr>
        <w:t>Laboratory supplies expenses include laboratory materials and supplies, services, and other related expenses incurred in the development of our technology. The $0.6 million decrease in laboratory supply expenses for the three months ended September 30, 2020, as compared to the three months ended September 30, 2019, was primarily due to lower laboratory materials and supplies purchases. We expect laboratory supplies expenses to remain relatively consistent over the next twelve months, although there may be fluctuations on a quarterly basis.</w:t>
      </w:r>
    </w:p>
    <w:p>
      <w:pPr>
        <w:spacing w:after="0" w:line="171" w:lineRule="exact"/>
        <w:rPr>
          <w:sz w:val="20"/>
          <w:szCs w:val="20"/>
          <w:color w:val="auto"/>
        </w:rPr>
      </w:pPr>
    </w:p>
    <w:p>
      <w:pPr>
        <w:ind w:right="100" w:firstLine="648"/>
        <w:spacing w:after="0" w:line="257" w:lineRule="auto"/>
        <w:rPr>
          <w:sz w:val="20"/>
          <w:szCs w:val="20"/>
          <w:color w:val="auto"/>
        </w:rPr>
      </w:pPr>
      <w:r>
        <w:rPr>
          <w:rFonts w:ascii="Arial" w:cs="Arial" w:eastAsia="Arial" w:hAnsi="Arial"/>
          <w:sz w:val="18"/>
          <w:szCs w:val="18"/>
          <w:color w:val="auto"/>
        </w:rPr>
        <w:t>Facility expenses include depreciation, amortization, utilities, rent, maintenance and other related expenses incurred at our facilities. The $0.1 million decrease in facility expenses for the three months ended September 30, 2020, as compared to the three months ended September 30, 2019, was primarily due to lower rent and depreciation expenses. We expect facility expenses to decrease over the next twelve months as a result of the consolidation our Massachusetts lab and manufacturing facilities in the second quarter of 2020. In July 2020, we extended the term of our Fall River lease through July 2023.</w:t>
      </w:r>
    </w:p>
    <w:p>
      <w:pPr>
        <w:spacing w:after="0" w:line="188"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Product development expenses include clinical investigator site fees, external trial monitoring costs, data accumulation costs, contracted research and outside clinical drug product manufacturing. The $0.3 million increase in product development expenses for the three months ended September 30, 2020, as compared to the three months ended September 30, 2019, was primarily due to an increase in contract manufacturing and clinical trial expenses of $0.6 million, partially offset by a decrease in contract research expenses of $0.3 million. We expect product development expenses to increase over the next twelve months, although there may be fluctuations on a quarterly basis.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Expense</w:t>
      </w:r>
    </w:p>
    <w:p>
      <w:pPr>
        <w:spacing w:after="0" w:line="225" w:lineRule="exact"/>
        <w:rPr>
          <w:sz w:val="20"/>
          <w:szCs w:val="20"/>
          <w:color w:val="auto"/>
        </w:rPr>
      </w:pPr>
    </w:p>
    <w:p>
      <w:pPr>
        <w:ind w:right="20" w:firstLine="648"/>
        <w:spacing w:after="0" w:line="263" w:lineRule="auto"/>
        <w:rPr>
          <w:sz w:val="20"/>
          <w:szCs w:val="20"/>
          <w:color w:val="auto"/>
        </w:rPr>
      </w:pPr>
      <w:r>
        <w:rPr>
          <w:rFonts w:ascii="Arial" w:cs="Arial" w:eastAsia="Arial" w:hAnsi="Arial"/>
          <w:sz w:val="18"/>
          <w:szCs w:val="18"/>
          <w:color w:val="auto"/>
        </w:rPr>
        <w:t>The $0.2 million increase in general and administrative expenses for the three months ended September 30, 2020, as compared to the three months ended September 30, 2019, was primarily due to higher stock-based compensation expense. We expect general and administrative expenses to remain relatively consistent over the next twelve months, although there may be fluctuations on a quarterly basis.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Gain on Fair Value Remeasurement of Contingent Consideration</w:t>
      </w:r>
    </w:p>
    <w:p>
      <w:pPr>
        <w:spacing w:after="0" w:line="225" w:lineRule="exact"/>
        <w:rPr>
          <w:sz w:val="20"/>
          <w:szCs w:val="20"/>
          <w:color w:val="auto"/>
        </w:rPr>
      </w:pPr>
    </w:p>
    <w:p>
      <w:pPr>
        <w:ind w:right="140" w:firstLine="648"/>
        <w:spacing w:after="0" w:line="263" w:lineRule="auto"/>
        <w:rPr>
          <w:sz w:val="20"/>
          <w:szCs w:val="20"/>
          <w:color w:val="auto"/>
        </w:rPr>
      </w:pPr>
      <w:r>
        <w:rPr>
          <w:rFonts w:ascii="Arial" w:cs="Arial" w:eastAsia="Arial" w:hAnsi="Arial"/>
          <w:sz w:val="18"/>
          <w:szCs w:val="18"/>
          <w:color w:val="auto"/>
        </w:rPr>
        <w:t>The $0.7 million loss on fair value remeasurement of contingent consideration for the three months ended September 30, 2020 was primarily due to changes in discount rates and the passage of time. The $2.1 million gain on fair value remeasurement of contingent consideration for the three months ended September 30, 2019 was primarily due to updated assumptions for the varlilumab program.</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3" w:name="page24"/>
    <w:bookmarkEnd w:id="23"/>
    <w:p>
      <w:pPr>
        <w:spacing w:after="0"/>
        <w:rPr>
          <w:sz w:val="20"/>
          <w:szCs w:val="20"/>
          <w:color w:val="auto"/>
        </w:rPr>
      </w:pPr>
      <w:r>
        <w:rPr>
          <w:rFonts w:ascii="Arial" w:cs="Arial" w:eastAsia="Arial" w:hAnsi="Arial"/>
          <w:sz w:val="18"/>
          <w:szCs w:val="18"/>
          <w:i w:val="1"/>
          <w:iCs w:val="1"/>
          <w:color w:val="auto"/>
        </w:rPr>
        <w:t>Investment and Other Income, Net</w:t>
      </w:r>
    </w:p>
    <w:p>
      <w:pPr>
        <w:spacing w:after="0" w:line="225" w:lineRule="exact"/>
        <w:rPr>
          <w:sz w:val="20"/>
          <w:szCs w:val="20"/>
          <w:color w:val="auto"/>
        </w:rPr>
      </w:pPr>
    </w:p>
    <w:p>
      <w:pPr>
        <w:jc w:val="both"/>
        <w:ind w:right="180" w:firstLine="648"/>
        <w:spacing w:after="0" w:line="286" w:lineRule="auto"/>
        <w:rPr>
          <w:sz w:val="20"/>
          <w:szCs w:val="20"/>
          <w:color w:val="auto"/>
        </w:rPr>
      </w:pPr>
      <w:r>
        <w:rPr>
          <w:rFonts w:ascii="Arial" w:cs="Arial" w:eastAsia="Arial" w:hAnsi="Arial"/>
          <w:sz w:val="17"/>
          <w:szCs w:val="17"/>
          <w:color w:val="auto"/>
        </w:rPr>
        <w:t>The $0.3 million decrease in investment and other income, net for the three months ended September 30, 2020, as compared to the three months ended September 30, 2019, was primarily due to lower interest rates on fixed income investments. We anticipate investment and other income to increase over the next twelve months due to higher other income related to our sale of New Jersey tax benefits.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Nine Months Ended September 30, 2020 Compared with Nine Months Ended September 30, 2019</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40" w:type="dxa"/>
            <w:vAlign w:val="bottom"/>
            <w:gridSpan w:val="6"/>
          </w:tcPr>
          <w:p>
            <w:pPr>
              <w:jc w:val="right"/>
              <w:ind w:right="721"/>
              <w:spacing w:after="0"/>
              <w:rPr>
                <w:sz w:val="20"/>
                <w:szCs w:val="20"/>
                <w:color w:val="auto"/>
              </w:rPr>
            </w:pPr>
            <w:r>
              <w:rPr>
                <w:rFonts w:ascii="Arial" w:cs="Arial" w:eastAsia="Arial" w:hAnsi="Arial"/>
                <w:sz w:val="18"/>
                <w:szCs w:val="18"/>
                <w:b w:val="1"/>
                <w:bCs w:val="1"/>
                <w:color w:val="auto"/>
              </w:rPr>
              <w:t>Nine Months Ended</w:t>
            </w:r>
          </w:p>
        </w:tc>
        <w:tc>
          <w:tcPr>
            <w:tcW w:w="140" w:type="dxa"/>
            <w:vAlign w:val="bottom"/>
          </w:tcPr>
          <w:p>
            <w:pPr>
              <w:spacing w:after="0"/>
              <w:rPr>
                <w:sz w:val="18"/>
                <w:szCs w:val="18"/>
                <w:color w:val="auto"/>
              </w:rPr>
            </w:pPr>
          </w:p>
        </w:tc>
        <w:tc>
          <w:tcPr>
            <w:tcW w:w="1300" w:type="dxa"/>
            <w:vAlign w:val="bottom"/>
            <w:gridSpan w:val="2"/>
          </w:tcPr>
          <w:p>
            <w:pPr>
              <w:jc w:val="center"/>
              <w:ind w:right="281"/>
              <w:spacing w:after="0"/>
              <w:rPr>
                <w:sz w:val="20"/>
                <w:szCs w:val="20"/>
                <w:color w:val="auto"/>
              </w:rPr>
            </w:pPr>
            <w:r>
              <w:rPr>
                <w:rFonts w:ascii="Arial" w:cs="Arial" w:eastAsia="Arial" w:hAnsi="Arial"/>
                <w:sz w:val="18"/>
                <w:szCs w:val="18"/>
                <w:b w:val="1"/>
                <w:bCs w:val="1"/>
                <w:color w:val="auto"/>
                <w:w w:val="89"/>
              </w:rPr>
              <w:t>Increase/</w:t>
            </w:r>
          </w:p>
        </w:tc>
        <w:tc>
          <w:tcPr>
            <w:tcW w:w="144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89"/>
              </w:rPr>
              <w:t>Increase/</w:t>
            </w:r>
          </w:p>
        </w:tc>
        <w:tc>
          <w:tcPr>
            <w:tcW w:w="0" w:type="dxa"/>
            <w:vAlign w:val="bottom"/>
          </w:tcPr>
          <w:p>
            <w:pPr>
              <w:spacing w:after="0"/>
              <w:rPr>
                <w:sz w:val="1"/>
                <w:szCs w:val="1"/>
                <w:color w:val="auto"/>
              </w:rPr>
            </w:pPr>
          </w:p>
        </w:tc>
      </w:tr>
      <w:tr>
        <w:trPr>
          <w:trHeight w:val="234"/>
        </w:trPr>
        <w:tc>
          <w:tcPr>
            <w:tcW w:w="54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640" w:type="dxa"/>
            <w:vAlign w:val="bottom"/>
            <w:gridSpan w:val="6"/>
          </w:tcPr>
          <w:p>
            <w:pPr>
              <w:jc w:val="right"/>
              <w:ind w:right="941"/>
              <w:spacing w:after="0"/>
              <w:rPr>
                <w:sz w:val="20"/>
                <w:szCs w:val="20"/>
                <w:color w:val="auto"/>
              </w:rPr>
            </w:pPr>
            <w:r>
              <w:rPr>
                <w:rFonts w:ascii="Arial" w:cs="Arial" w:eastAsia="Arial" w:hAnsi="Arial"/>
                <w:sz w:val="18"/>
                <w:szCs w:val="18"/>
                <w:b w:val="1"/>
                <w:bCs w:val="1"/>
                <w:color w:val="auto"/>
              </w:rPr>
              <w:t>September 30,</w:t>
            </w:r>
          </w:p>
        </w:tc>
        <w:tc>
          <w:tcPr>
            <w:tcW w:w="140" w:type="dxa"/>
            <w:vAlign w:val="bottom"/>
          </w:tcPr>
          <w:p>
            <w:pPr>
              <w:spacing w:after="0"/>
              <w:rPr>
                <w:sz w:val="20"/>
                <w:szCs w:val="20"/>
                <w:color w:val="auto"/>
              </w:rPr>
            </w:pPr>
          </w:p>
        </w:tc>
        <w:tc>
          <w:tcPr>
            <w:tcW w:w="1300" w:type="dxa"/>
            <w:vAlign w:val="bottom"/>
            <w:gridSpan w:val="2"/>
          </w:tcPr>
          <w:p>
            <w:pPr>
              <w:jc w:val="center"/>
              <w:ind w:right="301"/>
              <w:spacing w:after="0"/>
              <w:rPr>
                <w:sz w:val="20"/>
                <w:szCs w:val="20"/>
                <w:color w:val="auto"/>
              </w:rPr>
            </w:pPr>
            <w:r>
              <w:rPr>
                <w:rFonts w:ascii="Arial" w:cs="Arial" w:eastAsia="Arial" w:hAnsi="Arial"/>
                <w:sz w:val="18"/>
                <w:szCs w:val="18"/>
                <w:b w:val="1"/>
                <w:bCs w:val="1"/>
                <w:color w:val="auto"/>
                <w:w w:val="86"/>
              </w:rPr>
              <w:t>(Decrease)</w:t>
            </w:r>
          </w:p>
        </w:tc>
        <w:tc>
          <w:tcPr>
            <w:tcW w:w="144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89"/>
              </w:rPr>
              <w:t>(Decrease)</w:t>
            </w:r>
          </w:p>
        </w:tc>
        <w:tc>
          <w:tcPr>
            <w:tcW w:w="0" w:type="dxa"/>
            <w:vAlign w:val="bottom"/>
          </w:tcPr>
          <w:p>
            <w:pPr>
              <w:spacing w:after="0"/>
              <w:rPr>
                <w:sz w:val="1"/>
                <w:szCs w:val="1"/>
                <w:color w:val="auto"/>
              </w:rPr>
            </w:pPr>
          </w:p>
        </w:tc>
      </w:tr>
      <w:tr>
        <w:trPr>
          <w:trHeight w:val="223"/>
        </w:trPr>
        <w:tc>
          <w:tcPr>
            <w:tcW w:w="5460" w:type="dxa"/>
            <w:vAlign w:val="bottom"/>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2020</w:t>
            </w:r>
          </w:p>
        </w:tc>
        <w:tc>
          <w:tcPr>
            <w:tcW w:w="12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2019</w:t>
            </w:r>
          </w:p>
        </w:tc>
        <w:tc>
          <w:tcPr>
            <w:tcW w:w="220" w:type="dxa"/>
            <w:vAlign w:val="bottom"/>
            <w:tcBorders>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99"/>
              </w:rPr>
              <w:t>$</w:t>
            </w:r>
          </w:p>
        </w:tc>
        <w:tc>
          <w:tcPr>
            <w:tcW w:w="220" w:type="dxa"/>
            <w:vAlign w:val="bottom"/>
          </w:tcPr>
          <w:p>
            <w:pPr>
              <w:spacing w:after="0"/>
              <w:rPr>
                <w:sz w:val="19"/>
                <w:szCs w:val="19"/>
                <w:color w:val="auto"/>
              </w:rPr>
            </w:pPr>
          </w:p>
        </w:tc>
        <w:tc>
          <w:tcPr>
            <w:tcW w:w="122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b w:val="1"/>
                <w:bCs w:val="1"/>
                <w:color w:val="auto"/>
              </w:rPr>
              <w:t>%</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54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640" w:type="dxa"/>
            <w:vAlign w:val="bottom"/>
            <w:gridSpan w:val="5"/>
          </w:tcPr>
          <w:p>
            <w:pPr>
              <w:jc w:val="right"/>
              <w:ind w:right="921"/>
              <w:spacing w:after="0"/>
              <w:rPr>
                <w:sz w:val="20"/>
                <w:szCs w:val="20"/>
                <w:color w:val="auto"/>
              </w:rPr>
            </w:pPr>
            <w:r>
              <w:rPr>
                <w:rFonts w:ascii="Arial" w:cs="Arial" w:eastAsia="Arial" w:hAnsi="Arial"/>
                <w:sz w:val="18"/>
                <w:szCs w:val="18"/>
                <w:b w:val="1"/>
                <w:bCs w:val="1"/>
                <w:color w:val="auto"/>
              </w:rPr>
              <w:t>(In thousands)</w:t>
            </w:r>
          </w:p>
        </w:tc>
        <w:tc>
          <w:tcPr>
            <w:tcW w:w="1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26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5460" w:type="dxa"/>
            <w:vAlign w:val="bottom"/>
          </w:tcPr>
          <w:p>
            <w:pPr>
              <w:ind w:left="180"/>
              <w:spacing w:after="0"/>
              <w:rPr>
                <w:sz w:val="20"/>
                <w:szCs w:val="20"/>
                <w:color w:val="auto"/>
              </w:rPr>
            </w:pPr>
            <w:r>
              <w:rPr>
                <w:rFonts w:ascii="Arial" w:cs="Arial" w:eastAsia="Arial" w:hAnsi="Arial"/>
                <w:sz w:val="18"/>
                <w:szCs w:val="18"/>
                <w:color w:val="auto"/>
              </w:rPr>
              <w:t>Product Development and Licensing Agreements</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41"/>
              <w:spacing w:after="0"/>
              <w:rPr>
                <w:sz w:val="20"/>
                <w:szCs w:val="20"/>
                <w:color w:val="auto"/>
              </w:rPr>
            </w:pPr>
            <w:r>
              <w:rPr>
                <w:rFonts w:ascii="Arial" w:cs="Arial" w:eastAsia="Arial" w:hAnsi="Arial"/>
                <w:sz w:val="18"/>
                <w:szCs w:val="18"/>
                <w:color w:val="auto"/>
              </w:rPr>
              <w:t>2,297</w:t>
            </w:r>
          </w:p>
        </w:tc>
        <w:tc>
          <w:tcPr>
            <w:tcW w:w="34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141"/>
              <w:spacing w:after="0"/>
              <w:rPr>
                <w:sz w:val="20"/>
                <w:szCs w:val="20"/>
                <w:color w:val="auto"/>
              </w:rPr>
            </w:pPr>
            <w:r>
              <w:rPr>
                <w:rFonts w:ascii="Arial" w:cs="Arial" w:eastAsia="Arial" w:hAnsi="Arial"/>
                <w:sz w:val="18"/>
                <w:szCs w:val="18"/>
                <w:color w:val="auto"/>
              </w:rPr>
              <w:t>379</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gridSpan w:val="2"/>
          </w:tcPr>
          <w:p>
            <w:pPr>
              <w:jc w:val="right"/>
              <w:ind w:right="141"/>
              <w:spacing w:after="0"/>
              <w:rPr>
                <w:sz w:val="20"/>
                <w:szCs w:val="20"/>
                <w:color w:val="auto"/>
              </w:rPr>
            </w:pPr>
            <w:r>
              <w:rPr>
                <w:rFonts w:ascii="Arial" w:cs="Arial" w:eastAsia="Arial" w:hAnsi="Arial"/>
                <w:sz w:val="18"/>
                <w:szCs w:val="18"/>
                <w:color w:val="auto"/>
              </w:rPr>
              <w:t>1,918</w:t>
            </w:r>
          </w:p>
        </w:tc>
        <w:tc>
          <w:tcPr>
            <w:tcW w:w="1440" w:type="dxa"/>
            <w:vAlign w:val="bottom"/>
            <w:gridSpan w:val="3"/>
          </w:tcPr>
          <w:p>
            <w:pPr>
              <w:jc w:val="right"/>
              <w:ind w:right="60"/>
              <w:spacing w:after="0"/>
              <w:rPr>
                <w:sz w:val="20"/>
                <w:szCs w:val="20"/>
                <w:color w:val="auto"/>
              </w:rPr>
            </w:pPr>
            <w:r>
              <w:rPr>
                <w:rFonts w:ascii="Arial" w:cs="Arial" w:eastAsia="Arial" w:hAnsi="Arial"/>
                <w:sz w:val="18"/>
                <w:szCs w:val="18"/>
                <w:color w:val="auto"/>
              </w:rPr>
              <w:t>506%</w:t>
            </w:r>
          </w:p>
        </w:tc>
        <w:tc>
          <w:tcPr>
            <w:tcW w:w="0" w:type="dxa"/>
            <w:vAlign w:val="bottom"/>
          </w:tcPr>
          <w:p>
            <w:pPr>
              <w:spacing w:after="0"/>
              <w:rPr>
                <w:sz w:val="1"/>
                <w:szCs w:val="1"/>
                <w:color w:val="auto"/>
              </w:rPr>
            </w:pPr>
          </w:p>
        </w:tc>
      </w:tr>
      <w:tr>
        <w:trPr>
          <w:trHeight w:val="230"/>
        </w:trPr>
        <w:tc>
          <w:tcPr>
            <w:tcW w:w="54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Contracts and Grants</w:t>
            </w:r>
          </w:p>
        </w:tc>
        <w:tc>
          <w:tcPr>
            <w:tcW w:w="26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1,336</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2,307</w:t>
            </w:r>
          </w:p>
        </w:tc>
        <w:tc>
          <w:tcPr>
            <w:tcW w:w="1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(971)</w:t>
            </w:r>
          </w:p>
        </w:tc>
        <w:tc>
          <w:tcPr>
            <w:tcW w:w="14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63"/>
        </w:trPr>
        <w:tc>
          <w:tcPr>
            <w:tcW w:w="54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Revenue</w:t>
            </w: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3,633</w:t>
            </w:r>
          </w:p>
        </w:tc>
        <w:tc>
          <w:tcPr>
            <w:tcW w:w="12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2,686</w:t>
            </w:r>
          </w:p>
        </w:tc>
        <w:tc>
          <w:tcPr>
            <w:tcW w:w="220" w:type="dxa"/>
            <w:vAlign w:val="bottom"/>
            <w:tcBorders>
              <w:bottom w:val="single" w:sz="8" w:color="CCEEFF"/>
            </w:tcBorders>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947</w:t>
            </w:r>
          </w:p>
        </w:tc>
        <w:tc>
          <w:tcPr>
            <w:tcW w:w="220" w:type="dxa"/>
            <w:vAlign w:val="bottom"/>
            <w:tcBorders>
              <w:bottom w:val="single" w:sz="8" w:color="CCEEFF"/>
            </w:tcBorders>
          </w:tcPr>
          <w:p>
            <w:pPr>
              <w:spacing w:after="0"/>
              <w:rPr>
                <w:sz w:val="22"/>
                <w:szCs w:val="22"/>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w:t>
            </w:r>
          </w:p>
        </w:tc>
        <w:tc>
          <w:tcPr>
            <w:tcW w:w="22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460" w:type="dxa"/>
            <w:vAlign w:val="bottom"/>
          </w:tcPr>
          <w:p>
            <w:pPr>
              <w:ind w:left="180"/>
              <w:spacing w:after="0"/>
              <w:rPr>
                <w:sz w:val="20"/>
                <w:szCs w:val="20"/>
                <w:color w:val="auto"/>
              </w:rPr>
            </w:pPr>
            <w:r>
              <w:rPr>
                <w:rFonts w:ascii="Arial" w:cs="Arial" w:eastAsia="Arial" w:hAnsi="Arial"/>
                <w:sz w:val="18"/>
                <w:szCs w:val="18"/>
                <w:color w:val="auto"/>
              </w:rPr>
              <w:t>Research and Development</w:t>
            </w:r>
          </w:p>
        </w:tc>
        <w:tc>
          <w:tcPr>
            <w:tcW w:w="260" w:type="dxa"/>
            <w:vAlign w:val="bottom"/>
          </w:tcPr>
          <w:p>
            <w:pPr>
              <w:spacing w:after="0"/>
              <w:rPr>
                <w:sz w:val="18"/>
                <w:szCs w:val="18"/>
                <w:color w:val="auto"/>
              </w:rPr>
            </w:pPr>
          </w:p>
        </w:tc>
        <w:tc>
          <w:tcPr>
            <w:tcW w:w="1100" w:type="dxa"/>
            <w:vAlign w:val="bottom"/>
            <w:gridSpan w:val="2"/>
          </w:tcPr>
          <w:p>
            <w:pPr>
              <w:jc w:val="right"/>
              <w:ind w:right="41"/>
              <w:spacing w:after="0"/>
              <w:rPr>
                <w:sz w:val="20"/>
                <w:szCs w:val="20"/>
                <w:color w:val="auto"/>
              </w:rPr>
            </w:pPr>
            <w:r>
              <w:rPr>
                <w:rFonts w:ascii="Arial" w:cs="Arial" w:eastAsia="Arial" w:hAnsi="Arial"/>
                <w:sz w:val="18"/>
                <w:szCs w:val="18"/>
                <w:color w:val="auto"/>
              </w:rPr>
              <w:t>32,109</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gridSpan w:val="2"/>
          </w:tcPr>
          <w:p>
            <w:pPr>
              <w:jc w:val="right"/>
              <w:ind w:right="141"/>
              <w:spacing w:after="0"/>
              <w:rPr>
                <w:sz w:val="20"/>
                <w:szCs w:val="20"/>
                <w:color w:val="auto"/>
              </w:rPr>
            </w:pPr>
            <w:r>
              <w:rPr>
                <w:rFonts w:ascii="Arial" w:cs="Arial" w:eastAsia="Arial" w:hAnsi="Arial"/>
                <w:sz w:val="18"/>
                <w:szCs w:val="18"/>
                <w:color w:val="auto"/>
              </w:rPr>
              <w:t>32,333</w:t>
            </w:r>
          </w:p>
        </w:tc>
        <w:tc>
          <w:tcPr>
            <w:tcW w:w="140" w:type="dxa"/>
            <w:vAlign w:val="bottom"/>
          </w:tcPr>
          <w:p>
            <w:pPr>
              <w:spacing w:after="0"/>
              <w:rPr>
                <w:sz w:val="18"/>
                <w:szCs w:val="18"/>
                <w:color w:val="auto"/>
              </w:rPr>
            </w:pPr>
          </w:p>
        </w:tc>
        <w:tc>
          <w:tcPr>
            <w:tcW w:w="1300" w:type="dxa"/>
            <w:vAlign w:val="bottom"/>
            <w:gridSpan w:val="2"/>
          </w:tcPr>
          <w:p>
            <w:pPr>
              <w:jc w:val="right"/>
              <w:ind w:right="81"/>
              <w:spacing w:after="0"/>
              <w:rPr>
                <w:sz w:val="20"/>
                <w:szCs w:val="20"/>
                <w:color w:val="auto"/>
              </w:rPr>
            </w:pPr>
            <w:r>
              <w:rPr>
                <w:rFonts w:ascii="Arial" w:cs="Arial" w:eastAsia="Arial" w:hAnsi="Arial"/>
                <w:sz w:val="18"/>
                <w:szCs w:val="18"/>
                <w:color w:val="auto"/>
              </w:rPr>
              <w:t>(224)</w:t>
            </w:r>
          </w:p>
        </w:tc>
        <w:tc>
          <w:tcPr>
            <w:tcW w:w="1440" w:type="dxa"/>
            <w:vAlign w:val="bottom"/>
            <w:gridSpan w:val="3"/>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54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General and Administrative</w:t>
            </w: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10,833</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12,207</w:t>
            </w:r>
          </w:p>
        </w:tc>
        <w:tc>
          <w:tcPr>
            <w:tcW w:w="1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(1,374)</w:t>
            </w:r>
          </w:p>
        </w:tc>
        <w:tc>
          <w:tcPr>
            <w:tcW w:w="14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5460" w:type="dxa"/>
            <w:vAlign w:val="bottom"/>
          </w:tcPr>
          <w:p>
            <w:pPr>
              <w:ind w:left="180"/>
              <w:spacing w:after="0"/>
              <w:rPr>
                <w:sz w:val="20"/>
                <w:szCs w:val="20"/>
                <w:color w:val="auto"/>
              </w:rPr>
            </w:pPr>
            <w:r>
              <w:rPr>
                <w:rFonts w:ascii="Arial" w:cs="Arial" w:eastAsia="Arial" w:hAnsi="Arial"/>
                <w:sz w:val="18"/>
                <w:szCs w:val="18"/>
                <w:color w:val="auto"/>
              </w:rPr>
              <w:t>Intangible Asset Impairment</w:t>
            </w:r>
          </w:p>
        </w:tc>
        <w:tc>
          <w:tcPr>
            <w:tcW w:w="260" w:type="dxa"/>
            <w:vAlign w:val="bottom"/>
          </w:tcPr>
          <w:p>
            <w:pPr>
              <w:spacing w:after="0"/>
              <w:rPr>
                <w:sz w:val="18"/>
                <w:szCs w:val="18"/>
                <w:color w:val="auto"/>
              </w:rPr>
            </w:pPr>
          </w:p>
        </w:tc>
        <w:tc>
          <w:tcPr>
            <w:tcW w:w="1100" w:type="dxa"/>
            <w:vAlign w:val="bottom"/>
            <w:gridSpan w:val="2"/>
          </w:tcPr>
          <w:p>
            <w:pPr>
              <w:jc w:val="right"/>
              <w:ind w:right="41"/>
              <w:spacing w:after="0"/>
              <w:rPr>
                <w:sz w:val="20"/>
                <w:szCs w:val="20"/>
                <w:color w:val="auto"/>
              </w:rPr>
            </w:pPr>
            <w:r>
              <w:rPr>
                <w:rFonts w:ascii="Arial" w:cs="Arial" w:eastAsia="Arial" w:hAnsi="Arial"/>
                <w:sz w:val="18"/>
                <w:szCs w:val="18"/>
                <w:color w:val="auto"/>
              </w:rPr>
              <w:t>3,500</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300" w:type="dxa"/>
            <w:vAlign w:val="bottom"/>
            <w:gridSpan w:val="2"/>
          </w:tcPr>
          <w:p>
            <w:pPr>
              <w:jc w:val="right"/>
              <w:ind w:right="141"/>
              <w:spacing w:after="0"/>
              <w:rPr>
                <w:sz w:val="20"/>
                <w:szCs w:val="20"/>
                <w:color w:val="auto"/>
              </w:rPr>
            </w:pPr>
            <w:r>
              <w:rPr>
                <w:rFonts w:ascii="Arial" w:cs="Arial" w:eastAsia="Arial" w:hAnsi="Arial"/>
                <w:sz w:val="18"/>
                <w:szCs w:val="18"/>
                <w:color w:val="auto"/>
              </w:rPr>
              <w:t>3,500</w:t>
            </w:r>
          </w:p>
        </w:tc>
        <w:tc>
          <w:tcPr>
            <w:tcW w:w="1440" w:type="dxa"/>
            <w:vAlign w:val="bottom"/>
            <w:gridSpan w:val="3"/>
          </w:tcPr>
          <w:p>
            <w:pPr>
              <w:jc w:val="right"/>
              <w:ind w:right="22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54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Asset Impairment</w:t>
            </w: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1,800</w:t>
            </w:r>
          </w:p>
        </w:tc>
        <w:tc>
          <w:tcPr>
            <w:tcW w:w="1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(1,800)</w:t>
            </w:r>
          </w:p>
        </w:tc>
        <w:tc>
          <w:tcPr>
            <w:tcW w:w="14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29"/>
        </w:trPr>
        <w:tc>
          <w:tcPr>
            <w:tcW w:w="5460" w:type="dxa"/>
            <w:vAlign w:val="bottom"/>
          </w:tcPr>
          <w:p>
            <w:pPr>
              <w:ind w:left="180"/>
              <w:spacing w:after="0"/>
              <w:rPr>
                <w:sz w:val="20"/>
                <w:szCs w:val="20"/>
                <w:color w:val="auto"/>
              </w:rPr>
            </w:pPr>
            <w:r>
              <w:rPr>
                <w:rFonts w:ascii="Arial" w:cs="Arial" w:eastAsia="Arial" w:hAnsi="Arial"/>
                <w:sz w:val="18"/>
                <w:szCs w:val="18"/>
                <w:color w:val="auto"/>
              </w:rPr>
              <w:t>Gain on Fair Value Remeasurement of Contingent Consideration</w:t>
            </w:r>
          </w:p>
        </w:tc>
        <w:tc>
          <w:tcPr>
            <w:tcW w:w="260" w:type="dxa"/>
            <w:vAlign w:val="bottom"/>
          </w:tcPr>
          <w:p>
            <w:pPr>
              <w:spacing w:after="0"/>
              <w:rPr>
                <w:sz w:val="19"/>
                <w:szCs w:val="19"/>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(4,236)</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0" w:type="dxa"/>
            <w:vAlign w:val="bottom"/>
            <w:gridSpan w:val="2"/>
          </w:tcPr>
          <w:p>
            <w:pPr>
              <w:jc w:val="right"/>
              <w:ind w:right="81"/>
              <w:spacing w:after="0"/>
              <w:rPr>
                <w:sz w:val="20"/>
                <w:szCs w:val="20"/>
                <w:color w:val="auto"/>
              </w:rPr>
            </w:pPr>
            <w:r>
              <w:rPr>
                <w:rFonts w:ascii="Arial" w:cs="Arial" w:eastAsia="Arial" w:hAnsi="Arial"/>
                <w:sz w:val="18"/>
                <w:szCs w:val="18"/>
                <w:color w:val="auto"/>
              </w:rPr>
              <w:t>(1,612)</w:t>
            </w:r>
          </w:p>
        </w:tc>
        <w:tc>
          <w:tcPr>
            <w:tcW w:w="140" w:type="dxa"/>
            <w:vAlign w:val="bottom"/>
          </w:tcPr>
          <w:p>
            <w:pPr>
              <w:spacing w:after="0"/>
              <w:rPr>
                <w:sz w:val="19"/>
                <w:szCs w:val="19"/>
                <w:color w:val="auto"/>
              </w:rPr>
            </w:pPr>
          </w:p>
        </w:tc>
        <w:tc>
          <w:tcPr>
            <w:tcW w:w="1300" w:type="dxa"/>
            <w:vAlign w:val="bottom"/>
            <w:gridSpan w:val="2"/>
          </w:tcPr>
          <w:p>
            <w:pPr>
              <w:jc w:val="right"/>
              <w:ind w:right="141"/>
              <w:spacing w:after="0"/>
              <w:rPr>
                <w:sz w:val="20"/>
                <w:szCs w:val="20"/>
                <w:color w:val="auto"/>
              </w:rPr>
            </w:pPr>
            <w:r>
              <w:rPr>
                <w:rFonts w:ascii="Arial" w:cs="Arial" w:eastAsia="Arial" w:hAnsi="Arial"/>
                <w:sz w:val="18"/>
                <w:szCs w:val="18"/>
                <w:color w:val="auto"/>
              </w:rPr>
              <w:t>2,624</w:t>
            </w:r>
          </w:p>
        </w:tc>
        <w:tc>
          <w:tcPr>
            <w:tcW w:w="1440" w:type="dxa"/>
            <w:vAlign w:val="bottom"/>
            <w:gridSpan w:val="3"/>
          </w:tcPr>
          <w:p>
            <w:pPr>
              <w:jc w:val="right"/>
              <w:ind w:right="60"/>
              <w:spacing w:after="0"/>
              <w:rPr>
                <w:sz w:val="20"/>
                <w:szCs w:val="20"/>
                <w:color w:val="auto"/>
              </w:rPr>
            </w:pPr>
            <w:r>
              <w:rPr>
                <w:rFonts w:ascii="Arial" w:cs="Arial" w:eastAsia="Arial" w:hAnsi="Arial"/>
                <w:sz w:val="18"/>
                <w:szCs w:val="18"/>
                <w:color w:val="auto"/>
              </w:rPr>
              <w:t>163%</w:t>
            </w:r>
          </w:p>
        </w:tc>
        <w:tc>
          <w:tcPr>
            <w:tcW w:w="0" w:type="dxa"/>
            <w:vAlign w:val="bottom"/>
          </w:tcPr>
          <w:p>
            <w:pPr>
              <w:spacing w:after="0"/>
              <w:rPr>
                <w:sz w:val="1"/>
                <w:szCs w:val="1"/>
                <w:color w:val="auto"/>
              </w:rPr>
            </w:pPr>
          </w:p>
        </w:tc>
      </w:tr>
      <w:tr>
        <w:trPr>
          <w:trHeight w:val="210"/>
        </w:trPr>
        <w:tc>
          <w:tcPr>
            <w:tcW w:w="54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Operating Expense</w:t>
            </w: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42,206</w:t>
            </w: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44,728</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(2,522</w:t>
            </w:r>
          </w:p>
        </w:tc>
        <w:tc>
          <w:tcPr>
            <w:tcW w:w="220" w:type="dxa"/>
            <w:vAlign w:val="bottom"/>
            <w:tcBorders>
              <w:top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w w:val="74"/>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22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w w:val="90"/>
              </w:rPr>
              <w:t>)%</w:t>
            </w:r>
          </w:p>
        </w:tc>
        <w:tc>
          <w:tcPr>
            <w:tcW w:w="0" w:type="dxa"/>
            <w:vAlign w:val="bottom"/>
          </w:tcPr>
          <w:p>
            <w:pPr>
              <w:spacing w:after="0"/>
              <w:rPr>
                <w:sz w:val="1"/>
                <w:szCs w:val="1"/>
                <w:color w:val="auto"/>
              </w:rPr>
            </w:pPr>
          </w:p>
        </w:tc>
      </w:tr>
      <w:tr>
        <w:trPr>
          <w:trHeight w:val="209"/>
        </w:trPr>
        <w:tc>
          <w:tcPr>
            <w:tcW w:w="5460" w:type="dxa"/>
            <w:vAlign w:val="bottom"/>
          </w:tcPr>
          <w:p>
            <w:pPr>
              <w:spacing w:after="0"/>
              <w:rPr>
                <w:sz w:val="20"/>
                <w:szCs w:val="20"/>
                <w:color w:val="auto"/>
              </w:rPr>
            </w:pPr>
            <w:r>
              <w:rPr>
                <w:rFonts w:ascii="Arial" w:cs="Arial" w:eastAsia="Arial" w:hAnsi="Arial"/>
                <w:sz w:val="18"/>
                <w:szCs w:val="18"/>
                <w:color w:val="auto"/>
              </w:rPr>
              <w:t>Operating Loss</w:t>
            </w: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(38,573)</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(42,042)</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(3,469)</w:t>
            </w:r>
          </w:p>
        </w:tc>
        <w:tc>
          <w:tcPr>
            <w:tcW w:w="220" w:type="dxa"/>
            <w:vAlign w:val="bottom"/>
          </w:tcPr>
          <w:p>
            <w:pPr>
              <w:spacing w:after="0"/>
              <w:rPr>
                <w:sz w:val="18"/>
                <w:szCs w:val="18"/>
                <w:color w:val="auto"/>
              </w:rPr>
            </w:pPr>
          </w:p>
        </w:tc>
        <w:tc>
          <w:tcPr>
            <w:tcW w:w="1440" w:type="dxa"/>
            <w:vAlign w:val="bottom"/>
            <w:gridSpan w:val="3"/>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30"/>
        </w:trPr>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Investment and Other Income, Net</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465</w:t>
            </w: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1,611</w:t>
            </w:r>
          </w:p>
        </w:tc>
        <w:tc>
          <w:tcPr>
            <w:tcW w:w="2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(1,146)</w:t>
            </w:r>
          </w:p>
        </w:tc>
        <w:tc>
          <w:tcPr>
            <w:tcW w:w="14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0"/>
        </w:trPr>
        <w:tc>
          <w:tcPr>
            <w:tcW w:w="5460" w:type="dxa"/>
            <w:vAlign w:val="bottom"/>
            <w:vMerge w:val="restart"/>
          </w:tcPr>
          <w:p>
            <w:pPr>
              <w:spacing w:after="0"/>
              <w:rPr>
                <w:sz w:val="20"/>
                <w:szCs w:val="20"/>
                <w:color w:val="auto"/>
              </w:rPr>
            </w:pPr>
            <w:r>
              <w:rPr>
                <w:rFonts w:ascii="Arial" w:cs="Arial" w:eastAsia="Arial" w:hAnsi="Arial"/>
                <w:sz w:val="18"/>
                <w:szCs w:val="18"/>
                <w:color w:val="auto"/>
              </w:rPr>
              <w:t>Net Loss Before Income Tax Benefit</w:t>
            </w:r>
          </w:p>
        </w:tc>
        <w:tc>
          <w:tcPr>
            <w:tcW w:w="2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460" w:type="dxa"/>
            <w:vAlign w:val="bottom"/>
            <w:vMerge w:val="continue"/>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(38,108)</w:t>
            </w:r>
          </w:p>
        </w:tc>
        <w:tc>
          <w:tcPr>
            <w:tcW w:w="1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(40,431)</w:t>
            </w:r>
          </w:p>
        </w:tc>
        <w:tc>
          <w:tcPr>
            <w:tcW w:w="22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(2,323)</w:t>
            </w:r>
          </w:p>
        </w:tc>
        <w:tc>
          <w:tcPr>
            <w:tcW w:w="220" w:type="dxa"/>
            <w:vAlign w:val="bottom"/>
            <w:vMerge w:val="continue"/>
          </w:tcPr>
          <w:p>
            <w:pPr>
              <w:spacing w:after="0"/>
              <w:rPr>
                <w:sz w:val="18"/>
                <w:szCs w:val="18"/>
                <w:color w:val="auto"/>
              </w:rPr>
            </w:pPr>
          </w:p>
        </w:tc>
        <w:tc>
          <w:tcPr>
            <w:tcW w:w="1440" w:type="dxa"/>
            <w:vAlign w:val="bottom"/>
            <w:gridSpan w:val="3"/>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30"/>
        </w:trPr>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Income Tax Benefit</w:t>
            </w:r>
          </w:p>
        </w:tc>
        <w:tc>
          <w:tcPr>
            <w:tcW w:w="26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228</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228</w:t>
            </w:r>
          </w:p>
        </w:tc>
        <w:tc>
          <w:tcPr>
            <w:tcW w:w="14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23"/>
        </w:trPr>
        <w:tc>
          <w:tcPr>
            <w:tcW w:w="5460" w:type="dxa"/>
            <w:vAlign w:val="bottom"/>
          </w:tcPr>
          <w:p>
            <w:pPr>
              <w:spacing w:after="0"/>
              <w:rPr>
                <w:sz w:val="20"/>
                <w:szCs w:val="20"/>
                <w:color w:val="auto"/>
              </w:rPr>
            </w:pPr>
            <w:r>
              <w:rPr>
                <w:rFonts w:ascii="Arial" w:cs="Arial" w:eastAsia="Arial" w:hAnsi="Arial"/>
                <w:sz w:val="18"/>
                <w:szCs w:val="18"/>
                <w:color w:val="auto"/>
              </w:rPr>
              <w:t>Net Loss</w:t>
            </w:r>
          </w:p>
        </w:tc>
        <w:tc>
          <w:tcPr>
            <w:tcW w:w="2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(37,880</w:t>
            </w:r>
          </w:p>
        </w:tc>
        <w:tc>
          <w:tcPr>
            <w:tcW w:w="12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Pr>
          <w:p>
            <w:pPr>
              <w:spacing w:after="0"/>
              <w:rPr>
                <w:sz w:val="19"/>
                <w:szCs w:val="19"/>
                <w:color w:val="auto"/>
              </w:rPr>
            </w:pPr>
          </w:p>
        </w:tc>
        <w:tc>
          <w:tcPr>
            <w:tcW w:w="2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(40,431</w:t>
            </w:r>
          </w:p>
        </w:tc>
        <w:tc>
          <w:tcPr>
            <w:tcW w:w="220" w:type="dxa"/>
            <w:vAlign w:val="bottom"/>
          </w:tcPr>
          <w:p>
            <w:pPr>
              <w:jc w:val="right"/>
              <w:ind w:right="81"/>
              <w:spacing w:after="0"/>
              <w:rPr>
                <w:sz w:val="20"/>
                <w:szCs w:val="20"/>
                <w:color w:val="auto"/>
              </w:rPr>
            </w:pPr>
            <w:r>
              <w:rPr>
                <w:rFonts w:ascii="Arial" w:cs="Arial" w:eastAsia="Arial" w:hAnsi="Arial"/>
                <w:sz w:val="16"/>
                <w:szCs w:val="16"/>
                <w:color w:val="auto"/>
                <w:w w:val="74"/>
              </w:rPr>
              <w:t>)</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(2,551</w:t>
            </w:r>
          </w:p>
        </w:tc>
        <w:tc>
          <w:tcPr>
            <w:tcW w:w="220" w:type="dxa"/>
            <w:vAlign w:val="bottom"/>
          </w:tcPr>
          <w:p>
            <w:pPr>
              <w:jc w:val="right"/>
              <w:ind w:right="81"/>
              <w:spacing w:after="0"/>
              <w:rPr>
                <w:sz w:val="20"/>
                <w:szCs w:val="20"/>
                <w:color w:val="auto"/>
              </w:rPr>
            </w:pPr>
            <w:r>
              <w:rPr>
                <w:rFonts w:ascii="Arial" w:cs="Arial" w:eastAsia="Arial" w:hAnsi="Arial"/>
                <w:sz w:val="16"/>
                <w:szCs w:val="16"/>
                <w:color w:val="auto"/>
                <w:w w:val="74"/>
              </w:rPr>
              <w:t>)</w:t>
            </w: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220" w:type="dxa"/>
            <w:vAlign w:val="bottom"/>
            <w:gridSpan w:val="2"/>
          </w:tcPr>
          <w:p>
            <w:pPr>
              <w:spacing w:after="0"/>
              <w:rPr>
                <w:sz w:val="20"/>
                <w:szCs w:val="20"/>
                <w:color w:val="auto"/>
              </w:rPr>
            </w:pPr>
            <w:r>
              <w:rPr>
                <w:rFonts w:ascii="Arial" w:cs="Arial" w:eastAsia="Arial" w:hAnsi="Arial"/>
                <w:sz w:val="18"/>
                <w:szCs w:val="18"/>
                <w:color w:val="auto"/>
                <w:w w:val="90"/>
              </w:rPr>
              <w:t>)%</w:t>
            </w:r>
          </w:p>
        </w:tc>
        <w:tc>
          <w:tcPr>
            <w:tcW w:w="0" w:type="dxa"/>
            <w:vAlign w:val="bottom"/>
          </w:tcPr>
          <w:p>
            <w:pPr>
              <w:spacing w:after="0"/>
              <w:rPr>
                <w:sz w:val="1"/>
                <w:szCs w:val="1"/>
                <w:color w:val="auto"/>
              </w:rPr>
            </w:pPr>
          </w:p>
        </w:tc>
      </w:tr>
      <w:tr>
        <w:trPr>
          <w:trHeight w:val="20"/>
        </w:trPr>
        <w:tc>
          <w:tcPr>
            <w:tcW w:w="54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Loss</w:t>
      </w:r>
    </w:p>
    <w:p>
      <w:pPr>
        <w:spacing w:after="0" w:line="225" w:lineRule="exact"/>
        <w:rPr>
          <w:sz w:val="20"/>
          <w:szCs w:val="20"/>
          <w:color w:val="auto"/>
        </w:rPr>
      </w:pPr>
    </w:p>
    <w:p>
      <w:pPr>
        <w:ind w:right="140" w:firstLine="648"/>
        <w:spacing w:after="0" w:line="263" w:lineRule="auto"/>
        <w:rPr>
          <w:sz w:val="20"/>
          <w:szCs w:val="20"/>
          <w:color w:val="auto"/>
        </w:rPr>
      </w:pPr>
      <w:r>
        <w:rPr>
          <w:rFonts w:ascii="Arial" w:cs="Arial" w:eastAsia="Arial" w:hAnsi="Arial"/>
          <w:sz w:val="18"/>
          <w:szCs w:val="18"/>
          <w:color w:val="auto"/>
        </w:rPr>
        <w:t>The $2.6 million decrease in net loss for the nine months ended September 30, 2020, as compared to the nine months ended September 30, 2019, was primarily the result of an increase in the gain on fair value remeasurement of contingent consideration and a decrease in non-cash other asset impairment expense, partially offset by an increase in intangible asset impairment expense.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w:t>
      </w:r>
    </w:p>
    <w:p>
      <w:pPr>
        <w:spacing w:after="0" w:line="225" w:lineRule="exact"/>
        <w:rPr>
          <w:sz w:val="20"/>
          <w:szCs w:val="20"/>
          <w:color w:val="auto"/>
        </w:rPr>
      </w:pPr>
    </w:p>
    <w:p>
      <w:pPr>
        <w:jc w:val="both"/>
        <w:ind w:right="100" w:firstLine="648"/>
        <w:spacing w:after="0" w:line="301" w:lineRule="auto"/>
        <w:rPr>
          <w:sz w:val="20"/>
          <w:szCs w:val="20"/>
          <w:color w:val="auto"/>
        </w:rPr>
      </w:pPr>
      <w:r>
        <w:rPr>
          <w:rFonts w:ascii="Arial" w:cs="Arial" w:eastAsia="Arial" w:hAnsi="Arial"/>
          <w:sz w:val="16"/>
          <w:szCs w:val="16"/>
          <w:color w:val="auto"/>
        </w:rPr>
        <w:t>The $1.9 million increase in product development and licensing agreements revenue for the nine months ended September 30, 2020, as compared to the nine months ended September 30, 2019, was primarily due to the $1.8 million received from the Rockefeller Transaction. The $0.9 million decrease in contracts and grants revenue for the nine months ended September 30, 2020, as compared to the nine months ended September 30, 2019, was primarily related to a decrease in services performed under our manufacturing and research and development agreement with Duke University.</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4" w:name="page25"/>
    <w:bookmarkEnd w:id="24"/>
    <w:p>
      <w:pPr>
        <w:spacing w:after="0"/>
        <w:rPr>
          <w:sz w:val="20"/>
          <w:szCs w:val="20"/>
          <w:color w:val="auto"/>
        </w:rPr>
      </w:pPr>
      <w:r>
        <w:rPr>
          <w:rFonts w:ascii="Arial" w:cs="Arial" w:eastAsia="Arial" w:hAnsi="Arial"/>
          <w:sz w:val="18"/>
          <w:szCs w:val="18"/>
          <w:i w:val="1"/>
          <w:iCs w:val="1"/>
          <w:color w:val="auto"/>
        </w:rPr>
        <w:t>Research and Development Expense</w:t>
      </w:r>
    </w:p>
    <w:p>
      <w:pPr>
        <w:spacing w:after="0" w:line="225"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Research and development expenses consist primarily of (i) personnel expenses, (ii) laboratory supply expenses relating to the development of our technology, (iii) facility expenses and (iv) product development expenses associated with our drug candidates as follows: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40" w:type="dxa"/>
            <w:vAlign w:val="bottom"/>
            <w:gridSpan w:val="6"/>
          </w:tcPr>
          <w:p>
            <w:pPr>
              <w:jc w:val="center"/>
              <w:ind w:right="500"/>
              <w:spacing w:after="0"/>
              <w:rPr>
                <w:sz w:val="20"/>
                <w:szCs w:val="20"/>
                <w:color w:val="auto"/>
              </w:rPr>
            </w:pPr>
            <w:r>
              <w:rPr>
                <w:rFonts w:ascii="Arial" w:cs="Arial" w:eastAsia="Arial" w:hAnsi="Arial"/>
                <w:sz w:val="18"/>
                <w:szCs w:val="18"/>
                <w:b w:val="1"/>
                <w:bCs w:val="1"/>
                <w:color w:val="auto"/>
                <w:w w:val="91"/>
              </w:rPr>
              <w:t>Nine Months Ended</w:t>
            </w:r>
          </w:p>
        </w:tc>
        <w:tc>
          <w:tcPr>
            <w:tcW w:w="780" w:type="dxa"/>
            <w:vAlign w:val="bottom"/>
          </w:tcPr>
          <w:p>
            <w:pPr>
              <w:spacing w:after="0"/>
              <w:rPr>
                <w:sz w:val="18"/>
                <w:szCs w:val="18"/>
                <w:color w:val="auto"/>
              </w:rPr>
            </w:pPr>
          </w:p>
        </w:tc>
        <w:tc>
          <w:tcPr>
            <w:tcW w:w="1060" w:type="dxa"/>
            <w:vAlign w:val="bottom"/>
            <w:gridSpan w:val="3"/>
          </w:tcPr>
          <w:p>
            <w:pPr>
              <w:jc w:val="center"/>
              <w:spacing w:after="0"/>
              <w:rPr>
                <w:sz w:val="20"/>
                <w:szCs w:val="20"/>
                <w:color w:val="auto"/>
              </w:rPr>
            </w:pPr>
            <w:r>
              <w:rPr>
                <w:rFonts w:ascii="Arial" w:cs="Arial" w:eastAsia="Arial" w:hAnsi="Arial"/>
                <w:sz w:val="18"/>
                <w:szCs w:val="18"/>
                <w:b w:val="1"/>
                <w:bCs w:val="1"/>
                <w:color w:val="auto"/>
                <w:w w:val="89"/>
              </w:rPr>
              <w:t>Increase/</w:t>
            </w: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34"/>
        </w:trPr>
        <w:tc>
          <w:tcPr>
            <w:tcW w:w="54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640" w:type="dxa"/>
            <w:vAlign w:val="bottom"/>
            <w:gridSpan w:val="6"/>
          </w:tcPr>
          <w:p>
            <w:pPr>
              <w:jc w:val="center"/>
              <w:ind w:right="480"/>
              <w:spacing w:after="0"/>
              <w:rPr>
                <w:sz w:val="20"/>
                <w:szCs w:val="20"/>
                <w:color w:val="auto"/>
              </w:rPr>
            </w:pPr>
            <w:r>
              <w:rPr>
                <w:rFonts w:ascii="Arial" w:cs="Arial" w:eastAsia="Arial" w:hAnsi="Arial"/>
                <w:sz w:val="18"/>
                <w:szCs w:val="18"/>
                <w:b w:val="1"/>
                <w:bCs w:val="1"/>
                <w:color w:val="auto"/>
                <w:w w:val="87"/>
              </w:rPr>
              <w:t>September 30,</w:t>
            </w:r>
          </w:p>
        </w:tc>
        <w:tc>
          <w:tcPr>
            <w:tcW w:w="780" w:type="dxa"/>
            <w:vAlign w:val="bottom"/>
          </w:tcPr>
          <w:p>
            <w:pPr>
              <w:spacing w:after="0"/>
              <w:rPr>
                <w:sz w:val="20"/>
                <w:szCs w:val="20"/>
                <w:color w:val="auto"/>
              </w:rPr>
            </w:pPr>
          </w:p>
        </w:tc>
        <w:tc>
          <w:tcPr>
            <w:tcW w:w="1060" w:type="dxa"/>
            <w:vAlign w:val="bottom"/>
            <w:gridSpan w:val="3"/>
          </w:tcPr>
          <w:p>
            <w:pPr>
              <w:jc w:val="center"/>
              <w:spacing w:after="0"/>
              <w:rPr>
                <w:sz w:val="20"/>
                <w:szCs w:val="20"/>
                <w:color w:val="auto"/>
              </w:rPr>
            </w:pPr>
            <w:r>
              <w:rPr>
                <w:rFonts w:ascii="Arial" w:cs="Arial" w:eastAsia="Arial" w:hAnsi="Arial"/>
                <w:sz w:val="18"/>
                <w:szCs w:val="18"/>
                <w:b w:val="1"/>
                <w:bCs w:val="1"/>
                <w:color w:val="auto"/>
                <w:w w:val="89"/>
              </w:rPr>
              <w:t>(Decrease)</w:t>
            </w:r>
          </w:p>
        </w:tc>
        <w:tc>
          <w:tcPr>
            <w:tcW w:w="820" w:type="dxa"/>
            <w:vAlign w:val="bottom"/>
          </w:tcPr>
          <w:p>
            <w:pPr>
              <w:spacing w:after="0"/>
              <w:rPr>
                <w:sz w:val="20"/>
                <w:szCs w:val="20"/>
                <w:color w:val="auto"/>
              </w:rPr>
            </w:pPr>
          </w:p>
        </w:tc>
        <w:tc>
          <w:tcPr>
            <w:tcW w:w="220" w:type="dxa"/>
            <w:vAlign w:val="bottom"/>
          </w:tcPr>
          <w:p>
            <w:pPr>
              <w:spacing w:after="0"/>
              <w:rPr>
                <w:sz w:val="20"/>
                <w:szCs w:val="20"/>
                <w:color w:val="auto"/>
              </w:rPr>
            </w:pPr>
          </w:p>
        </w:tc>
      </w:tr>
      <w:tr>
        <w:trPr>
          <w:trHeight w:val="223"/>
        </w:trPr>
        <w:tc>
          <w:tcPr>
            <w:tcW w:w="5460" w:type="dxa"/>
            <w:vAlign w:val="bottom"/>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2019</w:t>
            </w:r>
          </w:p>
        </w:tc>
        <w:tc>
          <w:tcPr>
            <w:tcW w:w="220" w:type="dxa"/>
            <w:vAlign w:val="bottom"/>
            <w:tcBorders>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ind w:right="38"/>
              <w:spacing w:after="0"/>
              <w:rPr>
                <w:sz w:val="20"/>
                <w:szCs w:val="20"/>
                <w:color w:val="auto"/>
              </w:rPr>
            </w:pPr>
            <w:r>
              <w:rPr>
                <w:rFonts w:ascii="Arial" w:cs="Arial" w:eastAsia="Arial" w:hAnsi="Arial"/>
                <w:sz w:val="18"/>
                <w:szCs w:val="18"/>
                <w:b w:val="1"/>
                <w:bCs w:val="1"/>
                <w:color w:val="auto"/>
              </w:rPr>
              <w:t>$</w:t>
            </w:r>
          </w:p>
        </w:tc>
        <w:tc>
          <w:tcPr>
            <w:tcW w:w="440" w:type="dxa"/>
            <w:vAlign w:val="bottom"/>
            <w:tcBorders>
              <w:top w:val="single" w:sz="8" w:color="auto"/>
              <w:bottom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40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19"/>
                <w:szCs w:val="19"/>
                <w:color w:val="auto"/>
              </w:rPr>
            </w:pPr>
          </w:p>
        </w:tc>
      </w:tr>
      <w:tr>
        <w:trPr>
          <w:trHeight w:val="237"/>
        </w:trPr>
        <w:tc>
          <w:tcPr>
            <w:tcW w:w="54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980" w:type="dxa"/>
            <w:vAlign w:val="bottom"/>
            <w:gridSpan w:val="3"/>
          </w:tcPr>
          <w:p>
            <w:pPr>
              <w:jc w:val="right"/>
              <w:ind w:right="258"/>
              <w:spacing w:after="0"/>
              <w:rPr>
                <w:sz w:val="20"/>
                <w:szCs w:val="20"/>
                <w:color w:val="auto"/>
              </w:rPr>
            </w:pPr>
            <w:r>
              <w:rPr>
                <w:rFonts w:ascii="Arial" w:cs="Arial" w:eastAsia="Arial" w:hAnsi="Arial"/>
                <w:sz w:val="18"/>
                <w:szCs w:val="18"/>
                <w:b w:val="1"/>
                <w:bCs w:val="1"/>
                <w:color w:val="auto"/>
              </w:rPr>
              <w:t>(In thousands)</w:t>
            </w:r>
          </w:p>
        </w:tc>
        <w:tc>
          <w:tcPr>
            <w:tcW w:w="4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20" w:type="dxa"/>
            <w:vAlign w:val="bottom"/>
          </w:tcPr>
          <w:p>
            <w:pPr>
              <w:spacing w:after="0"/>
              <w:rPr>
                <w:sz w:val="20"/>
                <w:szCs w:val="20"/>
                <w:color w:val="auto"/>
              </w:rPr>
            </w:pPr>
          </w:p>
        </w:tc>
      </w:tr>
      <w:tr>
        <w:trPr>
          <w:trHeight w:val="216"/>
        </w:trPr>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Personnel</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16,513</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16,655</w:t>
            </w:r>
          </w:p>
        </w:tc>
        <w:tc>
          <w:tcPr>
            <w:tcW w:w="780" w:type="dxa"/>
            <w:vAlign w:val="bottom"/>
            <w:shd w:val="clear" w:color="auto" w:fill="CCEEFF"/>
          </w:tcPr>
          <w:p>
            <w:pPr>
              <w:jc w:val="right"/>
              <w:ind w:right="618"/>
              <w:spacing w:after="0"/>
              <w:rPr>
                <w:sz w:val="20"/>
                <w:szCs w:val="20"/>
                <w:color w:val="auto"/>
              </w:rPr>
            </w:pPr>
            <w:r>
              <w:rPr>
                <w:rFonts w:ascii="Arial" w:cs="Arial" w:eastAsia="Arial" w:hAnsi="Arial"/>
                <w:sz w:val="15"/>
                <w:szCs w:val="15"/>
                <w:color w:val="auto"/>
                <w:w w:val="71"/>
              </w:rPr>
              <w:t>$</w:t>
            </w: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(142)</w:t>
            </w:r>
          </w:p>
        </w:tc>
        <w:tc>
          <w:tcPr>
            <w:tcW w:w="4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5460" w:type="dxa"/>
            <w:vAlign w:val="bottom"/>
          </w:tcPr>
          <w:p>
            <w:pPr>
              <w:spacing w:after="0"/>
              <w:rPr>
                <w:sz w:val="20"/>
                <w:szCs w:val="20"/>
                <w:color w:val="auto"/>
              </w:rPr>
            </w:pPr>
            <w:r>
              <w:rPr>
                <w:rFonts w:ascii="Arial" w:cs="Arial" w:eastAsia="Arial" w:hAnsi="Arial"/>
                <w:sz w:val="18"/>
                <w:szCs w:val="18"/>
                <w:color w:val="auto"/>
              </w:rPr>
              <w:t>Laboratory Supplies</w:t>
            </w:r>
          </w:p>
        </w:tc>
        <w:tc>
          <w:tcPr>
            <w:tcW w:w="2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2,998</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3,433</w:t>
            </w:r>
          </w:p>
        </w:tc>
        <w:tc>
          <w:tcPr>
            <w:tcW w:w="780" w:type="dxa"/>
            <w:vAlign w:val="bottom"/>
          </w:tcPr>
          <w:p>
            <w:pPr>
              <w:spacing w:after="0"/>
              <w:rPr>
                <w:sz w:val="18"/>
                <w:szCs w:val="18"/>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(435)</w:t>
            </w:r>
          </w:p>
        </w:tc>
        <w:tc>
          <w:tcPr>
            <w:tcW w:w="40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(13)%</w:t>
            </w:r>
          </w:p>
        </w:tc>
      </w:tr>
      <w:tr>
        <w:trPr>
          <w:trHeight w:val="216"/>
        </w:trPr>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Facility</w:t>
            </w: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5,093</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5,164</w:t>
            </w:r>
          </w:p>
        </w:tc>
        <w:tc>
          <w:tcPr>
            <w:tcW w:w="7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(71)</w:t>
            </w:r>
          </w:p>
        </w:tc>
        <w:tc>
          <w:tcPr>
            <w:tcW w:w="4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30"/>
        </w:trPr>
        <w:tc>
          <w:tcPr>
            <w:tcW w:w="5460" w:type="dxa"/>
            <w:vAlign w:val="bottom"/>
          </w:tcPr>
          <w:p>
            <w:pPr>
              <w:spacing w:after="0"/>
              <w:rPr>
                <w:sz w:val="20"/>
                <w:szCs w:val="20"/>
                <w:color w:val="auto"/>
              </w:rPr>
            </w:pPr>
            <w:r>
              <w:rPr>
                <w:rFonts w:ascii="Arial" w:cs="Arial" w:eastAsia="Arial" w:hAnsi="Arial"/>
                <w:sz w:val="18"/>
                <w:szCs w:val="18"/>
                <w:color w:val="auto"/>
              </w:rPr>
              <w:t>Product Development</w:t>
            </w:r>
          </w:p>
        </w:tc>
        <w:tc>
          <w:tcPr>
            <w:tcW w:w="260" w:type="dxa"/>
            <w:vAlign w:val="bottom"/>
          </w:tcPr>
          <w:p>
            <w:pPr>
              <w:spacing w:after="0"/>
              <w:rPr>
                <w:sz w:val="20"/>
                <w:szCs w:val="20"/>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4,681</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4,101</w:t>
            </w:r>
          </w:p>
        </w:tc>
        <w:tc>
          <w:tcPr>
            <w:tcW w:w="780" w:type="dxa"/>
            <w:vAlign w:val="bottom"/>
          </w:tcPr>
          <w:p>
            <w:pPr>
              <w:spacing w:after="0"/>
              <w:rPr>
                <w:sz w:val="20"/>
                <w:szCs w:val="20"/>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8"/>
                <w:szCs w:val="18"/>
                <w:color w:val="auto"/>
              </w:rPr>
              <w:t>580</w:t>
            </w:r>
          </w:p>
        </w:tc>
        <w:tc>
          <w:tcPr>
            <w:tcW w:w="400" w:type="dxa"/>
            <w:vAlign w:val="bottom"/>
          </w:tcPr>
          <w:p>
            <w:pPr>
              <w:spacing w:after="0"/>
              <w:rPr>
                <w:sz w:val="20"/>
                <w:szCs w:val="20"/>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14%</w:t>
            </w:r>
          </w:p>
        </w:tc>
      </w:tr>
    </w:tbl>
    <w:p>
      <w:pPr>
        <w:spacing w:after="0" w:line="214" w:lineRule="exact"/>
        <w:rPr>
          <w:sz w:val="20"/>
          <w:szCs w:val="20"/>
          <w:color w:val="auto"/>
        </w:rPr>
      </w:pPr>
    </w:p>
    <w:p>
      <w:pPr>
        <w:ind w:right="320" w:firstLine="648"/>
        <w:spacing w:after="0" w:line="263" w:lineRule="auto"/>
        <w:rPr>
          <w:sz w:val="20"/>
          <w:szCs w:val="20"/>
          <w:color w:val="auto"/>
        </w:rPr>
      </w:pPr>
      <w:r>
        <w:rPr>
          <w:rFonts w:ascii="Arial" w:cs="Arial" w:eastAsia="Arial" w:hAnsi="Arial"/>
          <w:sz w:val="18"/>
          <w:szCs w:val="18"/>
          <w:color w:val="auto"/>
        </w:rPr>
        <w:t>Personnel expenses primarily include salary, benefits, stock-based compensation and payroll taxes. The $0.1 million decrease in personnel expenses for the nine months ended September 30, 2020, as compared to the nine months ended September 30, 2019, was primarily due to lower stock-based compensation expense.</w:t>
      </w:r>
    </w:p>
    <w:p>
      <w:pPr>
        <w:spacing w:after="0" w:line="184" w:lineRule="exact"/>
        <w:rPr>
          <w:sz w:val="20"/>
          <w:szCs w:val="20"/>
          <w:color w:val="auto"/>
        </w:rPr>
      </w:pPr>
    </w:p>
    <w:p>
      <w:pPr>
        <w:ind w:right="40" w:firstLine="648"/>
        <w:spacing w:after="0" w:line="263" w:lineRule="auto"/>
        <w:rPr>
          <w:sz w:val="20"/>
          <w:szCs w:val="20"/>
          <w:color w:val="auto"/>
        </w:rPr>
      </w:pPr>
      <w:r>
        <w:rPr>
          <w:rFonts w:ascii="Arial" w:cs="Arial" w:eastAsia="Arial" w:hAnsi="Arial"/>
          <w:sz w:val="18"/>
          <w:szCs w:val="18"/>
          <w:color w:val="auto"/>
        </w:rPr>
        <w:t>Laboratory supplies expenses include laboratory materials and supplies, services, and other related expenses incurred in the development of our technology. The $0.4 million decrease in laboratory supply expenses for the nine months ended September 30, 2020, as compared to the nine months ended September 30, 2019, was primarily due to lower laboratory materials and supplies purchases.</w:t>
      </w:r>
    </w:p>
    <w:p>
      <w:pPr>
        <w:spacing w:after="0" w:line="184" w:lineRule="exact"/>
        <w:rPr>
          <w:sz w:val="20"/>
          <w:szCs w:val="20"/>
          <w:color w:val="auto"/>
        </w:rPr>
      </w:pPr>
    </w:p>
    <w:p>
      <w:pPr>
        <w:ind w:right="380" w:firstLine="648"/>
        <w:spacing w:after="0" w:line="263" w:lineRule="auto"/>
        <w:rPr>
          <w:sz w:val="20"/>
          <w:szCs w:val="20"/>
          <w:color w:val="auto"/>
        </w:rPr>
      </w:pPr>
      <w:r>
        <w:rPr>
          <w:rFonts w:ascii="Arial" w:cs="Arial" w:eastAsia="Arial" w:hAnsi="Arial"/>
          <w:sz w:val="18"/>
          <w:szCs w:val="18"/>
          <w:color w:val="auto"/>
        </w:rPr>
        <w:t>Facility expenses include depreciation, amortization, utilities, rent, maintenance and other related expenses incurred at our facilities. The $0.1 million decrease in facility expenses for the nine months ended September 30, 2020, as compared to the nine months ended September 30, 2019, was primarily due to lower rent and depreciation expenses.</w:t>
      </w:r>
    </w:p>
    <w:p>
      <w:pPr>
        <w:spacing w:after="0" w:line="184" w:lineRule="exact"/>
        <w:rPr>
          <w:sz w:val="20"/>
          <w:szCs w:val="20"/>
          <w:color w:val="auto"/>
        </w:rPr>
      </w:pPr>
    </w:p>
    <w:p>
      <w:pPr>
        <w:ind w:right="100" w:firstLine="648"/>
        <w:spacing w:after="0" w:line="279" w:lineRule="auto"/>
        <w:rPr>
          <w:sz w:val="20"/>
          <w:szCs w:val="20"/>
          <w:color w:val="auto"/>
        </w:rPr>
      </w:pPr>
      <w:r>
        <w:rPr>
          <w:rFonts w:ascii="Arial" w:cs="Arial" w:eastAsia="Arial" w:hAnsi="Arial"/>
          <w:sz w:val="17"/>
          <w:szCs w:val="17"/>
          <w:color w:val="auto"/>
        </w:rPr>
        <w:t>Product development expenses include clinical investigator site fees, external trial monitoring costs, data accumulation costs, contracted research and outside clinical drug product manufacturing. The $0.6 million increase in product development expenses for the nine months ended September 30, 2020, as compared to the nine months ended September 30, 2019, was primarily due to an increase in clinical trial and contract manufacturing expenses of $1.4 million, partially offset by a decrease in contract research expenses of $0.8 million.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Expense</w:t>
      </w:r>
    </w:p>
    <w:p>
      <w:pPr>
        <w:spacing w:after="0" w:line="225" w:lineRule="exact"/>
        <w:rPr>
          <w:sz w:val="20"/>
          <w:szCs w:val="20"/>
          <w:color w:val="auto"/>
        </w:rPr>
      </w:pPr>
    </w:p>
    <w:p>
      <w:pPr>
        <w:ind w:right="100" w:firstLine="648"/>
        <w:spacing w:after="0" w:line="263" w:lineRule="auto"/>
        <w:rPr>
          <w:sz w:val="20"/>
          <w:szCs w:val="20"/>
          <w:color w:val="auto"/>
        </w:rPr>
      </w:pPr>
      <w:r>
        <w:rPr>
          <w:rFonts w:ascii="Arial" w:cs="Arial" w:eastAsia="Arial" w:hAnsi="Arial"/>
          <w:sz w:val="18"/>
          <w:szCs w:val="18"/>
          <w:color w:val="auto"/>
        </w:rPr>
        <w:t>The $1.4 million decrease in general and administrative expenses for the nine months ended September 30, 2020, as compared to the nine months ended September 30, 2019, was primarily due to lower stock-based compensation expense and lower facility expenses as a result of the consolidation our Massachusetts lab and manufacturing facilities in the second quarter of 2020.</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Intangible Asset Impairment</w:t>
      </w:r>
    </w:p>
    <w:p>
      <w:pPr>
        <w:spacing w:after="0" w:line="225" w:lineRule="exact"/>
        <w:rPr>
          <w:sz w:val="20"/>
          <w:szCs w:val="20"/>
          <w:color w:val="auto"/>
        </w:rPr>
      </w:pPr>
    </w:p>
    <w:p>
      <w:pPr>
        <w:ind w:right="260" w:firstLine="648"/>
        <w:spacing w:after="0" w:line="342" w:lineRule="auto"/>
        <w:rPr>
          <w:sz w:val="20"/>
          <w:szCs w:val="20"/>
          <w:color w:val="auto"/>
        </w:rPr>
      </w:pPr>
      <w:r>
        <w:rPr>
          <w:rFonts w:ascii="Arial" w:cs="Arial" w:eastAsia="Arial" w:hAnsi="Arial"/>
          <w:sz w:val="16"/>
          <w:szCs w:val="16"/>
          <w:color w:val="auto"/>
        </w:rPr>
        <w:t>We evaluated the CDX-3379 IPR&amp;D asset for potential impairment as a result of the discontinuation of the CDX-3379 program. We concluded that the CDX-3379 IPR&amp;D asset was fully impaired, and a non-cash impairment charge of $3.5 million was recorded in the second quarter of 2020.</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Asset Impairment</w:t>
      </w:r>
    </w:p>
    <w:p>
      <w:pPr>
        <w:spacing w:after="0" w:line="225" w:lineRule="exact"/>
        <w:rPr>
          <w:sz w:val="20"/>
          <w:szCs w:val="20"/>
          <w:color w:val="auto"/>
        </w:rPr>
      </w:pPr>
    </w:p>
    <w:p>
      <w:pPr>
        <w:ind w:right="700" w:firstLine="648"/>
        <w:spacing w:after="0" w:line="308" w:lineRule="auto"/>
        <w:rPr>
          <w:sz w:val="20"/>
          <w:szCs w:val="20"/>
          <w:color w:val="auto"/>
        </w:rPr>
      </w:pPr>
      <w:r>
        <w:rPr>
          <w:rFonts w:ascii="Arial" w:cs="Arial" w:eastAsia="Arial" w:hAnsi="Arial"/>
          <w:sz w:val="17"/>
          <w:szCs w:val="17"/>
          <w:color w:val="auto"/>
        </w:rPr>
        <w:t>We concluded that the Company’s investment in an undisclosed private company was impaired as a result of a deterioration in the private company’s financial condition and recorded a non-cash impairment charge of $1.8 million during the first quarter of 2019.</w:t>
      </w: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5" w:name="page26"/>
    <w:bookmarkEnd w:id="25"/>
    <w:p>
      <w:pPr>
        <w:spacing w:after="0"/>
        <w:rPr>
          <w:sz w:val="20"/>
          <w:szCs w:val="20"/>
          <w:color w:val="auto"/>
        </w:rPr>
      </w:pPr>
      <w:r>
        <w:rPr>
          <w:rFonts w:ascii="Arial" w:cs="Arial" w:eastAsia="Arial" w:hAnsi="Arial"/>
          <w:sz w:val="18"/>
          <w:szCs w:val="18"/>
          <w:i w:val="1"/>
          <w:iCs w:val="1"/>
          <w:color w:val="auto"/>
        </w:rPr>
        <w:t>Gain on Fair Value Remeasurement of Contingent Consideration</w:t>
      </w:r>
    </w:p>
    <w:p>
      <w:pPr>
        <w:spacing w:after="0" w:line="225" w:lineRule="exact"/>
        <w:rPr>
          <w:sz w:val="20"/>
          <w:szCs w:val="20"/>
          <w:color w:val="auto"/>
        </w:rPr>
      </w:pPr>
    </w:p>
    <w:p>
      <w:pPr>
        <w:ind w:right="20" w:firstLine="648"/>
        <w:spacing w:after="0" w:line="279" w:lineRule="auto"/>
        <w:rPr>
          <w:sz w:val="20"/>
          <w:szCs w:val="20"/>
          <w:color w:val="auto"/>
        </w:rPr>
      </w:pPr>
      <w:r>
        <w:rPr>
          <w:rFonts w:ascii="Arial" w:cs="Arial" w:eastAsia="Arial" w:hAnsi="Arial"/>
          <w:sz w:val="17"/>
          <w:szCs w:val="17"/>
          <w:color w:val="auto"/>
        </w:rPr>
        <w:t>The $4.2 million gain on fair value remeasurement of contingent consideration for the nine months ended September 30, 2020 was primarily due to updated assumptions for CDX-3379 related milestones due to the discontinuation of the CDX-3379 program, changes in discount rates and the passage of time. The $1.6 million gain on fair value remeasurement of contingent consideration for the nine months ended September 30, 2019 was primarily due to changes in discount rates, the passage of time and updated assumptions for the varlilumab program.</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Investment and Other Income, Net</w:t>
      </w:r>
    </w:p>
    <w:p>
      <w:pPr>
        <w:spacing w:after="0" w:line="225" w:lineRule="exact"/>
        <w:rPr>
          <w:sz w:val="20"/>
          <w:szCs w:val="20"/>
          <w:color w:val="auto"/>
        </w:rPr>
      </w:pPr>
    </w:p>
    <w:p>
      <w:pPr>
        <w:ind w:right="260"/>
        <w:spacing w:after="0" w:line="263" w:lineRule="auto"/>
        <w:rPr>
          <w:sz w:val="20"/>
          <w:szCs w:val="20"/>
          <w:color w:val="auto"/>
        </w:rPr>
      </w:pPr>
      <w:r>
        <w:rPr>
          <w:rFonts w:ascii="Arial" w:cs="Arial" w:eastAsia="Arial" w:hAnsi="Arial"/>
          <w:sz w:val="18"/>
          <w:szCs w:val="18"/>
          <w:color w:val="auto"/>
        </w:rPr>
        <w:t>The $1.1 million decrease in investment and other income, net for the nine months ended September 30, 2020, as compared to the nine months ended September 30, 2019, was primarily due to lower interest rates on fixed income investments and lower other income related to our sale of New Jersey tax benefits.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 Benefit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 $0.2 million non-cash income tax benefit was recorded related to the impairment of the CDX-3379 IPR&amp;D asset in the second quarter of 2020.</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Our cash equivalents are highly liquid investments with a maturity of three months or less at the date of purchase and consist primarily of investments in money market mutual funds with commercial banks and financial institutions. We maintain cash balances with financial institutions in excess of insured limits. We do not anticipate any losses with respect to such cash balances. We invest our excess cash balances in marketable securities, including municipal bond securities, U.S. government agency securities and high-grade corporate bonds that meet high credit quality standards, as specified in our investment policy. Our investment policy seeks to manage these assets to achieve our goals of preserving principal and maintaining adequate liquidity.</w:t>
      </w:r>
    </w:p>
    <w:p>
      <w:pPr>
        <w:spacing w:after="0" w:line="192" w:lineRule="exact"/>
        <w:rPr>
          <w:sz w:val="20"/>
          <w:szCs w:val="20"/>
          <w:color w:val="auto"/>
        </w:rPr>
      </w:pPr>
    </w:p>
    <w:p>
      <w:pPr>
        <w:ind w:right="80" w:firstLine="648"/>
        <w:spacing w:after="0" w:line="254" w:lineRule="auto"/>
        <w:rPr>
          <w:sz w:val="20"/>
          <w:szCs w:val="20"/>
          <w:color w:val="auto"/>
        </w:rPr>
      </w:pPr>
      <w:r>
        <w:rPr>
          <w:rFonts w:ascii="Arial" w:cs="Arial" w:eastAsia="Arial" w:hAnsi="Arial"/>
          <w:sz w:val="18"/>
          <w:szCs w:val="18"/>
          <w:color w:val="auto"/>
        </w:rPr>
        <w:t>The use of our cash flows for operations has primarily consisted of salaries and wages for our employees; facility and facility-related costs for our offices, laboratories and manufacturing facility; fees paid in connection with preclinical studies, clinical studies, contract manufacturing, laboratory supplies and services; and consulting, legal and other professional fees. To date, the primary sources of cash flows from operations have been payments received from our collaborative partners and from government entities and payments received for contract manufacturing and research and development services provided by us. The timing of any new contract manufacturing and research and development agreements, collaboration agreements, government contracts or grants and any payments under these agreements, contracts or grants cannot be easily predicted and may vary significantly from quarter to quarter.</w:t>
      </w:r>
    </w:p>
    <w:p>
      <w:pPr>
        <w:spacing w:after="0" w:line="195"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At September 30, 2020, our principal sources of liquidity consisted of cash, cash equivalents and marketable securities of $199.6 million. We have had recurring losses and incurred a loss of $37.9 million for the nine months ended September 30, 2020. Net cash used in operations for the nine months ended September 30, 2020 was $35.2 million. We believe that the cash, cash equivalents and marketable securities at September 30, 2020 are sufficient to meet estimated working capital requirements and fund planned operations through 2023. This could be impacted if we elected to pay Kolltan contingent milestones, if any, in cash.</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124" w:right="339" w:bottom="1440" w:gutter="0" w:footer="0" w:header="0"/>
        </w:sectPr>
      </w:pPr>
    </w:p>
    <w:bookmarkStart w:id="26" w:name="page27"/>
    <w:bookmarkEnd w:id="26"/>
    <w:p>
      <w:pPr>
        <w:ind w:firstLine="648"/>
        <w:spacing w:after="0" w:line="286" w:lineRule="auto"/>
        <w:rPr>
          <w:sz w:val="20"/>
          <w:szCs w:val="20"/>
          <w:color w:val="auto"/>
        </w:rPr>
      </w:pPr>
      <w:r>
        <w:rPr>
          <w:rFonts w:ascii="Arial" w:cs="Arial" w:eastAsia="Arial" w:hAnsi="Arial"/>
          <w:sz w:val="16"/>
          <w:szCs w:val="16"/>
          <w:color w:val="auto"/>
        </w:rPr>
        <w:t>During the next twelve months, we may take further steps to raise additional capital to meet our long-term liquidity needs including, but not limited to, one or more of the following: the licensing of drug candidates with existing or new collaborative partners, possible business combinations, issuance of debt, or the issuance of common stock or other securities via private placements or public offerings. Although we have been successful in raising capital in the past, there can be no assurance that additional financing will be available on acceptable terms, if at all, and our negotiating position in capital raising efforts may worsen as existing resources are used. There is also no assurance that we will be able to enter into further collaborative relationships. Additional equity financings may be dilutive to our stockholders; debt financing, if available, may involve significant cash payment obligations and covenants that restrict our ability to operate as a business; and licensing or strategic collaborations may result in royalties or other terms which reduce our economic potential from products under development. Our ability to continue funding our planned operations into and beyond twelve months from the issuance date is also dependent on the timing and manner of payment of future contingent milestones from the Kolltan acquisition, in the event that we achieve the drug candidate milestones related to those payments. We may decide to pay those milestone payments in cash, shares of our common stock or a combination thereof. If we are unable to raise the funds necessary to meet our long-term liquidity needs, we may have to delay or discontinue the development of one or more programs, discontinue or delay ongoing or anticipated clinical trials, license out programs earlier than expected, raise funds at a significant discount or on other unfavorable terms, if at all, or sell all or a part of our business.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Activities</w:t>
      </w:r>
    </w:p>
    <w:p>
      <w:pPr>
        <w:spacing w:after="0" w:line="225" w:lineRule="exact"/>
        <w:rPr>
          <w:sz w:val="20"/>
          <w:szCs w:val="20"/>
          <w:color w:val="auto"/>
        </w:rPr>
      </w:pPr>
    </w:p>
    <w:p>
      <w:pPr>
        <w:ind w:right="100" w:firstLine="648"/>
        <w:spacing w:after="0" w:line="257" w:lineRule="auto"/>
        <w:rPr>
          <w:sz w:val="20"/>
          <w:szCs w:val="20"/>
          <w:color w:val="auto"/>
        </w:rPr>
      </w:pPr>
      <w:r>
        <w:rPr>
          <w:rFonts w:ascii="Arial" w:cs="Arial" w:eastAsia="Arial" w:hAnsi="Arial"/>
          <w:sz w:val="18"/>
          <w:szCs w:val="18"/>
          <w:color w:val="auto"/>
        </w:rPr>
        <w:t>Net cash used in operating activities was $35.2 million for the nine months ended September 30, 2020 as compared to $35.4 million for the nine months ended September 30, 2019. The decrease in net cash used in operating activities was primarily due to a decrease in general and administrative expenses and an increase in cash received related to product development and licensing agreements, partially offset by a decrease in investment income. We expect that cash used in operating activities will remain relatively consistent over the next twelve months, although there may be fluctuations on a quarterly basis.</w:t>
      </w:r>
    </w:p>
    <w:p>
      <w:pPr>
        <w:spacing w:after="0" w:line="188"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We have incurred and will continue to incur significant costs in the area of research and development, including preclinical studies and clinical trials, as our drug candidates are developed. We plan to spend significant amounts to progress our current drug candidates through the clinical trial and commercialization process as well as to develop additional drug candidates. As our drug candidates progress through the clinical trial process, we may be obligated to make significant milestone payments.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Investing Activities</w:t>
      </w:r>
    </w:p>
    <w:p>
      <w:pPr>
        <w:spacing w:after="0" w:line="225"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Net cash used in investing activities was $129.1 million for the nine months ended September 30, 2020 as compared to net cash provided by investing activities of $13.9 million for the nine months ended September 30, 2019. The increase in net cash used in investing activities was primarily due to net purchases of marketable securities for the nine months ended September 30, 2020 of $127.8 million as compared to net sales and maturities of marketable securities of $14.5 million for the nine months ended September 30, 2019.</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Financing Activities</w:t>
      </w:r>
    </w:p>
    <w:p>
      <w:pPr>
        <w:spacing w:after="0" w:line="225"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Net cash provided by financing activities was $171.2 million for the nine months ended September 30, 2020 as compared to $13.8 million for the nine months ended September 30, 2019.</w:t>
      </w:r>
    </w:p>
    <w:p>
      <w:pPr>
        <w:spacing w:after="0" w:line="170" w:lineRule="exact"/>
        <w:rPr>
          <w:sz w:val="20"/>
          <w:szCs w:val="20"/>
          <w:color w:val="auto"/>
        </w:rPr>
      </w:pPr>
    </w:p>
    <w:p>
      <w:pPr>
        <w:jc w:val="both"/>
        <w:ind w:right="120" w:firstLine="648"/>
        <w:spacing w:after="0" w:line="263" w:lineRule="auto"/>
        <w:rPr>
          <w:sz w:val="20"/>
          <w:szCs w:val="20"/>
          <w:color w:val="auto"/>
        </w:rPr>
      </w:pPr>
      <w:r>
        <w:rPr>
          <w:rFonts w:ascii="Arial" w:cs="Arial" w:eastAsia="Arial" w:hAnsi="Arial"/>
          <w:sz w:val="18"/>
          <w:szCs w:val="18"/>
          <w:color w:val="auto"/>
        </w:rPr>
        <w:t>During the nine months ended September 30, 2020, we issued 7.1 million shares of common stock under our Cantor Agreement resulting in net proceeds of $29.6 million after deducting commission and offering expenses. At September 30, 2020, we had $13.8 million remaining in aggregate gross offering price available under the agreement.</w:t>
      </w:r>
    </w:p>
    <w:p>
      <w:pPr>
        <w:spacing w:after="0" w:line="184"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During the second quarter of 2020, the Company issued 15,384,614 shares of its common stock in an underwritten public offering resulting in net proceeds to the Company of $141.4 million, after deducting underwriting fees and offering expenses.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Aggregate Contractual Obligations</w:t>
      </w:r>
    </w:p>
    <w:p>
      <w:pPr>
        <w:spacing w:after="0" w:line="225"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The disclosures relating to our contractual obligations reported in our Annual Report on Form 10-K for the year ended December 31, 2019 which was filed with the SEC on March 26, 2020 have not materially changed since we filed that report.</w:t>
      </w:r>
    </w:p>
    <w:p>
      <w:pPr>
        <w:spacing w:after="0" w:line="38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40"/>
          </w:cols>
          <w:pgMar w:left="320" w:top="908" w:right="43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We did not have during the periods presented, and we do not currently have, any off-balance sheet arrangements, as defined under SEC rules.</w:t>
      </w:r>
    </w:p>
    <w:p>
      <w:pPr>
        <w:spacing w:after="0" w:line="244"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u w:val="single" w:color="auto"/>
          <w:color w:val="auto"/>
        </w:rPr>
        <w:t>Quantitative and Qualitative Disclosures about Market Risk</w:t>
      </w:r>
    </w:p>
    <w:p>
      <w:pPr>
        <w:spacing w:after="0" w:line="229" w:lineRule="exact"/>
        <w:rPr>
          <w:sz w:val="20"/>
          <w:szCs w:val="20"/>
          <w:color w:val="auto"/>
        </w:rPr>
      </w:pPr>
    </w:p>
    <w:p>
      <w:pPr>
        <w:ind w:right="60" w:firstLine="648"/>
        <w:spacing w:after="0" w:line="271" w:lineRule="auto"/>
        <w:rPr>
          <w:sz w:val="20"/>
          <w:szCs w:val="20"/>
          <w:color w:val="auto"/>
        </w:rPr>
      </w:pPr>
      <w:r>
        <w:rPr>
          <w:rFonts w:ascii="Arial" w:cs="Arial" w:eastAsia="Arial" w:hAnsi="Arial"/>
          <w:sz w:val="17"/>
          <w:szCs w:val="17"/>
          <w:color w:val="auto"/>
        </w:rPr>
        <w:t>We own financial instruments that are sensitive to market risk as part of our investment portfolio. Our investment portfolio is used to preserve our capital until it is used to fund operations, including our research and development activities. None of these market-risk sensitive instruments are held for trading purposes. We invest our cash primarily in money market mutual funds. These investments are evaluated quarterly to determine the fair value of the portfolio. From time to time, we invest our excess cash balances in marketable securities including municipal bond securities, U.S. government agency securities and high-grade corporate bonds that meet high credit quality standards, as specified in our investment policy. Our investment policy seeks to manage these assets to achieve our goals of preserving principal and maintaining adequate liquidity. Because of the short-term nature of these investments, we do not believe we have material exposure due to market risk. The impact to our financial position and results of operations from likely changes in interest rates is not material.</w:t>
      </w:r>
    </w:p>
    <w:p>
      <w:pPr>
        <w:spacing w:after="0" w:line="178" w:lineRule="exact"/>
        <w:rPr>
          <w:sz w:val="20"/>
          <w:szCs w:val="20"/>
          <w:color w:val="auto"/>
        </w:rPr>
      </w:pPr>
    </w:p>
    <w:p>
      <w:pPr>
        <w:ind w:right="120" w:firstLine="648"/>
        <w:spacing w:after="0" w:line="342" w:lineRule="auto"/>
        <w:rPr>
          <w:sz w:val="20"/>
          <w:szCs w:val="20"/>
          <w:color w:val="auto"/>
        </w:rPr>
      </w:pPr>
      <w:r>
        <w:rPr>
          <w:rFonts w:ascii="Arial" w:cs="Arial" w:eastAsia="Arial" w:hAnsi="Arial"/>
          <w:sz w:val="16"/>
          <w:szCs w:val="16"/>
          <w:color w:val="auto"/>
        </w:rPr>
        <w:t>We do not utilize derivative financial instruments. The carrying amounts reflected in the consolidated balance sheet of cash and cash equivalents, accounts receivables and accounts payable approximate fair value at September 30, 2020 due to the short-term maturities of these instruments.</w:t>
      </w:r>
    </w:p>
    <w:p>
      <w:pPr>
        <w:spacing w:after="0" w:line="147"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u w:val="single" w:color="auto"/>
          <w:color w:val="auto"/>
        </w:rPr>
        <w:t>Controls and Procedures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Evaluation of Disclosure Controls and Procedures.</w:t>
      </w:r>
    </w:p>
    <w:p>
      <w:pPr>
        <w:spacing w:after="0" w:line="225"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color w:val="auto"/>
        </w:rPr>
        <w:t>As of September 30, 2020, we evaluated, with the participation of our Chief Executive Officer and Chief Financial Officer, the effectiveness of our disclosure controls and procedures (as defined in Rules 13a-15(e) and 15d-15(e) under the Securities Exchange Act of 1934, as amended (the “Exchange Act”)). Based on that evaluation, our Chief Executive Officer and Chief Financial Officer concluded that our disclosure controls and procedures were effective at the reasonable assurance level as of September 30, 2020. Our disclosure controls and procedures are designed to provide reasonable assurance that information required to be disclosed in the reports that we file or submit under the Exchange Act is recorded, processed, summarized and reported within time periods specified by the SEC’s rules and forms, and that such information is accumulated and communicated to our management, including our Chief Executive Officer and Chief Financial Officer, as appropriate to allow timely decisions regarding required disclosure.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Changes in Internal Control Over Financial Reporting.</w:t>
      </w:r>
    </w:p>
    <w:p>
      <w:pPr>
        <w:spacing w:after="0" w:line="225"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There were no changes in our internal control over financial reporting during the quarter ended September 30, 2020 that have materially affected, or are reasonably likely to materially affect, our internal control over financial reporting.</w:t>
      </w:r>
    </w:p>
    <w:p>
      <w:pPr>
        <w:spacing w:after="0" w:line="3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color w:val="auto"/>
        </w:rPr>
        <w:t>PART II — OTHER INFORMATION</w:t>
      </w:r>
    </w:p>
    <w:p>
      <w:pPr>
        <w:spacing w:after="0" w:line="225"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229"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Shareholder Representative Services LLC (SRS) is the hired representative of the former stockholders of Kolltan Pharmaceuticals, Inc. (Kolltan) in connection with the Agreement and Plan of Merger, dated November 1, 2016, by and among Kolltan, Connemara Merger Sub 1, Inc., Connemara Merger Sub 2 LLC, and SRS (Merger Agreement). On August 18, 2020, Celldex filed a Verified Complaint in the Court of Chancery of the State of Delaware against SRS (acting in its capacity as the representative of the former stockholders of Kolltan pursuant to the Merger Agreement) seeking declaratory relief with respect to the rights and obligations of the parties relating to certain contingent milestone payments under the Merger Agreement. Specifically, Celldex sought the entry of an order declaring that:</w:t>
      </w:r>
    </w:p>
    <w:p>
      <w:pPr>
        <w:spacing w:after="0" w:line="192" w:lineRule="exact"/>
        <w:rPr>
          <w:sz w:val="20"/>
          <w:szCs w:val="20"/>
          <w:color w:val="auto"/>
        </w:rPr>
      </w:pPr>
    </w:p>
    <w:p>
      <w:pPr>
        <w:ind w:left="980" w:right="60" w:hanging="648"/>
        <w:spacing w:after="0" w:line="258" w:lineRule="auto"/>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Celldex’s determination to discontinue the development of CDX-0158 (formerly known as KTN0158) was proper and valid under the Merger Agreement;</w:t>
      </w:r>
    </w:p>
    <w:p>
      <w:pPr>
        <w:spacing w:after="0" w:line="1" w:lineRule="exact"/>
        <w:rPr>
          <w:rFonts w:ascii="Arial" w:cs="Arial" w:eastAsia="Arial" w:hAnsi="Arial"/>
          <w:sz w:val="18"/>
          <w:szCs w:val="18"/>
          <w:color w:val="auto"/>
        </w:rPr>
      </w:pPr>
    </w:p>
    <w:p>
      <w:pPr>
        <w:ind w:left="980" w:right="160" w:hanging="648"/>
        <w:spacing w:after="0" w:line="281" w:lineRule="auto"/>
        <w:tabs>
          <w:tab w:leader="none" w:pos="980"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 Milestone Abandonment Notice dated December 5, 2018 from Celldex was valid and effective under the Merger Agreement and that the “Successful Completion of Phase I Clinical Trial for KTN0158” Milestone has not been achieved and has properly been abandoned; and</w:t>
      </w:r>
    </w:p>
    <w:p>
      <w:pPr>
        <w:spacing w:after="0" w:line="1" w:lineRule="exact"/>
        <w:rPr>
          <w:rFonts w:ascii="Arial" w:cs="Arial" w:eastAsia="Arial" w:hAnsi="Arial"/>
          <w:sz w:val="16"/>
          <w:szCs w:val="16"/>
          <w:color w:val="auto"/>
        </w:rPr>
      </w:pPr>
    </w:p>
    <w:p>
      <w:pPr>
        <w:ind w:left="980" w:hanging="648"/>
        <w:spacing w:after="0"/>
        <w:tabs>
          <w:tab w:leader="none" w:pos="980" w:val="left"/>
        </w:tabs>
        <w:numPr>
          <w:ilvl w:val="0"/>
          <w:numId w:val="11"/>
        </w:numPr>
        <w:rPr>
          <w:rFonts w:ascii="Arial" w:cs="Arial" w:eastAsia="Arial" w:hAnsi="Arial"/>
          <w:sz w:val="17"/>
          <w:szCs w:val="17"/>
          <w:color w:val="auto"/>
        </w:rPr>
      </w:pPr>
      <w:r>
        <w:rPr>
          <w:rFonts w:ascii="Arial" w:cs="Arial" w:eastAsia="Arial" w:hAnsi="Arial"/>
          <w:sz w:val="17"/>
          <w:szCs w:val="17"/>
          <w:color w:val="auto"/>
        </w:rPr>
        <w:t>under the Merger Agreement, the CDX-0159 program is not a program that results in milestone payments under the Merger Agreement.</w:t>
      </w:r>
    </w:p>
    <w:p>
      <w:pPr>
        <w:spacing w:after="0" w:line="222" w:lineRule="exact"/>
        <w:rPr>
          <w:sz w:val="20"/>
          <w:szCs w:val="20"/>
          <w:color w:val="auto"/>
        </w:rPr>
      </w:pPr>
    </w:p>
    <w:p>
      <w:pPr>
        <w:ind w:right="240"/>
        <w:spacing w:after="0" w:line="263" w:lineRule="auto"/>
        <w:rPr>
          <w:sz w:val="20"/>
          <w:szCs w:val="20"/>
          <w:color w:val="auto"/>
        </w:rPr>
      </w:pPr>
      <w:r>
        <w:rPr>
          <w:rFonts w:ascii="Arial" w:cs="Arial" w:eastAsia="Arial" w:hAnsi="Arial"/>
          <w:sz w:val="18"/>
          <w:szCs w:val="18"/>
          <w:color w:val="auto"/>
        </w:rPr>
        <w:t>In SRS’ responsive Answer and Verified Counterclaim, SRS made claims of breach of contract with respect to the Merger Agreement, breach of implied covenant of good faith and fair dealing, declaratory relief, and unjust enrichment. The case remains ongoing and we are currently unable to predict or estimate the outcome of this matter.</w:t>
      </w:r>
    </w:p>
    <w:p>
      <w:pPr>
        <w:spacing w:after="0" w:line="315"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5"/>
          <w:szCs w:val="15"/>
          <w:b w:val="1"/>
          <w:bCs w:val="1"/>
          <w:color w:val="auto"/>
        </w:rPr>
        <w:t>Risk Factors</w:t>
      </w:r>
    </w:p>
    <w:p>
      <w:pPr>
        <w:spacing w:after="0" w:line="148"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In addition to the other information set forth in this report, you should carefully consider the factors discussed in Part I, “Item 1A. Risk Factors” in our Annual Report on Form 10-K for the year ended December 31, 2019, which could materially affect our business, financial condition or future results. The risks described in our Annual Report on Form 10-K may not be the only risks facing the Company. Additional risks and uncertainties not currently known to the Company or that the Company currently deems to be immaterial also may materially adversely affect the Company’s business, financial condition and/or operating results.</w:t>
      </w:r>
    </w:p>
    <w:p>
      <w:pPr>
        <w:spacing w:after="0" w:line="107" w:lineRule="exact"/>
        <w:rPr>
          <w:sz w:val="20"/>
          <w:szCs w:val="20"/>
          <w:color w:val="auto"/>
        </w:rPr>
      </w:pPr>
    </w:p>
    <w:p>
      <w:pPr>
        <w:ind w:right="240" w:firstLine="648"/>
        <w:spacing w:after="0" w:line="277" w:lineRule="auto"/>
        <w:rPr>
          <w:sz w:val="20"/>
          <w:szCs w:val="20"/>
          <w:color w:val="auto"/>
        </w:rPr>
      </w:pPr>
      <w:r>
        <w:rPr>
          <w:rFonts w:ascii="Arial" w:cs="Arial" w:eastAsia="Arial" w:hAnsi="Arial"/>
          <w:sz w:val="18"/>
          <w:szCs w:val="18"/>
          <w:color w:val="auto"/>
        </w:rPr>
        <w:t>Except as set forth below, there were no material changes to the risk factors previously disclosed in our Annual Report on Form 10-K filed with the Securities and Exchange Commission on March 26, 2020.</w:t>
      </w:r>
    </w:p>
    <w:p>
      <w:pPr>
        <w:spacing w:after="0" w:line="170" w:lineRule="exact"/>
        <w:rPr>
          <w:sz w:val="20"/>
          <w:szCs w:val="20"/>
          <w:color w:val="auto"/>
        </w:rPr>
      </w:pPr>
    </w:p>
    <w:p>
      <w:pPr>
        <w:ind w:right="140" w:firstLine="648"/>
        <w:spacing w:after="0" w:line="342" w:lineRule="auto"/>
        <w:rPr>
          <w:sz w:val="20"/>
          <w:szCs w:val="20"/>
          <w:color w:val="auto"/>
        </w:rPr>
      </w:pPr>
      <w:r>
        <w:rPr>
          <w:rFonts w:ascii="Arial" w:cs="Arial" w:eastAsia="Arial" w:hAnsi="Arial"/>
          <w:sz w:val="16"/>
          <w:szCs w:val="16"/>
          <w:b w:val="1"/>
          <w:bCs w:val="1"/>
          <w:i w:val="1"/>
          <w:iCs w:val="1"/>
          <w:color w:val="auto"/>
        </w:rPr>
        <w:t>Our stockholders may be subject to substantial dilution if we elect to pay future milestone consideration to the former Kolltan stockholders in shares of common stock. If we elect to pay future milestone consideration in cash we would likely need to raise additional capital.</w:t>
      </w:r>
    </w:p>
    <w:p>
      <w:pPr>
        <w:spacing w:after="0" w:line="124" w:lineRule="exact"/>
        <w:rPr>
          <w:sz w:val="20"/>
          <w:szCs w:val="20"/>
          <w:color w:val="auto"/>
        </w:rPr>
      </w:pPr>
    </w:p>
    <w:p>
      <w:pPr>
        <w:ind w:right="40" w:firstLine="648"/>
        <w:spacing w:after="0" w:line="289" w:lineRule="auto"/>
        <w:rPr>
          <w:sz w:val="20"/>
          <w:szCs w:val="20"/>
          <w:color w:val="auto"/>
        </w:rPr>
      </w:pPr>
      <w:r>
        <w:rPr>
          <w:rFonts w:ascii="Arial" w:cs="Arial" w:eastAsia="Arial" w:hAnsi="Arial"/>
          <w:sz w:val="16"/>
          <w:szCs w:val="16"/>
          <w:color w:val="auto"/>
        </w:rPr>
        <w:t>The merger agreement between us and Kolltan ("Merger Agreement") provides that we will be required to pay Kolltan's former stockholders contingent consideration in the form of development, regulatory approval and sales-based milestones ("Kolltan Milestones") of up to $172.5 million. Certain Kolltan Milestones related to the METRIC clinical study, TAM partnership closing within two years of the acquisition, CDX-3379 and CDX-0158 have been abandoned consistent with the provisions of the Merger Agreement and, because of this, as of September 30, 2020, we believe that the adjusted amount we may be required to pay for future consideration is up to $107.5 million contingent upon the achievement of the Kolltan Milestones. We have previously sent abandonment notices to the representative of Kolltan's former stockholders with respect to certain of those Kolltan Milestones, to which the representative subsequently objected. We disagree with their objection and believe their objection to be without merit. We have filed a Verified Complaint in the Court of Chancery of the State of Delaware seeking declaratory relief with respect to the rights and obligations of the parties relating to certain contingent milestone payments under the Merger Agreement relating to the discontinued CDX-0158 program.</w:t>
      </w:r>
    </w:p>
    <w:p>
      <w:pPr>
        <w:spacing w:after="0" w:line="166" w:lineRule="exact"/>
        <w:rPr>
          <w:sz w:val="20"/>
          <w:szCs w:val="20"/>
          <w:color w:val="auto"/>
        </w:rPr>
      </w:pPr>
    </w:p>
    <w:p>
      <w:pPr>
        <w:jc w:val="both"/>
        <w:ind w:right="300" w:firstLine="648"/>
        <w:spacing w:after="0" w:line="311" w:lineRule="auto"/>
        <w:rPr>
          <w:sz w:val="20"/>
          <w:szCs w:val="20"/>
          <w:color w:val="auto"/>
        </w:rPr>
      </w:pPr>
      <w:r>
        <w:rPr>
          <w:rFonts w:ascii="Arial" w:cs="Arial" w:eastAsia="Arial" w:hAnsi="Arial"/>
          <w:sz w:val="16"/>
          <w:szCs w:val="16"/>
          <w:color w:val="auto"/>
        </w:rPr>
        <w:t>At this time, we are unable to reasonably assess the ultimate outcome of our litigation with the representative of Kolltan's former stockholders over its objection to our abandonment of certain Kolltan Milestones or determine an estimate of potential losses, if any. Further, there are disagreements between that representative and us with respect to our abandonment notice related to the discontinued CDX-3379 program.</w:t>
      </w: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9" w:name="page30"/>
    <w:bookmarkEnd w:id="29"/>
    <w:p>
      <w:pPr>
        <w:ind w:right="180" w:firstLine="648"/>
        <w:spacing w:after="0" w:line="257" w:lineRule="auto"/>
        <w:rPr>
          <w:sz w:val="20"/>
          <w:szCs w:val="20"/>
          <w:color w:val="auto"/>
        </w:rPr>
      </w:pPr>
      <w:r>
        <w:rPr>
          <w:rFonts w:ascii="Arial" w:cs="Arial" w:eastAsia="Arial" w:hAnsi="Arial"/>
          <w:sz w:val="18"/>
          <w:szCs w:val="18"/>
          <w:color w:val="auto"/>
        </w:rPr>
        <w:t>Milestone payments under the Merger Agreement may be made, at our sole election, in cash, in shares of our common stock or a combination of both, although we are required to maintain a certain percentage of the overall consideration paid in Celldex common stock to satisfy certain tax requirements under the Merger Agreement. We may require additional capital to fund any milestone payments in cash, depending on the facts and circumstances at the time such payments become due. If we elect to pay the Kolltan Milestones in shares of our common stock, our stockholders would experience substantial dilution.</w:t>
      </w:r>
    </w:p>
    <w:p>
      <w:pPr>
        <w:spacing w:after="0" w:line="184"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Exhibits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exhibits filed as part of this quarterly report on Form 10-Q are listed in the exhibit index included herewith and are incorporated by reference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herein.</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0" w:type="dxa"/>
            <w:vAlign w:val="bottom"/>
          </w:tcPr>
          <w:p>
            <w:pPr>
              <w:ind w:left="3680"/>
              <w:spacing w:after="0"/>
              <w:rPr>
                <w:sz w:val="20"/>
                <w:szCs w:val="20"/>
                <w:color w:val="auto"/>
              </w:rPr>
            </w:pPr>
            <w:r>
              <w:rPr>
                <w:rFonts w:ascii="Arial" w:cs="Arial" w:eastAsia="Arial" w:hAnsi="Arial"/>
                <w:sz w:val="18"/>
                <w:szCs w:val="18"/>
                <w:b w:val="1"/>
                <w:bCs w:val="1"/>
                <w:color w:val="auto"/>
              </w:rPr>
              <w:t>EXHIBIT INDEX</w:t>
            </w:r>
          </w:p>
        </w:tc>
      </w:tr>
      <w:tr>
        <w:trPr>
          <w:trHeight w:val="414"/>
        </w:trPr>
        <w:tc>
          <w:tcPr>
            <w:tcW w:w="1240" w:type="dxa"/>
            <w:vAlign w:val="bottom"/>
            <w:gridSpan w:val="2"/>
          </w:tcPr>
          <w:p>
            <w:pPr>
              <w:spacing w:after="0"/>
              <w:rPr>
                <w:sz w:val="20"/>
                <w:szCs w:val="20"/>
                <w:color w:val="auto"/>
              </w:rPr>
            </w:pPr>
            <w:r>
              <w:rPr>
                <w:rFonts w:ascii="Arial" w:cs="Arial" w:eastAsia="Arial" w:hAnsi="Arial"/>
                <w:sz w:val="18"/>
                <w:szCs w:val="18"/>
                <w:b w:val="1"/>
                <w:bCs w:val="1"/>
                <w:color w:val="auto"/>
              </w:rPr>
              <w:t>Exhibit</w:t>
            </w:r>
          </w:p>
        </w:tc>
        <w:tc>
          <w:tcPr>
            <w:tcW w:w="10000" w:type="dxa"/>
            <w:vAlign w:val="bottom"/>
          </w:tcPr>
          <w:p>
            <w:pPr>
              <w:spacing w:after="0"/>
              <w:rPr>
                <w:sz w:val="24"/>
                <w:szCs w:val="24"/>
                <w:color w:val="auto"/>
              </w:rPr>
            </w:pPr>
          </w:p>
        </w:tc>
      </w:tr>
      <w:tr>
        <w:trPr>
          <w:trHeight w:val="234"/>
        </w:trPr>
        <w:tc>
          <w:tcPr>
            <w:tcW w:w="1240" w:type="dxa"/>
            <w:vAlign w:val="bottom"/>
            <w:gridSpan w:val="2"/>
          </w:tcPr>
          <w:p>
            <w:pPr>
              <w:spacing w:after="0"/>
              <w:rPr>
                <w:sz w:val="20"/>
                <w:szCs w:val="20"/>
                <w:color w:val="auto"/>
              </w:rPr>
            </w:pPr>
            <w:r>
              <w:rPr>
                <w:rFonts w:ascii="Arial" w:cs="Arial" w:eastAsia="Arial" w:hAnsi="Arial"/>
                <w:sz w:val="18"/>
                <w:szCs w:val="18"/>
                <w:b w:val="1"/>
                <w:bCs w:val="1"/>
                <w:color w:val="auto"/>
              </w:rPr>
              <w:t>No.</w:t>
            </w:r>
          </w:p>
        </w:tc>
        <w:tc>
          <w:tcPr>
            <w:tcW w:w="10000" w:type="dxa"/>
            <w:vAlign w:val="bottom"/>
          </w:tcPr>
          <w:p>
            <w:pPr>
              <w:ind w:left="4560"/>
              <w:spacing w:after="0"/>
              <w:rPr>
                <w:sz w:val="20"/>
                <w:szCs w:val="20"/>
                <w:color w:val="auto"/>
              </w:rPr>
            </w:pPr>
            <w:r>
              <w:rPr>
                <w:rFonts w:ascii="Arial" w:cs="Arial" w:eastAsia="Arial" w:hAnsi="Arial"/>
                <w:sz w:val="18"/>
                <w:szCs w:val="18"/>
                <w:b w:val="1"/>
                <w:bCs w:val="1"/>
                <w:color w:val="auto"/>
              </w:rPr>
              <w:t>Description</w:t>
            </w:r>
          </w:p>
        </w:tc>
      </w:tr>
      <w:tr>
        <w:trPr>
          <w:trHeight w:val="224"/>
        </w:trPr>
        <w:tc>
          <w:tcPr>
            <w:tcW w:w="1140" w:type="dxa"/>
            <w:vAlign w:val="bottom"/>
            <w:tcBorders>
              <w:top w:val="single" w:sz="8" w:color="auto"/>
            </w:tcBorders>
          </w:tcPr>
          <w:p>
            <w:pPr>
              <w:spacing w:after="0"/>
              <w:rPr>
                <w:rFonts w:ascii="Arial" w:cs="Arial" w:eastAsia="Arial" w:hAnsi="Arial"/>
                <w:sz w:val="18"/>
                <w:szCs w:val="18"/>
                <w:u w:val="single" w:color="auto"/>
                <w:color w:val="0000EE"/>
              </w:rPr>
            </w:pPr>
            <w:hyperlink w:anchor="page32">
              <w:r>
                <w:rPr>
                  <w:rFonts w:ascii="Arial" w:cs="Arial" w:eastAsia="Arial" w:hAnsi="Arial"/>
                  <w:sz w:val="18"/>
                  <w:szCs w:val="18"/>
                  <w:u w:val="single" w:color="auto"/>
                  <w:color w:val="0000EE"/>
                </w:rPr>
                <w:t>*31.1</w:t>
              </w:r>
            </w:hyperlink>
          </w:p>
        </w:tc>
        <w:tc>
          <w:tcPr>
            <w:tcW w:w="100" w:type="dxa"/>
            <w:vAlign w:val="bottom"/>
          </w:tcPr>
          <w:p>
            <w:pPr>
              <w:spacing w:after="0"/>
              <w:rPr>
                <w:sz w:val="19"/>
                <w:szCs w:val="19"/>
                <w:color w:val="auto"/>
              </w:rPr>
            </w:pPr>
          </w:p>
        </w:tc>
        <w:tc>
          <w:tcPr>
            <w:tcW w:w="10000" w:type="dxa"/>
            <w:vAlign w:val="bottom"/>
            <w:tcBorders>
              <w:top w:val="single" w:sz="8" w:color="auto"/>
            </w:tcBorders>
          </w:tcPr>
          <w:p>
            <w:pPr>
              <w:ind w:left="20"/>
              <w:spacing w:after="0"/>
              <w:rPr>
                <w:rFonts w:ascii="Arial" w:cs="Arial" w:eastAsia="Arial" w:hAnsi="Arial"/>
                <w:sz w:val="18"/>
                <w:szCs w:val="18"/>
                <w:u w:val="single" w:color="auto"/>
                <w:color w:val="0000EE"/>
              </w:rPr>
            </w:pPr>
            <w:hyperlink w:anchor="page32">
              <w:r>
                <w:rPr>
                  <w:rFonts w:ascii="Arial" w:cs="Arial" w:eastAsia="Arial" w:hAnsi="Arial"/>
                  <w:sz w:val="18"/>
                  <w:szCs w:val="18"/>
                  <w:u w:val="single" w:color="auto"/>
                  <w:color w:val="0000EE"/>
                </w:rPr>
                <w:t>Certification of President and Chief Executive Officer</w:t>
              </w:r>
            </w:hyperlink>
          </w:p>
        </w:tc>
      </w:tr>
      <w:tr>
        <w:trPr>
          <w:trHeight w:val="458"/>
        </w:trPr>
        <w:tc>
          <w:tcPr>
            <w:tcW w:w="1140" w:type="dxa"/>
            <w:vAlign w:val="bottom"/>
          </w:tcPr>
          <w:p>
            <w:pPr>
              <w:spacing w:after="0"/>
              <w:rPr>
                <w:rFonts w:ascii="Arial" w:cs="Arial" w:eastAsia="Arial" w:hAnsi="Arial"/>
                <w:sz w:val="18"/>
                <w:szCs w:val="18"/>
                <w:u w:val="single" w:color="auto"/>
                <w:color w:val="0000EE"/>
              </w:rPr>
            </w:pPr>
            <w:hyperlink w:anchor="page33">
              <w:r>
                <w:rPr>
                  <w:rFonts w:ascii="Arial" w:cs="Arial" w:eastAsia="Arial" w:hAnsi="Arial"/>
                  <w:sz w:val="18"/>
                  <w:szCs w:val="18"/>
                  <w:u w:val="single" w:color="auto"/>
                  <w:color w:val="0000EE"/>
                </w:rPr>
                <w:t>*31.2</w:t>
              </w:r>
            </w:hyperlink>
          </w:p>
        </w:tc>
        <w:tc>
          <w:tcPr>
            <w:tcW w:w="100" w:type="dxa"/>
            <w:vAlign w:val="bottom"/>
          </w:tcPr>
          <w:p>
            <w:pPr>
              <w:spacing w:after="0"/>
              <w:rPr>
                <w:sz w:val="24"/>
                <w:szCs w:val="24"/>
                <w:color w:val="auto"/>
              </w:rPr>
            </w:pPr>
          </w:p>
        </w:tc>
        <w:tc>
          <w:tcPr>
            <w:tcW w:w="10000" w:type="dxa"/>
            <w:vAlign w:val="bottom"/>
          </w:tcPr>
          <w:p>
            <w:pPr>
              <w:ind w:left="20"/>
              <w:spacing w:after="0"/>
              <w:rPr>
                <w:rFonts w:ascii="Arial" w:cs="Arial" w:eastAsia="Arial" w:hAnsi="Arial"/>
                <w:sz w:val="18"/>
                <w:szCs w:val="18"/>
                <w:u w:val="single" w:color="auto"/>
                <w:color w:val="0000EE"/>
              </w:rPr>
            </w:pPr>
            <w:hyperlink w:anchor="page33">
              <w:r>
                <w:rPr>
                  <w:rFonts w:ascii="Arial" w:cs="Arial" w:eastAsia="Arial" w:hAnsi="Arial"/>
                  <w:sz w:val="18"/>
                  <w:szCs w:val="18"/>
                  <w:u w:val="single" w:color="auto"/>
                  <w:color w:val="0000EE"/>
                </w:rPr>
                <w:t>Certification of Senior Vice President and Chief Financial Officer</w:t>
              </w:r>
            </w:hyperlink>
          </w:p>
        </w:tc>
      </w:tr>
      <w:tr>
        <w:trPr>
          <w:trHeight w:val="486"/>
        </w:trPr>
        <w:tc>
          <w:tcPr>
            <w:tcW w:w="1140" w:type="dxa"/>
            <w:vAlign w:val="bottom"/>
          </w:tcPr>
          <w:p>
            <w:pPr>
              <w:spacing w:after="0"/>
              <w:rPr>
                <w:rFonts w:ascii="Arial" w:cs="Arial" w:eastAsia="Arial" w:hAnsi="Arial"/>
                <w:sz w:val="18"/>
                <w:szCs w:val="18"/>
                <w:u w:val="single" w:color="auto"/>
                <w:color w:val="0000EE"/>
              </w:rPr>
            </w:pPr>
            <w:hyperlink w:anchor="page34">
              <w:r>
                <w:rPr>
                  <w:rFonts w:ascii="Arial" w:cs="Arial" w:eastAsia="Arial" w:hAnsi="Arial"/>
                  <w:sz w:val="18"/>
                  <w:szCs w:val="18"/>
                  <w:u w:val="single" w:color="auto"/>
                  <w:color w:val="0000EE"/>
                </w:rPr>
                <w:t>**32.1</w:t>
              </w:r>
            </w:hyperlink>
          </w:p>
        </w:tc>
        <w:tc>
          <w:tcPr>
            <w:tcW w:w="100" w:type="dxa"/>
            <w:vAlign w:val="bottom"/>
          </w:tcPr>
          <w:p>
            <w:pPr>
              <w:spacing w:after="0"/>
              <w:rPr>
                <w:sz w:val="24"/>
                <w:szCs w:val="24"/>
                <w:color w:val="auto"/>
              </w:rPr>
            </w:pPr>
          </w:p>
        </w:tc>
        <w:tc>
          <w:tcPr>
            <w:tcW w:w="10000" w:type="dxa"/>
            <w:vAlign w:val="bottom"/>
          </w:tcPr>
          <w:p>
            <w:pPr>
              <w:ind w:left="20"/>
              <w:spacing w:after="0"/>
              <w:rPr>
                <w:rFonts w:ascii="Arial" w:cs="Arial" w:eastAsia="Arial" w:hAnsi="Arial"/>
                <w:sz w:val="18"/>
                <w:szCs w:val="18"/>
                <w:u w:val="single" w:color="auto"/>
                <w:color w:val="0000EE"/>
              </w:rPr>
            </w:pPr>
            <w:hyperlink w:anchor="page34">
              <w:r>
                <w:rPr>
                  <w:rFonts w:ascii="Arial" w:cs="Arial" w:eastAsia="Arial" w:hAnsi="Arial"/>
                  <w:sz w:val="18"/>
                  <w:szCs w:val="18"/>
                  <w:u w:val="single" w:color="auto"/>
                  <w:color w:val="0000EE"/>
                </w:rPr>
                <w:t>Section 1350 Certifications</w:t>
              </w:r>
            </w:hyperlink>
          </w:p>
        </w:tc>
      </w:tr>
      <w:tr>
        <w:trPr>
          <w:trHeight w:val="486"/>
        </w:trPr>
        <w:tc>
          <w:tcPr>
            <w:tcW w:w="1140" w:type="dxa"/>
            <w:vAlign w:val="bottom"/>
          </w:tcPr>
          <w:p>
            <w:pPr>
              <w:spacing w:after="0"/>
              <w:rPr>
                <w:sz w:val="20"/>
                <w:szCs w:val="20"/>
                <w:color w:val="auto"/>
              </w:rPr>
            </w:pPr>
            <w:r>
              <w:rPr>
                <w:rFonts w:ascii="Arial" w:cs="Arial" w:eastAsia="Arial" w:hAnsi="Arial"/>
                <w:sz w:val="18"/>
                <w:szCs w:val="18"/>
                <w:color w:val="auto"/>
              </w:rPr>
              <w:t>*101</w:t>
            </w:r>
          </w:p>
        </w:tc>
        <w:tc>
          <w:tcPr>
            <w:tcW w:w="100" w:type="dxa"/>
            <w:vAlign w:val="bottom"/>
          </w:tcPr>
          <w:p>
            <w:pPr>
              <w:spacing w:after="0"/>
              <w:rPr>
                <w:sz w:val="24"/>
                <w:szCs w:val="24"/>
                <w:color w:val="auto"/>
              </w:rPr>
            </w:pPr>
          </w:p>
        </w:tc>
        <w:tc>
          <w:tcPr>
            <w:tcW w:w="10000" w:type="dxa"/>
            <w:vAlign w:val="bottom"/>
          </w:tcPr>
          <w:p>
            <w:pPr>
              <w:ind w:left="20"/>
              <w:spacing w:after="0"/>
              <w:rPr>
                <w:sz w:val="20"/>
                <w:szCs w:val="20"/>
                <w:color w:val="auto"/>
              </w:rPr>
            </w:pPr>
            <w:r>
              <w:rPr>
                <w:rFonts w:ascii="Arial" w:cs="Arial" w:eastAsia="Arial" w:hAnsi="Arial"/>
                <w:sz w:val="18"/>
                <w:szCs w:val="18"/>
                <w:color w:val="auto"/>
              </w:rPr>
              <w:t>XBRL Instance Document.</w:t>
            </w:r>
          </w:p>
        </w:tc>
      </w:tr>
      <w:tr>
        <w:trPr>
          <w:trHeight w:val="486"/>
        </w:trPr>
        <w:tc>
          <w:tcPr>
            <w:tcW w:w="1140" w:type="dxa"/>
            <w:vAlign w:val="bottom"/>
          </w:tcPr>
          <w:p>
            <w:pPr>
              <w:spacing w:after="0"/>
              <w:rPr>
                <w:sz w:val="20"/>
                <w:szCs w:val="20"/>
                <w:color w:val="auto"/>
              </w:rPr>
            </w:pPr>
            <w:r>
              <w:rPr>
                <w:rFonts w:ascii="Arial" w:cs="Arial" w:eastAsia="Arial" w:hAnsi="Arial"/>
                <w:sz w:val="18"/>
                <w:szCs w:val="18"/>
                <w:color w:val="auto"/>
              </w:rPr>
              <w:t>*101</w:t>
            </w:r>
          </w:p>
        </w:tc>
        <w:tc>
          <w:tcPr>
            <w:tcW w:w="100" w:type="dxa"/>
            <w:vAlign w:val="bottom"/>
          </w:tcPr>
          <w:p>
            <w:pPr>
              <w:spacing w:after="0"/>
              <w:rPr>
                <w:sz w:val="24"/>
                <w:szCs w:val="24"/>
                <w:color w:val="auto"/>
              </w:rPr>
            </w:pPr>
          </w:p>
        </w:tc>
        <w:tc>
          <w:tcPr>
            <w:tcW w:w="10000" w:type="dxa"/>
            <w:vAlign w:val="bottom"/>
          </w:tcPr>
          <w:p>
            <w:pPr>
              <w:ind w:left="20"/>
              <w:spacing w:after="0"/>
              <w:rPr>
                <w:sz w:val="20"/>
                <w:szCs w:val="20"/>
                <w:color w:val="auto"/>
              </w:rPr>
            </w:pPr>
            <w:r>
              <w:rPr>
                <w:rFonts w:ascii="Arial" w:cs="Arial" w:eastAsia="Arial" w:hAnsi="Arial"/>
                <w:sz w:val="18"/>
                <w:szCs w:val="18"/>
                <w:color w:val="auto"/>
              </w:rPr>
              <w:t>XBRL Taxonomy Extension Schema Document.</w:t>
            </w:r>
          </w:p>
        </w:tc>
      </w:tr>
      <w:tr>
        <w:trPr>
          <w:trHeight w:val="486"/>
        </w:trPr>
        <w:tc>
          <w:tcPr>
            <w:tcW w:w="1140" w:type="dxa"/>
            <w:vAlign w:val="bottom"/>
          </w:tcPr>
          <w:p>
            <w:pPr>
              <w:spacing w:after="0"/>
              <w:rPr>
                <w:sz w:val="20"/>
                <w:szCs w:val="20"/>
                <w:color w:val="auto"/>
              </w:rPr>
            </w:pPr>
            <w:r>
              <w:rPr>
                <w:rFonts w:ascii="Arial" w:cs="Arial" w:eastAsia="Arial" w:hAnsi="Arial"/>
                <w:sz w:val="18"/>
                <w:szCs w:val="18"/>
                <w:color w:val="auto"/>
              </w:rPr>
              <w:t>*101</w:t>
            </w:r>
          </w:p>
        </w:tc>
        <w:tc>
          <w:tcPr>
            <w:tcW w:w="100" w:type="dxa"/>
            <w:vAlign w:val="bottom"/>
          </w:tcPr>
          <w:p>
            <w:pPr>
              <w:spacing w:after="0"/>
              <w:rPr>
                <w:sz w:val="24"/>
                <w:szCs w:val="24"/>
                <w:color w:val="auto"/>
              </w:rPr>
            </w:pPr>
          </w:p>
        </w:tc>
        <w:tc>
          <w:tcPr>
            <w:tcW w:w="10000" w:type="dxa"/>
            <w:vAlign w:val="bottom"/>
          </w:tcPr>
          <w:p>
            <w:pPr>
              <w:ind w:left="20"/>
              <w:spacing w:after="0"/>
              <w:rPr>
                <w:sz w:val="20"/>
                <w:szCs w:val="20"/>
                <w:color w:val="auto"/>
              </w:rPr>
            </w:pPr>
            <w:r>
              <w:rPr>
                <w:rFonts w:ascii="Arial" w:cs="Arial" w:eastAsia="Arial" w:hAnsi="Arial"/>
                <w:sz w:val="18"/>
                <w:szCs w:val="18"/>
                <w:color w:val="auto"/>
              </w:rPr>
              <w:t>XBRL Taxonomy Extension Calculation Linkbase Document.</w:t>
            </w:r>
          </w:p>
        </w:tc>
      </w:tr>
      <w:tr>
        <w:trPr>
          <w:trHeight w:val="486"/>
        </w:trPr>
        <w:tc>
          <w:tcPr>
            <w:tcW w:w="1140" w:type="dxa"/>
            <w:vAlign w:val="bottom"/>
          </w:tcPr>
          <w:p>
            <w:pPr>
              <w:spacing w:after="0"/>
              <w:rPr>
                <w:sz w:val="20"/>
                <w:szCs w:val="20"/>
                <w:color w:val="auto"/>
              </w:rPr>
            </w:pPr>
            <w:r>
              <w:rPr>
                <w:rFonts w:ascii="Arial" w:cs="Arial" w:eastAsia="Arial" w:hAnsi="Arial"/>
                <w:sz w:val="18"/>
                <w:szCs w:val="18"/>
                <w:color w:val="auto"/>
              </w:rPr>
              <w:t>*101</w:t>
            </w:r>
          </w:p>
        </w:tc>
        <w:tc>
          <w:tcPr>
            <w:tcW w:w="100" w:type="dxa"/>
            <w:vAlign w:val="bottom"/>
          </w:tcPr>
          <w:p>
            <w:pPr>
              <w:spacing w:after="0"/>
              <w:rPr>
                <w:sz w:val="24"/>
                <w:szCs w:val="24"/>
                <w:color w:val="auto"/>
              </w:rPr>
            </w:pPr>
          </w:p>
        </w:tc>
        <w:tc>
          <w:tcPr>
            <w:tcW w:w="10000" w:type="dxa"/>
            <w:vAlign w:val="bottom"/>
          </w:tcPr>
          <w:p>
            <w:pPr>
              <w:ind w:left="20"/>
              <w:spacing w:after="0"/>
              <w:rPr>
                <w:sz w:val="20"/>
                <w:szCs w:val="20"/>
                <w:color w:val="auto"/>
              </w:rPr>
            </w:pPr>
            <w:r>
              <w:rPr>
                <w:rFonts w:ascii="Arial" w:cs="Arial" w:eastAsia="Arial" w:hAnsi="Arial"/>
                <w:sz w:val="18"/>
                <w:szCs w:val="18"/>
                <w:color w:val="auto"/>
              </w:rPr>
              <w:t>XBRL Taxonomy Extension Definition Linkbase Document.</w:t>
            </w:r>
          </w:p>
        </w:tc>
      </w:tr>
      <w:tr>
        <w:trPr>
          <w:trHeight w:val="486"/>
        </w:trPr>
        <w:tc>
          <w:tcPr>
            <w:tcW w:w="1140" w:type="dxa"/>
            <w:vAlign w:val="bottom"/>
          </w:tcPr>
          <w:p>
            <w:pPr>
              <w:spacing w:after="0"/>
              <w:rPr>
                <w:sz w:val="20"/>
                <w:szCs w:val="20"/>
                <w:color w:val="auto"/>
              </w:rPr>
            </w:pPr>
            <w:r>
              <w:rPr>
                <w:rFonts w:ascii="Arial" w:cs="Arial" w:eastAsia="Arial" w:hAnsi="Arial"/>
                <w:sz w:val="18"/>
                <w:szCs w:val="18"/>
                <w:color w:val="auto"/>
              </w:rPr>
              <w:t>*101</w:t>
            </w:r>
          </w:p>
        </w:tc>
        <w:tc>
          <w:tcPr>
            <w:tcW w:w="100" w:type="dxa"/>
            <w:vAlign w:val="bottom"/>
          </w:tcPr>
          <w:p>
            <w:pPr>
              <w:spacing w:after="0"/>
              <w:rPr>
                <w:sz w:val="24"/>
                <w:szCs w:val="24"/>
                <w:color w:val="auto"/>
              </w:rPr>
            </w:pPr>
          </w:p>
        </w:tc>
        <w:tc>
          <w:tcPr>
            <w:tcW w:w="10000" w:type="dxa"/>
            <w:vAlign w:val="bottom"/>
          </w:tcPr>
          <w:p>
            <w:pPr>
              <w:ind w:left="20"/>
              <w:spacing w:after="0"/>
              <w:rPr>
                <w:sz w:val="20"/>
                <w:szCs w:val="20"/>
                <w:color w:val="auto"/>
              </w:rPr>
            </w:pPr>
            <w:r>
              <w:rPr>
                <w:rFonts w:ascii="Arial" w:cs="Arial" w:eastAsia="Arial" w:hAnsi="Arial"/>
                <w:sz w:val="18"/>
                <w:szCs w:val="18"/>
                <w:color w:val="auto"/>
              </w:rPr>
              <w:t>XBRL Taxonomy Extension Label Linkbase Document.</w:t>
            </w:r>
          </w:p>
        </w:tc>
      </w:tr>
      <w:tr>
        <w:trPr>
          <w:trHeight w:val="486"/>
        </w:trPr>
        <w:tc>
          <w:tcPr>
            <w:tcW w:w="1140" w:type="dxa"/>
            <w:vAlign w:val="bottom"/>
          </w:tcPr>
          <w:p>
            <w:pPr>
              <w:spacing w:after="0"/>
              <w:rPr>
                <w:sz w:val="20"/>
                <w:szCs w:val="20"/>
                <w:color w:val="auto"/>
              </w:rPr>
            </w:pPr>
            <w:r>
              <w:rPr>
                <w:rFonts w:ascii="Arial" w:cs="Arial" w:eastAsia="Arial" w:hAnsi="Arial"/>
                <w:sz w:val="18"/>
                <w:szCs w:val="18"/>
                <w:color w:val="auto"/>
              </w:rPr>
              <w:t>*101</w:t>
            </w:r>
          </w:p>
        </w:tc>
        <w:tc>
          <w:tcPr>
            <w:tcW w:w="100" w:type="dxa"/>
            <w:vAlign w:val="bottom"/>
          </w:tcPr>
          <w:p>
            <w:pPr>
              <w:spacing w:after="0"/>
              <w:rPr>
                <w:sz w:val="24"/>
                <w:szCs w:val="24"/>
                <w:color w:val="auto"/>
              </w:rPr>
            </w:pPr>
          </w:p>
        </w:tc>
        <w:tc>
          <w:tcPr>
            <w:tcW w:w="10000" w:type="dxa"/>
            <w:vAlign w:val="bottom"/>
          </w:tcPr>
          <w:p>
            <w:pPr>
              <w:ind w:left="20"/>
              <w:spacing w:after="0"/>
              <w:rPr>
                <w:sz w:val="20"/>
                <w:szCs w:val="20"/>
                <w:color w:val="auto"/>
              </w:rPr>
            </w:pPr>
            <w:r>
              <w:rPr>
                <w:rFonts w:ascii="Arial" w:cs="Arial" w:eastAsia="Arial" w:hAnsi="Arial"/>
                <w:sz w:val="18"/>
                <w:szCs w:val="18"/>
                <w:color w:val="auto"/>
              </w:rPr>
              <w:t>XBRL Taxonomy Extension Presentation Linkbase Document.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162560</wp:posOffset>
            </wp:positionV>
            <wp:extent cx="713232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49" w:lineRule="exact"/>
        <w:rPr>
          <w:sz w:val="20"/>
          <w:szCs w:val="20"/>
          <w:color w:val="auto"/>
        </w:rPr>
      </w:pPr>
    </w:p>
    <w:p>
      <w:pPr>
        <w:ind w:left="740" w:hanging="408"/>
        <w:spacing w:after="0"/>
        <w:tabs>
          <w:tab w:leader="none" w:pos="7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3" w:lineRule="exact"/>
        <w:rPr>
          <w:sz w:val="20"/>
          <w:szCs w:val="20"/>
          <w:color w:val="auto"/>
        </w:rPr>
      </w:pPr>
    </w:p>
    <w:p>
      <w:pPr>
        <w:ind w:left="740" w:hanging="408"/>
        <w:spacing w:after="0"/>
        <w:tabs>
          <w:tab w:leader="none" w:pos="7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Furnished herewith.</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0" w:name="page31"/>
    <w:bookmarkEnd w:id="30"/>
    <w:p>
      <w:pPr>
        <w:jc w:val="center"/>
        <w:ind w:right="-3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ectPr>
          <w:pgSz w:w="11900" w:h="16838" w:orient="portrait"/>
          <w:cols w:equalWidth="0" w:num="1">
            <w:col w:w="10920"/>
          </w:cols>
          <w:pgMar w:left="320" w:top="904" w:right="6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Arial" w:cs="Arial" w:eastAsia="Arial" w:hAnsi="Arial"/>
          <w:sz w:val="16"/>
          <w:szCs w:val="16"/>
          <w:color w:val="auto"/>
        </w:rPr>
        <w:t>Dated: November 5,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6"/>
          <w:szCs w:val="16"/>
          <w:color w:val="auto"/>
        </w:rPr>
        <w:t>Dated: November 5, 2020</w:t>
      </w:r>
    </w:p>
    <w:p>
      <w:pPr>
        <w:spacing w:after="0" w:line="20" w:lineRule="exact"/>
        <w:rPr>
          <w:sz w:val="20"/>
          <w:szCs w:val="20"/>
          <w:color w:val="auto"/>
        </w:rPr>
      </w:pPr>
      <w:r>
        <w:rPr>
          <w:sz w:val="20"/>
          <w:szCs w:val="20"/>
          <w:color w:val="auto"/>
        </w:rPr>
        <w:br w:type="column"/>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CELLDEX THERAPEUTICS, INC.</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 ANTHONY S. MARUCCI</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Anthony S. Marucci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-130175</wp:posOffset>
            </wp:positionV>
            <wp:extent cx="356616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President and Chief Executive Officer</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auto"/>
        </w:rPr>
        <w:t>(Principal Executive Officer)</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/s/ SAM MARTIN</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Sam Martin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-130175</wp:posOffset>
            </wp:positionV>
            <wp:extent cx="356616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6"/>
          <w:szCs w:val="16"/>
          <w:color w:val="auto"/>
        </w:rPr>
        <w:t>Senior Vice President and Chief Financial Officer</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color w:val="auto"/>
        </w:rPr>
        <w:t>(Principal Financial and Accounting Officer)</w:t>
      </w:r>
    </w:p>
    <w:p>
      <w:pPr>
        <w:spacing w:after="0" w:line="200" w:lineRule="exact"/>
        <w:rPr>
          <w:sz w:val="20"/>
          <w:szCs w:val="20"/>
          <w:color w:val="auto"/>
        </w:rPr>
      </w:pPr>
    </w:p>
    <w:p>
      <w:pPr>
        <w:sectPr>
          <w:pgSz w:w="11900" w:h="16838" w:orient="portrait"/>
          <w:cols w:equalWidth="0" w:num="2">
            <w:col w:w="4900" w:space="720"/>
            <w:col w:w="5300"/>
          </w:cols>
          <w:pgMar w:left="320" w:top="904" w:right="659" w:bottom="1440" w:gutter="0" w:footer="0" w:header="0"/>
          <w:type w:val="continuous"/>
        </w:sectPr>
      </w:pPr>
    </w:p>
    <w:p>
      <w:pPr>
        <w:spacing w:after="0" w:line="268" w:lineRule="exact"/>
        <w:rPr>
          <w:sz w:val="20"/>
          <w:szCs w:val="20"/>
          <w:color w:val="auto"/>
        </w:rPr>
      </w:pPr>
    </w:p>
    <w:p>
      <w:pPr>
        <w:jc w:val="center"/>
        <w:ind w:right="-339"/>
        <w:spacing w:after="0"/>
        <w:rPr>
          <w:sz w:val="20"/>
          <w:szCs w:val="20"/>
          <w:color w:val="auto"/>
        </w:rPr>
      </w:pPr>
      <w:r>
        <w:rPr>
          <w:rFonts w:ascii="Arial" w:cs="Arial" w:eastAsia="Arial" w:hAnsi="Arial"/>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920"/>
          </w:cols>
          <w:pgMar w:left="320" w:top="904" w:right="659" w:bottom="1440" w:gutter="0" w:footer="0" w:header="0"/>
          <w:type w:val="continuous"/>
        </w:sectPr>
      </w:pPr>
    </w:p>
    <w:bookmarkStart w:id="31" w:name="page32"/>
    <w:bookmarkEnd w:id="31"/>
    <w:p>
      <w:pPr>
        <w:jc w:val="right"/>
        <w:spacing w:after="0"/>
        <w:rPr>
          <w:sz w:val="20"/>
          <w:szCs w:val="20"/>
          <w:color w:val="auto"/>
        </w:rPr>
      </w:pPr>
      <w:r>
        <w:rPr>
          <w:rFonts w:ascii="Arial" w:cs="Arial" w:eastAsia="Arial" w:hAnsi="Arial"/>
          <w:sz w:val="18"/>
          <w:szCs w:val="18"/>
          <w:b w:val="1"/>
          <w:bCs w:val="1"/>
          <w:color w:val="auto"/>
        </w:rPr>
        <w:t>Exhibit 31.1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CERTIFICATION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Anthony S. Marucci, certify that:</w:t>
      </w:r>
    </w:p>
    <w:p>
      <w:pPr>
        <w:spacing w:after="0" w:line="225" w:lineRule="exact"/>
        <w:rPr>
          <w:sz w:val="20"/>
          <w:szCs w:val="20"/>
          <w:color w:val="auto"/>
        </w:rPr>
      </w:pPr>
    </w:p>
    <w:p>
      <w:pPr>
        <w:ind w:left="680" w:hanging="443"/>
        <w:spacing w:after="0"/>
        <w:tabs>
          <w:tab w:leader="none" w:pos="6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 have reviewed this report on Form 10-Q of Celldex Therapeutics, Inc.;</w:t>
      </w:r>
    </w:p>
    <w:p>
      <w:pPr>
        <w:spacing w:after="0" w:line="252" w:lineRule="exact"/>
        <w:rPr>
          <w:rFonts w:ascii="Arial" w:cs="Arial" w:eastAsia="Arial" w:hAnsi="Arial"/>
          <w:sz w:val="18"/>
          <w:szCs w:val="18"/>
          <w:color w:val="auto"/>
        </w:rPr>
      </w:pPr>
    </w:p>
    <w:p>
      <w:pPr>
        <w:jc w:val="both"/>
        <w:ind w:left="720" w:right="40" w:hanging="388"/>
        <w:spacing w:after="0" w:line="263" w:lineRule="auto"/>
        <w:tabs>
          <w:tab w:leader="none" w:pos="720" w:val="left"/>
        </w:tabs>
        <w:numPr>
          <w:ilvl w:val="1"/>
          <w:numId w:val="1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720" w:right="20" w:hanging="388"/>
        <w:spacing w:after="0" w:line="308" w:lineRule="auto"/>
        <w:tabs>
          <w:tab w:leader="none" w:pos="720" w:val="left"/>
        </w:tabs>
        <w:numPr>
          <w:ilvl w:val="1"/>
          <w:numId w:val="14"/>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720" w:right="40" w:hanging="388"/>
        <w:spacing w:after="0" w:line="263" w:lineRule="auto"/>
        <w:tabs>
          <w:tab w:leader="none" w:pos="720" w:val="left"/>
        </w:tabs>
        <w:numPr>
          <w:ilvl w:val="1"/>
          <w:numId w:val="1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ind w:left="1380" w:right="60" w:hanging="657"/>
        <w:spacing w:after="0" w:line="263" w:lineRule="auto"/>
        <w:tabs>
          <w:tab w:leader="none" w:pos="1380" w:val="left"/>
        </w:tabs>
        <w:numPr>
          <w:ilvl w:val="2"/>
          <w:numId w:val="1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ind w:left="1380" w:right="60" w:hanging="657"/>
        <w:spacing w:after="0" w:line="263" w:lineRule="auto"/>
        <w:tabs>
          <w:tab w:leader="none" w:pos="1380" w:val="left"/>
        </w:tabs>
        <w:numPr>
          <w:ilvl w:val="2"/>
          <w:numId w:val="1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jc w:val="both"/>
        <w:ind w:left="1380" w:right="140" w:hanging="657"/>
        <w:spacing w:after="0" w:line="342" w:lineRule="auto"/>
        <w:tabs>
          <w:tab w:leader="none" w:pos="1380" w:val="left"/>
        </w:tabs>
        <w:numPr>
          <w:ilvl w:val="2"/>
          <w:numId w:val="1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1380" w:right="140" w:hanging="657"/>
        <w:spacing w:after="0" w:line="263" w:lineRule="auto"/>
        <w:tabs>
          <w:tab w:leader="none" w:pos="1380" w:val="left"/>
        </w:tabs>
        <w:numPr>
          <w:ilvl w:val="2"/>
          <w:numId w:val="1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720" w:right="200" w:hanging="388"/>
        <w:spacing w:after="0" w:line="342" w:lineRule="auto"/>
        <w:tabs>
          <w:tab w:leader="none" w:pos="720" w:val="left"/>
        </w:tabs>
        <w:numPr>
          <w:ilvl w:val="1"/>
          <w:numId w:val="14"/>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3" w:lineRule="exact"/>
        <w:rPr>
          <w:rFonts w:ascii="Arial" w:cs="Arial" w:eastAsia="Arial" w:hAnsi="Arial"/>
          <w:sz w:val="16"/>
          <w:szCs w:val="16"/>
          <w:color w:val="auto"/>
        </w:rPr>
      </w:pPr>
    </w:p>
    <w:p>
      <w:pPr>
        <w:ind w:left="1380" w:right="380" w:hanging="657"/>
        <w:spacing w:after="0" w:line="342" w:lineRule="auto"/>
        <w:tabs>
          <w:tab w:leader="none" w:pos="1380" w:val="left"/>
        </w:tabs>
        <w:numPr>
          <w:ilvl w:val="2"/>
          <w:numId w:val="14"/>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380" w:right="80" w:hanging="657"/>
        <w:spacing w:after="0" w:line="277" w:lineRule="auto"/>
        <w:tabs>
          <w:tab w:leader="none" w:pos="1380" w:val="left"/>
        </w:tabs>
        <w:numPr>
          <w:ilvl w:val="2"/>
          <w:numId w:val="1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660" w:type="dxa"/>
            <w:vAlign w:val="bottom"/>
          </w:tcPr>
          <w:p>
            <w:pPr>
              <w:spacing w:after="0"/>
              <w:rPr>
                <w:sz w:val="20"/>
                <w:szCs w:val="20"/>
                <w:color w:val="auto"/>
              </w:rPr>
            </w:pPr>
            <w:r>
              <w:rPr>
                <w:rFonts w:ascii="Arial" w:cs="Arial" w:eastAsia="Arial" w:hAnsi="Arial"/>
                <w:sz w:val="18"/>
                <w:szCs w:val="18"/>
                <w:color w:val="auto"/>
              </w:rPr>
              <w:t>Date: November 5, 2020</w:t>
            </w:r>
          </w:p>
        </w:tc>
        <w:tc>
          <w:tcPr>
            <w:tcW w:w="7580" w:type="dxa"/>
            <w:vAlign w:val="bottom"/>
            <w:gridSpan w:val="2"/>
          </w:tcPr>
          <w:p>
            <w:pPr>
              <w:ind w:left="1880"/>
              <w:spacing w:after="0"/>
              <w:rPr>
                <w:sz w:val="20"/>
                <w:szCs w:val="20"/>
                <w:color w:val="auto"/>
              </w:rPr>
            </w:pPr>
            <w:r>
              <w:rPr>
                <w:rFonts w:ascii="Arial" w:cs="Arial" w:eastAsia="Arial" w:hAnsi="Arial"/>
                <w:sz w:val="18"/>
                <w:szCs w:val="18"/>
                <w:color w:val="auto"/>
              </w:rPr>
              <w:t>By:   /s/ ANTHONY S. MARUCCI</w:t>
            </w:r>
          </w:p>
        </w:tc>
      </w:tr>
      <w:tr>
        <w:trPr>
          <w:trHeight w:val="209"/>
        </w:trPr>
        <w:tc>
          <w:tcPr>
            <w:tcW w:w="3660" w:type="dxa"/>
            <w:vAlign w:val="bottom"/>
          </w:tcPr>
          <w:p>
            <w:pPr>
              <w:spacing w:after="0"/>
              <w:rPr>
                <w:sz w:val="18"/>
                <w:szCs w:val="18"/>
                <w:color w:val="auto"/>
              </w:rPr>
            </w:pPr>
          </w:p>
        </w:tc>
        <w:tc>
          <w:tcPr>
            <w:tcW w:w="2360" w:type="dxa"/>
            <w:vAlign w:val="bottom"/>
          </w:tcPr>
          <w:p>
            <w:pPr>
              <w:ind w:left="1880"/>
              <w:spacing w:after="0"/>
              <w:rPr>
                <w:sz w:val="20"/>
                <w:szCs w:val="20"/>
                <w:color w:val="auto"/>
              </w:rPr>
            </w:pPr>
            <w:r>
              <w:rPr>
                <w:rFonts w:ascii="Arial" w:cs="Arial" w:eastAsia="Arial" w:hAnsi="Arial"/>
                <w:sz w:val="18"/>
                <w:szCs w:val="18"/>
                <w:color w:val="auto"/>
                <w:w w:val="86"/>
              </w:rPr>
              <w:t>Name:</w:t>
            </w:r>
          </w:p>
        </w:tc>
        <w:tc>
          <w:tcPr>
            <w:tcW w:w="52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Anthony S. Marucci</w:t>
            </w:r>
          </w:p>
        </w:tc>
      </w:tr>
      <w:tr>
        <w:trPr>
          <w:trHeight w:val="230"/>
        </w:trPr>
        <w:tc>
          <w:tcPr>
            <w:tcW w:w="3660" w:type="dxa"/>
            <w:vAlign w:val="bottom"/>
          </w:tcPr>
          <w:p>
            <w:pPr>
              <w:spacing w:after="0"/>
              <w:rPr>
                <w:sz w:val="20"/>
                <w:szCs w:val="20"/>
                <w:color w:val="auto"/>
              </w:rPr>
            </w:pPr>
          </w:p>
        </w:tc>
        <w:tc>
          <w:tcPr>
            <w:tcW w:w="7580" w:type="dxa"/>
            <w:vAlign w:val="bottom"/>
            <w:gridSpan w:val="2"/>
          </w:tcPr>
          <w:p>
            <w:pPr>
              <w:ind w:left="1880"/>
              <w:spacing w:after="0"/>
              <w:rPr>
                <w:sz w:val="20"/>
                <w:szCs w:val="20"/>
                <w:color w:val="auto"/>
              </w:rPr>
            </w:pPr>
            <w:r>
              <w:rPr>
                <w:rFonts w:ascii="Arial" w:cs="Arial" w:eastAsia="Arial" w:hAnsi="Arial"/>
                <w:sz w:val="18"/>
                <w:szCs w:val="18"/>
                <w:color w:val="auto"/>
              </w:rPr>
              <w:t>Title: President and Chief Executive Officer</w:t>
            </w:r>
          </w:p>
        </w:tc>
      </w:tr>
      <w:tr>
        <w:trPr>
          <w:trHeight w:val="702"/>
        </w:trPr>
        <w:tc>
          <w:tcPr>
            <w:tcW w:w="3660" w:type="dxa"/>
            <w:vAlign w:val="bottom"/>
            <w:tcBorders>
              <w:bottom w:val="single" w:sz="8" w:color="auto"/>
            </w:tcBorders>
          </w:tcPr>
          <w:p>
            <w:pPr>
              <w:spacing w:after="0"/>
              <w:rPr>
                <w:sz w:val="24"/>
                <w:szCs w:val="24"/>
                <w:color w:val="auto"/>
              </w:rPr>
            </w:pPr>
          </w:p>
        </w:tc>
        <w:tc>
          <w:tcPr>
            <w:tcW w:w="2360" w:type="dxa"/>
            <w:vAlign w:val="bottom"/>
            <w:tcBorders>
              <w:bottom w:val="single" w:sz="8" w:color="auto"/>
            </w:tcBorders>
          </w:tcPr>
          <w:p>
            <w:pPr>
              <w:spacing w:after="0"/>
              <w:rPr>
                <w:sz w:val="24"/>
                <w:szCs w:val="24"/>
                <w:color w:val="auto"/>
              </w:rPr>
            </w:pPr>
          </w:p>
        </w:tc>
        <w:tc>
          <w:tcPr>
            <w:tcW w:w="52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337" w:right="339" w:bottom="1440" w:gutter="0" w:footer="0" w:header="0"/>
        </w:sectPr>
      </w:pPr>
    </w:p>
    <w:bookmarkStart w:id="32" w:name="page33"/>
    <w:bookmarkEnd w:id="32"/>
    <w:p>
      <w:pPr>
        <w:jc w:val="right"/>
        <w:spacing w:after="0"/>
        <w:rPr>
          <w:sz w:val="20"/>
          <w:szCs w:val="20"/>
          <w:color w:val="auto"/>
        </w:rPr>
      </w:pPr>
      <w:r>
        <w:rPr>
          <w:rFonts w:ascii="Arial" w:cs="Arial" w:eastAsia="Arial" w:hAnsi="Arial"/>
          <w:sz w:val="18"/>
          <w:szCs w:val="18"/>
          <w:b w:val="1"/>
          <w:bCs w:val="1"/>
          <w:color w:val="auto"/>
        </w:rPr>
        <w:t>Exhibit 31.2</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CERTIFICATION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Sam Martin, certify that:</w:t>
      </w:r>
    </w:p>
    <w:p>
      <w:pPr>
        <w:spacing w:after="0" w:line="225" w:lineRule="exact"/>
        <w:rPr>
          <w:sz w:val="20"/>
          <w:szCs w:val="20"/>
          <w:color w:val="auto"/>
        </w:rPr>
      </w:pPr>
    </w:p>
    <w:p>
      <w:pPr>
        <w:ind w:left="720" w:hanging="388"/>
        <w:spacing w:after="0"/>
        <w:tabs>
          <w:tab w:leader="none" w:pos="7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 have reviewed this report on Form 10-Q of Celldex Therapeutics, Inc.;</w:t>
      </w:r>
    </w:p>
    <w:p>
      <w:pPr>
        <w:spacing w:after="0" w:line="252" w:lineRule="exact"/>
        <w:rPr>
          <w:rFonts w:ascii="Arial" w:cs="Arial" w:eastAsia="Arial" w:hAnsi="Arial"/>
          <w:sz w:val="18"/>
          <w:szCs w:val="18"/>
          <w:color w:val="auto"/>
        </w:rPr>
      </w:pPr>
    </w:p>
    <w:p>
      <w:pPr>
        <w:jc w:val="both"/>
        <w:ind w:left="720" w:right="40" w:hanging="388"/>
        <w:spacing w:after="0" w:line="263" w:lineRule="auto"/>
        <w:tabs>
          <w:tab w:leader="none" w:pos="7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720" w:right="20" w:hanging="388"/>
        <w:spacing w:after="0" w:line="308" w:lineRule="auto"/>
        <w:tabs>
          <w:tab w:leader="none" w:pos="720" w:val="left"/>
        </w:tabs>
        <w:numPr>
          <w:ilvl w:val="0"/>
          <w:numId w:val="1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720" w:right="40" w:hanging="388"/>
        <w:spacing w:after="0" w:line="263" w:lineRule="auto"/>
        <w:tabs>
          <w:tab w:leader="none" w:pos="7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ind w:left="1380" w:right="60" w:hanging="657"/>
        <w:spacing w:after="0" w:line="263" w:lineRule="auto"/>
        <w:tabs>
          <w:tab w:leader="none" w:pos="1380" w:val="left"/>
        </w:tabs>
        <w:numPr>
          <w:ilvl w:val="1"/>
          <w:numId w:val="1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ind w:left="1380" w:right="60" w:hanging="657"/>
        <w:spacing w:after="0" w:line="263" w:lineRule="auto"/>
        <w:tabs>
          <w:tab w:leader="none" w:pos="1380" w:val="left"/>
        </w:tabs>
        <w:numPr>
          <w:ilvl w:val="1"/>
          <w:numId w:val="1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jc w:val="both"/>
        <w:ind w:left="1380" w:right="140" w:hanging="657"/>
        <w:spacing w:after="0" w:line="342" w:lineRule="auto"/>
        <w:tabs>
          <w:tab w:leader="none" w:pos="1380" w:val="left"/>
        </w:tabs>
        <w:numPr>
          <w:ilvl w:val="1"/>
          <w:numId w:val="1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1380" w:right="140" w:hanging="657"/>
        <w:spacing w:after="0" w:line="263" w:lineRule="auto"/>
        <w:tabs>
          <w:tab w:leader="none" w:pos="1380" w:val="left"/>
        </w:tabs>
        <w:numPr>
          <w:ilvl w:val="1"/>
          <w:numId w:val="1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720" w:right="200" w:hanging="388"/>
        <w:spacing w:after="0" w:line="342" w:lineRule="auto"/>
        <w:tabs>
          <w:tab w:leader="none" w:pos="720"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3" w:lineRule="exact"/>
        <w:rPr>
          <w:rFonts w:ascii="Arial" w:cs="Arial" w:eastAsia="Arial" w:hAnsi="Arial"/>
          <w:sz w:val="16"/>
          <w:szCs w:val="16"/>
          <w:color w:val="auto"/>
        </w:rPr>
      </w:pPr>
    </w:p>
    <w:p>
      <w:pPr>
        <w:ind w:left="1380" w:right="380" w:hanging="657"/>
        <w:spacing w:after="0" w:line="342" w:lineRule="auto"/>
        <w:tabs>
          <w:tab w:leader="none" w:pos="1380" w:val="left"/>
        </w:tabs>
        <w:numPr>
          <w:ilvl w:val="1"/>
          <w:numId w:val="15"/>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380" w:right="80" w:hanging="657"/>
        <w:spacing w:after="0" w:line="277" w:lineRule="auto"/>
        <w:tabs>
          <w:tab w:leader="none" w:pos="1380" w:val="left"/>
        </w:tabs>
        <w:numPr>
          <w:ilvl w:val="1"/>
          <w:numId w:val="1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720" w:type="dxa"/>
            <w:vAlign w:val="bottom"/>
          </w:tcPr>
          <w:p>
            <w:pPr>
              <w:spacing w:after="0"/>
              <w:rPr>
                <w:sz w:val="20"/>
                <w:szCs w:val="20"/>
                <w:color w:val="auto"/>
              </w:rPr>
            </w:pPr>
            <w:r>
              <w:rPr>
                <w:rFonts w:ascii="Arial" w:cs="Arial" w:eastAsia="Arial" w:hAnsi="Arial"/>
                <w:sz w:val="18"/>
                <w:szCs w:val="18"/>
                <w:color w:val="auto"/>
              </w:rPr>
              <w:t>Date: November 5, 2020</w:t>
            </w:r>
          </w:p>
        </w:tc>
        <w:tc>
          <w:tcPr>
            <w:tcW w:w="2480" w:type="dxa"/>
            <w:vAlign w:val="bottom"/>
          </w:tcPr>
          <w:p>
            <w:pPr>
              <w:ind w:left="1920"/>
              <w:spacing w:after="0"/>
              <w:rPr>
                <w:sz w:val="20"/>
                <w:szCs w:val="20"/>
                <w:color w:val="auto"/>
              </w:rPr>
            </w:pPr>
            <w:r>
              <w:rPr>
                <w:rFonts w:ascii="Arial" w:cs="Arial" w:eastAsia="Arial" w:hAnsi="Arial"/>
                <w:sz w:val="18"/>
                <w:szCs w:val="18"/>
                <w:color w:val="auto"/>
              </w:rPr>
              <w:t>By:</w:t>
            </w:r>
          </w:p>
        </w:tc>
        <w:tc>
          <w:tcPr>
            <w:tcW w:w="50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SAM MARTIN</w:t>
            </w:r>
          </w:p>
        </w:tc>
      </w:tr>
      <w:tr>
        <w:trPr>
          <w:trHeight w:val="209"/>
        </w:trPr>
        <w:tc>
          <w:tcPr>
            <w:tcW w:w="3720" w:type="dxa"/>
            <w:vAlign w:val="bottom"/>
          </w:tcPr>
          <w:p>
            <w:pPr>
              <w:spacing w:after="0"/>
              <w:rPr>
                <w:sz w:val="18"/>
                <w:szCs w:val="18"/>
                <w:color w:val="auto"/>
              </w:rPr>
            </w:pPr>
          </w:p>
        </w:tc>
        <w:tc>
          <w:tcPr>
            <w:tcW w:w="2480" w:type="dxa"/>
            <w:vAlign w:val="bottom"/>
          </w:tcPr>
          <w:p>
            <w:pPr>
              <w:ind w:left="1920"/>
              <w:spacing w:after="0"/>
              <w:rPr>
                <w:sz w:val="20"/>
                <w:szCs w:val="20"/>
                <w:color w:val="auto"/>
              </w:rPr>
            </w:pPr>
            <w:r>
              <w:rPr>
                <w:rFonts w:ascii="Arial" w:cs="Arial" w:eastAsia="Arial" w:hAnsi="Arial"/>
                <w:sz w:val="18"/>
                <w:szCs w:val="18"/>
                <w:color w:val="auto"/>
              </w:rPr>
              <w:t>Name:</w:t>
            </w:r>
          </w:p>
        </w:tc>
        <w:tc>
          <w:tcPr>
            <w:tcW w:w="5040" w:type="dxa"/>
            <w:vAlign w:val="bottom"/>
          </w:tcPr>
          <w:p>
            <w:pPr>
              <w:spacing w:after="0"/>
              <w:rPr>
                <w:sz w:val="20"/>
                <w:szCs w:val="20"/>
                <w:color w:val="auto"/>
              </w:rPr>
            </w:pPr>
            <w:r>
              <w:rPr>
                <w:rFonts w:ascii="Arial" w:cs="Arial" w:eastAsia="Arial" w:hAnsi="Arial"/>
                <w:sz w:val="18"/>
                <w:szCs w:val="18"/>
                <w:color w:val="auto"/>
              </w:rPr>
              <w:t>Sam Martin</w:t>
            </w:r>
          </w:p>
        </w:tc>
      </w:tr>
      <w:tr>
        <w:trPr>
          <w:trHeight w:val="230"/>
        </w:trPr>
        <w:tc>
          <w:tcPr>
            <w:tcW w:w="3720" w:type="dxa"/>
            <w:vAlign w:val="bottom"/>
          </w:tcPr>
          <w:p>
            <w:pPr>
              <w:spacing w:after="0"/>
              <w:rPr>
                <w:sz w:val="20"/>
                <w:szCs w:val="20"/>
                <w:color w:val="auto"/>
              </w:rPr>
            </w:pPr>
          </w:p>
        </w:tc>
        <w:tc>
          <w:tcPr>
            <w:tcW w:w="2480" w:type="dxa"/>
            <w:vAlign w:val="bottom"/>
          </w:tcPr>
          <w:p>
            <w:pPr>
              <w:ind w:left="1920"/>
              <w:spacing w:after="0"/>
              <w:rPr>
                <w:sz w:val="20"/>
                <w:szCs w:val="20"/>
                <w:color w:val="auto"/>
              </w:rPr>
            </w:pPr>
            <w:r>
              <w:rPr>
                <w:rFonts w:ascii="Arial" w:cs="Arial" w:eastAsia="Arial" w:hAnsi="Arial"/>
                <w:sz w:val="18"/>
                <w:szCs w:val="18"/>
                <w:color w:val="auto"/>
              </w:rPr>
              <w:t>Title:</w:t>
            </w:r>
          </w:p>
        </w:tc>
        <w:tc>
          <w:tcPr>
            <w:tcW w:w="5040" w:type="dxa"/>
            <w:vAlign w:val="bottom"/>
          </w:tcPr>
          <w:p>
            <w:pPr>
              <w:spacing w:after="0"/>
              <w:rPr>
                <w:sz w:val="20"/>
                <w:szCs w:val="20"/>
                <w:color w:val="auto"/>
              </w:rPr>
            </w:pPr>
            <w:r>
              <w:rPr>
                <w:rFonts w:ascii="Arial" w:cs="Arial" w:eastAsia="Arial" w:hAnsi="Arial"/>
                <w:sz w:val="18"/>
                <w:szCs w:val="18"/>
                <w:color w:val="auto"/>
              </w:rPr>
              <w:t>Senior Vice President and Chief Financial Officer</w:t>
            </w:r>
          </w:p>
        </w:tc>
      </w:tr>
      <w:tr>
        <w:trPr>
          <w:trHeight w:val="702"/>
        </w:trPr>
        <w:tc>
          <w:tcPr>
            <w:tcW w:w="3720" w:type="dxa"/>
            <w:vAlign w:val="bottom"/>
            <w:tcBorders>
              <w:bottom w:val="single" w:sz="8" w:color="auto"/>
            </w:tcBorders>
          </w:tcPr>
          <w:p>
            <w:pPr>
              <w:spacing w:after="0"/>
              <w:rPr>
                <w:sz w:val="24"/>
                <w:szCs w:val="24"/>
                <w:color w:val="auto"/>
              </w:rPr>
            </w:pPr>
          </w:p>
        </w:tc>
        <w:tc>
          <w:tcPr>
            <w:tcW w:w="2480" w:type="dxa"/>
            <w:vAlign w:val="bottom"/>
            <w:tcBorders>
              <w:bottom w:val="single" w:sz="8" w:color="auto"/>
            </w:tcBorders>
          </w:tcPr>
          <w:p>
            <w:pPr>
              <w:spacing w:after="0"/>
              <w:rPr>
                <w:sz w:val="24"/>
                <w:szCs w:val="24"/>
                <w:color w:val="auto"/>
              </w:rPr>
            </w:pPr>
          </w:p>
        </w:tc>
        <w:tc>
          <w:tcPr>
            <w:tcW w:w="50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337" w:right="339" w:bottom="1440" w:gutter="0" w:footer="0" w:header="0"/>
        </w:sectPr>
      </w:pPr>
    </w:p>
    <w:bookmarkStart w:id="33" w:name="page34"/>
    <w:bookmarkEnd w:id="33"/>
    <w:p>
      <w:pPr>
        <w:jc w:val="right"/>
        <w:spacing w:after="0"/>
        <w:rPr>
          <w:sz w:val="20"/>
          <w:szCs w:val="20"/>
          <w:color w:val="auto"/>
        </w:rPr>
      </w:pPr>
      <w:r>
        <w:rPr>
          <w:rFonts w:ascii="Arial" w:cs="Arial" w:eastAsia="Arial" w:hAnsi="Arial"/>
          <w:sz w:val="18"/>
          <w:szCs w:val="18"/>
          <w:b w:val="1"/>
          <w:bCs w:val="1"/>
          <w:color w:val="auto"/>
        </w:rPr>
        <w:t>Exhibit 32.1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SECTION 1350 CERTIFICATIONS</w:t>
      </w:r>
    </w:p>
    <w:p>
      <w:pPr>
        <w:spacing w:after="0" w:line="225" w:lineRule="exact"/>
        <w:rPr>
          <w:sz w:val="20"/>
          <w:szCs w:val="20"/>
          <w:color w:val="auto"/>
        </w:rPr>
      </w:pPr>
    </w:p>
    <w:p>
      <w:pPr>
        <w:ind w:right="260"/>
        <w:spacing w:after="0" w:line="257" w:lineRule="auto"/>
        <w:rPr>
          <w:sz w:val="20"/>
          <w:szCs w:val="20"/>
          <w:color w:val="auto"/>
        </w:rPr>
      </w:pPr>
      <w:r>
        <w:rPr>
          <w:rFonts w:ascii="Arial" w:cs="Arial" w:eastAsia="Arial" w:hAnsi="Arial"/>
          <w:sz w:val="18"/>
          <w:szCs w:val="18"/>
          <w:color w:val="auto"/>
        </w:rPr>
        <w:t>Pursuant to 18 U.S.C. §1350 as adopted pursuant to §906 of the Sarbanes-Oxley Act of 2002, the undersigned officers of Celldex Therapeutics, Inc. (the “Company”) hereby certify that to their knowledge and in their respective capacities that the Company’s quarterly report on Form 10-Q to which this certification is attached (the “Report”), fully complies with the requirements of Section 13(a) or 15(d), as applicable, of the Securities Exchange Act of 1934, as amended (the “Exchange Act”), and that the information contained in the Report fairly presents, in all material respects, the financial condition and results of operations of the Company.</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660" w:type="dxa"/>
            <w:vAlign w:val="bottom"/>
          </w:tcPr>
          <w:p>
            <w:pPr>
              <w:spacing w:after="0"/>
              <w:rPr>
                <w:sz w:val="20"/>
                <w:szCs w:val="20"/>
                <w:color w:val="auto"/>
              </w:rPr>
            </w:pPr>
            <w:r>
              <w:rPr>
                <w:rFonts w:ascii="Arial" w:cs="Arial" w:eastAsia="Arial" w:hAnsi="Arial"/>
                <w:sz w:val="18"/>
                <w:szCs w:val="18"/>
                <w:color w:val="auto"/>
              </w:rPr>
              <w:t>Date: November 5, 2020</w:t>
            </w:r>
          </w:p>
        </w:tc>
        <w:tc>
          <w:tcPr>
            <w:tcW w:w="2360" w:type="dxa"/>
            <w:vAlign w:val="bottom"/>
          </w:tcPr>
          <w:p>
            <w:pPr>
              <w:ind w:left="1880"/>
              <w:spacing w:after="0"/>
              <w:rPr>
                <w:sz w:val="20"/>
                <w:szCs w:val="20"/>
                <w:color w:val="auto"/>
              </w:rPr>
            </w:pPr>
            <w:r>
              <w:rPr>
                <w:rFonts w:ascii="Arial" w:cs="Arial" w:eastAsia="Arial" w:hAnsi="Arial"/>
                <w:sz w:val="18"/>
                <w:szCs w:val="18"/>
                <w:color w:val="auto"/>
              </w:rPr>
              <w:t>By:</w:t>
            </w:r>
          </w:p>
        </w:tc>
        <w:tc>
          <w:tcPr>
            <w:tcW w:w="52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ANTHONY S. MARUCCI</w:t>
            </w:r>
          </w:p>
        </w:tc>
      </w:tr>
      <w:tr>
        <w:trPr>
          <w:trHeight w:val="209"/>
        </w:trPr>
        <w:tc>
          <w:tcPr>
            <w:tcW w:w="3660" w:type="dxa"/>
            <w:vAlign w:val="bottom"/>
          </w:tcPr>
          <w:p>
            <w:pPr>
              <w:spacing w:after="0"/>
              <w:rPr>
                <w:sz w:val="18"/>
                <w:szCs w:val="18"/>
                <w:color w:val="auto"/>
              </w:rPr>
            </w:pPr>
          </w:p>
        </w:tc>
        <w:tc>
          <w:tcPr>
            <w:tcW w:w="2360" w:type="dxa"/>
            <w:vAlign w:val="bottom"/>
          </w:tcPr>
          <w:p>
            <w:pPr>
              <w:ind w:left="1880"/>
              <w:spacing w:after="0"/>
              <w:rPr>
                <w:sz w:val="20"/>
                <w:szCs w:val="20"/>
                <w:color w:val="auto"/>
              </w:rPr>
            </w:pPr>
            <w:r>
              <w:rPr>
                <w:rFonts w:ascii="Arial" w:cs="Arial" w:eastAsia="Arial" w:hAnsi="Arial"/>
                <w:sz w:val="18"/>
                <w:szCs w:val="18"/>
                <w:color w:val="auto"/>
                <w:w w:val="86"/>
              </w:rPr>
              <w:t>Name:</w:t>
            </w:r>
          </w:p>
        </w:tc>
        <w:tc>
          <w:tcPr>
            <w:tcW w:w="5220" w:type="dxa"/>
            <w:vAlign w:val="bottom"/>
          </w:tcPr>
          <w:p>
            <w:pPr>
              <w:spacing w:after="0"/>
              <w:rPr>
                <w:sz w:val="20"/>
                <w:szCs w:val="20"/>
                <w:color w:val="auto"/>
              </w:rPr>
            </w:pPr>
            <w:r>
              <w:rPr>
                <w:rFonts w:ascii="Arial" w:cs="Arial" w:eastAsia="Arial" w:hAnsi="Arial"/>
                <w:sz w:val="18"/>
                <w:szCs w:val="18"/>
                <w:color w:val="auto"/>
              </w:rPr>
              <w:t>Anthony S. Marucci</w:t>
            </w:r>
          </w:p>
        </w:tc>
      </w:tr>
      <w:tr>
        <w:trPr>
          <w:trHeight w:val="230"/>
        </w:trPr>
        <w:tc>
          <w:tcPr>
            <w:tcW w:w="3660" w:type="dxa"/>
            <w:vAlign w:val="bottom"/>
          </w:tcPr>
          <w:p>
            <w:pPr>
              <w:spacing w:after="0"/>
              <w:rPr>
                <w:sz w:val="20"/>
                <w:szCs w:val="20"/>
                <w:color w:val="auto"/>
              </w:rPr>
            </w:pPr>
          </w:p>
        </w:tc>
        <w:tc>
          <w:tcPr>
            <w:tcW w:w="7580" w:type="dxa"/>
            <w:vAlign w:val="bottom"/>
            <w:gridSpan w:val="2"/>
          </w:tcPr>
          <w:p>
            <w:pPr>
              <w:ind w:left="1880"/>
              <w:spacing w:after="0"/>
              <w:rPr>
                <w:sz w:val="20"/>
                <w:szCs w:val="20"/>
                <w:color w:val="auto"/>
              </w:rPr>
            </w:pPr>
            <w:r>
              <w:rPr>
                <w:rFonts w:ascii="Arial" w:cs="Arial" w:eastAsia="Arial" w:hAnsi="Arial"/>
                <w:sz w:val="18"/>
                <w:szCs w:val="18"/>
                <w:color w:val="auto"/>
              </w:rPr>
              <w:t>Title: President and Chief Executive Officer</w:t>
            </w:r>
          </w:p>
        </w:tc>
      </w:tr>
      <w:tr>
        <w:trPr>
          <w:trHeight w:val="486"/>
        </w:trPr>
        <w:tc>
          <w:tcPr>
            <w:tcW w:w="3660" w:type="dxa"/>
            <w:vAlign w:val="bottom"/>
          </w:tcPr>
          <w:p>
            <w:pPr>
              <w:spacing w:after="0"/>
              <w:rPr>
                <w:sz w:val="20"/>
                <w:szCs w:val="20"/>
                <w:color w:val="auto"/>
              </w:rPr>
            </w:pPr>
            <w:r>
              <w:rPr>
                <w:rFonts w:ascii="Arial" w:cs="Arial" w:eastAsia="Arial" w:hAnsi="Arial"/>
                <w:sz w:val="18"/>
                <w:szCs w:val="18"/>
                <w:color w:val="auto"/>
              </w:rPr>
              <w:t>Date: November 5, 2020</w:t>
            </w:r>
          </w:p>
        </w:tc>
        <w:tc>
          <w:tcPr>
            <w:tcW w:w="2360" w:type="dxa"/>
            <w:vAlign w:val="bottom"/>
          </w:tcPr>
          <w:p>
            <w:pPr>
              <w:ind w:left="1880"/>
              <w:spacing w:after="0"/>
              <w:rPr>
                <w:sz w:val="20"/>
                <w:szCs w:val="20"/>
                <w:color w:val="auto"/>
              </w:rPr>
            </w:pPr>
            <w:r>
              <w:rPr>
                <w:rFonts w:ascii="Arial" w:cs="Arial" w:eastAsia="Arial" w:hAnsi="Arial"/>
                <w:sz w:val="18"/>
                <w:szCs w:val="18"/>
                <w:color w:val="auto"/>
              </w:rPr>
              <w:t>By:</w:t>
            </w:r>
          </w:p>
        </w:tc>
        <w:tc>
          <w:tcPr>
            <w:tcW w:w="52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SAM MARTIN</w:t>
            </w:r>
          </w:p>
        </w:tc>
      </w:tr>
      <w:tr>
        <w:trPr>
          <w:trHeight w:val="209"/>
        </w:trPr>
        <w:tc>
          <w:tcPr>
            <w:tcW w:w="3660" w:type="dxa"/>
            <w:vAlign w:val="bottom"/>
          </w:tcPr>
          <w:p>
            <w:pPr>
              <w:spacing w:after="0"/>
              <w:rPr>
                <w:sz w:val="18"/>
                <w:szCs w:val="18"/>
                <w:color w:val="auto"/>
              </w:rPr>
            </w:pPr>
          </w:p>
        </w:tc>
        <w:tc>
          <w:tcPr>
            <w:tcW w:w="2360" w:type="dxa"/>
            <w:vAlign w:val="bottom"/>
          </w:tcPr>
          <w:p>
            <w:pPr>
              <w:ind w:left="1880"/>
              <w:spacing w:after="0"/>
              <w:rPr>
                <w:sz w:val="20"/>
                <w:szCs w:val="20"/>
                <w:color w:val="auto"/>
              </w:rPr>
            </w:pPr>
            <w:r>
              <w:rPr>
                <w:rFonts w:ascii="Arial" w:cs="Arial" w:eastAsia="Arial" w:hAnsi="Arial"/>
                <w:sz w:val="18"/>
                <w:szCs w:val="18"/>
                <w:color w:val="auto"/>
                <w:w w:val="86"/>
              </w:rPr>
              <w:t>Name:</w:t>
            </w:r>
          </w:p>
        </w:tc>
        <w:tc>
          <w:tcPr>
            <w:tcW w:w="5220" w:type="dxa"/>
            <w:vAlign w:val="bottom"/>
          </w:tcPr>
          <w:p>
            <w:pPr>
              <w:spacing w:after="0"/>
              <w:rPr>
                <w:sz w:val="20"/>
                <w:szCs w:val="20"/>
                <w:color w:val="auto"/>
              </w:rPr>
            </w:pPr>
            <w:r>
              <w:rPr>
                <w:rFonts w:ascii="Arial" w:cs="Arial" w:eastAsia="Arial" w:hAnsi="Arial"/>
                <w:sz w:val="18"/>
                <w:szCs w:val="18"/>
                <w:color w:val="auto"/>
              </w:rPr>
              <w:t>Sam Martin</w:t>
            </w:r>
          </w:p>
        </w:tc>
      </w:tr>
      <w:tr>
        <w:trPr>
          <w:trHeight w:val="230"/>
        </w:trPr>
        <w:tc>
          <w:tcPr>
            <w:tcW w:w="3660" w:type="dxa"/>
            <w:vAlign w:val="bottom"/>
          </w:tcPr>
          <w:p>
            <w:pPr>
              <w:spacing w:after="0"/>
              <w:rPr>
                <w:sz w:val="20"/>
                <w:szCs w:val="20"/>
                <w:color w:val="auto"/>
              </w:rPr>
            </w:pPr>
          </w:p>
        </w:tc>
        <w:tc>
          <w:tcPr>
            <w:tcW w:w="7580" w:type="dxa"/>
            <w:vAlign w:val="bottom"/>
            <w:gridSpan w:val="2"/>
          </w:tcPr>
          <w:p>
            <w:pPr>
              <w:ind w:left="1880"/>
              <w:spacing w:after="0"/>
              <w:rPr>
                <w:sz w:val="20"/>
                <w:szCs w:val="20"/>
                <w:color w:val="auto"/>
              </w:rPr>
            </w:pPr>
            <w:r>
              <w:rPr>
                <w:rFonts w:ascii="Arial" w:cs="Arial" w:eastAsia="Arial" w:hAnsi="Arial"/>
                <w:sz w:val="18"/>
                <w:szCs w:val="18"/>
                <w:color w:val="auto"/>
              </w:rPr>
              <w:t>Title: Senior Vice President and Chief Financial Officer</w:t>
            </w:r>
          </w:p>
        </w:tc>
      </w:tr>
    </w:tbl>
    <w:p>
      <w:pPr>
        <w:spacing w:after="0" w:line="200" w:lineRule="exact"/>
        <w:rPr>
          <w:sz w:val="20"/>
          <w:szCs w:val="20"/>
          <w:color w:val="auto"/>
        </w:rPr>
      </w:pPr>
    </w:p>
    <w:p>
      <w:pPr>
        <w:spacing w:after="0" w:line="272"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This certification shall not be deemed “filed” for any purpose, nor shall it be deemed to be incorporated by reference into any filing under the Securities Act of 1933 or the Exchange Act. A signed original of this written statement required by Section 906, or other document authenticating, acknowledging, or otherwise adopting the signature that appears in typed form within the electronic version of this written statement required by Section 906, has been provided to Celldex Therapeutics, Inc. and will be retained by Celldex Therapeutics, Inc.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419735</wp:posOffset>
            </wp:positionV>
            <wp:extent cx="713232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33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545E146"/>
    <w:multiLevelType w:val="hybridMultilevel"/>
    <w:lvl w:ilvl="0">
      <w:lvlJc w:val="left"/>
      <w:lvlText w:val="☒"/>
      <w:numFmt w:val="bullet"/>
      <w:start w:val="1"/>
    </w:lvl>
  </w:abstractNum>
  <w:abstractNum w:abstractNumId="1">
    <w:nsid w:val="515F007C"/>
    <w:multiLevelType w:val="hybridMultilevel"/>
    <w:lvl w:ilvl="0">
      <w:lvlJc w:val="left"/>
      <w:lvlText w:val="☐"/>
      <w:numFmt w:val="bullet"/>
      <w:start w:val="1"/>
    </w:lvl>
  </w:abstractNum>
  <w:abstractNum w:abstractNumId="2">
    <w:nsid w:val="5BD062C2"/>
    <w:multiLevelType w:val="hybridMultilevel"/>
    <w:lvl w:ilvl="0">
      <w:lvlJc w:val="left"/>
      <w:lvlText w:val="(%1)"/>
      <w:numFmt w:val="lowerRoman"/>
      <w:start w:val="1"/>
    </w:lvl>
  </w:abstractNum>
  <w:abstractNum w:abstractNumId="3">
    <w:nsid w:val="12200854"/>
    <w:multiLevelType w:val="hybridMultilevel"/>
    <w:lvl w:ilvl="0">
      <w:lvlJc w:val="left"/>
      <w:lvlText w:val="·"/>
      <w:numFmt w:val="bullet"/>
      <w:start w:val="1"/>
    </w:lvl>
  </w:abstractNum>
  <w:abstractNum w:abstractNumId="4">
    <w:nsid w:val="4DB127F8"/>
    <w:multiLevelType w:val="hybridMultilevel"/>
    <w:lvl w:ilvl="0">
      <w:lvlJc w:val="left"/>
      <w:lvlText w:val="·"/>
      <w:numFmt w:val="bullet"/>
      <w:start w:val="1"/>
    </w:lvl>
  </w:abstractNum>
  <w:abstractNum w:abstractNumId="5">
    <w:nsid w:val="216231B"/>
    <w:multiLevelType w:val="hybridMultilevel"/>
    <w:lvl w:ilvl="0">
      <w:lvlJc w:val="left"/>
      <w:lvlText w:val="•"/>
      <w:numFmt w:val="bullet"/>
      <w:start w:val="1"/>
    </w:lvl>
  </w:abstractNum>
  <w:abstractNum w:abstractNumId="6">
    <w:nsid w:val="1F16E9E8"/>
    <w:multiLevelType w:val="hybridMultilevel"/>
    <w:lvl w:ilvl="0">
      <w:lvlJc w:val="left"/>
      <w:lvlText w:val="•"/>
      <w:numFmt w:val="bullet"/>
      <w:start w:val="1"/>
    </w:lvl>
  </w:abstractNum>
  <w:abstractNum w:abstractNumId="7">
    <w:nsid w:val="1190CDE7"/>
    <w:multiLevelType w:val="hybridMultilevel"/>
    <w:lvl w:ilvl="0">
      <w:lvlJc w:val="left"/>
      <w:lvlText w:val="·"/>
      <w:numFmt w:val="bullet"/>
      <w:start w:val="1"/>
    </w:lvl>
  </w:abstractNum>
  <w:abstractNum w:abstractNumId="8">
    <w:nsid w:val="66EF438D"/>
    <w:multiLevelType w:val="hybridMultilevel"/>
    <w:lvl w:ilvl="0">
      <w:lvlJc w:val="left"/>
      <w:lvlText w:val="·"/>
      <w:numFmt w:val="bullet"/>
      <w:start w:val="1"/>
    </w:lvl>
  </w:abstractNum>
  <w:abstractNum w:abstractNumId="9">
    <w:nsid w:val="140E0F76"/>
    <w:multiLevelType w:val="hybridMultilevel"/>
    <w:lvl w:ilvl="0">
      <w:lvlJc w:val="left"/>
      <w:lvlText w:val="•"/>
      <w:numFmt w:val="bullet"/>
      <w:start w:val="1"/>
    </w:lvl>
  </w:abstractNum>
  <w:abstractNum w:abstractNumId="10">
    <w:nsid w:val="3352255A"/>
    <w:multiLevelType w:val="hybridMultilevel"/>
    <w:lvl w:ilvl="0">
      <w:lvlJc w:val="left"/>
      <w:lvlText w:val="(%1)"/>
      <w:numFmt w:val="lowerRoman"/>
      <w:start w:val="4"/>
    </w:lvl>
  </w:abstractNum>
  <w:abstractNum w:abstractNumId="11">
    <w:nsid w:val="109CF92E"/>
    <w:multiLevelType w:val="hybridMultilevel"/>
    <w:lvl w:ilvl="0">
      <w:lvlJc w:val="left"/>
      <w:lvlText w:val="*"/>
      <w:numFmt w:val="bullet"/>
      <w:start w:val="1"/>
    </w:lvl>
  </w:abstractNum>
  <w:abstractNum w:abstractNumId="12">
    <w:nsid w:val="DED7263"/>
    <w:multiLevelType w:val="hybridMultilevel"/>
    <w:lvl w:ilvl="0">
      <w:lvlJc w:val="left"/>
      <w:lvlText w:val="**"/>
      <w:numFmt w:val="bullet"/>
      <w:start w:val="1"/>
    </w:lvl>
  </w:abstractNum>
  <w:abstractNum w:abstractNumId="13">
    <w:nsid w:val="7FDCC233"/>
    <w:multiLevelType w:val="hybridMultilevel"/>
    <w:lvl w:ilvl="0">
      <w:lvlJc w:val="left"/>
      <w:lvlText w:val="%1."/>
      <w:numFmt w:val="decimal"/>
      <w:start w:val="1"/>
    </w:lvl>
    <w:lvl w:ilvl="1">
      <w:lvlJc w:val="left"/>
      <w:lvlText w:val="%2."/>
      <w:numFmt w:val="decimal"/>
      <w:start w:val="2"/>
    </w:lvl>
    <w:lvl w:ilvl="2">
      <w:lvlJc w:val="left"/>
      <w:lvlText w:val="(%3)"/>
      <w:numFmt w:val="lowerLetter"/>
      <w:start w:val="1"/>
    </w:lvl>
  </w:abstractNum>
  <w:abstractNum w:abstractNumId="14">
    <w:nsid w:val="1BEFD79F"/>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2020-11-05T16:33:19Z</dcterms:created>
  <dcterms:modified xsi:type="dcterms:W3CDTF">2020-11-05T16:33:19Z</dcterms:modified>
</cp:coreProperties>
</file>