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cldx-20230331x10q.htm"/>
        <w:bookmarkStart w:id="1" w:name="kscldx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6"/>
        </w:rPr>
      </w:pPr>
      <w:bookmarkStart w:id="2" w:name="_7c167963_98c4_4a01_88c5_23a157630f92"/>
      <w:bookmarkEnd w:id="2"/>
      <w:r>
        <w:rPr>
          <w:rFonts w:ascii="Times New Roman;Times;serif" w:hAnsi="Times New Roman;Times;serif"/>
          <w:b/>
          <w:sz w:val="36"/>
        </w:rPr>
        <w:t>UNITED STATES</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spacing w:before="0" w:after="0"/>
        <w:ind w:left="0" w:right="0" w:hanging="0"/>
        <w:jc w:val="center"/>
        <w:rPr/>
      </w:pPr>
      <w:r>
        <w:rPr/>
        <w:t>​</w:t>
      </w:r>
    </w:p>
    <w:p>
      <w:pPr>
        <w:pStyle w:val="TextBody"/>
        <w:pBdr/>
        <w:spacing w:before="0" w:after="0"/>
        <w:ind w:left="360" w:right="0" w:hanging="360"/>
        <w:rPr/>
      </w:pPr>
      <w:r>
        <w:rPr/>
        <w:t>☒   </w:t>
      </w:r>
      <w:r>
        <w:rPr>
          <w:rFonts w:ascii="Times New Roman;Times;serif" w:hAnsi="Times New Roman;Times;serif"/>
          <w:b/>
          <w:sz w:val="20"/>
        </w:rPr>
        <w:t>QUARTERLY REPORT PURSUANT TO SECTION 13 OR 15(d) OF THE SECURITIES EXCHANGE ACT OF 1934</w:t>
      </w:r>
    </w:p>
    <w:p>
      <w:pPr>
        <w:pStyle w:val="TextBody"/>
        <w:pBdr/>
        <w:spacing w:before="0" w:after="0"/>
        <w:ind w:left="360" w:right="0" w:hanging="36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ind w:left="0" w:right="0" w:hanging="0"/>
        <w:jc w:val="center"/>
        <w:rPr/>
      </w:pPr>
      <w:r>
        <w:rPr/>
        <w:t>​</w:t>
      </w:r>
    </w:p>
    <w:p>
      <w:pPr>
        <w:pStyle w:val="TextBody"/>
        <w:pBdr/>
        <w:spacing w:before="0" w:after="0"/>
        <w:ind w:left="360" w:right="0" w:hanging="360"/>
        <w:rPr/>
      </w:pPr>
      <w:r>
        <w:rPr/>
        <w:t>☐   </w:t>
      </w:r>
      <w:r>
        <w:rPr>
          <w:rFonts w:ascii="Times New Roman;Times;serif" w:hAnsi="Times New Roman;Times;serif"/>
          <w:b/>
          <w:sz w:val="20"/>
        </w:rPr>
        <w:t>TRANSITION REPORT PURSUANT TO SECTION 13 OR 15(d) OF THE SECURITIES EXCHANGE ACT OF 1934</w:t>
      </w:r>
    </w:p>
    <w:p>
      <w:pPr>
        <w:pStyle w:val="TextBody"/>
        <w:pBdr/>
        <w:spacing w:before="0" w:after="0"/>
        <w:ind w:left="360" w:right="0" w:hanging="36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0"/>
        <w:ind w:left="0" w:right="0" w:hanging="0"/>
        <w:rPr/>
      </w:pPr>
      <w:r>
        <w:rPr/>
        <w:t>​</w:t>
      </w:r>
    </w:p>
    <w:p>
      <w:pPr>
        <w:pStyle w:val="Normal"/>
        <w:spacing w:before="0" w:after="0"/>
        <w:rPr>
          <w:sz w:val="4"/>
          <w:szCs w:val="4"/>
        </w:rPr>
      </w:pPr>
      <w:r>
        <w:rPr>
          <w:sz w:val="4"/>
          <w:szCs w:val="4"/>
        </w:rPr>
      </w:r>
      <w:bookmarkStart w:id="3" w:name="Tc_IDX8jWOitEqq8x08ozdeKw_1_2"/>
      <w:bookmarkStart w:id="4" w:name="Tc_Og14-YSwG0SBhD6k1nxpLg_1_0"/>
      <w:bookmarkStart w:id="5" w:name="Tc_21tcGTs4ZkiPJNXhrHEOPg_0_2"/>
      <w:bookmarkStart w:id="6" w:name="_d0dca1c5_cfbd_41ee_8326_31c42ddd1388"/>
      <w:bookmarkStart w:id="7" w:name="Tc_IDX8jWOitEqq8x08ozdeKw_1_2"/>
      <w:bookmarkStart w:id="8" w:name="Tc_Og14-YSwG0SBhD6k1nxpLg_1_0"/>
      <w:bookmarkStart w:id="9" w:name="Tc_21tcGTs4ZkiPJNXhrHEOPg_0_2"/>
      <w:bookmarkStart w:id="10" w:name="_d0dca1c5_cfbd_41ee_8326_31c42ddd1388"/>
      <w:bookmarkEnd w:id="7"/>
      <w:bookmarkEnd w:id="8"/>
      <w:bookmarkEnd w:id="9"/>
      <w:bookmarkEnd w:id="10"/>
    </w:p>
    <w:tbl>
      <w:tblPr>
        <w:tblW w:w="8323" w:type="dxa"/>
        <w:jc w:val="left"/>
        <w:tblInd w:w="0" w:type="dxa"/>
        <w:tblCellMar>
          <w:top w:w="0" w:type="dxa"/>
          <w:left w:w="0" w:type="dxa"/>
          <w:bottom w:w="0" w:type="dxa"/>
          <w:right w:w="0" w:type="dxa"/>
        </w:tblCellMar>
      </w:tblPr>
      <w:tblGrid>
        <w:gridCol w:w="4966"/>
        <w:gridCol w:w="326"/>
        <w:gridCol w:w="3031"/>
      </w:tblGrid>
      <w:tr>
        <w:trPr/>
        <w:tc>
          <w:tcPr>
            <w:tcW w:w="496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shd w:fill="auto" w:val="clear"/>
            <w:vAlign w:val="center"/>
          </w:tcPr>
          <w:p>
            <w:pPr>
              <w:pStyle w:val="TableContents"/>
              <w:spacing w:before="0" w:after="0"/>
              <w:ind w:left="0" w:right="0" w:hanging="0"/>
              <w:rPr/>
            </w:pPr>
            <w:r>
              <w:rPr/>
              <w:t>    </w:t>
            </w:r>
          </w:p>
        </w:tc>
        <w:tc>
          <w:tcPr>
            <w:tcW w:w="303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shd w:fill="auto" w:val="clear"/>
            <w:vAlign w:val="center"/>
          </w:tcPr>
          <w:p>
            <w:pPr>
              <w:pStyle w:val="TableContents"/>
              <w:spacing w:before="0" w:after="0"/>
              <w:ind w:left="0" w:right="0" w:hanging="0"/>
              <w:rPr/>
            </w:pPr>
            <w:r>
              <w:rPr/>
              <w:t>​</w:t>
            </w:r>
          </w:p>
        </w:tc>
        <w:tc>
          <w:tcPr>
            <w:tcW w:w="3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0"/>
        <w:ind w:left="0" w:right="0" w:hanging="0"/>
        <w:jc w:val="center"/>
        <w:rPr/>
      </w:pPr>
      <w:r>
        <w:rPr/>
        <w:t>​</w:t>
      </w:r>
    </w:p>
    <w:p>
      <w:pPr>
        <w:pStyle w:val="Normal"/>
        <w:spacing w:before="0" w:after="0"/>
        <w:ind w:left="0" w:right="0" w:hanging="0"/>
        <w:rPr>
          <w:sz w:val="4"/>
          <w:szCs w:val="4"/>
        </w:rPr>
      </w:pPr>
      <w:r>
        <w:rPr>
          <w:sz w:val="4"/>
          <w:szCs w:val="4"/>
        </w:rPr>
      </w:r>
      <w:bookmarkStart w:id="11" w:name="Tc_8o1tLU5H-U-S_OZl1HW_AA_1_4"/>
      <w:bookmarkStart w:id="12" w:name="Tc_sqRCG44J1kWRH9sgE12fVA_0_4"/>
      <w:bookmarkStart w:id="13" w:name="Tc_0CHm203eqUqHi26HnYFn4Q_0_2"/>
      <w:bookmarkStart w:id="14" w:name="Tc_asUj9XrRJUO7Jl9DFBmANg_0_0"/>
      <w:bookmarkStart w:id="15" w:name="_82a80587_f51d_4628_93ff_43a2d7fa089f"/>
      <w:bookmarkStart w:id="16" w:name="Tc_8o1tLU5H-U-S_OZl1HW_AA_1_4"/>
      <w:bookmarkStart w:id="17" w:name="Tc_sqRCG44J1kWRH9sgE12fVA_0_4"/>
      <w:bookmarkStart w:id="18" w:name="Tc_0CHm203eqUqHi26HnYFn4Q_0_2"/>
      <w:bookmarkStart w:id="19" w:name="Tc_asUj9XrRJUO7Jl9DFBmANg_0_0"/>
      <w:bookmarkStart w:id="20" w:name="_82a80587_f51d_4628_93ff_43a2d7fa089f"/>
      <w:bookmarkEnd w:id="16"/>
      <w:bookmarkEnd w:id="17"/>
      <w:bookmarkEnd w:id="18"/>
      <w:bookmarkEnd w:id="19"/>
      <w:bookmarkEnd w:id="20"/>
    </w:p>
    <w:tbl>
      <w:tblPr>
        <w:tblW w:w="8425" w:type="dxa"/>
        <w:jc w:val="left"/>
        <w:tblInd w:w="0" w:type="dxa"/>
        <w:tblCellMar>
          <w:top w:w="0" w:type="dxa"/>
          <w:left w:w="0" w:type="dxa"/>
          <w:bottom w:w="28" w:type="dxa"/>
          <w:right w:w="0" w:type="dxa"/>
        </w:tblCellMar>
      </w:tblPr>
      <w:tblGrid>
        <w:gridCol w:w="2731"/>
        <w:gridCol w:w="326"/>
        <w:gridCol w:w="1561"/>
        <w:gridCol w:w="326"/>
        <w:gridCol w:w="3481"/>
      </w:tblGrid>
      <w:tr>
        <w:trPr/>
        <w:tc>
          <w:tcPr>
            <w:tcW w:w="273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156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348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56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348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Calibri;Helvetica;sans-serif" w:hAnsi="Calibri;Helvetica;sans-serif"/>
                <w:sz w:val="22"/>
              </w:rPr>
            </w:pPr>
            <w:r>
              <w:rPr>
                <w:rFonts w:ascii="Times New Roman;Times;serif" w:hAnsi="Times New Roman;Times;serif"/>
                <w:sz w:val="20"/>
              </w:rPr>
              <w:t>Nasdaq</w:t>
            </w:r>
            <w:r>
              <w:rPr>
                <w:rFonts w:ascii="Calibri;Helvetica;sans-serif" w:hAnsi="Calibri;Helvetica;sans-serif"/>
                <w:sz w:val="22"/>
              </w:rPr>
              <w:t xml:space="preserve"> </w:t>
            </w:r>
            <w:r>
              <w:rPr>
                <w:rFonts w:ascii="Times New Roman;Times;serif" w:hAnsi="Times New Roman;Times;serif"/>
                <w:sz w:val="20"/>
              </w:rPr>
              <w:t>Capital Market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spacing w:before="0" w:after="0"/>
        <w:ind w:left="0" w:right="0" w:hanging="0"/>
        <w:rPr/>
      </w:pPr>
      <w:r>
        <w:rPr/>
        <w:t>​</w:t>
      </w:r>
    </w:p>
    <w:tbl>
      <w:tblPr>
        <w:tblW w:w="5053" w:type="dxa"/>
        <w:jc w:val="left"/>
        <w:tblInd w:w="0" w:type="dxa"/>
        <w:tblCellMar>
          <w:top w:w="0" w:type="dxa"/>
          <w:left w:w="0" w:type="dxa"/>
          <w:bottom w:w="0" w:type="dxa"/>
          <w:right w:w="0" w:type="dxa"/>
        </w:tblCellMar>
      </w:tblPr>
      <w:tblGrid>
        <w:gridCol w:w="2146"/>
        <w:gridCol w:w="326"/>
        <w:gridCol w:w="2581"/>
      </w:tblGrid>
      <w:tr>
        <w:trPr/>
        <w:tc>
          <w:tcPr>
            <w:tcW w:w="21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26" w:type="dxa"/>
            <w:tcBorders/>
            <w:shd w:fill="auto" w:val="clear"/>
            <w:vAlign w:val="center"/>
          </w:tcPr>
          <w:p>
            <w:pPr>
              <w:pStyle w:val="TableContents"/>
              <w:spacing w:before="0" w:after="0"/>
              <w:ind w:left="0" w:right="0" w:hanging="0"/>
              <w:rPr/>
            </w:pPr>
            <w:r>
              <w:rPr/>
              <w:t>    </w:t>
            </w:r>
          </w:p>
        </w:tc>
        <w:tc>
          <w:tcPr>
            <w:tcW w:w="2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26" w:type="dxa"/>
            <w:tcBorders/>
            <w:shd w:fill="auto" w:val="clear"/>
            <w:vAlign w:val="center"/>
          </w:tcPr>
          <w:p>
            <w:pPr>
              <w:pStyle w:val="TableContents"/>
              <w:spacing w:before="0" w:after="0"/>
              <w:ind w:left="0" w:right="0" w:hanging="0"/>
              <w:rPr/>
            </w:pPr>
            <w:r>
              <w:rPr/>
              <w:t>​</w:t>
            </w:r>
          </w:p>
        </w:tc>
        <w:tc>
          <w:tcPr>
            <w:tcW w:w="2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5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of April 28, 2023, 47,252,469 shares of common stock, $.001 par value per share, were outstanding.</w:t>
      </w:r>
    </w:p>
    <w:p>
      <w:pPr>
        <w:pStyle w:val="TextBody"/>
        <w:spacing w:before="0" w:after="0"/>
        <w:ind w:left="0" w:right="0" w:firstLine="360"/>
        <w:rPr/>
      </w:pPr>
      <w:r>
        <w:rPr/>
        <w:t>​</w:t>
      </w:r>
    </w:p>
    <w:p>
      <w:pPr>
        <w:pStyle w:val="TextBody"/>
        <w:pBdr>
          <w:top w:val="single" w:sz="8"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21" w:name="_75232950_3993_4e92_961b_638c303eb14b"/>
      <w:bookmarkEnd w:id="21"/>
      <w:r>
        <w:rPr>
          <w:rFonts w:ascii="Times New Roman;Times;serif" w:hAnsi="Times New Roman;Times;serif"/>
          <w:b/>
          <w:sz w:val="20"/>
        </w:rPr>
        <w:t>CELLDEX THERAPEUTICS, INC.</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p>
      <w:pPr>
        <w:pStyle w:val="TextBody"/>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pacing w:before="100" w:after="100"/>
        <w:ind w:left="0" w:right="0" w:hanging="0"/>
        <w:rPr/>
      </w:pPr>
      <w:r>
        <w:rPr/>
        <w:t>​</w:t>
      </w:r>
    </w:p>
    <w:tbl>
      <w:tblPr>
        <w:tblW w:w="10205" w:type="dxa"/>
        <w:jc w:val="left"/>
        <w:tblInd w:w="0" w:type="dxa"/>
        <w:tblCellMar>
          <w:top w:w="0" w:type="dxa"/>
          <w:left w:w="0" w:type="dxa"/>
          <w:bottom w:w="0" w:type="dxa"/>
          <w:right w:w="0" w:type="dxa"/>
        </w:tblCellMar>
      </w:tblPr>
      <w:tblGrid>
        <w:gridCol w:w="9368"/>
        <w:gridCol w:w="326"/>
        <w:gridCol w:w="511"/>
      </w:tblGrid>
      <w:tr>
        <w:trPr/>
        <w:tc>
          <w:tcPr>
            <w:tcW w:w="93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jc w:val="right"/>
              <w:rPr/>
            </w:pPr>
            <w:r>
              <w:rPr/>
              <w:t>    </w:t>
            </w:r>
          </w:p>
        </w:tc>
        <w:tc>
          <w:tcPr>
            <w:tcW w:w="51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shd w:fill="CCEEFF" w:val="clear"/>
            <w:vAlign w:val="center"/>
          </w:tcPr>
          <w:p>
            <w:pPr>
              <w:pStyle w:val="TableContents"/>
              <w:pBdr/>
              <w:spacing w:before="0" w:after="0"/>
              <w:ind w:left="0" w:right="0" w:hanging="0"/>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26" w:type="dxa"/>
            <w:tcBorders/>
            <w:shd w:fill="CCEEFF" w:val="clear"/>
            <w:vAlign w:val="center"/>
          </w:tcPr>
          <w:p>
            <w:pPr>
              <w:pStyle w:val="TableContents"/>
              <w:spacing w:before="0" w:after="283"/>
              <w:ind w:left="0" w:right="0" w:hanging="0"/>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spacing w:before="0" w:after="283"/>
              <w:ind w:left="0" w:right="0" w:hanging="0"/>
              <w:rPr>
                <w:sz w:val="4"/>
                <w:szCs w:val="4"/>
              </w:rPr>
            </w:pPr>
            <w:r>
              <w:rPr>
                <w:sz w:val="4"/>
                <w:szCs w:val="4"/>
              </w:rPr>
            </w:r>
          </w:p>
        </w:tc>
      </w:tr>
      <w:tr>
        <w:trPr/>
        <w:tc>
          <w:tcPr>
            <w:tcW w:w="9368" w:type="dxa"/>
            <w:tcBorders/>
            <w:shd w:fill="auto" w:val="clear"/>
            <w:vAlign w:val="center"/>
          </w:tcPr>
          <w:p>
            <w:pPr>
              <w:pStyle w:val="TableContents"/>
              <w:pBdr/>
              <w:spacing w:before="0" w:after="0"/>
              <w:ind w:left="0" w:right="0" w:hanging="0"/>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CCEEFF" w:val="clear"/>
            <w:vAlign w:val="center"/>
          </w:tcPr>
          <w:p>
            <w:pPr>
              <w:pStyle w:val="TableContents"/>
              <w:pBdr/>
              <w:spacing w:before="0" w:after="0"/>
              <w:ind w:left="0" w:right="0" w:hanging="0"/>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March 31, 2023 and December 31, 2022</w:t>
              </w:r>
            </w:hyperlink>
          </w:p>
        </w:tc>
        <w:tc>
          <w:tcPr>
            <w:tcW w:w="326" w:type="dxa"/>
            <w:tcBorders/>
            <w:shd w:fill="CCEEFF" w:val="clear"/>
            <w:vAlign w:val="center"/>
          </w:tcPr>
          <w:p>
            <w:pPr>
              <w:pStyle w:val="TableContents"/>
              <w:spacing w:before="0" w:after="283"/>
              <w:ind w:left="0" w:right="0" w:hanging="0"/>
              <w:rPr>
                <w:sz w:val="4"/>
                <w:szCs w:val="4"/>
              </w:rPr>
            </w:pPr>
            <w:r>
              <w:rPr>
                <w:sz w:val="4"/>
                <w:szCs w:val="4"/>
              </w:rPr>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auto" w:val="clear"/>
            <w:vAlign w:val="center"/>
          </w:tcPr>
          <w:p>
            <w:pPr>
              <w:pStyle w:val="TableContents"/>
              <w:pBdr/>
              <w:spacing w:before="0" w:after="0"/>
              <w:ind w:left="0" w:right="0" w:hanging="0"/>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w:t>
              </w:r>
            </w:hyperlink>
            <w:hyperlink w:anchor="CONDENSEDCONSOLIDATEDSTATEMENTSOFOPERATI">
              <w:r>
                <w:rPr>
                  <w:rStyle w:val="InternetLink"/>
                  <w:rFonts w:ascii="Times New Roman;Times;serif" w:hAnsi="Times New Roman;Times;serif"/>
                  <w:caps w:val="false"/>
                  <w:smallCaps w:val="false"/>
                  <w:sz w:val="20"/>
                </w:rPr>
                <w:t xml:space="preserve"> </w:t>
              </w:r>
            </w:hyperlink>
            <w:hyperlink w:anchor="CONDENSEDCONSOLIDATEDSTATEMENTSOFOPERATI">
              <w:r>
                <w:rPr>
                  <w:rStyle w:val="InternetLink"/>
                  <w:rFonts w:ascii="Times New Roman;Times;serif" w:hAnsi="Times New Roman;Times;serif"/>
                  <w:b w:val="false"/>
                  <w:i w:val="false"/>
                  <w:caps w:val="false"/>
                  <w:smallCaps w:val="false"/>
                  <w:sz w:val="20"/>
                </w:rPr>
                <w:t>31, 2023 and 2022</w:t>
              </w:r>
            </w:hyperlink>
          </w:p>
        </w:tc>
        <w:tc>
          <w:tcPr>
            <w:tcW w:w="326" w:type="dxa"/>
            <w:tcBorders/>
            <w:shd w:fill="auto" w:val="clear"/>
            <w:vAlign w:val="center"/>
          </w:tcPr>
          <w:p>
            <w:pPr>
              <w:pStyle w:val="TableContents"/>
              <w:spacing w:before="0" w:after="0"/>
              <w:ind w:left="0" w:right="0" w:hanging="0"/>
              <w:jc w:val="right"/>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68" w:type="dxa"/>
            <w:tcBorders/>
            <w:shd w:fill="CCEEFF" w:val="clear"/>
            <w:vAlign w:val="center"/>
          </w:tcPr>
          <w:p>
            <w:pPr>
              <w:pStyle w:val="TableContents"/>
              <w:pBdr/>
              <w:spacing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w:t>
              </w:r>
            </w:hyperlink>
            <w:hyperlink w:anchor="CONDENSEDCONSOLIDATEDSTATEMENTSOFCASHFLO">
              <w:r>
                <w:rPr>
                  <w:rStyle w:val="InternetLink"/>
                  <w:rFonts w:ascii="Times New Roman;Times;serif" w:hAnsi="Times New Roman;Times;serif"/>
                  <w:caps w:val="false"/>
                  <w:smallCaps w:val="false"/>
                  <w:sz w:val="20"/>
                </w:rPr>
                <w:t xml:space="preserve"> </w:t>
              </w:r>
            </w:hyperlink>
            <w:hyperlink w:anchor="CONDENSEDCONSOLIDATEDSTATEMENTSOFCASHFLO">
              <w:r>
                <w:rPr>
                  <w:rStyle w:val="InternetLink"/>
                  <w:rFonts w:ascii="Times New Roman;Times;serif" w:hAnsi="Times New Roman;Times;serif"/>
                  <w:b w:val="false"/>
                  <w:i w:val="false"/>
                  <w:caps w:val="false"/>
                  <w:smallCaps w:val="false"/>
                  <w:sz w:val="20"/>
                </w:rPr>
                <w:t>31, 2023 and 2022</w:t>
              </w:r>
            </w:hyperlink>
          </w:p>
        </w:tc>
        <w:tc>
          <w:tcPr>
            <w:tcW w:w="326" w:type="dxa"/>
            <w:tcBorders/>
            <w:shd w:fill="CCEEFF" w:val="clear"/>
            <w:vAlign w:val="center"/>
          </w:tcPr>
          <w:p>
            <w:pPr>
              <w:pStyle w:val="TableContents"/>
              <w:spacing w:before="0" w:after="0"/>
              <w:ind w:left="0" w:right="0" w:hanging="0"/>
              <w:jc w:val="right"/>
              <w:rPr/>
            </w:pPr>
            <w:r>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68" w:type="dxa"/>
            <w:tcBorders/>
            <w:shd w:fill="auto" w:val="clear"/>
            <w:vAlign w:val="center"/>
          </w:tcPr>
          <w:p>
            <w:pPr>
              <w:pStyle w:val="TableContents"/>
              <w:pBdr/>
              <w:spacing w:before="0" w:after="0"/>
              <w:ind w:left="0" w:right="0" w:hanging="0"/>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68" w:type="dxa"/>
            <w:tcBorders/>
            <w:shd w:fill="CCEEFF" w:val="clear"/>
            <w:vAlign w:val="center"/>
          </w:tcPr>
          <w:p>
            <w:pPr>
              <w:pStyle w:val="TableContents"/>
              <w:pBdr/>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CCEEFF" w:val="clear"/>
            <w:vAlign w:val="center"/>
          </w:tcPr>
          <w:p>
            <w:pPr>
              <w:pStyle w:val="TableContents"/>
              <w:spacing w:before="0" w:after="283"/>
              <w:ind w:left="0" w:right="0" w:hanging="0"/>
              <w:rPr>
                <w:sz w:val="4"/>
                <w:szCs w:val="4"/>
              </w:rPr>
            </w:pPr>
            <w:r>
              <w:rPr>
                <w:sz w:val="4"/>
                <w:szCs w:val="4"/>
              </w:rPr>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368" w:type="dxa"/>
            <w:tcBorders/>
            <w:shd w:fill="auto" w:val="clear"/>
            <w:vAlign w:val="center"/>
          </w:tcPr>
          <w:p>
            <w:pPr>
              <w:pStyle w:val="TableContents"/>
              <w:pBdr/>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368" w:type="dxa"/>
            <w:tcBorders/>
            <w:shd w:fill="CCEEFF" w:val="clear"/>
            <w:vAlign w:val="center"/>
          </w:tcPr>
          <w:p>
            <w:pPr>
              <w:pStyle w:val="TableContents"/>
              <w:pBdr/>
              <w:spacing w:before="0" w:after="0"/>
              <w:ind w:left="0" w:right="0" w:hanging="0"/>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CCEEFF" w:val="clear"/>
            <w:vAlign w:val="center"/>
          </w:tcPr>
          <w:p>
            <w:pPr>
              <w:pStyle w:val="TableContents"/>
              <w:spacing w:before="0" w:after="283"/>
              <w:ind w:left="0" w:right="0" w:hanging="0"/>
              <w:rPr>
                <w:sz w:val="4"/>
                <w:szCs w:val="4"/>
              </w:rPr>
            </w:pPr>
            <w:r>
              <w:rPr>
                <w:sz w:val="4"/>
                <w:szCs w:val="4"/>
              </w:rPr>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368" w:type="dxa"/>
            <w:tcBorders/>
            <w:shd w:fill="auto" w:val="clear"/>
            <w:vAlign w:val="center"/>
          </w:tcPr>
          <w:p>
            <w:pPr>
              <w:pStyle w:val="TableContents"/>
              <w:pBdr/>
              <w:spacing w:before="0" w:after="0"/>
              <w:ind w:left="0" w:right="0" w:hanging="0"/>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9368" w:type="dxa"/>
            <w:tcBorders/>
            <w:shd w:fill="CCEEFF" w:val="clear"/>
            <w:vAlign w:val="center"/>
          </w:tcPr>
          <w:p>
            <w:pPr>
              <w:pStyle w:val="TableContents"/>
              <w:pBdr/>
              <w:spacing w:before="0" w:after="0"/>
              <w:ind w:left="0" w:right="0" w:hanging="0"/>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26" w:type="dxa"/>
            <w:tcBorders/>
            <w:shd w:fill="CCEEFF" w:val="clear"/>
            <w:vAlign w:val="center"/>
          </w:tcPr>
          <w:p>
            <w:pPr>
              <w:pStyle w:val="TableContents"/>
              <w:spacing w:before="0" w:after="283"/>
              <w:ind w:left="0" w:right="0" w:hanging="0"/>
              <w:rPr>
                <w:sz w:val="4"/>
                <w:szCs w:val="4"/>
              </w:rPr>
            </w:pPr>
            <w:r>
              <w:rPr>
                <w:sz w:val="4"/>
                <w:szCs w:val="4"/>
              </w:rPr>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368" w:type="dxa"/>
            <w:tcBorders/>
            <w:shd w:fill="auto" w:val="clear"/>
            <w:vAlign w:val="center"/>
          </w:tcPr>
          <w:p>
            <w:pPr>
              <w:pStyle w:val="TableContents"/>
              <w:pBdr/>
              <w:spacing w:before="0" w:after="0"/>
              <w:ind w:left="0" w:right="0" w:hanging="0"/>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368" w:type="dxa"/>
            <w:tcBorders/>
            <w:shd w:fill="CCEEFF" w:val="clear"/>
            <w:vAlign w:val="center"/>
          </w:tcPr>
          <w:p>
            <w:pPr>
              <w:pStyle w:val="TableContents"/>
              <w:pBdr/>
              <w:spacing w:before="0" w:after="0"/>
              <w:ind w:left="0" w:right="0" w:hanging="0"/>
              <w:rPr/>
            </w:pPr>
            <w:hyperlink w:anchor="Exhibitindex">
              <w:r>
                <w:rPr>
                  <w:rStyle w:val="InternetLink"/>
                  <w:rFonts w:ascii="Times New Roman;Times;serif" w:hAnsi="Times New Roman;Times;serif"/>
                  <w:b/>
                  <w:i w:val="false"/>
                  <w:caps w:val="false"/>
                  <w:smallCaps w:val="false"/>
                  <w:sz w:val="20"/>
                </w:rPr>
                <w:t>Exhibit Index</w:t>
              </w:r>
            </w:hyperlink>
          </w:p>
        </w:tc>
        <w:tc>
          <w:tcPr>
            <w:tcW w:w="326" w:type="dxa"/>
            <w:tcBorders/>
            <w:shd w:fill="CCEEFF" w:val="clear"/>
            <w:vAlign w:val="center"/>
          </w:tcPr>
          <w:p>
            <w:pPr>
              <w:pStyle w:val="TableContents"/>
              <w:spacing w:before="0" w:after="283"/>
              <w:ind w:left="0" w:right="0" w:hanging="0"/>
              <w:rPr>
                <w:sz w:val="4"/>
                <w:szCs w:val="4"/>
              </w:rPr>
            </w:pPr>
            <w:r>
              <w:rPr>
                <w:sz w:val="4"/>
                <w:szCs w:val="4"/>
              </w:rPr>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368" w:type="dxa"/>
            <w:tcBorders/>
            <w:shd w:fill="auto" w:val="clear"/>
            <w:vAlign w:val="center"/>
          </w:tcPr>
          <w:p>
            <w:pPr>
              <w:pStyle w:val="TableContents"/>
              <w:pBdr/>
              <w:spacing w:before="0" w:after="0"/>
              <w:ind w:left="0" w:right="0" w:hanging="0"/>
              <w:rPr/>
            </w:pPr>
            <w:hyperlink w:anchor="SIGNATURES_933986">
              <w:r>
                <w:rPr>
                  <w:rStyle w:val="InternetLink"/>
                  <w:rFonts w:ascii="Times New Roman;Times;serif" w:hAnsi="Times New Roman;Times;serif"/>
                  <w:b/>
                  <w:i w:val="false"/>
                  <w:caps w:val="false"/>
                  <w:smallCaps w:val="false"/>
                  <w:sz w:val="20"/>
                </w:rPr>
                <w:t>Signatures</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23" w:name="PARTIFINANCIALINFORMATION_722713"/>
      <w:bookmarkStart w:id="24" w:name="_e2721ee6_af18_4b29_95f6_cb7eca705f66"/>
      <w:bookmarkEnd w:id="23"/>
      <w:bookmarkEnd w:id="24"/>
      <w:r>
        <w:rPr>
          <w:rFonts w:ascii="Times New Roman;Times;serif" w:hAnsi="Times New Roman;Times;serif"/>
          <w:b/>
          <w:sz w:val="20"/>
        </w:rPr>
        <w:t>PART I — FINANCIAL INFORMATION</w:t>
      </w:r>
    </w:p>
    <w:p>
      <w:pPr>
        <w:pStyle w:val="TextBody"/>
        <w:spacing w:before="0" w:after="0"/>
        <w:ind w:left="0" w:right="0" w:hanging="0"/>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rPr/>
      </w:pPr>
      <w:r>
        <w:rPr/>
        <w:t>​</w:t>
      </w:r>
    </w:p>
    <w:p>
      <w:pPr>
        <w:pStyle w:val="Normal"/>
        <w:spacing w:before="0" w:after="0"/>
        <w:rPr>
          <w:sz w:val="4"/>
          <w:szCs w:val="4"/>
        </w:rPr>
      </w:pPr>
      <w:r>
        <w:rPr>
          <w:sz w:val="4"/>
          <w:szCs w:val="4"/>
        </w:rPr>
      </w:r>
      <w:bookmarkStart w:id="27" w:name="Tc_DVMmnN5Fwkio-KmdwhluRA_33_5"/>
      <w:bookmarkStart w:id="28" w:name="Tc_xoBl2f1Qi0OkZykDBs7wWA_33_2"/>
      <w:bookmarkStart w:id="29" w:name="Tc_qDEchWdYW0uAK5K7YCAJIg_33_0"/>
      <w:bookmarkStart w:id="30" w:name="Tc_lQ6BselgHEuMFxlvrYYJ_g_32_0"/>
      <w:bookmarkStart w:id="31" w:name="Tc_oDJhE20lxUSiATBNuXdhUA_31_0"/>
      <w:bookmarkStart w:id="32" w:name="Tc_FZICfmlDbUqfnkVaR1xwRQ_30_0"/>
      <w:bookmarkStart w:id="33" w:name="Tc_Etej6qGTS0apsHOO2ygrwQ_29_0"/>
      <w:bookmarkStart w:id="34" w:name="Tc_lhk7PsRhskG_Ak9jA-KzRw_28_0"/>
      <w:bookmarkStart w:id="35" w:name="Tc_Z46KWv4Zg0OROF9QeZzI3Q_27_3"/>
      <w:bookmarkStart w:id="36" w:name="Tc_f18gqFJRxkeQP0u1OoD5Mg_27_0"/>
      <w:bookmarkStart w:id="37" w:name="Tc_94pf-f-RMk2C8UFLw_O0Mg_26_0"/>
      <w:bookmarkStart w:id="38" w:name="Tc_usWtczudy0CNz5vvHXSNmQ_25_0"/>
      <w:bookmarkStart w:id="39" w:name="Tc_brBaorEYL0uX27wDgfJgmA_24_0"/>
      <w:bookmarkStart w:id="40" w:name="Tc_4o7FTd-opEiZcgtuolIzuA_23_0"/>
      <w:bookmarkStart w:id="41" w:name="Tc_S7tYDPL4LEmX4Tem0fNvUA_22_0"/>
      <w:bookmarkStart w:id="42" w:name="Tc_ttYTI7dsN0Se1fZjJBGcPA_21_0"/>
      <w:bookmarkStart w:id="43" w:name="Tc_VyAKJnAmNUObEFMp94gQjg_20_0"/>
      <w:bookmarkStart w:id="44" w:name="Tc_eeUolEzdek2AR4rZQbekpA_19_0"/>
      <w:bookmarkStart w:id="45" w:name="Tc_aldGQ1qzB0uAsjZ4THc_rg_18_0"/>
      <w:bookmarkStart w:id="46" w:name="Tc_C72xK1RoO0GdzpCVrahgAw_17_5"/>
      <w:bookmarkStart w:id="47" w:name="Tc_mOqwtQXLPkS5MvBmFIi48w_17_2"/>
      <w:bookmarkStart w:id="48" w:name="Tc_8MtHKNXW_E2XamMQwrnPCg_17_0"/>
      <w:bookmarkStart w:id="49" w:name="Tc_A0dCrwtw5E66ZTSG88T5Tg_16_0"/>
      <w:bookmarkStart w:id="50" w:name="Tc_3ZRTBSlJ5kyqApuAZ86JTg_15_0"/>
      <w:bookmarkStart w:id="51" w:name="Tc_hBz2Deug-Eq8JTkGiGZXXw_14_5"/>
      <w:bookmarkStart w:id="52" w:name="Tc_n0KwIXioME6EUJWSXhYlrQ_14_2"/>
      <w:bookmarkStart w:id="53" w:name="Tc_vZiawabOzkieGQJpCrE2pA_14_0"/>
      <w:bookmarkStart w:id="54" w:name="Tc__auOx9zR102YBcVF9-3thQ_13_0"/>
      <w:bookmarkStart w:id="55" w:name="Tc_Jd9AZEuMJUWinxDJLReV5Q_12_0"/>
      <w:bookmarkStart w:id="56" w:name="Tc_hxRukgDsREm1DsoIPrQgIQ_11_0"/>
      <w:bookmarkStart w:id="57" w:name="Tc_bOHTlKMYgUqokQx7y7jMjw_10_0"/>
      <w:bookmarkStart w:id="58" w:name="Tc_mFAvMXJP3EWcyQXZN5ObSA_9_0"/>
      <w:bookmarkStart w:id="59" w:name="Tc__oUDpyf11Ea2Dl5DwIB20Q_8_0"/>
      <w:bookmarkStart w:id="60" w:name="Tc_lQ_awhQV4EKZUgtPVVaMZQ_7_0"/>
      <w:bookmarkStart w:id="61" w:name="Tc_sWdTaDbFxUeHx9FAmrq5gw_6_0"/>
      <w:bookmarkStart w:id="62" w:name="Tc_NaE0w1ITJ0Wp8BjIIrxpaw_5_5"/>
      <w:bookmarkStart w:id="63" w:name="Tc_-Vrg40WjS0ugjU_Ev3eysg_5_2"/>
      <w:bookmarkStart w:id="64" w:name="Tc_LQzBDSP090KKENUfwiHzmA_5_0"/>
      <w:bookmarkStart w:id="65" w:name="Tc_3t8m2Axo4UabmBjtAo5WDA_4_0"/>
      <w:bookmarkStart w:id="66" w:name="Tc_MFmqOQ-Q6UuKrjS188NO5w_3_0"/>
      <w:bookmarkStart w:id="67" w:name="Tc_II2im3ZEG0mUJXTNv_QPIQ_2_5"/>
      <w:bookmarkStart w:id="68" w:name="Tc_E_jQPOu9WkO0ku_68-bjgg_2_2"/>
      <w:bookmarkStart w:id="69" w:name="Tc_Qug7V8XrRE6YDyQeuw2owQ_1_5"/>
      <w:bookmarkStart w:id="70" w:name="Tc_LS5D4bWt5UKMHmpe1BhR1Q_1_2"/>
      <w:bookmarkStart w:id="71" w:name="_1a341834_fd8a_4ea7_8c9b_3c4775173112"/>
      <w:bookmarkStart w:id="72" w:name="Tc_DVMmnN5Fwkio-KmdwhluRA_33_5"/>
      <w:bookmarkStart w:id="73" w:name="Tc_xoBl2f1Qi0OkZykDBs7wWA_33_2"/>
      <w:bookmarkStart w:id="74" w:name="Tc_qDEchWdYW0uAK5K7YCAJIg_33_0"/>
      <w:bookmarkStart w:id="75" w:name="Tc_lQ6BselgHEuMFxlvrYYJ_g_32_0"/>
      <w:bookmarkStart w:id="76" w:name="Tc_oDJhE20lxUSiATBNuXdhUA_31_0"/>
      <w:bookmarkStart w:id="77" w:name="Tc_FZICfmlDbUqfnkVaR1xwRQ_30_0"/>
      <w:bookmarkStart w:id="78" w:name="Tc_Etej6qGTS0apsHOO2ygrwQ_29_0"/>
      <w:bookmarkStart w:id="79" w:name="Tc_lhk7PsRhskG_Ak9jA-KzRw_28_0"/>
      <w:bookmarkStart w:id="80" w:name="Tc_Z46KWv4Zg0OROF9QeZzI3Q_27_3"/>
      <w:bookmarkStart w:id="81" w:name="Tc_f18gqFJRxkeQP0u1OoD5Mg_27_0"/>
      <w:bookmarkStart w:id="82" w:name="Tc_94pf-f-RMk2C8UFLw_O0Mg_26_0"/>
      <w:bookmarkStart w:id="83" w:name="Tc_usWtczudy0CNz5vvHXSNmQ_25_0"/>
      <w:bookmarkStart w:id="84" w:name="Tc_brBaorEYL0uX27wDgfJgmA_24_0"/>
      <w:bookmarkStart w:id="85" w:name="Tc_4o7FTd-opEiZcgtuolIzuA_23_0"/>
      <w:bookmarkStart w:id="86" w:name="Tc_S7tYDPL4LEmX4Tem0fNvUA_22_0"/>
      <w:bookmarkStart w:id="87" w:name="Tc_ttYTI7dsN0Se1fZjJBGcPA_21_0"/>
      <w:bookmarkStart w:id="88" w:name="Tc_VyAKJnAmNUObEFMp94gQjg_20_0"/>
      <w:bookmarkStart w:id="89" w:name="Tc_eeUolEzdek2AR4rZQbekpA_19_0"/>
      <w:bookmarkStart w:id="90" w:name="Tc_aldGQ1qzB0uAsjZ4THc_rg_18_0"/>
      <w:bookmarkStart w:id="91" w:name="Tc_C72xK1RoO0GdzpCVrahgAw_17_5"/>
      <w:bookmarkStart w:id="92" w:name="Tc_mOqwtQXLPkS5MvBmFIi48w_17_2"/>
      <w:bookmarkStart w:id="93" w:name="Tc_8MtHKNXW_E2XamMQwrnPCg_17_0"/>
      <w:bookmarkStart w:id="94" w:name="Tc_A0dCrwtw5E66ZTSG88T5Tg_16_0"/>
      <w:bookmarkStart w:id="95" w:name="Tc_3ZRTBSlJ5kyqApuAZ86JTg_15_0"/>
      <w:bookmarkStart w:id="96" w:name="Tc_hBz2Deug-Eq8JTkGiGZXXw_14_5"/>
      <w:bookmarkStart w:id="97" w:name="Tc_n0KwIXioME6EUJWSXhYlrQ_14_2"/>
      <w:bookmarkStart w:id="98" w:name="Tc_vZiawabOzkieGQJpCrE2pA_14_0"/>
      <w:bookmarkStart w:id="99" w:name="Tc__auOx9zR102YBcVF9-3thQ_13_0"/>
      <w:bookmarkStart w:id="100" w:name="Tc_Jd9AZEuMJUWinxDJLReV5Q_12_0"/>
      <w:bookmarkStart w:id="101" w:name="Tc_hxRukgDsREm1DsoIPrQgIQ_11_0"/>
      <w:bookmarkStart w:id="102" w:name="Tc_bOHTlKMYgUqokQx7y7jMjw_10_0"/>
      <w:bookmarkStart w:id="103" w:name="Tc_mFAvMXJP3EWcyQXZN5ObSA_9_0"/>
      <w:bookmarkStart w:id="104" w:name="Tc__oUDpyf11Ea2Dl5DwIB20Q_8_0"/>
      <w:bookmarkStart w:id="105" w:name="Tc_lQ_awhQV4EKZUgtPVVaMZQ_7_0"/>
      <w:bookmarkStart w:id="106" w:name="Tc_sWdTaDbFxUeHx9FAmrq5gw_6_0"/>
      <w:bookmarkStart w:id="107" w:name="Tc_NaE0w1ITJ0Wp8BjIIrxpaw_5_5"/>
      <w:bookmarkStart w:id="108" w:name="Tc_-Vrg40WjS0ugjU_Ev3eysg_5_2"/>
      <w:bookmarkStart w:id="109" w:name="Tc_LQzBDSP090KKENUfwiHzmA_5_0"/>
      <w:bookmarkStart w:id="110" w:name="Tc_3t8m2Axo4UabmBjtAo5WDA_4_0"/>
      <w:bookmarkStart w:id="111" w:name="Tc_MFmqOQ-Q6UuKrjS188NO5w_3_0"/>
      <w:bookmarkStart w:id="112" w:name="Tc_II2im3ZEG0mUJXTNv_QPIQ_2_5"/>
      <w:bookmarkStart w:id="113" w:name="Tc_E_jQPOu9WkO0ku_68-bjgg_2_2"/>
      <w:bookmarkStart w:id="114" w:name="Tc_Qug7V8XrRE6YDyQeuw2owQ_1_5"/>
      <w:bookmarkStart w:id="115" w:name="Tc_LS5D4bWt5UKMHmpe1BhR1Q_1_2"/>
      <w:bookmarkStart w:id="116" w:name="_1a341834_fd8a_4ea7_8c9b_3c4775173112"/>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W w:w="10205" w:type="dxa"/>
        <w:jc w:val="left"/>
        <w:tblInd w:w="0" w:type="dxa"/>
        <w:tblCellMar>
          <w:top w:w="0" w:type="dxa"/>
          <w:left w:w="0" w:type="dxa"/>
          <w:bottom w:w="0" w:type="dxa"/>
          <w:right w:w="0" w:type="dxa"/>
        </w:tblCellMar>
      </w:tblPr>
      <w:tblGrid>
        <w:gridCol w:w="7052"/>
        <w:gridCol w:w="326"/>
        <w:gridCol w:w="211"/>
        <w:gridCol w:w="1016"/>
        <w:gridCol w:w="326"/>
        <w:gridCol w:w="211"/>
        <w:gridCol w:w="1063"/>
      </w:tblGrid>
      <w:tr>
        <w:trPr/>
        <w:tc>
          <w:tcPr>
            <w:tcW w:w="7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78020" cy="175260"/>
                      <wp:effectExtent l="0" t="0" r="0" b="0"/>
                      <wp:wrapNone/>
                      <wp:docPr id="1" name="Frame1"/>
                      <a:graphic xmlns:a="http://schemas.openxmlformats.org/drawingml/2006/main">
                        <a:graphicData uri="http://schemas.microsoft.com/office/word/2010/wordprocessingShape">
                          <wps:wsp>
                            <wps:cNvSpPr txBox="1"/>
                            <wps:spPr>
                              <a:xfrm>
                                <a:off x="0" y="0"/>
                                <a:ext cx="447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5005" cy="175260"/>
                      <wp:effectExtent l="0" t="0" r="0" b="0"/>
                      <wp:wrapNone/>
                      <wp:docPr id="7" name="Frame7"/>
                      <a:graphic xmlns:a="http://schemas.openxmlformats.org/drawingml/2006/main">
                        <a:graphicData uri="http://schemas.microsoft.com/office/word/2010/wordprocessingShape">
                          <wps:wsp>
                            <wps:cNvSpPr txBox="1"/>
                            <wps:spPr>
                              <a:xfrm>
                                <a:off x="0" y="0"/>
                                <a:ext cx="675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05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27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5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2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3" w:type="dxa"/>
            <w:tcBorders/>
            <w:shd w:fill="CCEEFF" w:val="clear"/>
            <w:vAlign w:val="center"/>
          </w:tcPr>
          <w:p>
            <w:pPr>
              <w:pStyle w:val="TableContents"/>
              <w:spacing w:before="0" w:after="0"/>
              <w:ind w:left="0" w:right="0" w:hanging="0"/>
              <w:jc w:val="right"/>
              <w:rPr/>
            </w:pPr>
            <w:r>
              <w:rPr/>
              <w:t>​</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3" w:type="dxa"/>
            <w:tcBorders/>
            <w:shd w:fill="auto" w:val="clear"/>
            <w:vAlign w:val="center"/>
          </w:tcPr>
          <w:p>
            <w:pPr>
              <w:pStyle w:val="TableContents"/>
              <w:spacing w:before="0" w:after="0"/>
              <w:ind w:left="0" w:right="0" w:hanging="0"/>
              <w:jc w:val="right"/>
              <w:rPr/>
            </w:pPr>
            <w:r>
              <w:rPr/>
              <w:t>​</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224,264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Accounts and other receivables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Prepaid and other current assets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9,896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12,394</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Total current assets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289,597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317,693</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Property and equipment, net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3,747</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4,001</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Total assets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324,519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352,735</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3" w:type="dxa"/>
            <w:tcBorders/>
            <w:shd w:fill="CCEEFF" w:val="clear"/>
            <w:vAlign w:val="center"/>
          </w:tcPr>
          <w:p>
            <w:pPr>
              <w:pStyle w:val="TableContents"/>
              <w:spacing w:before="0" w:after="0"/>
              <w:ind w:left="0" w:right="0" w:hanging="0"/>
              <w:jc w:val="right"/>
              <w:rPr/>
            </w:pPr>
            <w:r>
              <w:rPr/>
              <w:t>​</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3" w:type="dxa"/>
            <w:tcBorders/>
            <w:shd w:fill="auto" w:val="clear"/>
            <w:vAlign w:val="center"/>
          </w:tcPr>
          <w:p>
            <w:pPr>
              <w:pStyle w:val="TableContents"/>
              <w:spacing w:before="0" w:after="0"/>
              <w:ind w:left="0" w:right="0" w:hanging="0"/>
              <w:jc w:val="right"/>
              <w:rPr/>
            </w:pPr>
            <w:r>
              <w:rPr/>
              <w:t>​</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12,835</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other long-term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18,610</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21,779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26,531</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Commitments and contingent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63" w:type="dxa"/>
            <w:tcBorders/>
            <w:shd w:fill="CCEEFF" w:val="clear"/>
            <w:vAlign w:val="center"/>
          </w:tcPr>
          <w:p>
            <w:pPr>
              <w:pStyle w:val="TableContents"/>
              <w:spacing w:before="0" w:after="0"/>
              <w:ind w:left="0" w:right="0" w:hanging="0"/>
              <w:jc w:val="right"/>
              <w:rPr/>
            </w:pPr>
            <w:r>
              <w:rPr/>
              <w:t>​</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63" w:type="dxa"/>
            <w:tcBorders/>
            <w:shd w:fill="auto" w:val="clear"/>
            <w:vAlign w:val="center"/>
          </w:tcPr>
          <w:p>
            <w:pPr>
              <w:pStyle w:val="TableContents"/>
              <w:spacing w:before="0" w:after="0"/>
              <w:ind w:left="0" w:right="0" w:hanging="0"/>
              <w:jc w:val="right"/>
              <w:rPr/>
            </w:pPr>
            <w:r>
              <w:rPr/>
              <w:t>​</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March 31, 2023 and December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3" w:type="dxa"/>
            <w:tcBorders/>
            <w:shd w:fill="CCEEFF" w:val="clear"/>
            <w:vAlign w:val="center"/>
          </w:tcPr>
          <w:p>
            <w:pPr>
              <w:pStyle w:val="TableContents"/>
              <w:spacing w:before="0" w:after="0"/>
              <w:ind w:left="0" w:right="0" w:hanging="0"/>
              <w:jc w:val="right"/>
              <w:rPr/>
            </w:pPr>
            <w:r>
              <w:rPr/>
              <w:t>—</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Common stock, $.001 par value; 297,000,000 shares authorized; 47,244,681 and 47,200,695 shares issued and outstanding at March 31, 2023 and December 31, 2022, respectively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1,585,863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1,580,829</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(1,285,293)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(1,255,932)</w:t>
            </w:r>
          </w:p>
        </w:tc>
      </w:tr>
      <w:tr>
        <w:trPr/>
        <w:tc>
          <w:tcPr>
            <w:tcW w:w="705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302,740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326,204</w:t>
            </w:r>
          </w:p>
        </w:tc>
      </w:tr>
      <w:tr>
        <w:trPr/>
        <w:tc>
          <w:tcPr>
            <w:tcW w:w="705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324,519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352,735</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17" w:name="_dbbdb8eb_cf6d_4947_85ad_b9b2564052fc"/>
      <w:bookmarkEnd w:id="117"/>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bookmarkStart w:id="118" w:name="CONDENSEDCONSOLIDATEDSTATEMENTSOFOPERATI"/>
      <w:bookmarkEnd w:id="118"/>
      <w:r>
        <w:rPr>
          <w:rFonts w:ascii="Times New Roman;Times;serif" w:hAnsi="Times New Roman;Times;serif"/>
          <w:b/>
          <w:sz w:val="20"/>
        </w:rPr>
        <w:t>CONDENSED CONSOLIDATED STATEMENTS OF OPERATIONS AND COMPREHENSIVE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spacing w:before="0" w:after="0"/>
        <w:ind w:left="0" w:right="0" w:hanging="0"/>
        <w:rPr/>
      </w:pPr>
      <w:r>
        <w:rPr/>
        <w:t>​</w:t>
      </w:r>
    </w:p>
    <w:p>
      <w:pPr>
        <w:pStyle w:val="Normal"/>
        <w:spacing w:before="0" w:after="0"/>
        <w:rPr>
          <w:sz w:val="4"/>
          <w:szCs w:val="4"/>
        </w:rPr>
      </w:pPr>
      <w:r>
        <w:rPr>
          <w:sz w:val="4"/>
          <w:szCs w:val="4"/>
        </w:rPr>
      </w:r>
      <w:bookmarkStart w:id="119" w:name="Tc_5aVTW4u3QkOWjF7IZKjTCw_26_5"/>
      <w:bookmarkStart w:id="120" w:name="Tc_pgtOaiBFLk-KpKWZv64ZPA_26_2"/>
      <w:bookmarkStart w:id="121" w:name="Tc_8rWsCTL1L0GyXKai70XGPQ_26_0"/>
      <w:bookmarkStart w:id="122" w:name="Tc_UpcfJ0OEo0Cxzs8WgQ_FYA_25_0"/>
      <w:bookmarkStart w:id="123" w:name="Tc_wByr89wBRkG0iVGPw2ZeuQ_24_0"/>
      <w:bookmarkStart w:id="124" w:name="Tc_iLBUSO9E5km5-pO8WYcyLQ_23_5"/>
      <w:bookmarkStart w:id="125" w:name="Tc_kr66iagw3E6OZ7yrABbxKA_23_2"/>
      <w:bookmarkStart w:id="126" w:name="Tc_dukPFmJnK0Su4F6q9YG9Kg_23_0"/>
      <w:bookmarkStart w:id="127" w:name="Tc_SIqzHeBiGE-msc_EpUXaeQ_22_0"/>
      <w:bookmarkStart w:id="128" w:name="Tc_-F2k6l6gtE-3002dCykSMw_20_0"/>
      <w:bookmarkStart w:id="129" w:name="Tc_1PxeGkq_-E2AeetMrTim1Q_18_5"/>
      <w:bookmarkStart w:id="130" w:name="Tc_XxW0n6pvvEqeTR3mbJ9mgA_18_2"/>
      <w:bookmarkStart w:id="131" w:name="Tc_UoP6YUmN1EK1W5hp5ZhZKA_18_0"/>
      <w:bookmarkStart w:id="132" w:name="Tc_p234_vZkrU2eTFyWrT-3Tg_16_5"/>
      <w:bookmarkStart w:id="133" w:name="Tc_ZjJn0zPZvEWyNEC-_5Z4pg_16_2"/>
      <w:bookmarkStart w:id="134" w:name="Tc_oSy7bb0wBkqCkuJhenfoug_16_0"/>
      <w:bookmarkStart w:id="135" w:name="Tc_xwg3oSEGyEyJfZ8b-HQIrw_15_0"/>
      <w:bookmarkStart w:id="136" w:name="Tc_bt_UcaflKES_jZuyKYheHw_14_0"/>
      <w:bookmarkStart w:id="137" w:name="Tc_xQEOSaRfUUuGCSUEzsCaKA_12_0"/>
      <w:bookmarkStart w:id="138" w:name="Tc_ZwxGeV2DJ0SQBHyoDPD6Rg_11_3"/>
      <w:bookmarkStart w:id="139" w:name="Tc_fGax3iuWSUC6btgJYvXrQg_11_0"/>
      <w:bookmarkStart w:id="140" w:name="Tc_Z55ylxdUVUCl4VYXzZm-LA_10_0"/>
      <w:bookmarkStart w:id="141" w:name="Tc_MjIAB8EDWEWwtKVfuW9uIw_9_0"/>
      <w:bookmarkStart w:id="142" w:name="Tc_Lfd2-Yw_e025h1Us3gxnAw_8_0"/>
      <w:bookmarkStart w:id="143" w:name="Tc_dSxum-zxZUa9gMLo6UkqEg_6_0"/>
      <w:bookmarkStart w:id="144" w:name="Tc_SIUTY7XHDEiGPZYvLu_2QA_5_0"/>
      <w:bookmarkStart w:id="145" w:name="Tc_9n5H0RHTv0i5zxBcyv8hZg_4_5"/>
      <w:bookmarkStart w:id="146" w:name="Tc_0w2Ln_mZNEyaxxvva0-UIg_4_3"/>
      <w:bookmarkStart w:id="147" w:name="Tc_L4IpQyR6wUSR4YaxbzYRLQ_4_2"/>
      <w:bookmarkStart w:id="148" w:name="Tc_UoutCNxDr0e9xM6IrGQcPw_4_0"/>
      <w:bookmarkStart w:id="149" w:name="Tc_moS2zCMwKE2sv0cu_itPmQ_3_0"/>
      <w:bookmarkStart w:id="150" w:name="Tc_OFm191iOK0mXZxOiU09haA_2_5"/>
      <w:bookmarkStart w:id="151" w:name="Tc_xy32iYlD_Ey_-vo4d_7E6w_2_2"/>
      <w:bookmarkStart w:id="152" w:name="Tc_rFInlHe8QkqWX6_KGC4S5A_1_5"/>
      <w:bookmarkStart w:id="153" w:name="Tc_zG5OrATMIkyHcgzo_D3sXA_1_2"/>
      <w:bookmarkStart w:id="154" w:name="_be025735_3b83_40c4_9871_d6089a032502"/>
      <w:bookmarkStart w:id="155" w:name="_d47e9ac3_9f28_48aa_849a_efdebf818e65"/>
      <w:bookmarkStart w:id="156" w:name="Tc_5aVTW4u3QkOWjF7IZKjTCw_26_5"/>
      <w:bookmarkStart w:id="157" w:name="Tc_pgtOaiBFLk-KpKWZv64ZPA_26_2"/>
      <w:bookmarkStart w:id="158" w:name="Tc_8rWsCTL1L0GyXKai70XGPQ_26_0"/>
      <w:bookmarkStart w:id="159" w:name="Tc_UpcfJ0OEo0Cxzs8WgQ_FYA_25_0"/>
      <w:bookmarkStart w:id="160" w:name="Tc_wByr89wBRkG0iVGPw2ZeuQ_24_0"/>
      <w:bookmarkStart w:id="161" w:name="Tc_iLBUSO9E5km5-pO8WYcyLQ_23_5"/>
      <w:bookmarkStart w:id="162" w:name="Tc_kr66iagw3E6OZ7yrABbxKA_23_2"/>
      <w:bookmarkStart w:id="163" w:name="Tc_dukPFmJnK0Su4F6q9YG9Kg_23_0"/>
      <w:bookmarkStart w:id="164" w:name="Tc_SIqzHeBiGE-msc_EpUXaeQ_22_0"/>
      <w:bookmarkStart w:id="165" w:name="Tc_-F2k6l6gtE-3002dCykSMw_20_0"/>
      <w:bookmarkStart w:id="166" w:name="Tc_1PxeGkq_-E2AeetMrTim1Q_18_5"/>
      <w:bookmarkStart w:id="167" w:name="Tc_XxW0n6pvvEqeTR3mbJ9mgA_18_2"/>
      <w:bookmarkStart w:id="168" w:name="Tc_UoP6YUmN1EK1W5hp5ZhZKA_18_0"/>
      <w:bookmarkStart w:id="169" w:name="Tc_p234_vZkrU2eTFyWrT-3Tg_16_5"/>
      <w:bookmarkStart w:id="170" w:name="Tc_ZjJn0zPZvEWyNEC-_5Z4pg_16_2"/>
      <w:bookmarkStart w:id="171" w:name="Tc_oSy7bb0wBkqCkuJhenfoug_16_0"/>
      <w:bookmarkStart w:id="172" w:name="Tc_xwg3oSEGyEyJfZ8b-HQIrw_15_0"/>
      <w:bookmarkStart w:id="173" w:name="Tc_bt_UcaflKES_jZuyKYheHw_14_0"/>
      <w:bookmarkStart w:id="174" w:name="Tc_xQEOSaRfUUuGCSUEzsCaKA_12_0"/>
      <w:bookmarkStart w:id="175" w:name="Tc_ZwxGeV2DJ0SQBHyoDPD6Rg_11_3"/>
      <w:bookmarkStart w:id="176" w:name="Tc_fGax3iuWSUC6btgJYvXrQg_11_0"/>
      <w:bookmarkStart w:id="177" w:name="Tc_Z55ylxdUVUCl4VYXzZm-LA_10_0"/>
      <w:bookmarkStart w:id="178" w:name="Tc_MjIAB8EDWEWwtKVfuW9uIw_9_0"/>
      <w:bookmarkStart w:id="179" w:name="Tc_Lfd2-Yw_e025h1Us3gxnAw_8_0"/>
      <w:bookmarkStart w:id="180" w:name="Tc_dSxum-zxZUa9gMLo6UkqEg_6_0"/>
      <w:bookmarkStart w:id="181" w:name="Tc_SIUTY7XHDEiGPZYvLu_2QA_5_0"/>
      <w:bookmarkStart w:id="182" w:name="Tc_9n5H0RHTv0i5zxBcyv8hZg_4_5"/>
      <w:bookmarkStart w:id="183" w:name="Tc_0w2Ln_mZNEyaxxvva0-UIg_4_3"/>
      <w:bookmarkStart w:id="184" w:name="Tc_L4IpQyR6wUSR4YaxbzYRLQ_4_2"/>
      <w:bookmarkStart w:id="185" w:name="Tc_UoutCNxDr0e9xM6IrGQcPw_4_0"/>
      <w:bookmarkStart w:id="186" w:name="Tc_moS2zCMwKE2sv0cu_itPmQ_3_0"/>
      <w:bookmarkStart w:id="187" w:name="Tc_OFm191iOK0mXZxOiU09haA_2_5"/>
      <w:bookmarkStart w:id="188" w:name="Tc_xy32iYlD_Ey_-vo4d_7E6w_2_2"/>
      <w:bookmarkStart w:id="189" w:name="Tc_rFInlHe8QkqWX6_KGC4S5A_1_5"/>
      <w:bookmarkStart w:id="190" w:name="Tc_zG5OrATMIkyHcgzo_D3sXA_1_2"/>
      <w:bookmarkStart w:id="191" w:name="_be025735_3b83_40c4_9871_d6089a032502"/>
      <w:bookmarkStart w:id="192" w:name="_d47e9ac3_9f28_48aa_849a_efdebf818e6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tbl>
      <w:tblPr>
        <w:tblW w:w="8350" w:type="dxa"/>
        <w:jc w:val="left"/>
        <w:tblInd w:w="0" w:type="dxa"/>
        <w:tblCellMar>
          <w:top w:w="0" w:type="dxa"/>
          <w:left w:w="0" w:type="dxa"/>
          <w:bottom w:w="0" w:type="dxa"/>
          <w:right w:w="0" w:type="dxa"/>
        </w:tblCellMar>
      </w:tblPr>
      <w:tblGrid>
        <w:gridCol w:w="5131"/>
        <w:gridCol w:w="326"/>
        <w:gridCol w:w="280"/>
        <w:gridCol w:w="981"/>
        <w:gridCol w:w="326"/>
        <w:gridCol w:w="277"/>
        <w:gridCol w:w="1029"/>
      </w:tblGrid>
      <w:tr>
        <w:trPr/>
        <w:tc>
          <w:tcPr>
            <w:tcW w:w="5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258185" cy="175260"/>
                      <wp:effectExtent l="0" t="0" r="0" b="0"/>
                      <wp:wrapNone/>
                      <wp:docPr id="8" name="Frame8"/>
                      <a:graphic xmlns:a="http://schemas.openxmlformats.org/drawingml/2006/main">
                        <a:graphicData uri="http://schemas.microsoft.com/office/word/2010/wordprocessingShape">
                          <wps:wsp>
                            <wps:cNvSpPr txBox="1"/>
                            <wps:spPr>
                              <a:xfrm>
                                <a:off x="0" y="0"/>
                                <a:ext cx="3258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77800" cy="175260"/>
                      <wp:effectExtent l="0" t="0" r="0" b="0"/>
                      <wp:wrapNone/>
                      <wp:docPr id="10" name="Frame10"/>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22935" cy="175260"/>
                      <wp:effectExtent l="0" t="0" r="0" b="0"/>
                      <wp:wrapNone/>
                      <wp:docPr id="11" name="Frame11"/>
                      <a:graphic xmlns:a="http://schemas.openxmlformats.org/drawingml/2006/main">
                        <a:graphicData uri="http://schemas.microsoft.com/office/word/2010/wordprocessingShape">
                          <wps:wsp>
                            <wps:cNvSpPr txBox="1"/>
                            <wps:spPr>
                              <a:xfrm>
                                <a:off x="0" y="0"/>
                                <a:ext cx="62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75895" cy="175260"/>
                      <wp:effectExtent l="0" t="0" r="0" b="0"/>
                      <wp:wrapNone/>
                      <wp:docPr id="13" name="Frame13"/>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3415" cy="175260"/>
                      <wp:effectExtent l="0" t="0" r="0" b="0"/>
                      <wp:wrapNone/>
                      <wp:docPr id="14" name="Frame14"/>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r>
      <w:tr>
        <w:trPr/>
        <w:tc>
          <w:tcPr>
            <w:tcW w:w="5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w:t>
            </w:r>
          </w:p>
        </w:tc>
        <w:tc>
          <w:tcPr>
            <w:tcW w:w="9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5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w:t>
            </w:r>
          </w:p>
        </w:tc>
        <w:tc>
          <w:tcPr>
            <w:tcW w:w="9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w:t>
            </w:r>
          </w:p>
        </w:tc>
        <w:tc>
          <w:tcPr>
            <w:tcW w:w="9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 </w:t>
            </w:r>
          </w:p>
        </w:tc>
        <w:tc>
          <w:tcPr>
            <w:tcW w:w="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26,798</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17,056</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9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6,640</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6,911</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8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9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33,438</w:t>
            </w:r>
          </w:p>
        </w:tc>
        <w:tc>
          <w:tcPr>
            <w:tcW w:w="326" w:type="dxa"/>
            <w:tcBorders/>
            <w:shd w:fill="auto" w:val="clear"/>
            <w:vAlign w:val="center"/>
          </w:tcPr>
          <w:p>
            <w:pPr>
              <w:pStyle w:val="TableContents"/>
              <w:spacing w:before="0" w:after="0"/>
              <w:ind w:left="0" w:right="0" w:hanging="0"/>
              <w:rPr/>
            </w:pPr>
            <w:r>
              <w:rPr/>
              <w:t>​</w:t>
            </w:r>
          </w:p>
        </w:tc>
        <w:tc>
          <w:tcPr>
            <w:tcW w:w="27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02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23,431</w:t>
            </w:r>
          </w:p>
        </w:tc>
      </w:tr>
      <w:tr>
        <w:trPr/>
        <w:tc>
          <w:tcPr>
            <w:tcW w:w="5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w:t>
            </w:r>
          </w:p>
        </w:tc>
        <w:tc>
          <w:tcPr>
            <w:tcW w:w="9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loss</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9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(32,471)</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(23,257)</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3,110</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r>
        <w:trPr/>
        <w:tc>
          <w:tcPr>
            <w:tcW w:w="5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w:t>
            </w:r>
          </w:p>
        </w:tc>
        <w:tc>
          <w:tcPr>
            <w:tcW w:w="9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r>
      <w:tr>
        <w:trPr/>
        <w:tc>
          <w:tcPr>
            <w:tcW w:w="5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w:t>
            </w:r>
          </w:p>
        </w:tc>
        <w:tc>
          <w:tcPr>
            <w:tcW w:w="9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47,214</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0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46,739</w:t>
            </w:r>
          </w:p>
        </w:tc>
      </w:tr>
      <w:tr>
        <w:trPr/>
        <w:tc>
          <w:tcPr>
            <w:tcW w:w="5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w:t>
            </w:r>
          </w:p>
        </w:tc>
        <w:tc>
          <w:tcPr>
            <w:tcW w:w="9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w:t>
            </w:r>
          </w:p>
        </w:tc>
        <w:tc>
          <w:tcPr>
            <w:tcW w:w="9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w:t>
            </w:r>
          </w:p>
        </w:tc>
        <w:tc>
          <w:tcPr>
            <w:tcW w:w="32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w:t>
            </w:r>
          </w:p>
        </w:tc>
        <w:tc>
          <w:tcPr>
            <w:tcW w:w="9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pPr>
            <w:r>
              <w:rPr/>
              <w:t>​</w:t>
            </w:r>
          </w:p>
        </w:tc>
      </w:tr>
      <w:tr>
        <w:trPr/>
        <w:tc>
          <w:tcPr>
            <w:tcW w:w="5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(loss) on marketable securities</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r>
      <w:tr>
        <w:trPr/>
        <w:tc>
          <w:tcPr>
            <w:tcW w:w="5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loss</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(28,498)</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(24,832)</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93" w:name="_3e41f750_5f64_4286_b1aa_e255c397992a"/>
      <w:bookmarkEnd w:id="193"/>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bookmarkStart w:id="194" w:name="CONDENSEDCONSOLIDATEDSTATEMENTSOFCASHFLO"/>
      <w:bookmarkEnd w:id="194"/>
      <w:r>
        <w:rPr>
          <w:rFonts w:ascii="Times New Roman;Times;serif" w:hAnsi="Times New Roman;Times;serif"/>
          <w:b/>
          <w:sz w:val="20"/>
        </w:rPr>
        <w:t>CONDENSED CONSOLIDATED STATEMENTS OF CASH FLOW</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95" w:name="Tc_rjlplow3zki80JVucWRNWA_30_5"/>
      <w:bookmarkStart w:id="196" w:name="Tc_VyU3hT4ag0OL0pBbY1Y1gQ_30_2"/>
      <w:bookmarkStart w:id="197" w:name="Tc_YVNxA5yHkk6RxyGK7EhQJg_30_0"/>
      <w:bookmarkStart w:id="198" w:name="Tc_l0pv0LMfvkuk-9-aUeMxhA_29_0"/>
      <w:bookmarkStart w:id="199" w:name="Tc_Cg0NMlNa_0O8yykK1V-QQw_27_5"/>
      <w:bookmarkStart w:id="200" w:name="Tc_XNs5TKmApEuDMhN_QI3RfA_27_2"/>
      <w:bookmarkStart w:id="201" w:name="Tc_BqDbDh_-C0idHFsARp_40w_27_0"/>
      <w:bookmarkStart w:id="202" w:name="Tc_SyuhGNCiakaSSAM_kv9MWg_26_0"/>
      <w:bookmarkStart w:id="203" w:name="Tc_frHhFbLvnkGQAvAB7oUN6Q_25_0"/>
      <w:bookmarkStart w:id="204" w:name="Tc_e8_vBMdpEkOW0024YQbgfA_23_0"/>
      <w:bookmarkStart w:id="205" w:name="Tc_mDT8BODxKk2BMGUja20bLw_22_0"/>
      <w:bookmarkStart w:id="206" w:name="Tc_M4Pc_TtzEUSeRrdr_f9rSw_21_0"/>
      <w:bookmarkStart w:id="207" w:name="Tc_Nq9tb6OBXkqPJN7y-XrW3Q_20_0"/>
      <w:bookmarkStart w:id="208" w:name="Tc__6sv1zaGm02DAj9puB_S3A_19_0"/>
      <w:bookmarkStart w:id="209" w:name="Tc_S2e5UxI0YECmpZ5dxvJn9w_18_0"/>
      <w:bookmarkStart w:id="210" w:name="Tc_41Z_8cknAk6Kqu7v9Nir8w_17_0"/>
      <w:bookmarkStart w:id="211" w:name="Tc_K0hZsfp9ZEqmqlrE_f2NtA_16_0"/>
      <w:bookmarkStart w:id="212" w:name="Tc_vpBiVhp4vkeFjNn0b9IJSA_15_0"/>
      <w:bookmarkStart w:id="213" w:name="Tc_J2LGetuwgEWaaj3_5smstA_14_0"/>
      <w:bookmarkStart w:id="214" w:name="Tc_iMcmNqvjE0KfR7lT8TEJDw_13_0"/>
      <w:bookmarkStart w:id="215" w:name="Tc_5_1qac7vUUOwse51nphJdQ_12_0"/>
      <w:bookmarkStart w:id="216" w:name="Tc_swz2WqcgZkyWsKBiXGY-bg_11_0"/>
      <w:bookmarkStart w:id="217" w:name="Tc_NWilAsDCg0mH1UwSDFPjPg_10_0"/>
      <w:bookmarkStart w:id="218" w:name="Tc_FftHHBF5JkiYRsfAN7HACw_9_0"/>
      <w:bookmarkStart w:id="219" w:name="Tc_Zyt6B3tU_EiSnD4qEKXlwA_8_3"/>
      <w:bookmarkStart w:id="220" w:name="Tc_yTNnw_T4pkew3xxR2m4C-w_8_0"/>
      <w:bookmarkStart w:id="221" w:name="Tc_HE7t9tX2RUWwyI5D9KtOdw_7_0"/>
      <w:bookmarkStart w:id="222" w:name="Tc_zkfPga51jUqDfFQmvE35Aw_6_0"/>
      <w:bookmarkStart w:id="223" w:name="Tc_kAi9XFKvgkOCJZypS0doLw_5_0"/>
      <w:bookmarkStart w:id="224" w:name="Tc_1x98rDIZokCojuxEs2M8hA_4_5"/>
      <w:bookmarkStart w:id="225" w:name="Tc_VPdlm0LdBEG0460vBcgNJQ_4_2"/>
      <w:bookmarkStart w:id="226" w:name="Tc_NVVD2_j4WkiBoCjH4U0hlw_4_0"/>
      <w:bookmarkStart w:id="227" w:name="Tc_omRub361LkKJcJy_0z0f5g_3_0"/>
      <w:bookmarkStart w:id="228" w:name="Tc_ONDYbAbxL0Ws2rLMyNn5qQ_2_5"/>
      <w:bookmarkStart w:id="229" w:name="Tc_D_i7Iay9rUmcWDSxVBaUuQ_2_2"/>
      <w:bookmarkStart w:id="230" w:name="Tc_EHRJA8BCzEGDnUg_NthRRw_1_5"/>
      <w:bookmarkStart w:id="231" w:name="Tc_jN34FPWYWUiQkYBVyF5v3g_1_2"/>
      <w:bookmarkStart w:id="232" w:name="_9e3ec5e0_fdee_406d_b344_18d05335fb2c"/>
      <w:bookmarkStart w:id="233" w:name="Tc_rjlplow3zki80JVucWRNWA_30_5"/>
      <w:bookmarkStart w:id="234" w:name="Tc_VyU3hT4ag0OL0pBbY1Y1gQ_30_2"/>
      <w:bookmarkStart w:id="235" w:name="Tc_YVNxA5yHkk6RxyGK7EhQJg_30_0"/>
      <w:bookmarkStart w:id="236" w:name="Tc_l0pv0LMfvkuk-9-aUeMxhA_29_0"/>
      <w:bookmarkStart w:id="237" w:name="Tc_Cg0NMlNa_0O8yykK1V-QQw_27_5"/>
      <w:bookmarkStart w:id="238" w:name="Tc_XNs5TKmApEuDMhN_QI3RfA_27_2"/>
      <w:bookmarkStart w:id="239" w:name="Tc_BqDbDh_-C0idHFsARp_40w_27_0"/>
      <w:bookmarkStart w:id="240" w:name="Tc_SyuhGNCiakaSSAM_kv9MWg_26_0"/>
      <w:bookmarkStart w:id="241" w:name="Tc_frHhFbLvnkGQAvAB7oUN6Q_25_0"/>
      <w:bookmarkStart w:id="242" w:name="Tc_e8_vBMdpEkOW0024YQbgfA_23_0"/>
      <w:bookmarkStart w:id="243" w:name="Tc_mDT8BODxKk2BMGUja20bLw_22_0"/>
      <w:bookmarkStart w:id="244" w:name="Tc_M4Pc_TtzEUSeRrdr_f9rSw_21_0"/>
      <w:bookmarkStart w:id="245" w:name="Tc_Nq9tb6OBXkqPJN7y-XrW3Q_20_0"/>
      <w:bookmarkStart w:id="246" w:name="Tc__6sv1zaGm02DAj9puB_S3A_19_0"/>
      <w:bookmarkStart w:id="247" w:name="Tc_S2e5UxI0YECmpZ5dxvJn9w_18_0"/>
      <w:bookmarkStart w:id="248" w:name="Tc_41Z_8cknAk6Kqu7v9Nir8w_17_0"/>
      <w:bookmarkStart w:id="249" w:name="Tc_K0hZsfp9ZEqmqlrE_f2NtA_16_0"/>
      <w:bookmarkStart w:id="250" w:name="Tc_vpBiVhp4vkeFjNn0b9IJSA_15_0"/>
      <w:bookmarkStart w:id="251" w:name="Tc_J2LGetuwgEWaaj3_5smstA_14_0"/>
      <w:bookmarkStart w:id="252" w:name="Tc_iMcmNqvjE0KfR7lT8TEJDw_13_0"/>
      <w:bookmarkStart w:id="253" w:name="Tc_5_1qac7vUUOwse51nphJdQ_12_0"/>
      <w:bookmarkStart w:id="254" w:name="Tc_swz2WqcgZkyWsKBiXGY-bg_11_0"/>
      <w:bookmarkStart w:id="255" w:name="Tc_NWilAsDCg0mH1UwSDFPjPg_10_0"/>
      <w:bookmarkStart w:id="256" w:name="Tc_FftHHBF5JkiYRsfAN7HACw_9_0"/>
      <w:bookmarkStart w:id="257" w:name="Tc_Zyt6B3tU_EiSnD4qEKXlwA_8_3"/>
      <w:bookmarkStart w:id="258" w:name="Tc_yTNnw_T4pkew3xxR2m4C-w_8_0"/>
      <w:bookmarkStart w:id="259" w:name="Tc_HE7t9tX2RUWwyI5D9KtOdw_7_0"/>
      <w:bookmarkStart w:id="260" w:name="Tc_zkfPga51jUqDfFQmvE35Aw_6_0"/>
      <w:bookmarkStart w:id="261" w:name="Tc_kAi9XFKvgkOCJZypS0doLw_5_0"/>
      <w:bookmarkStart w:id="262" w:name="Tc_1x98rDIZokCojuxEs2M8hA_4_5"/>
      <w:bookmarkStart w:id="263" w:name="Tc_VPdlm0LdBEG0460vBcgNJQ_4_2"/>
      <w:bookmarkStart w:id="264" w:name="Tc_NVVD2_j4WkiBoCjH4U0hlw_4_0"/>
      <w:bookmarkStart w:id="265" w:name="Tc_omRub361LkKJcJy_0z0f5g_3_0"/>
      <w:bookmarkStart w:id="266" w:name="Tc_ONDYbAbxL0Ws2rLMyNn5qQ_2_5"/>
      <w:bookmarkStart w:id="267" w:name="Tc_D_i7Iay9rUmcWDSxVBaUuQ_2_2"/>
      <w:bookmarkStart w:id="268" w:name="Tc_EHRJA8BCzEGDnUg_NthRRw_1_5"/>
      <w:bookmarkStart w:id="269" w:name="Tc_jN34FPWYWUiQkYBVyF5v3g_1_2"/>
      <w:bookmarkStart w:id="270" w:name="_9e3ec5e0_fdee_406d_b344_18d05335fb2c"/>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tbl>
      <w:tblPr>
        <w:tblW w:w="9250" w:type="dxa"/>
        <w:jc w:val="left"/>
        <w:tblInd w:w="0" w:type="dxa"/>
        <w:tblCellMar>
          <w:top w:w="0" w:type="dxa"/>
          <w:left w:w="0" w:type="dxa"/>
          <w:bottom w:w="0" w:type="dxa"/>
          <w:right w:w="0" w:type="dxa"/>
        </w:tblCellMar>
      </w:tblPr>
      <w:tblGrid>
        <w:gridCol w:w="6031"/>
        <w:gridCol w:w="326"/>
        <w:gridCol w:w="268"/>
        <w:gridCol w:w="993"/>
        <w:gridCol w:w="326"/>
        <w:gridCol w:w="277"/>
        <w:gridCol w:w="1029"/>
      </w:tblGrid>
      <w:tr>
        <w:trPr/>
        <w:tc>
          <w:tcPr>
            <w:tcW w:w="6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829685" cy="175260"/>
                      <wp:effectExtent l="0" t="0" r="0" b="0"/>
                      <wp:wrapNone/>
                      <wp:docPr id="15" name="Frame15"/>
                      <a:graphic xmlns:a="http://schemas.openxmlformats.org/drawingml/2006/main">
                        <a:graphicData uri="http://schemas.microsoft.com/office/word/2010/wordprocessingShape">
                          <wps:wsp>
                            <wps:cNvSpPr txBox="1"/>
                            <wps:spPr>
                              <a:xfrm>
                                <a:off x="0" y="0"/>
                                <a:ext cx="3829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70180" cy="175260"/>
                      <wp:effectExtent l="0" t="0" r="0" b="0"/>
                      <wp:wrapNone/>
                      <wp:docPr id="17" name="Frame17"/>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30555" cy="175260"/>
                      <wp:effectExtent l="0" t="0" r="0" b="0"/>
                      <wp:wrapNone/>
                      <wp:docPr id="18" name="Frame18"/>
                      <a:graphic xmlns:a="http://schemas.openxmlformats.org/drawingml/2006/main">
                        <a:graphicData uri="http://schemas.microsoft.com/office/word/2010/wordprocessingShape">
                          <wps:wsp>
                            <wps:cNvSpPr txBox="1"/>
                            <wps:spPr>
                              <a:xfrm>
                                <a:off x="0" y="0"/>
                                <a:ext cx="630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75895" cy="175260"/>
                      <wp:effectExtent l="0" t="0" r="0" b="0"/>
                      <wp:wrapNone/>
                      <wp:docPr id="20" name="Frame20"/>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3415" cy="175260"/>
                      <wp:effectExtent l="0" t="0" r="0" b="0"/>
                      <wp:wrapNone/>
                      <wp:docPr id="21" name="Frame21"/>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2,722</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(7,148)</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(3,448)</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(2,738)</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(1,325)</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(28,569)</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(24,534)</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127,000</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27,845</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(73,846)</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(16,890)</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of property and equipment</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auto" w:val="clear"/>
            <w:vAlign w:val="center"/>
          </w:tcPr>
          <w:p>
            <w:pPr>
              <w:pStyle w:val="TableContents"/>
              <w:spacing w:before="0" w:after="0"/>
              <w:ind w:left="0" w:right="0" w:hanging="0"/>
              <w:rPr/>
            </w:pPr>
            <w:r>
              <w:rPr/>
              <w:t>​</w:t>
            </w:r>
          </w:p>
        </w:tc>
        <w:tc>
          <w:tcPr>
            <w:tcW w:w="26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99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52,569</w:t>
            </w:r>
          </w:p>
        </w:tc>
        <w:tc>
          <w:tcPr>
            <w:tcW w:w="326" w:type="dxa"/>
            <w:tcBorders/>
            <w:shd w:fill="auto" w:val="clear"/>
            <w:vAlign w:val="center"/>
          </w:tcPr>
          <w:p>
            <w:pPr>
              <w:pStyle w:val="TableContents"/>
              <w:spacing w:before="0" w:after="0"/>
              <w:ind w:left="0" w:right="0" w:hanging="0"/>
              <w:rPr/>
            </w:pPr>
            <w:r>
              <w:rPr/>
              <w:t>​</w:t>
            </w:r>
          </w:p>
        </w:tc>
        <w:tc>
          <w:tcPr>
            <w:tcW w:w="27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w:t>
            </w:r>
          </w:p>
        </w:tc>
        <w:tc>
          <w:tcPr>
            <w:tcW w:w="102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10,380</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26"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 </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24,694</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(13,850)</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39,143</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54,123</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25,293</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Non-cash investing activities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71" w:name="_387513f1_bc85_426b_a3ba_95613a05340a"/>
      <w:bookmarkEnd w:id="271"/>
      <w:r>
        <w:rPr>
          <w:rFonts w:ascii="Times New Roman;Times;serif" w:hAnsi="Times New Roman;Times;serif"/>
          <w:b/>
          <w:sz w:val="20"/>
        </w:rPr>
        <w:t>CELLDEX THERAPEUTICS, INC.</w:t>
      </w:r>
    </w:p>
    <w:p>
      <w:pPr>
        <w:pStyle w:val="TextBody"/>
        <w:spacing w:before="0" w:after="0"/>
        <w:ind w:left="0" w:right="0" w:hanging="0"/>
        <w:jc w:val="center"/>
        <w:rPr>
          <w:rFonts w:ascii="Times New Roman;Times;serif" w:hAnsi="Times New Roman;Times;serif"/>
          <w:b/>
          <w:sz w:val="20"/>
        </w:rPr>
      </w:pPr>
      <w:bookmarkStart w:id="272" w:name="NotestoUnaudited"/>
      <w:bookmarkStart w:id="273" w:name="NotestoUnauditedCondensedConsolidatedFin"/>
      <w:bookmarkEnd w:id="272"/>
      <w:bookmarkEnd w:id="273"/>
      <w:r>
        <w:rPr>
          <w:rFonts w:ascii="Times New Roman;Times;serif" w:hAnsi="Times New Roman;Times;serif"/>
          <w:b/>
          <w:sz w:val="20"/>
        </w:rPr>
        <w:t>Notes to Unaudited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  Basis of Presentation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2022, which are included in the Company’s Annual Report on Form 10-K filed with the Securities and Exchange Commission (the “SEC”) on February 28, 2023.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2023.</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the Company had cash, cash equivalents and marketable securities of $278.4 million. The Company has had recurring losses and incurred a loss of $29.4 million for the three months ended March 31, 2023. Net cash used in operations for the three months ended March 31, 2023 was $28.6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with Shareholder Representative Services LLC (“SRS”) (refer to Note 13), in the event that the Company achieves the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(2)  Significant Accounting Policies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months ended March 31, 2023 are consistent with those discussed in Note 2 to the financial statements in our Annual Report on Form 10-K for the year ended December 31, 2022, except as it relates to the adoption of new accounting standards during the first three months of 2023 as discussed below.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Newly Adopted Accounting Pronouncements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1, 2023, the Company adopted ASU 2016-13: Financial Instruments - Credit Losses (Topic 326): Measurement of Credit Losses on Financial Instruments. The guidance requires that credit losses be reported using an expected losses model rather than the incurred losses model and establishes additional disclosure requirements related to credit risks. For available-for-sale debt securities with unrealized losses, the standard requires allowances to be recorded instead of reducing the amortized cost of the investment. The adoption of this guidance did not have a material impact on the Company’s consolidated financial statements and related disclosures.</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Recent Accounting Pronouncements</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are adopted by the Company as of the specified effective date. The Company has reviewed recently issued accounting pronouncements and concluded they are either not applicable to the business or not expected to have a material impact on the Company’s consolidated financial statements as a result of future adoption.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274" w:name="Tc_gNcmsPLo_EGnxv_yh6V9bA_7_12"/>
      <w:bookmarkStart w:id="275" w:name="Tc_GGZj7RWIzUiDRil1eP_-sw_7_8"/>
      <w:bookmarkStart w:id="276" w:name="Tc_5zoTcHAyvkSJHZUfHG56IQ_7_6"/>
      <w:bookmarkStart w:id="277" w:name="Tc_OLMnJFJtP0-nsiDc-eEvng_7_2"/>
      <w:bookmarkStart w:id="278" w:name="Tc_HibnzPq9JUm_Ih4NhdPs7w_6_12"/>
      <w:bookmarkStart w:id="279" w:name="Tc_Qcl0ODHMb0iztTIqGNu1IQ_6_6"/>
      <w:bookmarkStart w:id="280" w:name="Tc_OWwH-YjZvUy5Lr2PWjYHjA_6_0"/>
      <w:bookmarkStart w:id="281" w:name="Tc_objLfHked0S-ULxsH8ZlXQ_5_12"/>
      <w:bookmarkStart w:id="282" w:name="Tc_7nnpueLfGUC7St4OU0pcGg_5_8"/>
      <w:bookmarkStart w:id="283" w:name="Tc_4c_XMoqGi0WTgmVQm6Axvg_5_6"/>
      <w:bookmarkStart w:id="284" w:name="Tc_ohbpA06hT0OKwxwZuCnz4A_5_2"/>
      <w:bookmarkStart w:id="285" w:name="Tc_xotzgFqevU2loUmZviu1ZQ_5_0"/>
      <w:bookmarkStart w:id="286" w:name="Tc_z8NMzpxdT0moPWoVDtSZUA_4_0"/>
      <w:bookmarkStart w:id="287" w:name="Tc_PaeY92-GJ0ef2rnEbsltbA_3_2"/>
      <w:bookmarkStart w:id="288" w:name="Tc_WuZ-Fz8e4EesXr0w0hZyaQ_2_11"/>
      <w:bookmarkStart w:id="289" w:name="Tc_1lBeYkPuXEKrj0sW3K7mCw_2_8"/>
      <w:bookmarkStart w:id="290" w:name="Tc_zEiv7ckryUqHzMlqtnmqJQ_2_5"/>
      <w:bookmarkStart w:id="291" w:name="Tc_BZipjkuQ-kGu7mOZNLkA7w_2_2"/>
      <w:bookmarkStart w:id="292" w:name="Tc_iRg-kb34SEK3zloC9PjQhQ_1_2"/>
      <w:bookmarkStart w:id="293" w:name="_0e5afe75_0642_4fdb_a720_2952027a1163"/>
      <w:bookmarkStart w:id="294" w:name="Tc_COUHpV7HiEiVgYN4ZJbLhw_7_8"/>
      <w:bookmarkStart w:id="295" w:name="Tc_lz9Dkbvfi0mts8TelxBjVg_7_2"/>
      <w:bookmarkStart w:id="296" w:name="Tc_G6v9vs0LkkK6tN6KcW1ecQ_6_0"/>
      <w:bookmarkStart w:id="297" w:name="Tc_v6YU6vWao0WBjawiSpr5aA_5_8"/>
      <w:bookmarkStart w:id="298" w:name="Tc_Jfeuy2pOhkiMtnkowaU7tw_5_2"/>
      <w:bookmarkStart w:id="299" w:name="Tc_J3kMqPTw1ki1sD1JkGfIbQ_5_0"/>
      <w:bookmarkStart w:id="300" w:name="Tc_efqk_6xbS0y0MDhWKZwAGA_4_0"/>
      <w:bookmarkStart w:id="301" w:name="Tc_Mx5VGDJwTEqoCgNx722SUA_3_2"/>
      <w:bookmarkStart w:id="302" w:name="Tc_PQWTeKGBrEGbmO0vzW366A_2_11"/>
      <w:bookmarkStart w:id="303" w:name="Tc_Zq5I-XvIFk69JnzLrwBkuA_2_8"/>
      <w:bookmarkStart w:id="304" w:name="Tc_MoMwcxiQHka4gv1eejKIDg_2_5"/>
      <w:bookmarkStart w:id="305" w:name="Tc_HK8qbo8ggE6oMhmWwFrNYw_2_2"/>
      <w:bookmarkStart w:id="306" w:name="Tc_psGdUaCuQ0iVydyxnOnwVQ_1_2"/>
      <w:bookmarkStart w:id="307" w:name="_92faa322_03c3_45a8_81bb_24d6129864cc"/>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ascii="Times New Roman;Times;serif" w:hAnsi="Times New Roman;Times;serif"/>
          <w:b/>
          <w:sz w:val="20"/>
        </w:rPr>
        <w:t>(3)  Fair Value Measurements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spacing w:before="0" w:after="0"/>
        <w:ind w:left="0" w:right="0" w:hanging="0"/>
        <w:rPr/>
      </w:pPr>
      <w:r>
        <w:rPr/>
        <w:t>​</w:t>
      </w:r>
    </w:p>
    <w:tbl>
      <w:tblPr>
        <w:tblW w:w="8450" w:type="dxa"/>
        <w:jc w:val="left"/>
        <w:tblInd w:w="0" w:type="dxa"/>
        <w:tblCellMar>
          <w:top w:w="0" w:type="dxa"/>
          <w:left w:w="0" w:type="dxa"/>
          <w:bottom w:w="0" w:type="dxa"/>
          <w:right w:w="0" w:type="dxa"/>
        </w:tblCellMar>
      </w:tblPr>
      <w:tblGrid>
        <w:gridCol w:w="3586"/>
        <w:gridCol w:w="326"/>
        <w:gridCol w:w="268"/>
        <w:gridCol w:w="993"/>
        <w:gridCol w:w="326"/>
        <w:gridCol w:w="151"/>
        <w:gridCol w:w="480"/>
        <w:gridCol w:w="326"/>
        <w:gridCol w:w="211"/>
        <w:gridCol w:w="781"/>
        <w:gridCol w:w="326"/>
        <w:gridCol w:w="131"/>
        <w:gridCol w:w="545"/>
      </w:tblGrid>
      <w:tr>
        <w:trPr/>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77110" cy="175260"/>
                      <wp:effectExtent l="0" t="0" r="0" b="0"/>
                      <wp:wrapNone/>
                      <wp:docPr id="22" name="Frame22"/>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0180" cy="175260"/>
                      <wp:effectExtent l="0" t="0" r="0" b="0"/>
                      <wp:wrapNone/>
                      <wp:docPr id="24" name="Frame24"/>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30555" cy="175260"/>
                      <wp:effectExtent l="0" t="0" r="0" b="0"/>
                      <wp:wrapNone/>
                      <wp:docPr id="25" name="Frame25"/>
                      <a:graphic xmlns:a="http://schemas.openxmlformats.org/drawingml/2006/main">
                        <a:graphicData uri="http://schemas.microsoft.com/office/word/2010/wordprocessingShape">
                          <wps:wsp>
                            <wps:cNvSpPr txBox="1"/>
                            <wps:spPr>
                              <a:xfrm>
                                <a:off x="0" y="0"/>
                                <a:ext cx="630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5885" cy="175260"/>
                      <wp:effectExtent l="0" t="0" r="0" b="0"/>
                      <wp:wrapNone/>
                      <wp:docPr id="27" name="Frame27"/>
                      <a:graphic xmlns:a="http://schemas.openxmlformats.org/drawingml/2006/main">
                        <a:graphicData uri="http://schemas.microsoft.com/office/word/2010/wordprocessingShape">
                          <wps:wsp>
                            <wps:cNvSpPr txBox="1"/>
                            <wps:spPr>
                              <a:xfrm>
                                <a:off x="0" y="0"/>
                                <a:ext cx="95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04800" cy="175260"/>
                      <wp:effectExtent l="0" t="0" r="0" b="0"/>
                      <wp:wrapNone/>
                      <wp:docPr id="28" name="Frame28"/>
                      <a:graphic xmlns:a="http://schemas.openxmlformats.org/drawingml/2006/main">
                        <a:graphicData uri="http://schemas.microsoft.com/office/word/2010/wordprocessingShape">
                          <wps:wsp>
                            <wps:cNvSpPr txBox="1"/>
                            <wps:spPr>
                              <a:xfrm>
                                <a:off x="0" y="0"/>
                                <a:ext cx="304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95935" cy="175260"/>
                      <wp:effectExtent l="0" t="0" r="0" b="0"/>
                      <wp:wrapNone/>
                      <wp:docPr id="31" name="Frame3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83185" cy="175260"/>
                      <wp:effectExtent l="0" t="0" r="0" b="0"/>
                      <wp:wrapNone/>
                      <wp:docPr id="33" name="Frame33"/>
                      <a:graphic xmlns:a="http://schemas.openxmlformats.org/drawingml/2006/main">
                        <a:graphicData uri="http://schemas.microsoft.com/office/word/2010/wordprocessingShape">
                          <wps:wsp>
                            <wps:cNvSpPr txBox="1"/>
                            <wps:spPr>
                              <a:xfrm>
                                <a:off x="0" y="0"/>
                                <a:ext cx="83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46075" cy="175260"/>
                      <wp:effectExtent l="0" t="0" r="0" b="0"/>
                      <wp:wrapNone/>
                      <wp:docPr id="34" name="Frame34"/>
                      <a:graphic xmlns:a="http://schemas.openxmlformats.org/drawingml/2006/main">
                        <a:graphicData uri="http://schemas.microsoft.com/office/word/2010/wordprocessingShape">
                          <wps:wsp>
                            <wps:cNvSpPr txBox="1"/>
                            <wps:spPr>
                              <a:xfrm>
                                <a:off x="0" y="0"/>
                                <a:ext cx="346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rPr/>
            </w:pPr>
            <w:r>
              <w:rPr/>
              <w:t>​</w:t>
            </w:r>
          </w:p>
        </w:tc>
        <w:tc>
          <w:tcPr>
            <w:tcW w:w="15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1"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jc w:val="center"/>
              <w:rPr/>
            </w:pPr>
            <w:r>
              <w:rPr/>
              <w:t>​</w: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450"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38"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51" w:type="dxa"/>
            <w:tcBorders/>
            <w:shd w:fill="CCEEFF" w:val="clear"/>
            <w:vAlign w:val="center"/>
          </w:tcPr>
          <w:p>
            <w:pPr>
              <w:pStyle w:val="TableContents"/>
              <w:spacing w:before="0" w:after="0"/>
              <w:ind w:left="0" w:right="0" w:hanging="0"/>
              <w:rPr/>
            </w:pPr>
            <w:r>
              <w:rPr/>
              <w:t>​</w:t>
            </w:r>
          </w:p>
        </w:tc>
        <w:tc>
          <w:tcPr>
            <w:tcW w:w="480"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31" w:type="dxa"/>
            <w:tcBorders/>
            <w:shd w:fill="CCEEFF" w:val="clear"/>
            <w:vAlign w:val="center"/>
          </w:tcPr>
          <w:p>
            <w:pPr>
              <w:pStyle w:val="TableContents"/>
              <w:spacing w:before="0" w:after="0"/>
              <w:ind w:left="0" w:right="0" w:hanging="0"/>
              <w:rPr/>
            </w:pPr>
            <w:r>
              <w:rPr/>
              <w:t>​</w:t>
            </w:r>
          </w:p>
        </w:tc>
        <w:tc>
          <w:tcPr>
            <w:tcW w:w="545" w:type="dxa"/>
            <w:tcBorders/>
            <w:shd w:fill="CCEEFF" w:val="clear"/>
            <w:vAlign w:val="center"/>
          </w:tcPr>
          <w:p>
            <w:pPr>
              <w:pStyle w:val="TableContents"/>
              <w:spacing w:before="0" w:after="0"/>
              <w:ind w:left="0" w:right="0" w:hanging="0"/>
              <w:jc w:val="center"/>
              <w:rPr/>
            </w:pPr>
            <w:r>
              <w:rPr/>
              <w:t>​</w:t>
            </w:r>
          </w:p>
        </w:tc>
      </w:tr>
      <w:tr>
        <w:trPr/>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Money market funds and cash equivalents </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54,089</w:t>
            </w:r>
          </w:p>
        </w:tc>
        <w:tc>
          <w:tcPr>
            <w:tcW w:w="326" w:type="dxa"/>
            <w:tcBorders/>
            <w:shd w:fill="auto" w:val="clear"/>
            <w:vAlign w:val="center"/>
          </w:tcPr>
          <w:p>
            <w:pPr>
              <w:pStyle w:val="TableContents"/>
              <w:spacing w:before="0" w:after="0"/>
              <w:ind w:left="0" w:right="0" w:hanging="0"/>
              <w:rPr/>
            </w:pPr>
            <w:r>
              <w:rPr/>
              <w:t>​</w:t>
            </w:r>
          </w:p>
        </w:tc>
        <w:tc>
          <w:tcPr>
            <w:tcW w:w="15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54,089</w:t>
            </w:r>
          </w:p>
        </w:tc>
        <w:tc>
          <w:tcPr>
            <w:tcW w:w="326" w:type="dxa"/>
            <w:tcBorders/>
            <w:shd w:fill="auto" w:val="clear"/>
            <w:vAlign w:val="center"/>
          </w:tcPr>
          <w:p>
            <w:pPr>
              <w:pStyle w:val="TableContents"/>
              <w:spacing w:before="0" w:after="0"/>
              <w:ind w:left="0" w:right="0" w:hanging="0"/>
              <w:rPr/>
            </w:pPr>
            <w:r>
              <w:rPr/>
              <w:t>​</w:t>
            </w:r>
          </w:p>
        </w:tc>
        <w:tc>
          <w:tcPr>
            <w:tcW w:w="131"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jc w:val="right"/>
              <w:rPr/>
            </w:pPr>
            <w:r>
              <w:rPr/>
              <w:t>—</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224,264</w:t>
            </w:r>
          </w:p>
        </w:tc>
        <w:tc>
          <w:tcPr>
            <w:tcW w:w="326" w:type="dxa"/>
            <w:tcBorders/>
            <w:shd w:fill="CCEEFF" w:val="clear"/>
            <w:vAlign w:val="center"/>
          </w:tcPr>
          <w:p>
            <w:pPr>
              <w:pStyle w:val="TableContents"/>
              <w:spacing w:before="0" w:after="0"/>
              <w:ind w:left="0" w:right="0" w:hanging="0"/>
              <w:rPr/>
            </w:pPr>
            <w:r>
              <w:rPr/>
              <w:t>​</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8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224,264</w:t>
            </w:r>
          </w:p>
        </w:tc>
        <w:tc>
          <w:tcPr>
            <w:tcW w:w="326" w:type="dxa"/>
            <w:tcBorders/>
            <w:shd w:fill="CCEEFF" w:val="clear"/>
            <w:vAlign w:val="center"/>
          </w:tcPr>
          <w:p>
            <w:pPr>
              <w:pStyle w:val="TableContents"/>
              <w:spacing w:before="0" w:after="0"/>
              <w:ind w:left="0" w:right="0" w:hanging="0"/>
              <w:rPr/>
            </w:pPr>
            <w:r>
              <w:rPr/>
              <w:t>​</w:t>
            </w:r>
          </w:p>
        </w:tc>
        <w:tc>
          <w:tcPr>
            <w:tcW w:w="13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278,353</w:t>
            </w:r>
          </w:p>
        </w:tc>
        <w:tc>
          <w:tcPr>
            <w:tcW w:w="326" w:type="dxa"/>
            <w:tcBorders/>
            <w:shd w:fill="auto" w:val="clear"/>
            <w:vAlign w:val="center"/>
          </w:tcPr>
          <w:p>
            <w:pPr>
              <w:pStyle w:val="TableContents"/>
              <w:spacing w:before="0" w:after="0"/>
              <w:ind w:left="0" w:right="0" w:hanging="0"/>
              <w:rPr/>
            </w:pPr>
            <w:r>
              <w:rPr/>
              <w:t>​</w:t>
            </w:r>
          </w:p>
        </w:tc>
        <w:tc>
          <w:tcPr>
            <w:tcW w:w="15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480"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278,353</w:t>
            </w:r>
          </w:p>
        </w:tc>
        <w:tc>
          <w:tcPr>
            <w:tcW w:w="326" w:type="dxa"/>
            <w:tcBorders/>
            <w:shd w:fill="auto" w:val="clear"/>
            <w:vAlign w:val="center"/>
          </w:tcPr>
          <w:p>
            <w:pPr>
              <w:pStyle w:val="TableContents"/>
              <w:spacing w:before="0" w:after="0"/>
              <w:ind w:left="0" w:right="0" w:hanging="0"/>
              <w:rPr/>
            </w:pPr>
            <w:r>
              <w:rPr/>
              <w:t>​</w:t>
            </w:r>
          </w:p>
        </w:tc>
        <w:tc>
          <w:tcPr>
            <w:tcW w:w="13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545"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tbl>
      <w:tblPr>
        <w:tblW w:w="8645" w:type="dxa"/>
        <w:jc w:val="left"/>
        <w:tblInd w:w="0" w:type="dxa"/>
        <w:tblCellMar>
          <w:top w:w="0" w:type="dxa"/>
          <w:left w:w="0" w:type="dxa"/>
          <w:bottom w:w="0" w:type="dxa"/>
          <w:right w:w="0" w:type="dxa"/>
        </w:tblCellMar>
      </w:tblPr>
      <w:tblGrid>
        <w:gridCol w:w="3541"/>
        <w:gridCol w:w="326"/>
        <w:gridCol w:w="319"/>
        <w:gridCol w:w="1182"/>
        <w:gridCol w:w="326"/>
        <w:gridCol w:w="151"/>
        <w:gridCol w:w="480"/>
        <w:gridCol w:w="326"/>
        <w:gridCol w:w="211"/>
        <w:gridCol w:w="781"/>
        <w:gridCol w:w="326"/>
        <w:gridCol w:w="131"/>
        <w:gridCol w:w="545"/>
      </w:tblGrid>
      <w:tr>
        <w:trPr/>
        <w:tc>
          <w:tcPr>
            <w:tcW w:w="3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248535" cy="175260"/>
                      <wp:effectExtent l="0" t="0" r="0" b="0"/>
                      <wp:wrapNone/>
                      <wp:docPr id="35" name="Frame35"/>
                      <a:graphic xmlns:a="http://schemas.openxmlformats.org/drawingml/2006/main">
                        <a:graphicData uri="http://schemas.microsoft.com/office/word/2010/wordprocessingShape">
                          <wps:wsp>
                            <wps:cNvSpPr txBox="1"/>
                            <wps:spPr>
                              <a:xfrm>
                                <a:off x="0" y="0"/>
                                <a:ext cx="2248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2565" cy="175260"/>
                      <wp:effectExtent l="0" t="0" r="0" b="0"/>
                      <wp:wrapNone/>
                      <wp:docPr id="37" name="Frame37"/>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50570" cy="175260"/>
                      <wp:effectExtent l="0" t="0" r="0" b="0"/>
                      <wp:wrapNone/>
                      <wp:docPr id="38" name="Frame38"/>
                      <a:graphic xmlns:a="http://schemas.openxmlformats.org/drawingml/2006/main">
                        <a:graphicData uri="http://schemas.microsoft.com/office/word/2010/wordprocessingShape">
                          <wps:wsp>
                            <wps:cNvSpPr txBox="1"/>
                            <wps:spPr>
                              <a:xfrm>
                                <a:off x="0" y="0"/>
                                <a:ext cx="750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5885" cy="175260"/>
                      <wp:effectExtent l="0" t="0" r="0" b="0"/>
                      <wp:wrapNone/>
                      <wp:docPr id="40" name="Frame40"/>
                      <a:graphic xmlns:a="http://schemas.openxmlformats.org/drawingml/2006/main">
                        <a:graphicData uri="http://schemas.microsoft.com/office/word/2010/wordprocessingShape">
                          <wps:wsp>
                            <wps:cNvSpPr txBox="1"/>
                            <wps:spPr>
                              <a:xfrm>
                                <a:off x="0" y="0"/>
                                <a:ext cx="95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04800" cy="175260"/>
                      <wp:effectExtent l="0" t="0" r="0" b="0"/>
                      <wp:wrapNone/>
                      <wp:docPr id="41" name="Frame41"/>
                      <a:graphic xmlns:a="http://schemas.openxmlformats.org/drawingml/2006/main">
                        <a:graphicData uri="http://schemas.microsoft.com/office/word/2010/wordprocessingShape">
                          <wps:wsp>
                            <wps:cNvSpPr txBox="1"/>
                            <wps:spPr>
                              <a:xfrm>
                                <a:off x="0" y="0"/>
                                <a:ext cx="304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4" name="Frame4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3185" cy="175260"/>
                      <wp:effectExtent l="0" t="0" r="0" b="0"/>
                      <wp:wrapNone/>
                      <wp:docPr id="46" name="Frame46"/>
                      <a:graphic xmlns:a="http://schemas.openxmlformats.org/drawingml/2006/main">
                        <a:graphicData uri="http://schemas.microsoft.com/office/word/2010/wordprocessingShape">
                          <wps:wsp>
                            <wps:cNvSpPr txBox="1"/>
                            <wps:spPr>
                              <a:xfrm>
                                <a:off x="0" y="0"/>
                                <a:ext cx="83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46075" cy="175260"/>
                      <wp:effectExtent l="0" t="0" r="0" b="0"/>
                      <wp:wrapNone/>
                      <wp:docPr id="47" name="Frame47"/>
                      <a:graphic xmlns:a="http://schemas.openxmlformats.org/drawingml/2006/main">
                        <a:graphicData uri="http://schemas.microsoft.com/office/word/2010/wordprocessingShape">
                          <wps:wsp>
                            <wps:cNvSpPr txBox="1"/>
                            <wps:spPr>
                              <a:xfrm>
                                <a:off x="0" y="0"/>
                                <a:ext cx="346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rPr/>
            </w:pPr>
            <w:r>
              <w:rPr/>
              <w:t>​</w:t>
            </w:r>
          </w:p>
        </w:tc>
        <w:tc>
          <w:tcPr>
            <w:tcW w:w="15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1"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jc w:val="center"/>
              <w:rPr/>
            </w:pPr>
            <w:r>
              <w:rPr/>
              <w:t>​</w: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6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64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778"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jc w:val="center"/>
              <w:rPr/>
            </w:pPr>
            <w:r>
              <w:rPr/>
              <w:t>​</w:t>
            </w:r>
          </w:p>
        </w:tc>
        <w:tc>
          <w:tcPr>
            <w:tcW w:w="118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51" w:type="dxa"/>
            <w:tcBorders/>
            <w:shd w:fill="CCEEFF" w:val="clear"/>
            <w:vAlign w:val="center"/>
          </w:tcPr>
          <w:p>
            <w:pPr>
              <w:pStyle w:val="TableContents"/>
              <w:spacing w:before="0" w:after="0"/>
              <w:ind w:left="0" w:right="0" w:hanging="0"/>
              <w:jc w:val="center"/>
              <w:rPr/>
            </w:pPr>
            <w:r>
              <w:rPr/>
              <w:t>​</w:t>
            </w:r>
          </w:p>
        </w:tc>
        <w:tc>
          <w:tcPr>
            <w:tcW w:w="480"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31" w:type="dxa"/>
            <w:tcBorders/>
            <w:shd w:fill="CCEEFF" w:val="clear"/>
            <w:vAlign w:val="center"/>
          </w:tcPr>
          <w:p>
            <w:pPr>
              <w:pStyle w:val="TableContents"/>
              <w:spacing w:before="0" w:after="0"/>
              <w:ind w:left="0" w:right="0" w:hanging="0"/>
              <w:jc w:val="center"/>
              <w:rPr/>
            </w:pPr>
            <w:r>
              <w:rPr/>
              <w:t>​</w:t>
            </w:r>
          </w:p>
        </w:tc>
        <w:tc>
          <w:tcPr>
            <w:tcW w:w="545" w:type="dxa"/>
            <w:tcBorders/>
            <w:shd w:fill="CCEEFF" w:val="clear"/>
            <w:vAlign w:val="center"/>
          </w:tcPr>
          <w:p>
            <w:pPr>
              <w:pStyle w:val="TableContents"/>
              <w:spacing w:before="0" w:after="0"/>
              <w:ind w:left="0" w:right="0" w:hanging="0"/>
              <w:jc w:val="center"/>
              <w:rPr/>
            </w:pPr>
            <w:r>
              <w:rPr/>
              <w:t>​</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26" w:type="dxa"/>
            <w:tcBorders/>
            <w:shd w:fill="auto" w:val="clear"/>
            <w:vAlign w:val="center"/>
          </w:tcPr>
          <w:p>
            <w:pPr>
              <w:pStyle w:val="TableContents"/>
              <w:spacing w:before="0" w:after="0"/>
              <w:ind w:left="0" w:right="0" w:hanging="0"/>
              <w:rPr/>
            </w:pPr>
            <w:r>
              <w:rPr/>
              <w:t>​</w:t>
            </w:r>
          </w:p>
        </w:tc>
        <w:tc>
          <w:tcPr>
            <w:tcW w:w="15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26" w:type="dxa"/>
            <w:tcBorders/>
            <w:shd w:fill="auto" w:val="clear"/>
            <w:vAlign w:val="center"/>
          </w:tcPr>
          <w:p>
            <w:pPr>
              <w:pStyle w:val="TableContents"/>
              <w:spacing w:before="0" w:after="0"/>
              <w:ind w:left="0" w:right="0" w:hanging="0"/>
              <w:rPr/>
            </w:pPr>
            <w:r>
              <w:rPr/>
              <w:t>​</w:t>
            </w:r>
          </w:p>
        </w:tc>
        <w:tc>
          <w:tcPr>
            <w:tcW w:w="131"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jc w:val="right"/>
              <w:rPr/>
            </w:pPr>
            <w:r>
              <w:rPr/>
              <w:t>—</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c>
          <w:tcPr>
            <w:tcW w:w="326" w:type="dxa"/>
            <w:tcBorders/>
            <w:shd w:fill="CCEEFF" w:val="clear"/>
            <w:vAlign w:val="center"/>
          </w:tcPr>
          <w:p>
            <w:pPr>
              <w:pStyle w:val="TableContents"/>
              <w:spacing w:before="0" w:after="0"/>
              <w:ind w:left="0" w:right="0" w:hanging="0"/>
              <w:rPr/>
            </w:pPr>
            <w:r>
              <w:rPr/>
              <w:t>​</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8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c>
          <w:tcPr>
            <w:tcW w:w="326" w:type="dxa"/>
            <w:tcBorders/>
            <w:shd w:fill="CCEEFF" w:val="clear"/>
            <w:vAlign w:val="center"/>
          </w:tcPr>
          <w:p>
            <w:pPr>
              <w:pStyle w:val="TableContents"/>
              <w:spacing w:before="0" w:after="0"/>
              <w:ind w:left="0" w:right="0" w:hanging="0"/>
              <w:rPr/>
            </w:pPr>
            <w:r>
              <w:rPr/>
              <w:t>​</w:t>
            </w:r>
          </w:p>
        </w:tc>
        <w:tc>
          <w:tcPr>
            <w:tcW w:w="13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292,336</w:t>
            </w:r>
          </w:p>
        </w:tc>
        <w:tc>
          <w:tcPr>
            <w:tcW w:w="326" w:type="dxa"/>
            <w:tcBorders/>
            <w:shd w:fill="auto" w:val="clear"/>
            <w:vAlign w:val="center"/>
          </w:tcPr>
          <w:p>
            <w:pPr>
              <w:pStyle w:val="TableContents"/>
              <w:spacing w:before="0" w:after="0"/>
              <w:ind w:left="0" w:right="0" w:hanging="0"/>
              <w:rPr/>
            </w:pPr>
            <w:r>
              <w:rPr/>
              <w:t>​</w:t>
            </w:r>
          </w:p>
        </w:tc>
        <w:tc>
          <w:tcPr>
            <w:tcW w:w="15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480"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292,336</w:t>
            </w:r>
          </w:p>
        </w:tc>
        <w:tc>
          <w:tcPr>
            <w:tcW w:w="326" w:type="dxa"/>
            <w:tcBorders/>
            <w:shd w:fill="auto" w:val="clear"/>
            <w:vAlign w:val="center"/>
          </w:tcPr>
          <w:p>
            <w:pPr>
              <w:pStyle w:val="TableContents"/>
              <w:spacing w:before="0" w:after="0"/>
              <w:ind w:left="0" w:right="0" w:hanging="0"/>
              <w:rPr/>
            </w:pPr>
            <w:r>
              <w:rPr/>
              <w:t>​</w:t>
            </w:r>
          </w:p>
        </w:tc>
        <w:tc>
          <w:tcPr>
            <w:tcW w:w="13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545"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March 31, 2023 and December 31, 2022.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three months ended March 31, 2023, there was no gain or loss on fair value remeasurement of contingent consideration. During the three months ended March 31, 2022, the Company recorded a $0.5 million gain on fair value remeasurement of contingent consideration primarily due to changes in discount rates.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did not have any transfers in or out of Level 3 </w:t>
      </w:r>
      <w:r>
        <w:rPr>
          <w:rFonts w:ascii="Times New Roman;Times;serif" w:hAnsi="Times New Roman;Times;serif"/>
          <w:b w:val="false"/>
          <w:i w:val="false"/>
          <w:caps w:val="false"/>
          <w:smallCaps w:val="false"/>
          <w:sz w:val="20"/>
        </w:rPr>
        <w:t>assets</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during</w:t>
      </w:r>
      <w:r>
        <w:rPr>
          <w:rFonts w:ascii="Times New Roman;Times;serif" w:hAnsi="Times New Roman;Times;serif"/>
          <w:sz w:val="20"/>
        </w:rPr>
        <w:t xml:space="preserve"> the three months ended March 31, 2023.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308" w:name="Tc_xGcS4AGyVUSrgxQ9Vx1GFA_32_11"/>
      <w:bookmarkStart w:id="309" w:name="Tc_aRpqsq_qtEWOF8Mdh_rSeA_32_8"/>
      <w:bookmarkStart w:id="310" w:name="Tc_Kvm4dIJsb0SmV0NiTP1ivA_32_5"/>
      <w:bookmarkStart w:id="311" w:name="Tc_o1ynKLEot0eeD1Vin3FIjQ_32_2"/>
      <w:bookmarkStart w:id="312" w:name="Tc_u1cFQHkQbU6v8Iu3K32lxg_32_0"/>
      <w:bookmarkStart w:id="313" w:name="Tc_wfyIq-yjp0emE6H7rEcnXQ_31_11"/>
      <w:bookmarkStart w:id="314" w:name="Tc_rldKkaC6MkCIQG6pWdYL7Q_31_8"/>
      <w:bookmarkStart w:id="315" w:name="Tc_vbmvezaP2UK5_Rtf3vxh6w_31_5"/>
      <w:bookmarkStart w:id="316" w:name="Tc_MMs1f7AkXkmlLnO2RhuXDQ_31_2"/>
      <w:bookmarkStart w:id="317" w:name="Tc_klvDEadgRUObi138NdJu6Q_31_0"/>
      <w:bookmarkStart w:id="318" w:name="Tc_eEXsy6A150-XGe3BzqnqwA_30_12"/>
      <w:bookmarkStart w:id="319" w:name="Tc_mhMCIBqNiUaaUIgN_HdYFw_30_9"/>
      <w:bookmarkStart w:id="320" w:name="Tc_ajxQigpKKEijbJuF5xNC9w_30_3"/>
      <w:bookmarkStart w:id="321" w:name="Tc_Ci75B5v4iUuFNG_m7pNmfA_30_0"/>
      <w:bookmarkStart w:id="322" w:name="Tc_ASoQ0Z5ytkewfTtGu87yzg_29_11"/>
      <w:bookmarkStart w:id="323" w:name="Tc_TlmC_hHvVkmdp_hdl-ueUw_29_8"/>
      <w:bookmarkStart w:id="324" w:name="Tc_Vkr4clFl0U2_vPnsJyG3ZA_29_5"/>
      <w:bookmarkStart w:id="325" w:name="Tc_xvi6-nolD0S0rRJG2lQ6_Q_29_2"/>
      <w:bookmarkStart w:id="326" w:name="Tc_IwI4lRll7kenAksrVmDLbQ_29_0"/>
      <w:bookmarkStart w:id="327" w:name="Tc_pVHePWs-WEGg07JzScUXmA_28_0"/>
      <w:bookmarkStart w:id="328" w:name="Tc_oHj4LuaZ_ku5JGmOdA207Q_27_11"/>
      <w:bookmarkStart w:id="329" w:name="Tc_kcCmdf7h80SfZwTRcQ6ATg_27_8"/>
      <w:bookmarkStart w:id="330" w:name="Tc_45Raz7X-QUGGdA76vcsQNQ_27_5"/>
      <w:bookmarkStart w:id="331" w:name="Tc_-xtqvXO6xkqyhzmqwqDY7Q_27_2"/>
      <w:bookmarkStart w:id="332" w:name="Tc_ijB3dXVkCEeVY5LlXcet2g_27_0"/>
      <w:bookmarkStart w:id="333" w:name="Tc_hYCii6VqNUaDcmTxSPHuMQ_26_12"/>
      <w:bookmarkStart w:id="334" w:name="Tc_VnKF4l5t-kq8N0ZvM259Vg_26_9"/>
      <w:bookmarkStart w:id="335" w:name="Tc_fW12hbGce0ajvXLHDRyqYQ_26_3"/>
      <w:bookmarkStart w:id="336" w:name="Tc_HCLlk1mQ3USi4KAgav9Ijg_26_0"/>
      <w:bookmarkStart w:id="337" w:name="Tc_TZtO77FSu0y_LUaHF51b7w_25_11"/>
      <w:bookmarkStart w:id="338" w:name="Tc_dOwu302Ub0yMMfwjafOR0Q_25_8"/>
      <w:bookmarkStart w:id="339" w:name="Tc_cW68uPB9ekia6b3T5WITrA_25_5"/>
      <w:bookmarkStart w:id="340" w:name="Tc_6Vyu8E92fEiqrdQmoqkHNA_25_2"/>
      <w:bookmarkStart w:id="341" w:name="Tc_FEwyK1n66kmN33nivNJdZA_25_0"/>
      <w:bookmarkStart w:id="342" w:name="Tc_FzTzzEDHFk2YKnMMKJu2RQ_24_0"/>
      <w:bookmarkStart w:id="343" w:name="Tc_S83jz2VAa0mGOjLRfTzDzg_23_0"/>
      <w:bookmarkStart w:id="344" w:name="Tc_B9tGQh9qbUCDKkyOM36z_g_22_0"/>
      <w:bookmarkStart w:id="345" w:name="Tc_ajmKPwjXlEuTJWFGERePjg_21_2"/>
      <w:bookmarkStart w:id="346" w:name="Tc_JjukVilKdk6Sh40aow5tig_20_11"/>
      <w:bookmarkStart w:id="347" w:name="Tc_a6cs5hljE06ao0lIgVO7Kw_20_8"/>
      <w:bookmarkStart w:id="348" w:name="Tc_3yMsHBq-7kyRtqUMgEq55A_20_5"/>
      <w:bookmarkStart w:id="349" w:name="Tc_ybCiYHVIMEqsu0jeJmNutg_20_2"/>
      <w:bookmarkStart w:id="350" w:name="Tc_VQ8P-ws5GEqOfK_0z_7fIA_19_11"/>
      <w:bookmarkStart w:id="351" w:name="Tc_goSTw8NnBUmwF7dihxu_1g_19_2"/>
      <w:bookmarkStart w:id="352" w:name="Tc_lCaLtj0wSkupjHRxu-53fw_18_2"/>
      <w:bookmarkStart w:id="353" w:name="Tc_GGUPWWiHaE6tXd1npFQTsQ_15_11"/>
      <w:bookmarkStart w:id="354" w:name="Tc_KT3S5nivUkGYlgFMJVm-Vg_15_8"/>
      <w:bookmarkStart w:id="355" w:name="Tc_MGeMAv_NK0aKEGPlqZXPpQ_15_5"/>
      <w:bookmarkStart w:id="356" w:name="Tc_LfuIqM32jUOAgluXaGk3Xw_15_2"/>
      <w:bookmarkStart w:id="357" w:name="Tc_iTP-9_th-UOPfpOoKZI7KA_15_0"/>
      <w:bookmarkStart w:id="358" w:name="Tc_ZH7iWS2QBE67YOgO4FGrSg_14_11"/>
      <w:bookmarkStart w:id="359" w:name="Tc_lO9jLKl_aUKu-moHdXLPSQ_14_8"/>
      <w:bookmarkStart w:id="360" w:name="Tc_Oy8G2tb8gk6hpLYQXvWmSA_14_6"/>
      <w:bookmarkStart w:id="361" w:name="Tc_QxceiW4z70yJvCBH4ehFfw_14_5"/>
      <w:bookmarkStart w:id="362" w:name="Tc_hbacfww7zkCxAeFMFtWDaw_14_2"/>
      <w:bookmarkStart w:id="363" w:name="Tc_I5dRvn0kWk-CKnNTmiCmpg_14_0"/>
      <w:bookmarkStart w:id="364" w:name="Tc_xK5ZN6XSJ02TLxvi9MakVw_13_12"/>
      <w:bookmarkStart w:id="365" w:name="Tc_YoMKT57MHUiy6gMu5o2PHg_13_9"/>
      <w:bookmarkStart w:id="366" w:name="Tc_scSZ3wRG1EW-Btc24YT08g_13_6"/>
      <w:bookmarkStart w:id="367" w:name="Tc_sy74Hwe3ekamDCROW0PTmw_13_3"/>
      <w:bookmarkStart w:id="368" w:name="Tc__3Y9dBpmCUa_A-7JrsgKQg_13_0"/>
      <w:bookmarkStart w:id="369" w:name="Tc_IqlClEvUFke_L05sOhQ60g_12_11"/>
      <w:bookmarkStart w:id="370" w:name="Tc_zedCLvrJQESlcpWr93QUMw_12_8"/>
      <w:bookmarkStart w:id="371" w:name="Tc_KPG933XUDUOmFngOnUn3_Q_12_6"/>
      <w:bookmarkStart w:id="372" w:name="Tc_rXlbrOCkSUGJGIQImyEkiw_12_5"/>
      <w:bookmarkStart w:id="373" w:name="Tc_oO_v8VQelkq2rZJIrqt-QA_12_2"/>
      <w:bookmarkStart w:id="374" w:name="Tc_FnF_wB-PJ0SbEcz6Qoq96w_12_0"/>
      <w:bookmarkStart w:id="375" w:name="Tc_6IfaGpXbkEibZ7kE-2i3ig_11_0"/>
      <w:bookmarkStart w:id="376" w:name="Tc_7MIoXPP0sUiNc1gR6RzN_A_10_11"/>
      <w:bookmarkStart w:id="377" w:name="Tc_wSGc2JstI0GV5x_0dk_lHA_10_8"/>
      <w:bookmarkStart w:id="378" w:name="Tc_uGf44kbMIkSSzENqHpT_Ng_10_5"/>
      <w:bookmarkStart w:id="379" w:name="Tc_D3VZOgDkB0Wvb2GENBaIIA_10_2"/>
      <w:bookmarkStart w:id="380" w:name="Tc_bWzhIDIxBUOdVyP5SkDJHA_10_0"/>
      <w:bookmarkStart w:id="381" w:name="Tc_d33LWc-SvUuj8KaSynzTRA_9_9"/>
      <w:bookmarkStart w:id="382" w:name="Tc_9BmNM38iV0qpD6uIQ2w2KQ_9_0"/>
      <w:bookmarkStart w:id="383" w:name="Tc_aZIZjuBMPUyqgkXGfCaqBQ_8_11"/>
      <w:bookmarkStart w:id="384" w:name="Tc_VNXX56MeLka1thqr-gbFqw_8_8"/>
      <w:bookmarkStart w:id="385" w:name="Tc_nj1mUa8SRkyFRPs_gmWgjg_8_5"/>
      <w:bookmarkStart w:id="386" w:name="Tc_8WW1oFWwsEaSJQlFpxLWFA_8_2"/>
      <w:bookmarkStart w:id="387" w:name="Tc_hzsB07p6z0ayi48sqHuE5A_8_0"/>
      <w:bookmarkStart w:id="388" w:name="Tc_0Q7U3Q07UUKoL-RW9T2XEw_7_0"/>
      <w:bookmarkStart w:id="389" w:name="Tc_wVSlmuGLIEeW_sHBv_NwJg_6_0"/>
      <w:bookmarkStart w:id="390" w:name="Tc_4us9j4oZjke-tbqxkn86Yg_5_0"/>
      <w:bookmarkStart w:id="391" w:name="Tc_6e-u-MPT5EyWRBEMTg_wfg_4_2"/>
      <w:bookmarkStart w:id="392" w:name="Tc_nyYq4dVT-kC53YCtBotBIw_3_11"/>
      <w:bookmarkStart w:id="393" w:name="Tc_0S1YoqCTzUOCUVNnKIs-NA_3_8"/>
      <w:bookmarkStart w:id="394" w:name="Tc_7-gq9vICJ0a0J4nV6kwSdg_3_5"/>
      <w:bookmarkStart w:id="395" w:name="Tc_2-AMhtIRwEe520KClszB9w_3_2"/>
      <w:bookmarkStart w:id="396" w:name="Tc_wtdeXvyv_0mKscO8BRcjrg_2_11"/>
      <w:bookmarkStart w:id="397" w:name="Tc_fjfey24hRUuiTkpjffDSnQ_2_2"/>
      <w:bookmarkStart w:id="398" w:name="Tc__Ic5v79WTEi-mZ_z4S2kcw_1_2"/>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ascii="Times New Roman;Times;serif" w:hAnsi="Times New Roman;Times;serif"/>
          <w:b/>
          <w:sz w:val="20"/>
        </w:rPr>
        <w:t>(4)  Marketable Securities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spacing w:before="0" w:after="0"/>
        <w:ind w:left="0" w:right="0" w:hanging="0"/>
        <w:rPr/>
      </w:pPr>
      <w:r>
        <w:rPr/>
        <w:t>​</w:t>
      </w:r>
    </w:p>
    <w:tbl>
      <w:tblPr>
        <w:tblW w:w="8993" w:type="dxa"/>
        <w:jc w:val="left"/>
        <w:tblInd w:w="0" w:type="dxa"/>
        <w:tblCellMar>
          <w:top w:w="0" w:type="dxa"/>
          <w:left w:w="0" w:type="dxa"/>
          <w:bottom w:w="0" w:type="dxa"/>
          <w:right w:w="0" w:type="dxa"/>
        </w:tblCellMar>
      </w:tblPr>
      <w:tblGrid>
        <w:gridCol w:w="4141"/>
        <w:gridCol w:w="326"/>
        <w:gridCol w:w="211"/>
        <w:gridCol w:w="781"/>
        <w:gridCol w:w="326"/>
        <w:gridCol w:w="211"/>
        <w:gridCol w:w="346"/>
        <w:gridCol w:w="326"/>
        <w:gridCol w:w="211"/>
        <w:gridCol w:w="691"/>
        <w:gridCol w:w="326"/>
        <w:gridCol w:w="211"/>
        <w:gridCol w:w="886"/>
      </w:tblGrid>
      <w:tr>
        <w:trPr/>
        <w:tc>
          <w:tcPr>
            <w:tcW w:w="4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629535" cy="175260"/>
                      <wp:effectExtent l="0" t="0" r="0" b="0"/>
                      <wp:wrapNone/>
                      <wp:docPr id="48" name="Frame48"/>
                      <a:graphic xmlns:a="http://schemas.openxmlformats.org/drawingml/2006/main">
                        <a:graphicData uri="http://schemas.microsoft.com/office/word/2010/wordprocessingShape">
                          <wps:wsp>
                            <wps:cNvSpPr txBox="1"/>
                            <wps:spPr>
                              <a:xfrm>
                                <a:off x="0" y="0"/>
                                <a:ext cx="2629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5935" cy="175260"/>
                      <wp:effectExtent l="0" t="0" r="0" b="0"/>
                      <wp:wrapNone/>
                      <wp:docPr id="51" name="Frame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8785" cy="175260"/>
                      <wp:effectExtent l="0" t="0" r="0" b="0"/>
                      <wp:wrapNone/>
                      <wp:docPr id="57" name="Frame5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62610" cy="175260"/>
                      <wp:effectExtent l="0" t="0" r="0" b="0"/>
                      <wp:wrapNone/>
                      <wp:docPr id="60" name="Frame6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2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993"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26"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81,514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81,510</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15,064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15,076</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96,578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96,586</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128,159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127,678</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128,159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127,678</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224,737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224,264</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2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Gross</w:t>
            </w:r>
            <w:r>
              <w:rPr>
                <w:rFonts w:ascii="Times New Roman;Times;serif" w:hAnsi="Times New Roman;Times;serif"/>
                <w:sz w:val="16"/>
              </w:rPr>
              <w:t> </w:t>
            </w:r>
            <w:r>
              <w:rPr>
                <w:rFonts w:ascii="Times New Roman;Times;serif" w:hAnsi="Times New Roman;Times;serif"/>
                <w:b/>
                <w:sz w:val="16"/>
              </w:rPr>
              <w:t>Unrealized</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993"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26"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97,246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96,882</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97,246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96,882</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Corporate debt securities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179,613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178,641</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179,613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178,641</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276,859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275,523</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holds investment-grade marketable securities, and none were in a continuous unrealized loss position for more than twelve months as of March 31, 2023 and December 31, 2022. The unrealized losses are attributable to changes in interest rates and the Company does not believe any unrealized losses represent other-than-temporary impairments. The Company has the intent and ability to hold such marketable securities until recovery and has determined that there has been no material change to their credit risk. As a result, the Company determined it did not hold any investments with a credit loss at March 31, 2023.</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Marketable securities include $0.6 million and $0.8 million in accrued interest at March 31, 2023 and December 31, 2022, respectively.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399" w:name="_Hlk114785249"/>
      <w:bookmarkEnd w:id="399"/>
      <w:r>
        <w:rPr>
          <w:rFonts w:ascii="Times New Roman;Times;serif" w:hAnsi="Times New Roman;Times;serif"/>
          <w:b/>
          <w:sz w:val="20"/>
        </w:rPr>
        <w:t>(5)  Intangible Assets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and December 31, 2022, the carrying value of the Company’s indefinite-lived intangible assets was $27.2 million. Indefinite-lived intangible assets consist of acquired IPR&amp;D related to the development of the anti-KIT program, including barzolvolimab (also referred to as CDX-0159), which was recorded in connection with the Kolltan acquisition. Barzolvolimab is in Phase 2 development. As of March 31, 2023, the IPR&amp;D asset related to the anti-KIT program had not reached technological feasibility nor did the asset have alternative future uses.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400" w:name="Tc_4i2a1c83YEW0ZloAbIvYgA_9_5"/>
      <w:bookmarkStart w:id="401" w:name="Tc_RC30mUALmU-QyhMmXg7ZUw_9_2"/>
      <w:bookmarkStart w:id="402" w:name="Tc_j598c5PRB0GTG4dYVTPtQQ_9_0"/>
      <w:bookmarkStart w:id="403" w:name="Tc_xxa4vVofuUmuVM_dw-5OWg_8_0"/>
      <w:bookmarkStart w:id="404" w:name="Tc_f7eDTDA8jEeXiU7iZ1_zPQ_7_0"/>
      <w:bookmarkStart w:id="405" w:name="Tc_5AjFfmdVYEyXe3zbw2Wk_Q_6_0"/>
      <w:bookmarkStart w:id="406" w:name="Tc_E-Ix9LDgUU6d2wBmb9qsww_5_0"/>
      <w:bookmarkStart w:id="407" w:name="Tc_N1YbfTqYSUaUQw1Iyo7q9g_4_5"/>
      <w:bookmarkStart w:id="408" w:name="Tc_a9Jbg-5l7EOZEEMcuvCDGQ_4_2"/>
      <w:bookmarkStart w:id="409" w:name="Tc_6SqlVy-7xUGMrcWK5hdJcg_4_0"/>
      <w:bookmarkStart w:id="410" w:name="Tc_bA3zI1gYDUK3Y-KOU-MNjA_3_2"/>
      <w:bookmarkStart w:id="411" w:name="Tc_y5yqni3ggU2qLQ_YD1Lr4w_2_5"/>
      <w:bookmarkStart w:id="412" w:name="Tc_NhtOnodkDUuOGWT9NMJgzg_2_2"/>
      <w:bookmarkStart w:id="413" w:name="Tc_iMPCbdQp5kqR7y-NeHB0-Q_1_5"/>
      <w:bookmarkStart w:id="414" w:name="Tc_SPjEyDxEPEm5pV9Tdc_4wg_1_2"/>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ascii="Times New Roman;Times;serif" w:hAnsi="Times New Roman;Times;serif"/>
          <w:b/>
          <w:sz w:val="20"/>
        </w:rPr>
        <w:t>(6) Other Long-Term Liabilities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spacing w:before="0" w:after="0"/>
        <w:ind w:left="0" w:right="0" w:hanging="0"/>
        <w:rPr/>
      </w:pPr>
      <w:r>
        <w:rPr/>
        <w:t>​</w:t>
      </w:r>
    </w:p>
    <w:tbl>
      <w:tblPr>
        <w:tblW w:w="7223" w:type="dxa"/>
        <w:jc w:val="left"/>
        <w:tblInd w:w="0" w:type="dxa"/>
        <w:tblCellMar>
          <w:top w:w="0" w:type="dxa"/>
          <w:left w:w="0" w:type="dxa"/>
          <w:bottom w:w="0" w:type="dxa"/>
          <w:right w:w="0" w:type="dxa"/>
        </w:tblCellMar>
      </w:tblPr>
      <w:tblGrid>
        <w:gridCol w:w="4486"/>
        <w:gridCol w:w="326"/>
        <w:gridCol w:w="242"/>
        <w:gridCol w:w="658"/>
        <w:gridCol w:w="326"/>
        <w:gridCol w:w="281"/>
        <w:gridCol w:w="904"/>
      </w:tblGrid>
      <w:tr>
        <w:trPr/>
        <w:tc>
          <w:tcPr>
            <w:tcW w:w="4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848610" cy="175260"/>
                      <wp:effectExtent l="0" t="0" r="0" b="0"/>
                      <wp:wrapNone/>
                      <wp:docPr id="61" name="Frame61"/>
                      <a:graphic xmlns:a="http://schemas.openxmlformats.org/drawingml/2006/main">
                        <a:graphicData uri="http://schemas.microsoft.com/office/word/2010/wordprocessingShape">
                          <wps:wsp>
                            <wps:cNvSpPr txBox="1"/>
                            <wps:spPr>
                              <a:xfrm>
                                <a:off x="0" y="0"/>
                                <a:ext cx="2848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3670" cy="175260"/>
                      <wp:effectExtent l="0" t="0" r="0" b="0"/>
                      <wp:wrapNone/>
                      <wp:docPr id="63" name="Frame63"/>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17830" cy="175260"/>
                      <wp:effectExtent l="0" t="0" r="0" b="0"/>
                      <wp:wrapNone/>
                      <wp:docPr id="64" name="Frame64"/>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78435" cy="175260"/>
                      <wp:effectExtent l="0" t="0" r="0" b="0"/>
                      <wp:wrapNone/>
                      <wp:docPr id="66" name="Frame66"/>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74040" cy="175260"/>
                      <wp:effectExtent l="0" t="0" r="0" b="0"/>
                      <wp:wrapNone/>
                      <wp:docPr id="67" name="Frame67"/>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2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liabilities related to IPR&amp;D (Note 11)</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spacing w:before="0" w:after="0"/>
              <w:ind w:left="0" w:right="0" w:hanging="0"/>
              <w:rPr/>
            </w:pPr>
            <w:r>
              <w:rPr/>
              <w:t>​</w:t>
            </w:r>
          </w:p>
        </w:tc>
        <w:tc>
          <w:tcPr>
            <w:tcW w:w="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 </w:t>
            </w:r>
          </w:p>
        </w:tc>
        <w:tc>
          <w:tcPr>
            <w:tcW w:w="6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shd w:fill="auto" w:val="clear"/>
            <w:vAlign w:val="center"/>
          </w:tcPr>
          <w:p>
            <w:pPr>
              <w:pStyle w:val="TableContents"/>
              <w:spacing w:before="0" w:after="0"/>
              <w:ind w:left="0" w:right="0" w:hanging="0"/>
              <w:rPr/>
            </w:pPr>
            <w:r>
              <w:rPr/>
              <w:t>​</w:t>
            </w:r>
          </w:p>
        </w:tc>
        <w:tc>
          <w:tcPr>
            <w:tcW w:w="281" w:type="dxa"/>
            <w:tcBorders/>
            <w:shd w:fill="auto" w:val="clear"/>
            <w:vAlign w:val="center"/>
          </w:tcPr>
          <w:p>
            <w:pPr>
              <w:pStyle w:val="TableContents"/>
              <w:spacing w:before="0" w:after="0"/>
              <w:ind w:left="0" w:right="0" w:hanging="0"/>
              <w:rPr/>
            </w:pPr>
            <w:r>
              <w:rPr/>
              <w:t> </w:t>
            </w:r>
          </w:p>
        </w:tc>
        <w:tc>
          <w:tcPr>
            <w:tcW w:w="9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(Note 10)</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spacing w:before="0" w:after="0"/>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 </w:t>
            </w:r>
          </w:p>
        </w:tc>
        <w:tc>
          <w:tcPr>
            <w:tcW w:w="6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c>
          <w:tcPr>
            <w:tcW w:w="326" w:type="dxa"/>
            <w:tcBorders/>
            <w:shd w:fill="auto" w:val="clear"/>
            <w:vAlign w:val="center"/>
          </w:tcPr>
          <w:p>
            <w:pPr>
              <w:pStyle w:val="TableContents"/>
              <w:spacing w:before="0" w:after="0"/>
              <w:ind w:left="0" w:right="0" w:hanging="0"/>
              <w:rPr/>
            </w:pPr>
            <w:r>
              <w:rPr/>
              <w:t>​</w:t>
            </w:r>
          </w:p>
        </w:tc>
        <w:tc>
          <w:tcPr>
            <w:tcW w:w="281" w:type="dxa"/>
            <w:tcBorders/>
            <w:shd w:fill="auto" w:val="clear"/>
            <w:vAlign w:val="center"/>
          </w:tcPr>
          <w:p>
            <w:pPr>
              <w:pStyle w:val="TableContents"/>
              <w:spacing w:before="0" w:after="0"/>
              <w:ind w:left="0" w:right="0" w:hanging="0"/>
              <w:rPr/>
            </w:pPr>
            <w:r>
              <w:rPr/>
              <w:t> </w:t>
            </w:r>
          </w:p>
        </w:tc>
        <w:tc>
          <w:tcPr>
            <w:tcW w:w="9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6,323</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shd w:fill="CCEEFF" w:val="clear"/>
            <w:vAlign w:val="center"/>
          </w:tcPr>
          <w:p>
            <w:pPr>
              <w:pStyle w:val="TableContents"/>
              <w:spacing w:before="0" w:after="0"/>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portion</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shd w:fill="auto" w:val="clear"/>
            <w:vAlign w:val="center"/>
          </w:tcPr>
          <w:p>
            <w:pPr>
              <w:pStyle w:val="TableContents"/>
              <w:spacing w:before="0" w:after="0"/>
              <w:ind w:left="0" w:right="0" w:hanging="0"/>
              <w:rPr/>
            </w:pPr>
            <w:r>
              <w:rPr/>
              <w:t>​</w:t>
            </w:r>
          </w:p>
        </w:tc>
        <w:tc>
          <w:tcPr>
            <w:tcW w:w="2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5,333</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in other income related to the sale of these tax benefits during the three months ended March 31, 2023.</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415" w:name="Tc_dMVGbL8jJkKmgqZu3S_o2g_11_16"/>
      <w:bookmarkStart w:id="416" w:name="Tc_Xe0mPGfjS0GbLOpHsLyqAQ_11_13"/>
      <w:bookmarkStart w:id="417" w:name="Tc_l12XZ3GwekKcQW0gIkY_7g_11_10"/>
      <w:bookmarkStart w:id="418" w:name="Tc_VR22tyvRGE-KCSOeR8exkA_11_7"/>
      <w:bookmarkStart w:id="419" w:name="Tc_tCv0zuzNP0GVk94pAMb6ZQ_11_4"/>
      <w:bookmarkStart w:id="420" w:name="Tc_QQ7Y-RuQnUe3TL5LUMk6OA_11_0"/>
      <w:bookmarkStart w:id="421" w:name="Tc_1MYVX_nuQ0yYsMwoklAF7w_10_11"/>
      <w:bookmarkStart w:id="422" w:name="Tc_Cfg9n5DhYEGL0xdH5-RuhA_10_8"/>
      <w:bookmarkStart w:id="423" w:name="Tc_dpOa8umqhEaeog6GQ4A9jw_10_5"/>
      <w:bookmarkStart w:id="424" w:name="Tc_73xpSoQ89kybETLwUcbHHQ_10_2"/>
      <w:bookmarkStart w:id="425" w:name="Tc_SWOtnwh6KkOdx5EaDshW1g_10_0"/>
      <w:bookmarkStart w:id="426" w:name="Tc_26nlPXqnEk6qTOsnDdFNqA_9_14"/>
      <w:bookmarkStart w:id="427" w:name="Tc_auhbKBjAZ0WECPKJ76XDkg_9_8"/>
      <w:bookmarkStart w:id="428" w:name="Tc_hjM6jp9uFUqa-20CMzDxeA_9_5"/>
      <w:bookmarkStart w:id="429" w:name="Tc_XPzp7abXpUCFJoHfPp4n-Q_9_2"/>
      <w:bookmarkStart w:id="430" w:name="Tc_TVAs6HWr2UWPHqavqPBzIw_9_0"/>
      <w:bookmarkStart w:id="431" w:name="Tc_uYtxAgOTGE2Fn42My5j3NQ_8_14"/>
      <w:bookmarkStart w:id="432" w:name="Tc_ZGlqK4Ke00a1WTcMDl2OJQ_8_11"/>
      <w:bookmarkStart w:id="433" w:name="Tc_5xDhSCv-F0Sr56DYW5MmSg_8_5"/>
      <w:bookmarkStart w:id="434" w:name="Tc_tyhy1GjmLEeZa-KXkZxFzA_8_2"/>
      <w:bookmarkStart w:id="435" w:name="Tc_n653qFmu10-Scho8pTqeKg_8_0"/>
      <w:bookmarkStart w:id="436" w:name="Tc_SjFa3tJT3E-JYqDncQixAA_7_14"/>
      <w:bookmarkStart w:id="437" w:name="Tc_5bkOnPiKrE2ejz11SYf0Og_7_11"/>
      <w:bookmarkStart w:id="438" w:name="Tc_REsEuUK7x0WCmpafIa_Naw_7_5"/>
      <w:bookmarkStart w:id="439" w:name="Tc_yc6EB3eyPkeKzxTrv6WhqA_7_0"/>
      <w:bookmarkStart w:id="440" w:name="Tc_uAArr0J-r0CBZlOMaHvS2Q_6_16"/>
      <w:bookmarkStart w:id="441" w:name="Tc_kx22WN_4-EOHa38hSAf6xg_6_13"/>
      <w:bookmarkStart w:id="442" w:name="Tc_xTPB-7EUKEy0uz8ULsZ6XQ_6_10"/>
      <w:bookmarkStart w:id="443" w:name="Tc_eI-VR8lXhUWuKPJ15uRLhA_6_7"/>
      <w:bookmarkStart w:id="444" w:name="Tc_Zccq7yu2okqWa49nh4wobw_6_4"/>
      <w:bookmarkStart w:id="445" w:name="Tc_Pk-ZVXXrHka_MPkvQO6V5w_6_0"/>
      <w:bookmarkStart w:id="446" w:name="Tc_1dx8R08RTE6kcNc6b-O3EA_5_2"/>
      <w:bookmarkStart w:id="447" w:name="Tc_bVU3svGG0kyu2hB0WVEy-w_4_16"/>
      <w:bookmarkStart w:id="448" w:name="Tc_kg2IR43EXk-Cz2RUqzqPZw_4_13"/>
      <w:bookmarkStart w:id="449" w:name="Tc_c9REYahN30W_Fe74fF9kxA_4_10"/>
      <w:bookmarkStart w:id="450" w:name="Tc_rDSJ2tyiLEirk7CSsvJpLg_4_7"/>
      <w:bookmarkStart w:id="451" w:name="Tc_yO5JdlWwR0GTBh71bFUwvw_4_4"/>
      <w:bookmarkStart w:id="452" w:name="Tc_oGSHiKJCVUS_l0Te9hEhWg_4_2"/>
      <w:bookmarkStart w:id="453" w:name="Tc_ioJZjDPApEe0qHpzgbhc9A_3_16"/>
      <w:bookmarkStart w:id="454" w:name="Tc_LwH5pJ6r5UKuuBA1Fh54Bg_3_13"/>
      <w:bookmarkStart w:id="455" w:name="Tc_A7mUjoHzvEuP1-Ua3eSQqQ_3_10"/>
      <w:bookmarkStart w:id="456" w:name="Tc_5-F58sFBd0eBmk4EqUNkCQ_3_7"/>
      <w:bookmarkStart w:id="457" w:name="Tc_dB5UBeGwAEix4DydF2AwZw_3_4"/>
      <w:bookmarkStart w:id="458" w:name="Tc_RNdcC1xfdECRkq0wVFSY-g_3_2"/>
      <w:bookmarkStart w:id="459" w:name="Tc_1h33sWrDdEG3SmcpGSZxJg_2_16"/>
      <w:bookmarkStart w:id="460" w:name="Tc_6WuG5Ey0vE-GvVOtSms4ew_2_10"/>
      <w:bookmarkStart w:id="461" w:name="Tc_H-3wHJVEE0G3cexRl1urIw_2_7"/>
      <w:bookmarkStart w:id="462" w:name="Tc_C1F5k1Y_MUqW5cHdsGpARg_2_4"/>
      <w:bookmarkStart w:id="463" w:name="Tc_sZ4YnJ00AU-96YxQXkVsuQ_2_2"/>
      <w:bookmarkStart w:id="464" w:name="Tc_-ImXeQ2Ctk-TiKPP5pXdUg_1_10"/>
      <w:bookmarkStart w:id="465" w:name="_72c75577_e744_4a8c_9098_303a744f0c65"/>
      <w:bookmarkStart w:id="466" w:name="Tc_YU3HgpHgyUymKFeTfkE74w_11_16"/>
      <w:bookmarkStart w:id="467" w:name="Tc_M1j8P0-j2ECLYiHmHPH-TA_11_13"/>
      <w:bookmarkStart w:id="468" w:name="Tc_C8nZR2j5wECjWu7KUGgsZw_11_10"/>
      <w:bookmarkStart w:id="469" w:name="Tc_DtRMOd1zbkqcltNoi9Rmqg_11_7"/>
      <w:bookmarkStart w:id="470" w:name="Tc_DmvxJNFUt0mJxXsIVJlGTA_11_4"/>
      <w:bookmarkStart w:id="471" w:name="Tc_Fdz5iGkwVUKH3mmOJ7tLbw_11_0"/>
      <w:bookmarkStart w:id="472" w:name="Tc_8WGTCUP4pE-uc0si4SDDxQ_10_2"/>
      <w:bookmarkStart w:id="473" w:name="Tc_fYWMG0bTJ0ClLzQyAmeytw_10_0"/>
      <w:bookmarkStart w:id="474" w:name="Tc_AMo6Ve1YCkaZTw7jK3AIEA_9_2"/>
      <w:bookmarkStart w:id="475" w:name="Tc_BSyLDJZlA0qUNmfBchmepQ_9_0"/>
      <w:bookmarkStart w:id="476" w:name="Tc_wJSIdqurzEGv1Xj89ZuvQA_8_2"/>
      <w:bookmarkStart w:id="477" w:name="Tc_JHj5wBhVQ0u5Pi_nnySWSg_8_0"/>
      <w:bookmarkStart w:id="478" w:name="Tc_bSlahCbdCk-p8pyZAfEwiw_7_0"/>
      <w:bookmarkStart w:id="479" w:name="Tc_2C4wdtAoHkKitLj-YIYoUg_6_16"/>
      <w:bookmarkStart w:id="480" w:name="Tc_oc8CNrqkukKZX4LLP1irrA_6_13"/>
      <w:bookmarkStart w:id="481" w:name="Tc_I39zOW7cSkCltJEmw6YZWQ_6_10"/>
      <w:bookmarkStart w:id="482" w:name="Tc_v1ltUuNAFka8eFJX21oj3Q_6_7"/>
      <w:bookmarkStart w:id="483" w:name="Tc_MJyP9zJ8AUuPSklNnXHJhw_6_4"/>
      <w:bookmarkStart w:id="484" w:name="Tc_XBptPYukwEGrBqbHoQeNCg_6_0"/>
      <w:bookmarkStart w:id="485" w:name="Tc_ApH7V6cK3USz1Uqnuxxy0Q_5_2"/>
      <w:bookmarkStart w:id="486" w:name="Tc_7ruONiNDW0u8YzfLPrC4XA_4_16"/>
      <w:bookmarkStart w:id="487" w:name="Tc_q6PSXHDt8EiPO_HH6S_oQQ_4_13"/>
      <w:bookmarkStart w:id="488" w:name="Tc_BtXSBFByzEG6UJEA4F4YcA_4_10"/>
      <w:bookmarkStart w:id="489" w:name="Tc_60k1qKJHDUiqBuFNqQp2Tg_4_7"/>
      <w:bookmarkStart w:id="490" w:name="Tc_RuVFz5ycZUucsQz1qUx7xA_4_4"/>
      <w:bookmarkStart w:id="491" w:name="Tc_hNmjYxyVvUiT4xxj3k3myQ_4_2"/>
      <w:bookmarkStart w:id="492" w:name="Tc_-_I_hoIRtkerVpDDfIXpqQ_3_16"/>
      <w:bookmarkStart w:id="493" w:name="Tc_Ag_HVZr46U-HCO0gdk66-Q_3_13"/>
      <w:bookmarkStart w:id="494" w:name="Tc_H14lvxpvfU6MSf3p-6VI7A_3_10"/>
      <w:bookmarkStart w:id="495" w:name="Tc_SB6--BZyjkGID6k45CfayQ_3_7"/>
      <w:bookmarkStart w:id="496" w:name="Tc_Zzt9Byr6VE-ckKuGgxcHfQ_3_4"/>
      <w:bookmarkStart w:id="497" w:name="Tc_2_I1LzxJy0Kfsg2kPZlalQ_3_2"/>
      <w:bookmarkStart w:id="498" w:name="Tc_Oe9GBSkbakO16KTcgvx_2w_2_16"/>
      <w:bookmarkStart w:id="499" w:name="Tc_NR--hK58tkKrUCorLNeIiQ_2_10"/>
      <w:bookmarkStart w:id="500" w:name="Tc_Zrc1RM4MBk-aBJcn3CLJlA_2_7"/>
      <w:bookmarkStart w:id="501" w:name="Tc_ySCGjkpO_0SO1VylUhkKQQ_2_4"/>
      <w:bookmarkStart w:id="502" w:name="Tc_ZJXP6rZ1cUiIl0l5Fzl3tQ_2_2"/>
      <w:bookmarkStart w:id="503" w:name="Tc_rhVeSpQRBkCv5hJYt987RQ_1_10"/>
      <w:bookmarkStart w:id="504" w:name="_7de56773_b0be_4ffa_955c_22483496e9d1"/>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Pr>
          <w:rFonts w:ascii="Times New Roman;Times;serif" w:hAnsi="Times New Roman;Times;serif"/>
          <w:b/>
          <w:sz w:val="20"/>
        </w:rPr>
        <w:t>(7) Stockholders’ Equity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May 2016, the Company entered into a controlled equity offering sales agreement (the “Cantor Agreement”) with Cantor Fitzgerald &amp; Co. (“Cantor”) to allow the Company to issue and sell shares of its common stock from time to time through Cantor, acting as agent. At March 31, 2023, the Company had $50.0 million remaining in aggregate gross offering price available under the Company’s November 2020 prospectus.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changes in Stockholders’ Equity during the three months ended March 31, 2023 and 2022 are summarized below:</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85"/>
        <w:gridCol w:w="326"/>
        <w:gridCol w:w="916"/>
        <w:gridCol w:w="326"/>
        <w:gridCol w:w="298"/>
        <w:gridCol w:w="528"/>
        <w:gridCol w:w="326"/>
        <w:gridCol w:w="196"/>
        <w:gridCol w:w="826"/>
        <w:gridCol w:w="326"/>
        <w:gridCol w:w="336"/>
        <w:gridCol w:w="880"/>
        <w:gridCol w:w="326"/>
        <w:gridCol w:w="196"/>
        <w:gridCol w:w="896"/>
        <w:gridCol w:w="326"/>
        <w:gridCol w:w="214"/>
        <w:gridCol w:w="878"/>
      </w:tblGrid>
      <w:tr>
        <w:trPr/>
        <w:tc>
          <w:tcPr>
            <w:tcW w:w="2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23975" cy="175260"/>
                      <wp:effectExtent l="0" t="0" r="0" b="0"/>
                      <wp:wrapNone/>
                      <wp:docPr id="68" name="Frame68"/>
                      <a:graphic xmlns:a="http://schemas.openxmlformats.org/drawingml/2006/main">
                        <a:graphicData uri="http://schemas.microsoft.com/office/word/2010/wordprocessingShape">
                          <wps:wsp>
                            <wps:cNvSpPr txBox="1"/>
                            <wps:spPr>
                              <a:xfrm>
                                <a:off x="0" y="0"/>
                                <a:ext cx="1323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81660" cy="175260"/>
                      <wp:effectExtent l="0" t="0" r="0" b="0"/>
                      <wp:wrapNone/>
                      <wp:docPr id="70" name="Frame70"/>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9230" cy="175260"/>
                      <wp:effectExtent l="0" t="0" r="0" b="0"/>
                      <wp:wrapNone/>
                      <wp:docPr id="72" name="Frame72"/>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35280" cy="175260"/>
                      <wp:effectExtent l="0" t="0" r="0" b="0"/>
                      <wp:wrapNone/>
                      <wp:docPr id="73" name="Frame73"/>
                      <a:graphic xmlns:a="http://schemas.openxmlformats.org/drawingml/2006/main">
                        <a:graphicData uri="http://schemas.microsoft.com/office/word/2010/wordprocessingShape">
                          <wps:wsp>
                            <wps:cNvSpPr txBox="1"/>
                            <wps:spPr>
                              <a:xfrm>
                                <a:off x="0" y="0"/>
                                <a:ext cx="335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4510" cy="175260"/>
                      <wp:effectExtent l="0" t="0" r="0" b="0"/>
                      <wp:wrapNone/>
                      <wp:docPr id="76" name="Frame76"/>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3360" cy="175260"/>
                      <wp:effectExtent l="0" t="0" r="0" b="0"/>
                      <wp:wrapNone/>
                      <wp:docPr id="78" name="Frame78"/>
                      <a:graphic xmlns:a="http://schemas.openxmlformats.org/drawingml/2006/main">
                        <a:graphicData uri="http://schemas.microsoft.com/office/word/2010/wordprocessingShape">
                          <wps:wsp>
                            <wps:cNvSpPr txBox="1"/>
                            <wps:spPr>
                              <a:xfrm>
                                <a:off x="0" y="0"/>
                                <a:ext cx="21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58800" cy="175260"/>
                      <wp:effectExtent l="0" t="0" r="0" b="0"/>
                      <wp:wrapNone/>
                      <wp:docPr id="79" name="Frame79"/>
                      <a:graphic xmlns:a="http://schemas.openxmlformats.org/drawingml/2006/main">
                        <a:graphicData uri="http://schemas.microsoft.com/office/word/2010/wordprocessingShape">
                          <wps:wsp>
                            <wps:cNvSpPr txBox="1"/>
                            <wps:spPr>
                              <a:xfrm>
                                <a:off x="0" y="0"/>
                                <a:ext cx="558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8960" cy="175260"/>
                      <wp:effectExtent l="0" t="0" r="0" b="0"/>
                      <wp:wrapNone/>
                      <wp:docPr id="82" name="Frame82"/>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5890" cy="175260"/>
                      <wp:effectExtent l="0" t="0" r="0" b="0"/>
                      <wp:wrapNone/>
                      <wp:docPr id="84" name="Frame84"/>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57530" cy="175260"/>
                      <wp:effectExtent l="0" t="0" r="0" b="0"/>
                      <wp:wrapNone/>
                      <wp:docPr id="85" name="Frame85"/>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98" w:type="dxa"/>
            <w:tcBorders/>
            <w:shd w:fill="auto" w:val="clear"/>
            <w:vAlign w:val="center"/>
          </w:tcPr>
          <w:p>
            <w:pPr>
              <w:pStyle w:val="TableContents"/>
              <w:spacing w:before="0" w:after="0"/>
              <w:ind w:left="0" w:right="0" w:hanging="0"/>
              <w:rPr/>
            </w:pPr>
            <w:r>
              <w:rPr/>
              <w:t>​</w:t>
            </w:r>
          </w:p>
        </w:tc>
        <w:tc>
          <w:tcPr>
            <w:tcW w:w="52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4"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center"/>
              <w:rPr/>
            </w:pPr>
            <w:r>
              <w:rPr/>
              <w:t>​</w:t>
            </w:r>
          </w:p>
        </w:tc>
      </w:tr>
      <w:tr>
        <w:trPr/>
        <w:tc>
          <w:tcPr>
            <w:tcW w:w="20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0"/>
              <w:ind w:left="0" w:right="0" w:hanging="0"/>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shd w:fill="auto" w:val="clear"/>
            <w:vAlign w:val="center"/>
          </w:tcPr>
          <w:p>
            <w:pPr>
              <w:pStyle w:val="TableContents"/>
              <w:spacing w:before="0" w:after="0"/>
              <w:ind w:left="0" w:right="0" w:hanging="0"/>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10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0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Income</w:t>
            </w:r>
          </w:p>
        </w:tc>
        <w:tc>
          <w:tcPr>
            <w:tcW w:w="326" w:type="dxa"/>
            <w:tcBorders/>
            <w:shd w:fill="auto" w:val="clear"/>
            <w:vAlign w:val="center"/>
          </w:tcPr>
          <w:p>
            <w:pPr>
              <w:pStyle w:val="TableContents"/>
              <w:spacing w:before="0" w:after="0"/>
              <w:ind w:left="0" w:right="0" w:hanging="0"/>
              <w:rPr/>
            </w:pPr>
            <w:r>
              <w:rPr/>
              <w:t>    </w:t>
            </w:r>
          </w:p>
        </w:tc>
        <w:tc>
          <w:tcPr>
            <w:tcW w:w="10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rPr/>
            </w:pPr>
            <w:r>
              <w:rPr/>
              <w:t>    </w:t>
            </w:r>
          </w:p>
        </w:tc>
        <w:tc>
          <w:tcPr>
            <w:tcW w:w="10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Equity</w:t>
            </w:r>
          </w:p>
        </w:tc>
      </w:tr>
      <w:tr>
        <w:trPr/>
        <w:tc>
          <w:tcPr>
            <w:tcW w:w="10205" w:type="dxa"/>
            <w:gridSpan w:val="18"/>
            <w:tcBorders/>
            <w:shd w:fill="auto" w:val="clear"/>
            <w:vAlign w:val="center"/>
          </w:tcPr>
          <w:p>
            <w:pPr>
              <w:pStyle w:val="TableContents"/>
              <w:spacing w:before="0" w:after="283"/>
              <w:ind w:left="0" w:right="0" w:hanging="0"/>
              <w:rPr>
                <w:sz w:val="4"/>
                <w:szCs w:val="4"/>
              </w:rPr>
            </w:pPr>
            <w:r>
              <w:rPr>
                <w:sz w:val="4"/>
                <w:szCs w:val="4"/>
              </w:rPr>
            </w:r>
          </w:p>
        </w:tc>
      </w:tr>
      <w:tr>
        <w:trPr/>
        <w:tc>
          <w:tcPr>
            <w:tcW w:w="208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794" w:type="dxa"/>
            <w:gridSpan w:val="1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2085"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Consolidated balance at December 31, 2022</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47,200,695</w:t>
            </w:r>
          </w:p>
        </w:tc>
        <w:tc>
          <w:tcPr>
            <w:tcW w:w="326" w:type="dxa"/>
            <w:tcBorders/>
            <w:shd w:fill="CCEEFF" w:val="clear"/>
            <w:vAlign w:val="center"/>
          </w:tcPr>
          <w:p>
            <w:pPr>
              <w:pStyle w:val="TableContents"/>
              <w:spacing w:before="0" w:after="0"/>
              <w:ind w:left="0" w:right="0" w:hanging="0"/>
              <w:rPr/>
            </w:pPr>
            <w:r>
              <w:rPr/>
              <w:t> </w:t>
            </w:r>
          </w:p>
        </w:tc>
        <w:tc>
          <w:tcPr>
            <w:tcW w:w="29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1,580,829</w:t>
            </w:r>
          </w:p>
        </w:tc>
        <w:tc>
          <w:tcPr>
            <w:tcW w:w="326" w:type="dxa"/>
            <w:tcBorders/>
            <w:shd w:fill="CCEEFF" w:val="clear"/>
            <w:vAlign w:val="center"/>
          </w:tcPr>
          <w:p>
            <w:pPr>
              <w:pStyle w:val="TableContents"/>
              <w:spacing w:before="0" w:after="0"/>
              <w:ind w:left="0" w:right="0" w:hanging="0"/>
              <w:rPr/>
            </w:pPr>
            <w:r>
              <w:rPr/>
              <w:t> </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1,260</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(1,255,932)</w:t>
            </w:r>
          </w:p>
        </w:tc>
        <w:tc>
          <w:tcPr>
            <w:tcW w:w="326" w:type="dxa"/>
            <w:tcBorders/>
            <w:shd w:fill="CCEEFF" w:val="clear"/>
            <w:vAlign w:val="center"/>
          </w:tcPr>
          <w:p>
            <w:pPr>
              <w:pStyle w:val="TableContents"/>
              <w:spacing w:before="0" w:after="0"/>
              <w:ind w:left="0" w:right="0" w:hanging="0"/>
              <w:rPr/>
            </w:pPr>
            <w:r>
              <w:rPr/>
              <w:t> </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326,204</w:t>
            </w:r>
          </w:p>
        </w:tc>
      </w:tr>
      <w:tr>
        <w:trPr/>
        <w:tc>
          <w:tcPr>
            <w:tcW w:w="208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43,986</w:t>
            </w:r>
          </w:p>
        </w:tc>
        <w:tc>
          <w:tcPr>
            <w:tcW w:w="326" w:type="dxa"/>
            <w:tcBorders/>
            <w:shd w:fill="auto" w:val="clear"/>
            <w:vAlign w:val="center"/>
          </w:tcPr>
          <w:p>
            <w:pPr>
              <w:pStyle w:val="TableContents"/>
              <w:spacing w:before="0" w:after="0"/>
              <w:ind w:left="0" w:right="0" w:hanging="0"/>
              <w:rPr/>
            </w:pPr>
            <w:r>
              <w:rPr/>
              <w:t> </w:t>
            </w:r>
          </w:p>
        </w:tc>
        <w:tc>
          <w:tcPr>
            <w:tcW w:w="298" w:type="dxa"/>
            <w:tcBorders/>
            <w:shd w:fill="auto" w:val="clear"/>
            <w:vAlign w:val="center"/>
          </w:tcPr>
          <w:p>
            <w:pPr>
              <w:pStyle w:val="TableContents"/>
              <w:spacing w:before="0" w:after="0"/>
              <w:ind w:left="0" w:right="0" w:hanging="0"/>
              <w:rPr/>
            </w:pPr>
            <w:r>
              <w:rPr/>
              <w:t> </w:t>
            </w:r>
          </w:p>
        </w:tc>
        <w:tc>
          <w:tcPr>
            <w:tcW w:w="5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694</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rPr/>
            </w:pPr>
            <w:r>
              <w:rPr/>
              <w:t> </w:t>
            </w:r>
          </w:p>
        </w:tc>
        <w:tc>
          <w:tcPr>
            <w:tcW w:w="88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8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4" w:type="dxa"/>
            <w:tcBorders/>
            <w:shd w:fill="auto" w:val="clear"/>
            <w:vAlign w:val="center"/>
          </w:tcPr>
          <w:p>
            <w:pPr>
              <w:pStyle w:val="TableContents"/>
              <w:spacing w:before="0" w:after="0"/>
              <w:ind w:left="0" w:right="0" w:hanging="0"/>
              <w:rPr/>
            </w:pPr>
            <w:r>
              <w:rPr/>
              <w:t> </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694</w:t>
            </w:r>
          </w:p>
        </w:tc>
      </w:tr>
      <w:tr>
        <w:trPr/>
        <w:tc>
          <w:tcPr>
            <w:tcW w:w="208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98" w:type="dxa"/>
            <w:tcBorders/>
            <w:shd w:fill="CCEEFF" w:val="clear"/>
            <w:vAlign w:val="center"/>
          </w:tcPr>
          <w:p>
            <w:pPr>
              <w:pStyle w:val="TableContents"/>
              <w:spacing w:before="0" w:after="0"/>
              <w:ind w:left="0" w:right="0" w:hanging="0"/>
              <w:rPr/>
            </w:pPr>
            <w:r>
              <w:rPr/>
              <w:t> </w:t>
            </w:r>
          </w:p>
        </w:tc>
        <w:tc>
          <w:tcPr>
            <w:tcW w:w="5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4,340</w:t>
            </w:r>
          </w:p>
        </w:tc>
        <w:tc>
          <w:tcPr>
            <w:tcW w:w="326" w:type="dxa"/>
            <w:tcBorders/>
            <w:shd w:fill="CCEEFF" w:val="clear"/>
            <w:vAlign w:val="center"/>
          </w:tcPr>
          <w:p>
            <w:pPr>
              <w:pStyle w:val="TableContents"/>
              <w:spacing w:before="0" w:after="0"/>
              <w:ind w:left="0" w:right="0" w:hanging="0"/>
              <w:rPr/>
            </w:pPr>
            <w:r>
              <w:rPr/>
              <w:t> </w:t>
            </w:r>
          </w:p>
        </w:tc>
        <w:tc>
          <w:tcPr>
            <w:tcW w:w="336" w:type="dxa"/>
            <w:tcBorders/>
            <w:shd w:fill="CCEEFF" w:val="clear"/>
            <w:vAlign w:val="center"/>
          </w:tcPr>
          <w:p>
            <w:pPr>
              <w:pStyle w:val="TableContents"/>
              <w:spacing w:before="0" w:after="0"/>
              <w:ind w:left="0" w:right="0" w:hanging="0"/>
              <w:rPr/>
            </w:pPr>
            <w:r>
              <w:rPr/>
              <w:t> </w:t>
            </w:r>
          </w:p>
        </w:tc>
        <w:tc>
          <w:tcPr>
            <w:tcW w:w="88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8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4" w:type="dxa"/>
            <w:tcBorders/>
            <w:shd w:fill="CCEEFF" w:val="clear"/>
            <w:vAlign w:val="center"/>
          </w:tcPr>
          <w:p>
            <w:pPr>
              <w:pStyle w:val="TableContents"/>
              <w:spacing w:before="0" w:after="0"/>
              <w:ind w:left="0" w:right="0" w:hanging="0"/>
              <w:rPr/>
            </w:pPr>
            <w:r>
              <w:rPr/>
              <w:t> </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4,340</w:t>
            </w:r>
          </w:p>
        </w:tc>
      </w:tr>
      <w:tr>
        <w:trPr/>
        <w:tc>
          <w:tcPr>
            <w:tcW w:w="208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Unrealized gain on marketable securities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98" w:type="dxa"/>
            <w:tcBorders/>
            <w:shd w:fill="auto" w:val="clear"/>
            <w:vAlign w:val="center"/>
          </w:tcPr>
          <w:p>
            <w:pPr>
              <w:pStyle w:val="TableContents"/>
              <w:spacing w:before="0" w:after="0"/>
              <w:ind w:left="0" w:right="0" w:hanging="0"/>
              <w:rPr/>
            </w:pPr>
            <w:r>
              <w:rPr/>
              <w:t> </w:t>
            </w:r>
          </w:p>
        </w:tc>
        <w:tc>
          <w:tcPr>
            <w:tcW w:w="5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rPr/>
            </w:pPr>
            <w:r>
              <w:rPr/>
              <w:t> </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8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4" w:type="dxa"/>
            <w:tcBorders/>
            <w:shd w:fill="auto" w:val="clear"/>
            <w:vAlign w:val="center"/>
          </w:tcPr>
          <w:p>
            <w:pPr>
              <w:pStyle w:val="TableContents"/>
              <w:spacing w:before="0" w:after="0"/>
              <w:ind w:left="0" w:right="0" w:hanging="0"/>
              <w:rPr/>
            </w:pPr>
            <w:r>
              <w:rPr/>
              <w:t> </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r>
      <w:tr>
        <w:trPr/>
        <w:tc>
          <w:tcPr>
            <w:tcW w:w="208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2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3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(29,361)</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(29,361)</w:t>
            </w:r>
          </w:p>
        </w:tc>
      </w:tr>
      <w:tr>
        <w:trPr/>
        <w:tc>
          <w:tcPr>
            <w:tcW w:w="2085"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Consolidated balance at March 31, 2023</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47,244,681</w:t>
            </w:r>
          </w:p>
        </w:tc>
        <w:tc>
          <w:tcPr>
            <w:tcW w:w="326" w:type="dxa"/>
            <w:tcBorders/>
            <w:shd w:fill="auto" w:val="clear"/>
            <w:vAlign w:val="center"/>
          </w:tcPr>
          <w:p>
            <w:pPr>
              <w:pStyle w:val="TableContents"/>
              <w:spacing w:before="0" w:after="0"/>
              <w:ind w:left="0" w:right="0" w:hanging="0"/>
              <w:rPr/>
            </w:pPr>
            <w:r>
              <w:rPr/>
              <w:t> </w:t>
            </w:r>
          </w:p>
        </w:tc>
        <w:tc>
          <w:tcPr>
            <w:tcW w:w="29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1,585,863</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2,123</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(1,285,293)</w:t>
            </w:r>
          </w:p>
        </w:tc>
        <w:tc>
          <w:tcPr>
            <w:tcW w:w="326" w:type="dxa"/>
            <w:tcBorders/>
            <w:shd w:fill="auto" w:val="clear"/>
            <w:vAlign w:val="center"/>
          </w:tcPr>
          <w:p>
            <w:pPr>
              <w:pStyle w:val="TableContents"/>
              <w:spacing w:before="0" w:after="0"/>
              <w:ind w:left="0" w:right="0" w:hanging="0"/>
              <w:rPr/>
            </w:pPr>
            <w:r>
              <w:rPr/>
              <w:t> </w:t>
            </w:r>
          </w:p>
        </w:tc>
        <w:tc>
          <w:tcPr>
            <w:tcW w:w="21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auto" w:val="cle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302,740</w:t>
            </w:r>
          </w:p>
        </w:tc>
      </w:tr>
    </w:tbl>
    <w:p>
      <w:pPr>
        <w:pStyle w:val="TextBody"/>
        <w:spacing w:before="0" w:after="0"/>
        <w:ind w:left="0" w:right="0" w:hanging="0"/>
        <w:rPr>
          <w:smallCaps/>
        </w:rPr>
      </w:pPr>
      <w:r>
        <w:rPr>
          <w:smallCaps/>
        </w:rPr>
        <w:t>​</w:t>
      </w:r>
    </w:p>
    <w:tbl>
      <w:tblPr>
        <w:tblW w:w="10205" w:type="dxa"/>
        <w:jc w:val="left"/>
        <w:tblInd w:w="0" w:type="dxa"/>
        <w:tblCellMar>
          <w:top w:w="0" w:type="dxa"/>
          <w:left w:w="0" w:type="dxa"/>
          <w:bottom w:w="0" w:type="dxa"/>
          <w:right w:w="0" w:type="dxa"/>
        </w:tblCellMar>
      </w:tblPr>
      <w:tblGrid>
        <w:gridCol w:w="1948"/>
        <w:gridCol w:w="326"/>
        <w:gridCol w:w="916"/>
        <w:gridCol w:w="326"/>
        <w:gridCol w:w="320"/>
        <w:gridCol w:w="566"/>
        <w:gridCol w:w="326"/>
        <w:gridCol w:w="196"/>
        <w:gridCol w:w="826"/>
        <w:gridCol w:w="326"/>
        <w:gridCol w:w="325"/>
        <w:gridCol w:w="951"/>
        <w:gridCol w:w="326"/>
        <w:gridCol w:w="196"/>
        <w:gridCol w:w="910"/>
        <w:gridCol w:w="326"/>
        <w:gridCol w:w="215"/>
        <w:gridCol w:w="880"/>
      </w:tblGrid>
      <w:tr>
        <w:trPr/>
        <w:tc>
          <w:tcPr>
            <w:tcW w:w="19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81660" cy="175260"/>
                      <wp:effectExtent l="0" t="0" r="0" b="0"/>
                      <wp:wrapNone/>
                      <wp:docPr id="87" name="Frame87"/>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3200" cy="175260"/>
                      <wp:effectExtent l="0" t="0" r="0" b="0"/>
                      <wp:wrapNone/>
                      <wp:docPr id="89" name="Frame89"/>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59410" cy="175260"/>
                      <wp:effectExtent l="0" t="0" r="0" b="0"/>
                      <wp:wrapNone/>
                      <wp:docPr id="90" name="Frame90"/>
                      <a:graphic xmlns:a="http://schemas.openxmlformats.org/drawingml/2006/main">
                        <a:graphicData uri="http://schemas.microsoft.com/office/word/2010/wordprocessingShape">
                          <wps:wsp>
                            <wps:cNvSpPr txBox="1"/>
                            <wps:spPr>
                              <a:xfrm>
                                <a:off x="0" y="0"/>
                                <a:ext cx="359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4460" cy="175260"/>
                      <wp:effectExtent l="0" t="0" r="0" b="0"/>
                      <wp:wrapNone/>
                      <wp:docPr id="92" name="Frame9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24510" cy="175260"/>
                      <wp:effectExtent l="0" t="0" r="0" b="0"/>
                      <wp:wrapNone/>
                      <wp:docPr id="93" name="Frame93"/>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6375" cy="175260"/>
                      <wp:effectExtent l="0" t="0" r="0" b="0"/>
                      <wp:wrapNone/>
                      <wp:docPr id="95" name="Frame95"/>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03885" cy="175260"/>
                      <wp:effectExtent l="0" t="0" r="0" b="0"/>
                      <wp:wrapNone/>
                      <wp:docPr id="96" name="Frame96"/>
                      <a:graphic xmlns:a="http://schemas.openxmlformats.org/drawingml/2006/main">
                        <a:graphicData uri="http://schemas.microsoft.com/office/word/2010/wordprocessingShape">
                          <wps:wsp>
                            <wps:cNvSpPr txBox="1"/>
                            <wps:spPr>
                              <a:xfrm>
                                <a:off x="0" y="0"/>
                                <a:ext cx="603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8" name="Frame9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77850" cy="175260"/>
                      <wp:effectExtent l="0" t="0" r="0" b="0"/>
                      <wp:wrapNone/>
                      <wp:docPr id="99" name="Frame99"/>
                      <a:graphic xmlns:a="http://schemas.openxmlformats.org/drawingml/2006/main">
                        <a:graphicData uri="http://schemas.microsoft.com/office/word/2010/wordprocessingShape">
                          <wps:wsp>
                            <wps:cNvSpPr txBox="1"/>
                            <wps:spPr>
                              <a:xfrm>
                                <a:off x="0" y="0"/>
                                <a:ext cx="577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6525" cy="175260"/>
                      <wp:effectExtent l="0" t="0" r="0" b="0"/>
                      <wp:wrapNone/>
                      <wp:docPr id="101" name="Frame101"/>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58800" cy="175260"/>
                      <wp:effectExtent l="0" t="0" r="0" b="0"/>
                      <wp:wrapNone/>
                      <wp:docPr id="102" name="Frame102"/>
                      <a:graphic xmlns:a="http://schemas.openxmlformats.org/drawingml/2006/main">
                        <a:graphicData uri="http://schemas.microsoft.com/office/word/2010/wordprocessingShape">
                          <wps:wsp>
                            <wps:cNvSpPr txBox="1"/>
                            <wps:spPr>
                              <a:xfrm>
                                <a:off x="0" y="0"/>
                                <a:ext cx="558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jc w:val="center"/>
              <w:rPr/>
            </w:pPr>
            <w:r>
              <w:rPr/>
              <w:t>​</w:t>
            </w:r>
          </w:p>
        </w:tc>
        <w:tc>
          <w:tcPr>
            <w:tcW w:w="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jc w:val="center"/>
              <w:rPr/>
            </w:pPr>
            <w:r>
              <w:rPr/>
              <w:t>​</w:t>
            </w:r>
          </w:p>
        </w:tc>
        <w:tc>
          <w:tcPr>
            <w:tcW w:w="9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5" w:type="dxa"/>
            <w:tcBorders/>
            <w:shd w:fill="auto" w:val="clear"/>
            <w:vAlign w:val="center"/>
          </w:tcPr>
          <w:p>
            <w:pPr>
              <w:pStyle w:val="TableContents"/>
              <w:spacing w:before="0" w:after="0"/>
              <w:ind w:left="0" w:right="0" w:hanging="0"/>
              <w:jc w:val="center"/>
              <w:rPr/>
            </w:pPr>
            <w:r>
              <w:rPr/>
              <w:t>​</w:t>
            </w:r>
          </w:p>
        </w:tc>
        <w:tc>
          <w:tcPr>
            <w:tcW w:w="880" w:type="dxa"/>
            <w:tcBorders/>
            <w:shd w:fill="auto" w:val="clear"/>
            <w:vAlign w:val="center"/>
          </w:tcPr>
          <w:p>
            <w:pPr>
              <w:pStyle w:val="TableContents"/>
              <w:spacing w:before="0" w:after="0"/>
              <w:ind w:left="0" w:right="0" w:hanging="0"/>
              <w:rPr/>
            </w:pPr>
            <w:r>
              <w:rPr/>
              <w:t>​</w:t>
            </w:r>
          </w:p>
        </w:tc>
      </w:tr>
      <w:tr>
        <w:trPr/>
        <w:tc>
          <w:tcPr>
            <w:tcW w:w="19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shd w:fill="auto" w:val="clear"/>
            <w:vAlign w:val="center"/>
          </w:tcPr>
          <w:p>
            <w:pPr>
              <w:pStyle w:val="TableContents"/>
              <w:spacing w:before="0" w:after="0"/>
              <w:ind w:left="0" w:right="0" w:hanging="0"/>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9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Stock</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Stock Par</w:t>
            </w:r>
          </w:p>
        </w:tc>
        <w:tc>
          <w:tcPr>
            <w:tcW w:w="326" w:type="dxa"/>
            <w:tcBorders/>
            <w:shd w:fill="auto" w:val="clear"/>
            <w:vAlign w:val="center"/>
          </w:tcPr>
          <w:p>
            <w:pPr>
              <w:pStyle w:val="TableContents"/>
              <w:spacing w:before="0" w:after="0"/>
              <w:ind w:left="0" w:right="0" w:hanging="0"/>
              <w:rPr/>
            </w:pPr>
            <w:r>
              <w:rPr/>
              <w:t>​</w:t>
            </w:r>
          </w:p>
        </w:tc>
        <w:tc>
          <w:tcPr>
            <w:tcW w:w="102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11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0"/>
              <w:ind w:left="0" w:right="0" w:hanging="0"/>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Income</w:t>
            </w:r>
          </w:p>
        </w:tc>
        <w:tc>
          <w:tcPr>
            <w:tcW w:w="326" w:type="dxa"/>
            <w:tcBorders/>
            <w:shd w:fill="auto" w:val="clear"/>
            <w:vAlign w:val="center"/>
          </w:tcPr>
          <w:p>
            <w:pPr>
              <w:pStyle w:val="TableContents"/>
              <w:spacing w:before="0" w:after="0"/>
              <w:ind w:left="0" w:right="0" w:hanging="0"/>
              <w:rPr/>
            </w:pPr>
            <w:r>
              <w:rPr/>
              <w:t>​</w:t>
            </w:r>
          </w:p>
        </w:tc>
        <w:tc>
          <w:tcPr>
            <w:tcW w:w="11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Equity</w:t>
            </w:r>
          </w:p>
        </w:tc>
      </w:tr>
      <w:tr>
        <w:trPr/>
        <w:tc>
          <w:tcPr>
            <w:tcW w:w="10205" w:type="dxa"/>
            <w:gridSpan w:val="18"/>
            <w:tcBorders/>
            <w:shd w:fill="auto" w:val="clear"/>
            <w:vAlign w:val="center"/>
          </w:tcPr>
          <w:p>
            <w:pPr>
              <w:pStyle w:val="TableContents"/>
              <w:spacing w:before="0" w:after="283"/>
              <w:ind w:left="0" w:right="0" w:hanging="0"/>
              <w:rPr>
                <w:sz w:val="4"/>
                <w:szCs w:val="4"/>
              </w:rPr>
            </w:pPr>
            <w:r>
              <w:rPr>
                <w:sz w:val="4"/>
                <w:szCs w:val="4"/>
              </w:rPr>
            </w:r>
          </w:p>
        </w:tc>
      </w:tr>
      <w:tr>
        <w:trPr/>
        <w:tc>
          <w:tcPr>
            <w:tcW w:w="19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31" w:type="dxa"/>
            <w:gridSpan w:val="1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948"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Consolidated balance at December 31, 2021</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46,730,198</w:t>
            </w:r>
          </w:p>
        </w:tc>
        <w:tc>
          <w:tcPr>
            <w:tcW w:w="32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1,561,142</w:t>
            </w:r>
          </w:p>
        </w:tc>
        <w:tc>
          <w:tcPr>
            <w:tcW w:w="326"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(1,143,607)</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419,476</w:t>
            </w:r>
          </w:p>
        </w:tc>
      </w:tr>
      <w:tr>
        <w:trPr/>
        <w:tc>
          <w:tcPr>
            <w:tcW w:w="194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24,150</w:t>
            </w:r>
          </w:p>
        </w:tc>
        <w:tc>
          <w:tcPr>
            <w:tcW w:w="32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326"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 </w:t>
            </w:r>
          </w:p>
        </w:tc>
        <w:tc>
          <w:tcPr>
            <w:tcW w:w="9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r>
      <w:tr>
        <w:trPr/>
        <w:tc>
          <w:tcPr>
            <w:tcW w:w="194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pPr>
            <w:r>
              <w:rPr/>
              <w:t> </w:t>
            </w:r>
          </w:p>
        </w:tc>
        <w:tc>
          <w:tcPr>
            <w:tcW w:w="5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3,153</w:t>
            </w:r>
          </w:p>
        </w:tc>
        <w:tc>
          <w:tcPr>
            <w:tcW w:w="326"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pPr>
            <w:r>
              <w:rPr/>
              <w:t> </w:t>
            </w:r>
          </w:p>
        </w:tc>
        <w:tc>
          <w:tcPr>
            <w:tcW w:w="9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3,153</w:t>
            </w:r>
          </w:p>
        </w:tc>
      </w:tr>
      <w:tr>
        <w:trPr/>
        <w:tc>
          <w:tcPr>
            <w:tcW w:w="194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Unrealized loss on marketable securities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 </w:t>
            </w:r>
          </w:p>
        </w:tc>
        <w:tc>
          <w:tcPr>
            <w:tcW w:w="9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(1,782)</w:t>
            </w:r>
          </w:p>
        </w:tc>
      </w:tr>
      <w:tr>
        <w:trPr/>
        <w:tc>
          <w:tcPr>
            <w:tcW w:w="194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(23,050)</w:t>
            </w:r>
          </w:p>
        </w:tc>
        <w:tc>
          <w:tcPr>
            <w:tcW w:w="326"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(23,050)</w:t>
            </w:r>
          </w:p>
        </w:tc>
      </w:tr>
      <w:tr>
        <w:trPr/>
        <w:tc>
          <w:tcPr>
            <w:tcW w:w="1948"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Consolidated balance at March 31, 2022</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46,754,348</w:t>
            </w:r>
          </w:p>
        </w:tc>
        <w:tc>
          <w:tcPr>
            <w:tcW w:w="32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1,564,599</w:t>
            </w:r>
          </w:p>
        </w:tc>
        <w:tc>
          <w:tcPr>
            <w:tcW w:w="326"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(1,166,657)</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0" w:type="dxa"/>
            <w:tcBorders/>
            <w:shd w:fill="auto" w:val="cle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398,101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505" w:name="Tc_5OPflLFMe0qAbH-EsMt5Pg_6_0"/>
      <w:bookmarkStart w:id="506" w:name="Tc_3Eu7t5mqb0yAE_GnPruM6Q_5_4"/>
      <w:bookmarkStart w:id="507" w:name="Tc_bqEYj6WVukmtzpd84OnoCQ_5_2"/>
      <w:bookmarkStart w:id="508" w:name="Tc_-08TYG99DUG-JsfQYA1SOQ_5_0"/>
      <w:bookmarkStart w:id="509" w:name="Tc_g82V6HvxVkuG2BpOXU2C-w_4_4"/>
      <w:bookmarkStart w:id="510" w:name="Tc_gf5wxg6r0kap7QP1HtHIYg_4_2"/>
      <w:bookmarkStart w:id="511" w:name="Tc_ud5VEN1pU0qV7QU3a3cl5g_4_0"/>
      <w:bookmarkStart w:id="512" w:name="Tc_s-TFOr30QkqlZdaoK5ZPrg_3_4"/>
      <w:bookmarkStart w:id="513" w:name="Tc_bG7QlxDXEEerzUA_yMoi4Q_3_0"/>
      <w:bookmarkStart w:id="514" w:name="Tc_dR2xmrsqVUKbppF9y2IRQA_2_4"/>
      <w:bookmarkStart w:id="515" w:name="Tc__tKMLnKPn06g0SmVPB33Lg_2_2"/>
      <w:bookmarkStart w:id="516" w:name="Tc_jCHl_kaYhUuuQbkHTdGWag_1_2"/>
      <w:bookmarkStart w:id="517" w:name="Tc_5V6X2dkWS0mmHW-2gihHLA_6_5"/>
      <w:bookmarkStart w:id="518" w:name="Tc_47GcpymjK0K6_1cd7RKWWQ_6_2"/>
      <w:bookmarkStart w:id="519" w:name="Tc_o8w-oUI2Wkm29U-39sLRIA_6_0"/>
      <w:bookmarkStart w:id="520" w:name="Tc_VPI7pOJ6WkeFueyRBYOmSA_5_0"/>
      <w:bookmarkStart w:id="521" w:name="Tc_gLhMs_-VAUSRDdBdcALbKw_4_5"/>
      <w:bookmarkStart w:id="522" w:name="Tc_N1Ws3y6MWkWpwkgUIK7oBg_4_2"/>
      <w:bookmarkStart w:id="523" w:name="Tc_v50eL1pLR0u3C4a0V3nx7g_4_0"/>
      <w:bookmarkStart w:id="524" w:name="Tc_gVxQIHXTJEuCgj1NUwA0og_3_2"/>
      <w:bookmarkStart w:id="525" w:name="Tc_LSYqu_kCg0-hKYMSPVxzPA_2_5"/>
      <w:bookmarkStart w:id="526" w:name="Tc_AgC1bhqdw0SgdKUOcPr8Dg_2_2"/>
      <w:bookmarkStart w:id="527" w:name="Tc_ERGRCJvPzkO6UWzoC5FZIQ_1_2"/>
      <w:bookmarkStart w:id="528" w:name="_208d867e_68e7_470e_b6b2_7f922333a701"/>
      <w:bookmarkStart w:id="529" w:name="Tc_06lbTHoC4keIN3mpcqj92w_13_0"/>
      <w:bookmarkStart w:id="530" w:name="Tc_rVg0u89U3E6HnLIAscQ7dg_12_4"/>
      <w:bookmarkStart w:id="531" w:name="Tc_e2c8dHPzTUSYGhuBZh5z5w_12_0"/>
      <w:bookmarkStart w:id="532" w:name="Tc_atkN7zeFCEKDHLAz7K4BWQ_11_4"/>
      <w:bookmarkStart w:id="533" w:name="Tc_5udbZ_ykhEiG9ew5gKvbeQ_11_0"/>
      <w:bookmarkStart w:id="534" w:name="Tc_GAbdB2aO-E25yESf6MbeAg_10_4"/>
      <w:bookmarkStart w:id="535" w:name="Tc_vDzqXSKblUSM5EnHJIGTIQ_10_0"/>
      <w:bookmarkStart w:id="536" w:name="Tc_cganEeYvGUaPTOKzBWbr2Q_9_4"/>
      <w:bookmarkStart w:id="537" w:name="Tc_GU4OurUQ1Uq8ALavtYbAOQ_9_0"/>
      <w:bookmarkStart w:id="538" w:name="Tc_KTY1HxVMzkqgsZIT-HpISw_8_4"/>
      <w:bookmarkStart w:id="539" w:name="Tc_skIiQfOW40uUQnhFxrYrIw_8_0"/>
      <w:bookmarkStart w:id="540" w:name="Tc_FTNi9d1w_E6fneZy6CidJQ_7_4"/>
      <w:bookmarkStart w:id="541" w:name="Tc_qxMDeabu5ku4fap1wnK5Ww_7_0"/>
      <w:bookmarkStart w:id="542" w:name="Tc_YMuHkCtuwk2gbJ992knpAA_6_4"/>
      <w:bookmarkStart w:id="543" w:name="Tc_LCarWiSPb0u1iyRQC6sNxQ_6_0"/>
      <w:bookmarkStart w:id="544" w:name="Tc_5FbFyROdpUWQedMUUGmqSA_5_7"/>
      <w:bookmarkStart w:id="545" w:name="Tc_w7DnzLoF10GOx3whVYTh3A_5_4"/>
      <w:bookmarkStart w:id="546" w:name="Tc_4QXfec8T8Uac1eGlN4EFXw_5_2"/>
      <w:bookmarkStart w:id="547" w:name="Tc_Cl5GTw3SRE2BJzFKl8PcVQ_4_7"/>
      <w:bookmarkStart w:id="548" w:name="Tc_S6qlxWDoKEiVaMnacJUJ_w_4_4"/>
      <w:bookmarkStart w:id="549" w:name="Tc_1XC8n3AGyU-Uf3Sa1We3Sg_3_7"/>
      <w:bookmarkStart w:id="550" w:name="Tc_4QjMV04iFk-xX_fJxc6sPA_3_4"/>
      <w:bookmarkStart w:id="551" w:name="Tc_qx4uRMpmRUuBrA0dBONIAw_2_7"/>
      <w:bookmarkStart w:id="552" w:name="Tc_Xr62MABDEUqY5eshXyoUsw_2_4"/>
      <w:bookmarkStart w:id="553" w:name="Tc_Ghc51zyp8UOQmWNF1-DUqg_1_7"/>
      <w:bookmarkStart w:id="554" w:name="Tc_enl4iL9sJ0WPNh_JwSBPRg_1_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Pr>
          <w:rFonts w:ascii="Times New Roman;Times;serif" w:hAnsi="Times New Roman;Times;serif"/>
          <w:b/>
          <w:sz w:val="20"/>
        </w:rPr>
        <w:t>(8)  Stock-Based Compensation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summary of stock option activity for the three months ended March 31, 2023 is as follows:</w:t>
      </w:r>
    </w:p>
    <w:p>
      <w:pPr>
        <w:pStyle w:val="TextBody"/>
        <w:spacing w:before="0" w:after="0"/>
        <w:ind w:left="0" w:right="0" w:hanging="0"/>
        <w:rPr/>
      </w:pPr>
      <w:r>
        <w:rPr/>
        <w:t>​</w:t>
      </w:r>
    </w:p>
    <w:tbl>
      <w:tblPr>
        <w:tblW w:w="8632" w:type="dxa"/>
        <w:jc w:val="left"/>
        <w:tblInd w:w="0" w:type="dxa"/>
        <w:tblCellMar>
          <w:top w:w="0" w:type="dxa"/>
          <w:left w:w="0" w:type="dxa"/>
          <w:bottom w:w="0" w:type="dxa"/>
          <w:right w:w="0" w:type="dxa"/>
        </w:tblCellMar>
      </w:tblPr>
      <w:tblGrid>
        <w:gridCol w:w="4576"/>
        <w:gridCol w:w="326"/>
        <w:gridCol w:w="931"/>
        <w:gridCol w:w="326"/>
        <w:gridCol w:w="222"/>
        <w:gridCol w:w="604"/>
        <w:gridCol w:w="326"/>
        <w:gridCol w:w="1321"/>
      </w:tblGrid>
      <w:tr>
        <w:trPr/>
        <w:tc>
          <w:tcPr>
            <w:tcW w:w="4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905760" cy="175260"/>
                      <wp:effectExtent l="0" t="0" r="0" b="0"/>
                      <wp:wrapNone/>
                      <wp:docPr id="103" name="Frame103"/>
                      <a:graphic xmlns:a="http://schemas.openxmlformats.org/drawingml/2006/main">
                        <a:graphicData uri="http://schemas.microsoft.com/office/word/2010/wordprocessingShape">
                          <wps:wsp>
                            <wps:cNvSpPr txBox="1"/>
                            <wps:spPr>
                              <a:xfrm>
                                <a:off x="0" y="0"/>
                                <a:ext cx="2905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5" name="Frame10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0970" cy="175260"/>
                      <wp:effectExtent l="0" t="0" r="0" b="0"/>
                      <wp:wrapNone/>
                      <wp:docPr id="107" name="Frame107"/>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83540" cy="175260"/>
                      <wp:effectExtent l="0" t="0" r="0" b="0"/>
                      <wp:wrapNone/>
                      <wp:docPr id="108" name="Frame108"/>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838835" cy="175260"/>
                      <wp:effectExtent l="0" t="0" r="0" b="0"/>
                      <wp:wrapNone/>
                      <wp:docPr id="110" name="Frame110"/>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4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0"/>
              <w:ind w:left="0" w:right="0" w:hanging="0"/>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45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5,085,662</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45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Granted </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26,900</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43.17</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pPr>
            <w:r>
              <w:rPr/>
              <w:t>​</w:t>
            </w:r>
          </w:p>
        </w:tc>
      </w:tr>
      <w:tr>
        <w:trPr/>
        <w:tc>
          <w:tcPr>
            <w:tcW w:w="45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(37,492)</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pPr>
            <w:r>
              <w:rPr/>
              <w:t>​</w:t>
            </w:r>
          </w:p>
        </w:tc>
      </w:tr>
      <w:tr>
        <w:trPr/>
        <w:tc>
          <w:tcPr>
            <w:tcW w:w="45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Canceled </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(107,306)</w:t>
            </w:r>
          </w:p>
        </w:tc>
        <w:tc>
          <w:tcPr>
            <w:tcW w:w="326" w:type="dxa"/>
            <w:tcBorders/>
            <w:shd w:fill="auto" w:val="clear"/>
            <w:vAlign w:val="center"/>
          </w:tcPr>
          <w:p>
            <w:pPr>
              <w:pStyle w:val="TableContents"/>
              <w:spacing w:before="0" w:after="0"/>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326" w:type="dxa"/>
            <w:tcBorders/>
            <w:shd w:fill="auto" w:val="clear"/>
            <w:vAlign w:val="center"/>
          </w:tcPr>
          <w:p>
            <w:pPr>
              <w:pStyle w:val="TableContents"/>
              <w:spacing w:before="0" w:after="0"/>
              <w:ind w:left="0" w:right="0" w:hanging="0"/>
              <w:rPr/>
            </w:pPr>
            <w:r>
              <w:rPr/>
              <w:t>​</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5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outstanding at March 31, 2023</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4,967,764</w:t>
            </w:r>
          </w:p>
        </w:tc>
        <w:tc>
          <w:tcPr>
            <w:tcW w:w="326" w:type="dxa"/>
            <w:tcBorders/>
            <w:shd w:fill="CCEEFF" w:val="clear"/>
            <w:vAlign w:val="center"/>
          </w:tcPr>
          <w:p>
            <w:pPr>
              <w:pStyle w:val="TableContents"/>
              <w:spacing w:before="0" w:after="0"/>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326" w:type="dxa"/>
            <w:tcBorders/>
            <w:shd w:fill="CCEEFF" w:val="clear"/>
            <w:vAlign w:val="center"/>
          </w:tcPr>
          <w:p>
            <w:pPr>
              <w:pStyle w:val="TableContents"/>
              <w:spacing w:before="0" w:after="0"/>
              <w:ind w:left="0" w:right="0" w:hanging="0"/>
              <w:rPr/>
            </w:pPr>
            <w:r>
              <w:rPr/>
              <w:t>​</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5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vested and expected to vest at March 31, 2023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4,884,568</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29.72</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5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exercisable at March 31, 2023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2,273,841</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38.18</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45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available for grant under the 2021 Plan</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1,918,374</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pPr>
            <w:r>
              <w:rPr/>
              <w:t>​</w:t>
            </w:r>
          </w:p>
        </w:tc>
        <w:tc>
          <w:tcPr>
            <w:tcW w:w="6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months ended March 31, 2023 was $33.25.</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aggregate intrinsic value of stock options vested and expected to vest at March 31, 2023 was $78.1 million. The aggregate intrinsic value of stock options exercisable at March 31, 2023 was $42.0 million. As of March 31, 2023, total compensation cost related to non-vested employee, consultant and non-employee director stock options not yet recognized was approximately $38.3 million, net of estimated forfeitures, which is expected to be recognized as expense over a weighted average period of 2.5 years.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Stock-based compensation expense for the three months ended March 31, 2023 and 2022 was recorded as follows:</w:t>
      </w:r>
    </w:p>
    <w:p>
      <w:pPr>
        <w:pStyle w:val="TextBody"/>
        <w:spacing w:before="0" w:after="0"/>
        <w:ind w:left="0" w:right="0" w:hanging="0"/>
        <w:rPr/>
      </w:pPr>
      <w:r>
        <w:rPr/>
        <w:t>​</w:t>
      </w:r>
    </w:p>
    <w:tbl>
      <w:tblPr>
        <w:tblW w:w="6265" w:type="dxa"/>
        <w:jc w:val="left"/>
        <w:tblInd w:w="0" w:type="dxa"/>
        <w:tblCellMar>
          <w:top w:w="0" w:type="dxa"/>
          <w:left w:w="0" w:type="dxa"/>
          <w:bottom w:w="0" w:type="dxa"/>
          <w:right w:w="0" w:type="dxa"/>
        </w:tblCellMar>
      </w:tblPr>
      <w:tblGrid>
        <w:gridCol w:w="3496"/>
        <w:gridCol w:w="326"/>
        <w:gridCol w:w="258"/>
        <w:gridCol w:w="700"/>
        <w:gridCol w:w="399"/>
        <w:gridCol w:w="258"/>
        <w:gridCol w:w="828"/>
      </w:tblGrid>
      <w:tr>
        <w:trPr/>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19960" cy="175260"/>
                      <wp:effectExtent l="0" t="0" r="0" b="0"/>
                      <wp:wrapNone/>
                      <wp:docPr id="111" name="Frame111"/>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3830" cy="175260"/>
                      <wp:effectExtent l="0" t="0" r="0" b="0"/>
                      <wp:wrapNone/>
                      <wp:docPr id="113" name="Frame113"/>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44500" cy="175260"/>
                      <wp:effectExtent l="0" t="0" r="0" b="0"/>
                      <wp:wrapNone/>
                      <wp:docPr id="114" name="Frame114"/>
                      <a:graphic xmlns:a="http://schemas.openxmlformats.org/drawingml/2006/main">
                        <a:graphicData uri="http://schemas.microsoft.com/office/word/2010/wordprocessingShape">
                          <wps:wsp>
                            <wps:cNvSpPr txBox="1"/>
                            <wps:spPr>
                              <a:xfrm>
                                <a:off x="0" y="0"/>
                                <a:ext cx="444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53365" cy="175260"/>
                      <wp:effectExtent l="0" t="0" r="0" b="0"/>
                      <wp:wrapNone/>
                      <wp:docPr id="115" name="Frame115"/>
                      <a:graphic xmlns:a="http://schemas.openxmlformats.org/drawingml/2006/main">
                        <a:graphicData uri="http://schemas.microsoft.com/office/word/2010/wordprocessingShape">
                          <wps:wsp>
                            <wps:cNvSpPr txBox="1"/>
                            <wps:spPr>
                              <a:xfrm>
                                <a:off x="0" y="0"/>
                                <a:ext cx="253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3830" cy="175260"/>
                      <wp:effectExtent l="0" t="0" r="0" b="0"/>
                      <wp:wrapNone/>
                      <wp:docPr id="116" name="Frame116"/>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25780" cy="175260"/>
                      <wp:effectExtent l="0" t="0" r="0" b="0"/>
                      <wp:wrapNone/>
                      <wp:docPr id="117" name="Frame117"/>
                      <a:graphic xmlns:a="http://schemas.openxmlformats.org/drawingml/2006/main">
                        <a:graphicData uri="http://schemas.microsoft.com/office/word/2010/wordprocessingShape">
                          <wps:wsp>
                            <wps:cNvSpPr txBox="1"/>
                            <wps:spPr>
                              <a:xfrm>
                                <a:off x="0" y="0"/>
                                <a:ext cx="525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5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9" w:type="dxa"/>
            <w:tcBorders/>
            <w:shd w:fill="auto" w:val="clear"/>
            <w:vAlign w:val="center"/>
          </w:tcPr>
          <w:p>
            <w:pPr>
              <w:pStyle w:val="TableContents"/>
              <w:spacing w:before="0" w:after="0"/>
              <w:ind w:left="0" w:right="0" w:hanging="0"/>
              <w:rPr/>
            </w:pPr>
            <w:r>
              <w:rPr/>
              <w:t>    </w:t>
            </w:r>
          </w:p>
        </w:tc>
        <w:tc>
          <w:tcPr>
            <w:tcW w:w="10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26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spacing w:before="0" w:after="0"/>
              <w:ind w:left="0" w:right="0" w:hanging="0"/>
              <w:rPr/>
            </w:pPr>
            <w:r>
              <w:rPr/>
              <w:t>​</w:t>
            </w:r>
          </w:p>
        </w:tc>
        <w:tc>
          <w:tcPr>
            <w:tcW w:w="25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c>
          <w:tcPr>
            <w:tcW w:w="399" w:type="dxa"/>
            <w:tcBorders/>
            <w:shd w:fill="CCEEFF" w:val="clear"/>
            <w:vAlign w:val="center"/>
          </w:tcPr>
          <w:p>
            <w:pPr>
              <w:pStyle w:val="TableContents"/>
              <w:spacing w:before="0" w:after="0"/>
              <w:ind w:left="0" w:right="0" w:hanging="0"/>
              <w:rPr/>
            </w:pPr>
            <w:r>
              <w:rPr/>
              <w:t>​</w:t>
            </w:r>
          </w:p>
        </w:tc>
        <w:tc>
          <w:tcPr>
            <w:tcW w:w="25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shd w:fill="auto" w:val="clear"/>
            <w:vAlign w:val="center"/>
          </w:tcPr>
          <w:p>
            <w:pPr>
              <w:pStyle w:val="TableContents"/>
              <w:spacing w:before="0" w:after="0"/>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99" w:type="dxa"/>
            <w:tcBorders/>
            <w:shd w:fill="auto" w:val="clear"/>
            <w:vAlign w:val="center"/>
          </w:tcPr>
          <w:p>
            <w:pPr>
              <w:pStyle w:val="TableContents"/>
              <w:spacing w:before="0" w:after="0"/>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26" w:type="dxa"/>
            <w:tcBorders/>
            <w:shd w:fill="CCEEFF" w:val="clear"/>
            <w:vAlign w:val="center"/>
          </w:tcPr>
          <w:p>
            <w:pPr>
              <w:pStyle w:val="TableContents"/>
              <w:spacing w:before="0" w:after="0"/>
              <w:ind w:left="0" w:right="0" w:hanging="0"/>
              <w:rPr/>
            </w:pPr>
            <w:r>
              <w:rPr/>
              <w:t>​</w:t>
            </w:r>
          </w:p>
        </w:tc>
        <w:tc>
          <w:tcPr>
            <w:tcW w:w="25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c>
          <w:tcPr>
            <w:tcW w:w="399" w:type="dxa"/>
            <w:tcBorders/>
            <w:shd w:fill="CCEEFF" w:val="clear"/>
            <w:vAlign w:val="center"/>
          </w:tcPr>
          <w:p>
            <w:pPr>
              <w:pStyle w:val="TableContents"/>
              <w:spacing w:before="0" w:after="0"/>
              <w:ind w:left="0" w:right="0" w:hanging="0"/>
              <w:rPr/>
            </w:pPr>
            <w:r>
              <w:rPr/>
              <w:t>​</w:t>
            </w:r>
          </w:p>
        </w:tc>
        <w:tc>
          <w:tcPr>
            <w:tcW w:w="25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3,153</w:t>
            </w:r>
          </w:p>
        </w:tc>
      </w:tr>
    </w:tbl>
    <w:p>
      <w:pPr>
        <w:pStyle w:val="TextBody"/>
        <w:spacing w:before="0" w:after="0"/>
        <w:ind w:left="0" w:right="0" w:hanging="0"/>
        <w:rPr/>
      </w:pPr>
      <w:r>
        <w:rPr/>
        <w:t>​</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The fair values of employee, consultant and non-employee director stock options granted during the three months ended March 31, 2023 and 2022 were valued using the Black-Scholes option pricing model with the following assumptions:</w:t>
      </w:r>
    </w:p>
    <w:p>
      <w:pPr>
        <w:pStyle w:val="TextBody"/>
        <w:spacing w:before="0" w:after="0"/>
        <w:ind w:left="0" w:right="0" w:hanging="0"/>
        <w:rPr/>
      </w:pPr>
      <w:r>
        <w:rPr/>
        <w:t>​</w:t>
      </w:r>
    </w:p>
    <w:tbl>
      <w:tblPr>
        <w:tblW w:w="5442" w:type="dxa"/>
        <w:jc w:val="left"/>
        <w:tblInd w:w="0" w:type="dxa"/>
        <w:tblCellMar>
          <w:top w:w="0" w:type="dxa"/>
          <w:left w:w="0" w:type="dxa"/>
          <w:bottom w:w="0" w:type="dxa"/>
          <w:right w:w="0" w:type="dxa"/>
        </w:tblCellMar>
      </w:tblPr>
      <w:tblGrid>
        <w:gridCol w:w="2671"/>
        <w:gridCol w:w="326"/>
        <w:gridCol w:w="1019"/>
        <w:gridCol w:w="357"/>
        <w:gridCol w:w="1069"/>
      </w:tblGrid>
      <w:tr>
        <w:trPr/>
        <w:tc>
          <w:tcPr>
            <w:tcW w:w="2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96085" cy="175260"/>
                      <wp:effectExtent l="0" t="0" r="0" b="0"/>
                      <wp:wrapNone/>
                      <wp:docPr id="118" name="Frame118"/>
                      <a:graphic xmlns:a="http://schemas.openxmlformats.org/drawingml/2006/main">
                        <a:graphicData uri="http://schemas.microsoft.com/office/word/2010/wordprocessingShape">
                          <wps:wsp>
                            <wps:cNvSpPr txBox="1"/>
                            <wps:spPr>
                              <a:xfrm>
                                <a:off x="0" y="0"/>
                                <a:ext cx="1696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7065" cy="175260"/>
                      <wp:effectExtent l="0" t="0" r="0" b="0"/>
                      <wp:wrapNone/>
                      <wp:docPr id="120" name="Frame120"/>
                      <a:graphic xmlns:a="http://schemas.openxmlformats.org/drawingml/2006/main">
                        <a:graphicData uri="http://schemas.microsoft.com/office/word/2010/wordprocessingShape">
                          <wps:wsp>
                            <wps:cNvSpPr txBox="1"/>
                            <wps:spPr>
                              <a:xfrm>
                                <a:off x="0" y="0"/>
                                <a:ext cx="647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26695" cy="175260"/>
                      <wp:effectExtent l="0" t="0" r="0" b="0"/>
                      <wp:wrapNone/>
                      <wp:docPr id="121" name="Frame121"/>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78815" cy="175260"/>
                      <wp:effectExtent l="0" t="0" r="0" b="0"/>
                      <wp:wrapNone/>
                      <wp:docPr id="122" name="Frame122"/>
                      <a:graphic xmlns:a="http://schemas.openxmlformats.org/drawingml/2006/main">
                        <a:graphicData uri="http://schemas.microsoft.com/office/word/2010/wordprocessingShape">
                          <wps:wsp>
                            <wps:cNvSpPr txBox="1"/>
                            <wps:spPr>
                              <a:xfrm>
                                <a:off x="0" y="0"/>
                                <a:ext cx="678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6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01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7" w:type="dxa"/>
            <w:tcBorders/>
            <w:shd w:fill="auto" w:val="clear"/>
            <w:vAlign w:val="center"/>
          </w:tcPr>
          <w:p>
            <w:pPr>
              <w:pStyle w:val="TableContents"/>
              <w:spacing w:before="0" w:after="0"/>
              <w:ind w:left="0" w:right="0" w:hanging="0"/>
              <w:rPr/>
            </w:pPr>
            <w:r>
              <w:rPr/>
              <w:t>    </w:t>
            </w:r>
          </w:p>
        </w:tc>
        <w:tc>
          <w:tcPr>
            <w:tcW w:w="106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Expected stock price volatility </w:t>
            </w:r>
          </w:p>
        </w:tc>
        <w:tc>
          <w:tcPr>
            <w:tcW w:w="326" w:type="dxa"/>
            <w:tcBorders/>
            <w:shd w:fill="CCEEFF" w:val="clear"/>
            <w:vAlign w:val="center"/>
          </w:tcPr>
          <w:p>
            <w:pPr>
              <w:pStyle w:val="TableContents"/>
              <w:spacing w:before="0" w:after="0"/>
              <w:ind w:left="0" w:right="0" w:hanging="0"/>
              <w:rPr/>
            </w:pPr>
            <w:r>
              <w:rPr/>
              <w:t> </w:t>
            </w:r>
          </w:p>
        </w:tc>
        <w:tc>
          <w:tcPr>
            <w:tcW w:w="101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c>
          <w:tcPr>
            <w:tcW w:w="357" w:type="dxa"/>
            <w:tcBorders/>
            <w:shd w:fill="CCEEFF" w:val="clear"/>
            <w:vAlign w:val="center"/>
          </w:tcPr>
          <w:p>
            <w:pPr>
              <w:pStyle w:val="TableContents"/>
              <w:spacing w:before="0" w:after="0"/>
              <w:ind w:left="0" w:right="0" w:hanging="0"/>
              <w:rPr/>
            </w:pPr>
            <w:r>
              <w:rPr/>
              <w:t>​</w:t>
            </w:r>
          </w:p>
        </w:tc>
        <w:tc>
          <w:tcPr>
            <w:tcW w:w="106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91 - 97%</w:t>
            </w:r>
          </w:p>
        </w:tc>
      </w:tr>
      <w:tr>
        <w:trPr/>
        <w:tc>
          <w:tcPr>
            <w:tcW w:w="26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Expected option term </w:t>
            </w:r>
          </w:p>
        </w:tc>
        <w:tc>
          <w:tcPr>
            <w:tcW w:w="326" w:type="dxa"/>
            <w:tcBorders/>
            <w:shd w:fill="auto" w:val="clear"/>
            <w:vAlign w:val="center"/>
          </w:tcPr>
          <w:p>
            <w:pPr>
              <w:pStyle w:val="TableContents"/>
              <w:spacing w:before="0" w:after="0"/>
              <w:ind w:left="0" w:right="0" w:hanging="0"/>
              <w:rPr/>
            </w:pPr>
            <w:r>
              <w:rPr/>
              <w:t> </w:t>
            </w:r>
          </w:p>
        </w:tc>
        <w:tc>
          <w:tcPr>
            <w:tcW w:w="10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57" w:type="dxa"/>
            <w:tcBorders/>
            <w:shd w:fill="auto" w:val="clear"/>
            <w:vAlign w:val="center"/>
          </w:tcPr>
          <w:p>
            <w:pPr>
              <w:pStyle w:val="TableContents"/>
              <w:spacing w:before="0" w:after="0"/>
              <w:ind w:left="0" w:right="0" w:hanging="0"/>
              <w:rPr/>
            </w:pPr>
            <w:r>
              <w:rPr/>
              <w:t>​</w:t>
            </w:r>
          </w:p>
        </w:tc>
        <w:tc>
          <w:tcPr>
            <w:tcW w:w="106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Risk-free interest rate </w:t>
            </w:r>
          </w:p>
        </w:tc>
        <w:tc>
          <w:tcPr>
            <w:tcW w:w="326" w:type="dxa"/>
            <w:tcBorders/>
            <w:shd w:fill="CCEEFF" w:val="clear"/>
            <w:vAlign w:val="center"/>
          </w:tcPr>
          <w:p>
            <w:pPr>
              <w:pStyle w:val="TableContents"/>
              <w:spacing w:before="0" w:after="0"/>
              <w:ind w:left="0" w:right="0" w:hanging="0"/>
              <w:rPr/>
            </w:pPr>
            <w:r>
              <w:rPr/>
              <w:t> </w:t>
            </w:r>
          </w:p>
        </w:tc>
        <w:tc>
          <w:tcPr>
            <w:tcW w:w="101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3.7 - 4.0%</w:t>
            </w:r>
          </w:p>
        </w:tc>
        <w:tc>
          <w:tcPr>
            <w:tcW w:w="357" w:type="dxa"/>
            <w:tcBorders/>
            <w:shd w:fill="CCEEFF" w:val="clear"/>
            <w:vAlign w:val="center"/>
          </w:tcPr>
          <w:p>
            <w:pPr>
              <w:pStyle w:val="TableContents"/>
              <w:spacing w:before="0" w:after="0"/>
              <w:ind w:left="0" w:right="0" w:hanging="0"/>
              <w:rPr/>
            </w:pPr>
            <w:r>
              <w:rPr/>
              <w:t>​</w:t>
            </w:r>
          </w:p>
        </w:tc>
        <w:tc>
          <w:tcPr>
            <w:tcW w:w="106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1.7 - 1.9%</w:t>
            </w:r>
          </w:p>
        </w:tc>
      </w:tr>
      <w:tr>
        <w:trPr/>
        <w:tc>
          <w:tcPr>
            <w:tcW w:w="26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Expected dividend yield </w:t>
            </w:r>
          </w:p>
        </w:tc>
        <w:tc>
          <w:tcPr>
            <w:tcW w:w="326" w:type="dxa"/>
            <w:tcBorders/>
            <w:shd w:fill="auto" w:val="clear"/>
            <w:vAlign w:val="center"/>
          </w:tcPr>
          <w:p>
            <w:pPr>
              <w:pStyle w:val="TableContents"/>
              <w:spacing w:before="0" w:after="0"/>
              <w:ind w:left="0" w:right="0" w:hanging="0"/>
              <w:rPr/>
            </w:pPr>
            <w:r>
              <w:rPr/>
              <w:t> </w:t>
            </w:r>
          </w:p>
        </w:tc>
        <w:tc>
          <w:tcPr>
            <w:tcW w:w="101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57" w:type="dxa"/>
            <w:tcBorders/>
            <w:shd w:fill="auto" w:val="clear"/>
            <w:vAlign w:val="center"/>
          </w:tcPr>
          <w:p>
            <w:pPr>
              <w:pStyle w:val="TableContents"/>
              <w:spacing w:before="0" w:after="0"/>
              <w:ind w:left="0" w:right="0" w:hanging="0"/>
              <w:rPr/>
            </w:pPr>
            <w:r>
              <w:rPr/>
              <w:t>​</w:t>
            </w:r>
          </w:p>
        </w:tc>
        <w:tc>
          <w:tcPr>
            <w:tcW w:w="106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555" w:name="Tc_125CkWm8BEqLzXKtaPwNKA_8_8"/>
      <w:bookmarkStart w:id="556" w:name="Tc_X5ZC8bLQq02M1r4c3Y-NlQ_8_5"/>
      <w:bookmarkStart w:id="557" w:name="Tc_5yjsgDkw_kWjXcaHFWE8DA_8_2"/>
      <w:bookmarkStart w:id="558" w:name="Tc_amc7AAt2T0-f4oMLRRqZww_8_0"/>
      <w:bookmarkStart w:id="559" w:name="Tc_kICD_VoRtUGf292NSt8gkQ_7_0"/>
      <w:bookmarkStart w:id="560" w:name="Tc_aRY61UO-OEWk1SodjIll9Q_6_8"/>
      <w:bookmarkStart w:id="561" w:name="Tc_fVcNXcn6ikqkGqW3NyUzPQ_6_5"/>
      <w:bookmarkStart w:id="562" w:name="Tc_OpgQ_AsY4EmzDbIkbMu7AQ_6_2"/>
      <w:bookmarkStart w:id="563" w:name="Tc_TVZp9dV790-6PsCCwQCccA_6_0"/>
      <w:bookmarkStart w:id="564" w:name="Tc_H6hQB50H5UG3rBqbw32KWw_5_2"/>
      <w:bookmarkStart w:id="565" w:name="Tc_dhX07eVr70SOQWth1TwRaA_4_8"/>
      <w:bookmarkStart w:id="566" w:name="Tc_7s78_sZkhkmyiyj8s9yWTw_4_5"/>
      <w:bookmarkStart w:id="567" w:name="Tc_6kWFk2NE9UKXmRhARJFVUw_4_2"/>
      <w:bookmarkStart w:id="568" w:name="Tc_7-iTa93qYke1uRz9q5BA7Q_3_5"/>
      <w:bookmarkStart w:id="569" w:name="Tc_uyltYP32U0y9fJ-JK2u-7w_3_2"/>
      <w:bookmarkStart w:id="570" w:name="Tc_ZVS4IG_320GAHNESRIkdaA_2_2"/>
      <w:bookmarkStart w:id="571" w:name="Tc_PuixCoCsX0qsHOQ940HJoQ_1_2"/>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Pr>
          <w:rFonts w:ascii="Times New Roman;Times;serif" w:hAnsi="Times New Roman;Times;serif"/>
          <w:b/>
          <w:sz w:val="20"/>
        </w:rPr>
        <w:t>(9)  Accumulated Other Comprehensive Income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three months ended March 31, 2023 are summarized below:</w:t>
      </w:r>
    </w:p>
    <w:p>
      <w:pPr>
        <w:pStyle w:val="TextBody"/>
        <w:spacing w:before="0" w:after="0"/>
        <w:ind w:left="0" w:right="0" w:hanging="0"/>
        <w:rPr/>
      </w:pPr>
      <w:r>
        <w:rPr/>
        <w:t>​</w:t>
      </w:r>
    </w:p>
    <w:tbl>
      <w:tblPr>
        <w:tblW w:w="6638" w:type="dxa"/>
        <w:jc w:val="left"/>
        <w:tblInd w:w="0" w:type="dxa"/>
        <w:tblCellMar>
          <w:top w:w="0" w:type="dxa"/>
          <w:left w:w="0" w:type="dxa"/>
          <w:bottom w:w="0" w:type="dxa"/>
          <w:right w:w="0" w:type="dxa"/>
        </w:tblCellMar>
      </w:tblPr>
      <w:tblGrid>
        <w:gridCol w:w="2596"/>
        <w:gridCol w:w="326"/>
        <w:gridCol w:w="225"/>
        <w:gridCol w:w="721"/>
        <w:gridCol w:w="326"/>
        <w:gridCol w:w="332"/>
        <w:gridCol w:w="899"/>
        <w:gridCol w:w="326"/>
        <w:gridCol w:w="211"/>
        <w:gridCol w:w="676"/>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48460" cy="175260"/>
                      <wp:effectExtent l="0" t="0" r="0" b="0"/>
                      <wp:wrapNone/>
                      <wp:docPr id="123" name="Frame123"/>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2875" cy="175260"/>
                      <wp:effectExtent l="0" t="0" r="0" b="0"/>
                      <wp:wrapNone/>
                      <wp:docPr id="125" name="Frame125"/>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57835" cy="175260"/>
                      <wp:effectExtent l="0" t="0" r="0" b="0"/>
                      <wp:wrapNone/>
                      <wp:docPr id="126" name="Frame12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0820" cy="175260"/>
                      <wp:effectExtent l="0" t="0" r="0" b="0"/>
                      <wp:wrapNone/>
                      <wp:docPr id="128" name="Frame128"/>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0865" cy="175260"/>
                      <wp:effectExtent l="0" t="0" r="0" b="0"/>
                      <wp:wrapNone/>
                      <wp:docPr id="129" name="Frame129"/>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9260" cy="175260"/>
                      <wp:effectExtent l="0" t="0" r="0" b="0"/>
                      <wp:wrapNone/>
                      <wp:docPr id="132" name="Frame13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rPr/>
            </w:pPr>
            <w:r>
              <w:rPr/>
              <w:t>​</w:t>
            </w:r>
          </w:p>
        </w:tc>
        <w:tc>
          <w:tcPr>
            <w:tcW w:w="33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 on</w:t>
            </w:r>
          </w:p>
        </w:tc>
        <w:tc>
          <w:tcPr>
            <w:tcW w:w="326" w:type="dxa"/>
            <w:tcBorders/>
            <w:shd w:fill="auto" w:val="clear"/>
            <w:vAlign w:val="center"/>
          </w:tcPr>
          <w:p>
            <w:pPr>
              <w:pStyle w:val="TableContents"/>
              <w:spacing w:before="0" w:after="0"/>
              <w:ind w:left="0" w:right="0" w:hanging="0"/>
              <w:rPr/>
            </w:pPr>
            <w:r>
              <w:rPr/>
              <w:t>​</w:t>
            </w:r>
          </w:p>
        </w:tc>
        <w:tc>
          <w:tcPr>
            <w:tcW w:w="33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shd w:fill="auto" w:val="clear"/>
            <w:vAlign w:val="center"/>
          </w:tcPr>
          <w:p>
            <w:pPr>
              <w:pStyle w:val="TableContents"/>
              <w:spacing w:before="0" w:after="0"/>
              <w:ind w:left="0" w:right="0" w:hanging="0"/>
              <w:rPr/>
            </w:pPr>
            <w:r>
              <w:rPr/>
              <w:t>​</w:t>
            </w:r>
          </w:p>
        </w:tc>
        <w:tc>
          <w:tcPr>
            <w:tcW w:w="12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shd w:fill="auto" w:val="clear"/>
            <w:vAlign w:val="center"/>
          </w:tcPr>
          <w:p>
            <w:pPr>
              <w:pStyle w:val="TableContents"/>
              <w:spacing w:before="0" w:after="0"/>
              <w:ind w:left="0" w:right="0" w:hanging="0"/>
              <w:rPr/>
            </w:pPr>
            <w:r>
              <w:rPr/>
              <w:t>    </w:t>
            </w:r>
          </w:p>
        </w:tc>
        <w:tc>
          <w:tcPr>
            <w:tcW w:w="12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38"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16"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w:t>
            </w:r>
          </w:p>
        </w:tc>
        <w:tc>
          <w:tcPr>
            <w:tcW w:w="326" w:type="dxa"/>
            <w:tcBorders/>
            <w:shd w:fill="CCEEFF" w:val="clear"/>
            <w:vAlign w:val="center"/>
          </w:tcPr>
          <w:p>
            <w:pPr>
              <w:pStyle w:val="TableContents"/>
              <w:spacing w:before="0" w:after="0"/>
              <w:ind w:left="0" w:right="0" w:hanging="0"/>
              <w:rPr/>
            </w:pPr>
            <w:r>
              <w:rPr/>
              <w:t>​</w:t>
            </w:r>
          </w:p>
        </w:tc>
        <w:tc>
          <w:tcPr>
            <w:tcW w:w="3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gain</w:t>
            </w:r>
          </w:p>
        </w:tc>
        <w:tc>
          <w:tcPr>
            <w:tcW w:w="326" w:type="dxa"/>
            <w:tcBorders/>
            <w:shd w:fill="auto" w:val="clear"/>
            <w:vAlign w:val="center"/>
          </w:tcPr>
          <w:p>
            <w:pPr>
              <w:pStyle w:val="TableContents"/>
              <w:spacing w:before="0" w:after="0"/>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shd w:fill="auto" w:val="clear"/>
            <w:vAlign w:val="center"/>
          </w:tcPr>
          <w:p>
            <w:pPr>
              <w:pStyle w:val="TableContents"/>
              <w:spacing w:before="0" w:after="0"/>
              <w:ind w:left="0" w:right="0" w:hanging="0"/>
              <w:rPr/>
            </w:pPr>
            <w:r>
              <w:rPr/>
              <w:t>​</w:t>
            </w:r>
          </w:p>
        </w:tc>
        <w:tc>
          <w:tcPr>
            <w:tcW w:w="33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CCEEFF" w:val="clear"/>
            <w:vAlign w:val="center"/>
          </w:tcPr>
          <w:p>
            <w:pPr>
              <w:pStyle w:val="TableContents"/>
              <w:spacing w:before="0" w:after="0"/>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26" w:type="dxa"/>
            <w:tcBorders/>
            <w:shd w:fill="CCEEFF" w:val="clear"/>
            <w:vAlign w:val="center"/>
          </w:tcPr>
          <w:p>
            <w:pPr>
              <w:pStyle w:val="TableContents"/>
              <w:spacing w:before="0" w:after="0"/>
              <w:ind w:left="0" w:right="0" w:hanging="0"/>
              <w:rPr/>
            </w:pPr>
            <w:r>
              <w:rPr/>
              <w:t>​</w:t>
            </w:r>
          </w:p>
        </w:tc>
        <w:tc>
          <w:tcPr>
            <w:tcW w:w="33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2,123</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three months ended March 31,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(10)  Revenue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Contract and Grants Revenue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has entered into an agreement with Rockefeller University pursuant to which the Company performs manufacturing and research and development services on a time-and-materials basis or at a negotiated fixed-price. The Company recognized $1.0 million and $0.1 in revenue under this agreement during the three months ended March 31, 2023, and 2022, respectively.</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Contract Assets and Liabilities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and December 31, 2022, the Company’s right to consideration under all contracts was considered unconditional, and as such, there were no recorded contract assets. At March 31, 2023, the Company had $0.0 million in contract liabilities recorded. At December 31, 2022, the Company had $0.1 million in contract liabilities recorded. Revenue recognized from contract liabilities as of December 31, 2022 during the three ended March 31, 2023 was $0.0 million.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(11)  Income Taxes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2023 and December 31, 2022.</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net deferred tax liability of $1.6 million at March 31, 2023 and December 31, 2022 relates to the temporary differences associated with the IPR&amp;D intangible assets acquired in previous business combinations and is not deductible for tax purposes.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572" w:name="Tc_oXxMQnHU202Ady2lSKUsPw_4_4"/>
      <w:bookmarkStart w:id="573" w:name="Tc_vMPC9aDgW0-QzheMGROfww_4_2"/>
      <w:bookmarkStart w:id="574" w:name="Tc_jaX6h6FvZUmSq2M_A1dZtQ_4_0"/>
      <w:bookmarkStart w:id="575" w:name="Tc_BAvOhp53vUafLzjI3UGRvQ_3_0"/>
      <w:bookmarkStart w:id="576" w:name="Tc_lxYYD471MkSqX85MatcpXA_2_4"/>
      <w:bookmarkStart w:id="577" w:name="Tc_oHpHIxhoOkKXSadK5_xbQg_2_2"/>
      <w:bookmarkStart w:id="578" w:name="Tc_vaHQNmzL4UKAoyUQCSrAbA_1_2"/>
      <w:bookmarkStart w:id="579" w:name="_a1b264bd_08a4_47c8_9283_98aa8e78affc"/>
      <w:bookmarkEnd w:id="572"/>
      <w:bookmarkEnd w:id="573"/>
      <w:bookmarkEnd w:id="574"/>
      <w:bookmarkEnd w:id="575"/>
      <w:bookmarkEnd w:id="576"/>
      <w:bookmarkEnd w:id="577"/>
      <w:bookmarkEnd w:id="578"/>
      <w:bookmarkEnd w:id="579"/>
      <w:r>
        <w:rPr>
          <w:rFonts w:ascii="Times New Roman;Times;serif" w:hAnsi="Times New Roman;Times;serif"/>
          <w:b/>
          <w:sz w:val="20"/>
        </w:rPr>
        <w:t>(12)  Net Loss Per Share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spacing w:before="0" w:after="0"/>
        <w:ind w:left="0" w:right="0" w:hanging="0"/>
        <w:rPr/>
      </w:pPr>
      <w:r>
        <w:rPr/>
        <w:t>​</w:t>
      </w:r>
    </w:p>
    <w:tbl>
      <w:tblPr>
        <w:tblW w:w="4272" w:type="dxa"/>
        <w:jc w:val="left"/>
        <w:tblInd w:w="0" w:type="dxa"/>
        <w:tblCellMar>
          <w:top w:w="0" w:type="dxa"/>
          <w:left w:w="0" w:type="dxa"/>
          <w:bottom w:w="0" w:type="dxa"/>
          <w:right w:w="0" w:type="dxa"/>
        </w:tblCellMar>
      </w:tblPr>
      <w:tblGrid>
        <w:gridCol w:w="1456"/>
        <w:gridCol w:w="326"/>
        <w:gridCol w:w="1011"/>
        <w:gridCol w:w="354"/>
        <w:gridCol w:w="1125"/>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24560" cy="175260"/>
                      <wp:effectExtent l="0" t="0" r="0" b="0"/>
                      <wp:wrapNone/>
                      <wp:docPr id="133" name="Frame133"/>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1985" cy="175260"/>
                      <wp:effectExtent l="0" t="0" r="0" b="0"/>
                      <wp:wrapNone/>
                      <wp:docPr id="135" name="Frame135"/>
                      <a:graphic xmlns:a="http://schemas.openxmlformats.org/drawingml/2006/main">
                        <a:graphicData uri="http://schemas.microsoft.com/office/word/2010/wordprocessingShape">
                          <wps:wsp>
                            <wps:cNvSpPr txBox="1"/>
                            <wps:spPr>
                              <a:xfrm>
                                <a:off x="0" y="0"/>
                                <a:ext cx="641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4790" cy="175260"/>
                      <wp:effectExtent l="0" t="0" r="0" b="0"/>
                      <wp:wrapNone/>
                      <wp:docPr id="136" name="Frame136"/>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14375" cy="175260"/>
                      <wp:effectExtent l="0" t="0" r="0" b="0"/>
                      <wp:wrapNone/>
                      <wp:docPr id="137" name="Frame137"/>
                      <a:graphic xmlns:a="http://schemas.openxmlformats.org/drawingml/2006/main">
                        <a:graphicData uri="http://schemas.microsoft.com/office/word/2010/wordprocessingShape">
                          <wps:wsp>
                            <wps:cNvSpPr txBox="1"/>
                            <wps:spPr>
                              <a:xfrm>
                                <a:off x="0" y="0"/>
                                <a:ext cx="714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9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4" w:type="dxa"/>
            <w:tcBorders/>
            <w:shd w:fill="auto" w:val="clear"/>
            <w:vAlign w:val="center"/>
          </w:tcPr>
          <w:p>
            <w:pPr>
              <w:pStyle w:val="TableContents"/>
              <w:spacing w:before="0" w:after="0"/>
              <w:ind w:left="0" w:right="0" w:hanging="0"/>
              <w:rPr/>
            </w:pPr>
            <w:r>
              <w:rPr/>
              <w:t>    </w:t>
            </w:r>
          </w:p>
        </w:tc>
        <w:tc>
          <w:tcPr>
            <w:tcW w:w="112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Stock Options </w:t>
            </w:r>
          </w:p>
        </w:tc>
        <w:tc>
          <w:tcPr>
            <w:tcW w:w="326" w:type="dxa"/>
            <w:tcBorders/>
            <w:shd w:fill="CCEEFF" w:val="clear"/>
            <w:vAlign w:val="center"/>
          </w:tcPr>
          <w:p>
            <w:pPr>
              <w:pStyle w:val="TableContents"/>
              <w:spacing w:before="0" w:after="0"/>
              <w:ind w:left="0" w:right="0" w:hanging="0"/>
              <w:rPr/>
            </w:pPr>
            <w:r>
              <w:rPr/>
              <w:t> </w:t>
            </w:r>
          </w:p>
        </w:tc>
        <w:tc>
          <w:tcPr>
            <w:tcW w:w="10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4,967,764</w:t>
            </w:r>
          </w:p>
        </w:tc>
        <w:tc>
          <w:tcPr>
            <w:tcW w:w="354" w:type="dxa"/>
            <w:tcBorders/>
            <w:shd w:fill="CCEEFF" w:val="clear"/>
            <w:vAlign w:val="center"/>
          </w:tcPr>
          <w:p>
            <w:pPr>
              <w:pStyle w:val="TableContents"/>
              <w:spacing w:before="0" w:after="0"/>
              <w:ind w:left="0" w:right="0" w:hanging="0"/>
              <w:rPr/>
            </w:pPr>
            <w:r>
              <w:rPr/>
              <w:t> </w:t>
            </w:r>
          </w:p>
        </w:tc>
        <w:tc>
          <w:tcPr>
            <w:tcW w:w="11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4,064,557</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w:t>
            </w:r>
          </w:p>
        </w:tc>
        <w:tc>
          <w:tcPr>
            <w:tcW w:w="326" w:type="dxa"/>
            <w:tcBorders/>
            <w:shd w:fill="auto" w:val="clear"/>
            <w:vAlign w:val="center"/>
          </w:tcPr>
          <w:p>
            <w:pPr>
              <w:pStyle w:val="TableContents"/>
              <w:spacing w:before="0" w:after="0"/>
              <w:ind w:left="0" w:right="0" w:hanging="0"/>
              <w:rPr/>
            </w:pPr>
            <w:r>
              <w:rPr/>
              <w:t> </w:t>
            </w:r>
          </w:p>
        </w:tc>
        <w:tc>
          <w:tcPr>
            <w:tcW w:w="10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54" w:type="dxa"/>
            <w:tcBorders/>
            <w:shd w:fill="auto" w:val="clear"/>
            <w:vAlign w:val="center"/>
          </w:tcPr>
          <w:p>
            <w:pPr>
              <w:pStyle w:val="TableContents"/>
              <w:spacing w:before="0" w:after="0"/>
              <w:ind w:left="0" w:right="0" w:hanging="0"/>
              <w:rPr/>
            </w:pPr>
            <w:r>
              <w:rPr/>
              <w:t> </w:t>
            </w:r>
          </w:p>
        </w:tc>
        <w:tc>
          <w:tcPr>
            <w:tcW w:w="112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4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0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4,967,764</w:t>
            </w:r>
          </w:p>
        </w:tc>
        <w:tc>
          <w:tcPr>
            <w:tcW w:w="354" w:type="dxa"/>
            <w:tcBorders/>
            <w:shd w:fill="CCEEFF" w:val="clear"/>
            <w:vAlign w:val="center"/>
          </w:tcPr>
          <w:p>
            <w:pPr>
              <w:pStyle w:val="TableContents"/>
              <w:spacing w:before="0" w:after="0"/>
              <w:ind w:left="0" w:right="0" w:hanging="0"/>
              <w:rPr/>
            </w:pPr>
            <w:r>
              <w:rPr/>
              <w:t> </w:t>
            </w:r>
          </w:p>
        </w:tc>
        <w:tc>
          <w:tcPr>
            <w:tcW w:w="112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4,064,557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(13)  Kolltan Acquisition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June 20, 2022, the Company entered into a binding settlement term sheet (the “Term Sheet”) with SRS, related to the Litigation, which, upon execution of a definitive settlement agreement and the payment of the Initial Payment (as defined below), would result in the joint dismissal, with prejudice, of all claims and counterclaims in the Litigation. The definitive settlement agreement between the Company and SRS was executed on July 15, 2022 (the “Settlement Agreement”) and the Company and SRS jointly filed a Stipulation of Dismissal with prejudice relating to the Litigation on July 19, 2022.</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terms of the Term Sheet and the Settlement Agreement, all milestone payments provided for by the Merger Agreement are replaced in their entirety with the following payments, each of which is payable only once:</w:t>
      </w:r>
    </w:p>
    <w:p>
      <w:pPr>
        <w:pStyle w:val="TextBody"/>
        <w:spacing w:before="0" w:after="0"/>
        <w:ind w:left="0" w:right="0" w:firstLine="720"/>
        <w:rPr/>
      </w:pPr>
      <w:r>
        <w:rPr/>
        <w:t>​</w:t>
      </w:r>
    </w:p>
    <w:tbl>
      <w:tblPr>
        <w:tblW w:w="8901" w:type="dxa"/>
        <w:jc w:val="left"/>
        <w:tblInd w:w="0" w:type="dxa"/>
        <w:tblCellMar>
          <w:top w:w="28" w:type="dxa"/>
          <w:left w:w="28" w:type="dxa"/>
          <w:bottom w:w="28" w:type="dxa"/>
          <w:right w:w="28" w:type="dxa"/>
        </w:tblCellMar>
      </w:tblPr>
      <w:tblGrid>
        <w:gridCol w:w="124"/>
        <w:gridCol w:w="286"/>
        <w:gridCol w:w="849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849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p>
      <w:pPr>
        <w:pStyle w:val="TextBody"/>
        <w:spacing w:before="0" w:after="0"/>
        <w:ind w:left="720" w:right="0" w:firstLine="720"/>
        <w:rPr/>
      </w:pPr>
      <w:r>
        <w:rPr/>
        <w:t>​</w:t>
      </w:r>
    </w:p>
    <w:tbl>
      <w:tblPr>
        <w:tblW w:w="10205" w:type="dxa"/>
        <w:jc w:val="left"/>
        <w:tblInd w:w="0" w:type="dxa"/>
        <w:tblCellMar>
          <w:top w:w="28" w:type="dxa"/>
          <w:left w:w="28" w:type="dxa"/>
          <w:bottom w:w="28" w:type="dxa"/>
          <w:right w:w="28" w:type="dxa"/>
        </w:tblCellMar>
      </w:tblPr>
      <w:tblGrid>
        <w:gridCol w:w="124"/>
        <w:gridCol w:w="311"/>
        <w:gridCol w:w="9770"/>
      </w:tblGrid>
      <w:tr>
        <w:trPr/>
        <w:tc>
          <w:tcPr>
            <w:tcW w:w="12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770"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shall pay $15.0</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Term Sheet) of a Phase 2 Clinical Trial (as defined in the Merger Agreement) of CDX-0159, subject to the $2.5</w:t>
            </w:r>
            <w:r>
              <w:rPr>
                <w:caps w:val="false"/>
                <w:smallCaps w:val="false"/>
              </w:rPr>
              <w:t xml:space="preserve"> </w:t>
            </w:r>
            <w:r>
              <w:rPr>
                <w:rFonts w:ascii="Times New Roman;Times;serif" w:hAnsi="Times New Roman;Times;serif"/>
                <w:b w:val="false"/>
                <w:i w:val="false"/>
                <w:caps w:val="false"/>
                <w:smallCaps w:val="false"/>
                <w:sz w:val="20"/>
              </w:rPr>
              <w:t>million contractual credit as set forth in the Merger Agreement.</w:t>
            </w:r>
          </w:p>
        </w:tc>
      </w:tr>
    </w:tbl>
    <w:p>
      <w:pPr>
        <w:pStyle w:val="TextBody"/>
        <w:spacing w:before="0" w:after="0"/>
        <w:ind w:left="1080" w:right="0" w:hanging="0"/>
        <w:rPr/>
      </w:pPr>
      <w:r>
        <w:rPr/>
        <w:t>​</w:t>
      </w:r>
    </w:p>
    <w:tbl>
      <w:tblPr>
        <w:tblW w:w="10205" w:type="dxa"/>
        <w:jc w:val="left"/>
        <w:tblInd w:w="0" w:type="dxa"/>
        <w:tblCellMar>
          <w:top w:w="28" w:type="dxa"/>
          <w:left w:w="28" w:type="dxa"/>
          <w:bottom w:w="28" w:type="dxa"/>
          <w:right w:w="28" w:type="dxa"/>
        </w:tblCellMar>
      </w:tblPr>
      <w:tblGrid>
        <w:gridCol w:w="124"/>
        <w:gridCol w:w="371"/>
        <w:gridCol w:w="9710"/>
      </w:tblGrid>
      <w:tr>
        <w:trPr/>
        <w:tc>
          <w:tcPr>
            <w:tcW w:w="12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710"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the Term Sheet).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paid the Initial Payment in cash during the three months ended September 30, 2022. Any future milestone payments related to the CDX-0159 program, which was subject to the Litigation, will be recorded when and if payment becomes probable and reasonably estimable in accordance with the loss contingency model under ASC 450. Milestones related to the remaining Surviving Company Products are measured at fair value (refer to Note 3). When and if any of the remaining payments described above become due, they shall be payable, at the Company’s sole election, in either cash or stock (as set forth in the Merger Agreement) or a combination thereof.</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80" w:name="Item2ManagementsDiscussionandAnalysisofF"/>
      <w:bookmarkStart w:id="581" w:name="_48dfc3a6_cf0c_4f1f_b41d_ed7b8c209a68"/>
      <w:bookmarkEnd w:id="580"/>
      <w:bookmarkEnd w:id="581"/>
      <w:r>
        <w:rPr>
          <w:rFonts w:ascii="Times New Roman;Times;serif" w:hAnsi="Times New Roman;Times;serif"/>
          <w:b/>
          <w:sz w:val="20"/>
        </w:rPr>
        <w:t>Item 2.  Management’s Discussion and Analysis of Financial Condition and Results of Operations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7206" w:type="dxa"/>
        <w:jc w:val="left"/>
        <w:tblInd w:w="0" w:type="dxa"/>
        <w:tblCellMar>
          <w:top w:w="28" w:type="dxa"/>
          <w:left w:w="28" w:type="dxa"/>
          <w:bottom w:w="28" w:type="dxa"/>
          <w:right w:w="28" w:type="dxa"/>
        </w:tblCellMar>
      </w:tblPr>
      <w:tblGrid>
        <w:gridCol w:w="124"/>
        <w:gridCol w:w="256"/>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an early development stage;</w:t>
            </w:r>
          </w:p>
        </w:tc>
      </w:tr>
    </w:tbl>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CellMar>
          <w:top w:w="28" w:type="dxa"/>
          <w:left w:w="28" w:type="dxa"/>
          <w:bottom w:w="28" w:type="dxa"/>
          <w:right w:w="28" w:type="dxa"/>
        </w:tblCellMar>
      </w:tblPr>
      <w:tblGrid>
        <w:gridCol w:w="124"/>
        <w:gridCol w:w="256"/>
        <w:gridCol w:w="9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CellMar>
          <w:top w:w="28" w:type="dxa"/>
          <w:left w:w="28" w:type="dxa"/>
          <w:bottom w:w="28" w:type="dxa"/>
          <w:right w:w="28" w:type="dxa"/>
        </w:tblCellMar>
      </w:tblPr>
      <w:tblGrid>
        <w:gridCol w:w="124"/>
        <w:gridCol w:w="256"/>
        <w:gridCol w:w="7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development, regulatory approval and sales-based milestones under the merger agreement by which we acquired Kolltan Pharmaceuticals, Inc. (“Kolltan”) and our related settlement agreement with Kolltan;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w:t>
            </w:r>
          </w:p>
        </w:tc>
      </w:tr>
    </w:tbl>
    <w:tbl>
      <w:tblPr>
        <w:tblW w:w="7731" w:type="dxa"/>
        <w:jc w:val="left"/>
        <w:tblInd w:w="0" w:type="dxa"/>
        <w:tblCellMar>
          <w:top w:w="28" w:type="dxa"/>
          <w:left w:w="28" w:type="dxa"/>
          <w:bottom w:w="28" w:type="dxa"/>
          <w:right w:w="28" w:type="dxa"/>
        </w:tblCellMar>
      </w:tblPr>
      <w:tblGrid>
        <w:gridCol w:w="124"/>
        <w:gridCol w:w="256"/>
        <w:gridCol w:w="7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on our business or on the economy generally;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2022 and other reports that we file with the SEC</w:t>
            </w:r>
            <w:r>
              <w:rPr>
                <w:rFonts w:ascii="Times New Roman;Times;serif" w:hAnsi="Times New Roman;Times;serif"/>
                <w:b w:val="false"/>
                <w:i/>
                <w:sz w:val="20"/>
              </w:rPr>
              <w:t>.</w:t>
            </w:r>
          </w:p>
        </w:tc>
      </w:tr>
    </w:tbl>
    <w:p>
      <w:pPr>
        <w:pStyle w:val="TextBody"/>
        <w:spacing w:lineRule="auto" w:line="304"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CellMar>
          <w:top w:w="28" w:type="dxa"/>
          <w:left w:w="28" w:type="dxa"/>
          <w:bottom w:w="28" w:type="dxa"/>
          <w:right w:w="28" w:type="dxa"/>
        </w:tblCellMar>
      </w:tblPr>
      <w:tblGrid>
        <w:gridCol w:w="124"/>
        <w:gridCol w:w="166"/>
        <w:gridCol w:w="9915"/>
      </w:tblGrid>
      <w:tr>
        <w:trPr/>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Mar>
              <w:top w:w="0" w:type="dxa"/>
              <w:left w:w="0" w:type="dxa"/>
              <w:bottom w:w="0" w:type="dxa"/>
              <w:right w:w="0" w:type="dxa"/>
            </w:tcMar>
            <w:vAlign w:val="center"/>
          </w:tcPr>
          <w:p>
            <w:pPr>
              <w:pStyle w:val="TableContents"/>
              <w:spacing w:before="0" w:after="283"/>
              <w:rPr>
                <w:rFonts w:ascii="Symbol" w:hAnsi="Symbol"/>
                <w:sz w:val="20"/>
              </w:rPr>
            </w:pPr>
            <w:r>
              <w:rPr>
                <w:rFonts w:ascii="Symbol" w:hAnsi="Symbol"/>
                <w:sz w:val="20"/>
              </w:rPr>
              <w:t>-</w:t>
            </w:r>
          </w:p>
        </w:tc>
        <w:tc>
          <w:tcPr>
            <w:tcW w:w="991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Urticarias: In June and July 2022 respectively, we announced that enrollment had opened and the first patients had been dosed in Phase 2 studies in chronic spontaneous urticaria (CSU) and chronic inducible urticaria (CIndU); completion of enrollment to the Phase 2 CSU study is expected in the third quarter of 2023 and we anticipate reporting topline data from this study either in late 2023 or in the first quarter of 2024. Positive interim data from the ongoing Phase 1b study in CSU were reported in February 2023 and an update will be presented in June 2023. Positive interim data from the Phase 1b study in CIndU were reported in July and September 2021 and in December 2022 in patients with cold urticaria and symptomatic dermographism. Data from the cholinergic cohort included in the CIndU study will be presented in June 2023;</w:t>
            </w:r>
          </w:p>
        </w:tc>
      </w:tr>
    </w:tbl>
    <w:p>
      <w:pPr>
        <w:pStyle w:val="TextBody"/>
        <w:spacing w:lineRule="auto" w:line="304" w:before="0" w:after="0"/>
        <w:ind w:left="1800" w:right="0" w:hanging="0"/>
        <w:rPr/>
      </w:pPr>
      <w:r>
        <w:rPr/>
        <w:t>​</w:t>
      </w:r>
    </w:p>
    <w:tbl>
      <w:tblPr>
        <w:tblW w:w="10205" w:type="dxa"/>
        <w:jc w:val="left"/>
        <w:tblInd w:w="0" w:type="dxa"/>
        <w:tblCellMar>
          <w:top w:w="28" w:type="dxa"/>
          <w:left w:w="28" w:type="dxa"/>
          <w:bottom w:w="28" w:type="dxa"/>
          <w:right w:w="28" w:type="dxa"/>
        </w:tblCellMar>
      </w:tblPr>
      <w:tblGrid>
        <w:gridCol w:w="124"/>
        <w:gridCol w:w="166"/>
        <w:gridCol w:w="9915"/>
      </w:tblGrid>
      <w:tr>
        <w:trPr/>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Mar>
              <w:top w:w="0" w:type="dxa"/>
              <w:left w:w="0" w:type="dxa"/>
              <w:bottom w:w="0" w:type="dxa"/>
              <w:right w:w="0" w:type="dxa"/>
            </w:tcMar>
            <w:vAlign w:val="center"/>
          </w:tcPr>
          <w:p>
            <w:pPr>
              <w:pStyle w:val="TableContents"/>
              <w:spacing w:before="0" w:after="283"/>
              <w:rPr>
                <w:rFonts w:ascii="Symbol" w:hAnsi="Symbol"/>
                <w:sz w:val="20"/>
              </w:rPr>
            </w:pPr>
            <w:r>
              <w:rPr>
                <w:rFonts w:ascii="Symbol" w:hAnsi="Symbol"/>
                <w:sz w:val="20"/>
              </w:rPr>
              <w:t>-</w:t>
            </w:r>
          </w:p>
        </w:tc>
        <w:tc>
          <w:tcPr>
            <w:tcW w:w="991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December 2021 we announced that the first patient had been dosed in a Phase 1b study in PN; enrollment was closed in February 2023 and we plan to present data from the study in the fourth quarter of 2023;</w:t>
            </w:r>
          </w:p>
        </w:tc>
      </w:tr>
    </w:tbl>
    <w:p>
      <w:pPr>
        <w:pStyle w:val="TextBody"/>
        <w:spacing w:before="0" w:after="0"/>
        <w:ind w:left="0" w:right="0" w:hanging="0"/>
        <w:rPr/>
      </w:pPr>
      <w:r>
        <w:rPr/>
        <w:t>​</w:t>
      </w:r>
    </w:p>
    <w:tbl>
      <w:tblPr>
        <w:tblW w:w="7866" w:type="dxa"/>
        <w:jc w:val="left"/>
        <w:tblInd w:w="0" w:type="dxa"/>
        <w:tblCellMar>
          <w:top w:w="28" w:type="dxa"/>
          <w:left w:w="28" w:type="dxa"/>
          <w:bottom w:w="28" w:type="dxa"/>
          <w:right w:w="28" w:type="dxa"/>
        </w:tblCellMar>
      </w:tblPr>
      <w:tblGrid>
        <w:gridCol w:w="124"/>
        <w:gridCol w:w="166"/>
        <w:gridCol w:w="7576"/>
      </w:tblGrid>
      <w:tr>
        <w:trPr/>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Mar>
              <w:top w:w="0" w:type="dxa"/>
              <w:left w:w="0" w:type="dxa"/>
              <w:bottom w:w="0" w:type="dxa"/>
              <w:right w:w="0" w:type="dxa"/>
            </w:tcMar>
            <w:vAlign w:val="center"/>
          </w:tcPr>
          <w:p>
            <w:pPr>
              <w:pStyle w:val="TableContents"/>
              <w:spacing w:before="0" w:after="283"/>
              <w:rPr>
                <w:rFonts w:ascii="Symbol" w:hAnsi="Symbol"/>
                <w:sz w:val="20"/>
              </w:rPr>
            </w:pPr>
            <w:r>
              <w:rPr>
                <w:rFonts w:ascii="Symbol" w:hAnsi="Symbol"/>
                <w:sz w:val="20"/>
              </w:rPr>
              <w:t>-</w:t>
            </w:r>
          </w:p>
        </w:tc>
        <w:tc>
          <w:tcPr>
            <w:tcW w:w="75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Eosinophilic Esophagitis (EoE): We plan to initiate a Phase 2 study in EoE in June of 2023.</w:t>
            </w:r>
          </w:p>
        </w:tc>
      </w:tr>
    </w:tbl>
    <w:p>
      <w:pPr>
        <w:pStyle w:val="TextBody"/>
        <w:spacing w:lineRule="auto" w:line="304" w:before="0" w:after="0"/>
        <w:ind w:left="180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tc>
      </w:tr>
    </w:tbl>
    <w:p>
      <w:pPr>
        <w:pStyle w:val="TextBody"/>
        <w:spacing w:lineRule="auto" w:line="304"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pStyle w:val="TextBody"/>
        <w:spacing w:before="0" w:after="0"/>
        <w:ind w:left="0" w:right="0" w:hanging="0"/>
        <w:rPr/>
      </w:pPr>
      <w:r>
        <w:rPr/>
        <w:t>​</w:t>
      </w:r>
    </w:p>
    <w:tbl>
      <w:tblPr>
        <w:tblW w:w="2533" w:type="dxa"/>
        <w:jc w:val="left"/>
        <w:tblInd w:w="0" w:type="dxa"/>
        <w:tblCellMar>
          <w:top w:w="0" w:type="dxa"/>
          <w:left w:w="0" w:type="dxa"/>
          <w:bottom w:w="0" w:type="dxa"/>
          <w:right w:w="0" w:type="dxa"/>
        </w:tblCellMar>
      </w:tblPr>
      <w:tblGrid>
        <w:gridCol w:w="1141"/>
        <w:gridCol w:w="326"/>
        <w:gridCol w:w="1066"/>
      </w:tblGrid>
      <w:tr>
        <w:trPr/>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24535" cy="175260"/>
                      <wp:effectExtent l="0" t="0" r="0" b="0"/>
                      <wp:wrapNone/>
                      <wp:docPr id="138" name="Frame13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76910" cy="175260"/>
                      <wp:effectExtent l="0" t="0" r="0" b="0"/>
                      <wp:wrapNone/>
                      <wp:docPr id="140" name="Frame140"/>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Clinical Phase</w:t>
            </w:r>
          </w:p>
        </w:tc>
        <w:tc>
          <w:tcPr>
            <w:tcW w:w="326" w:type="dxa"/>
            <w:tcBorders/>
            <w:shd w:fill="auto" w:val="clear"/>
            <w:vAlign w:val="center"/>
          </w:tcPr>
          <w:p>
            <w:pPr>
              <w:pStyle w:val="TableContents"/>
              <w:spacing w:before="0" w:after="0"/>
              <w:ind w:left="0" w:right="0" w:hanging="0"/>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Phase 2</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CellMar>
          <w:top w:w="28" w:type="dxa"/>
          <w:left w:w="28" w:type="dxa"/>
          <w:bottom w:w="28" w:type="dxa"/>
          <w:right w:w="28" w:type="dxa"/>
        </w:tblCellMar>
      </w:tblPr>
      <w:tblGrid>
        <w:gridCol w:w="124"/>
        <w:gridCol w:w="256"/>
        <w:gridCol w:w="6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CellMar>
          <w:top w:w="28" w:type="dxa"/>
          <w:left w:w="28" w:type="dxa"/>
          <w:bottom w:w="28" w:type="dxa"/>
          <w:right w:w="28" w:type="dxa"/>
        </w:tblCellMar>
      </w:tblPr>
      <w:tblGrid>
        <w:gridCol w:w="124"/>
        <w:gridCol w:w="256"/>
        <w:gridCol w:w="4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CellMar>
          <w:top w:w="28" w:type="dxa"/>
          <w:left w:w="28" w:type="dxa"/>
          <w:bottom w:w="28" w:type="dxa"/>
          <w:right w:w="28" w:type="dxa"/>
        </w:tblCellMar>
      </w:tblPr>
      <w:tblGrid>
        <w:gridCol w:w="124"/>
        <w:gridCol w:w="256"/>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past five years through December 31, 2022, we incurred an aggregate of $ 287.2 million in research and development expenses. The following table indicates the amount incurred for each of our significant research programs and for other identified research and development activities during the three months ended March 31, 2023 and 2022. The amounts disclosed in the following table reflect direct research and development costs, license fees associated with the underlying technology and an allocation of indirect research and development costs to each program.</w:t>
      </w:r>
    </w:p>
    <w:p>
      <w:pPr>
        <w:pStyle w:val="TextBody"/>
        <w:spacing w:before="0" w:after="0"/>
        <w:ind w:left="0" w:right="0" w:hanging="0"/>
        <w:rPr/>
      </w:pPr>
      <w:r>
        <w:rPr/>
        <w:t>​</w:t>
      </w:r>
    </w:p>
    <w:tbl>
      <w:tblPr>
        <w:tblW w:w="6070" w:type="dxa"/>
        <w:jc w:val="left"/>
        <w:tblInd w:w="0" w:type="dxa"/>
        <w:tblCellMar>
          <w:top w:w="0" w:type="dxa"/>
          <w:left w:w="0" w:type="dxa"/>
          <w:bottom w:w="0" w:type="dxa"/>
          <w:right w:w="0" w:type="dxa"/>
        </w:tblCellMar>
      </w:tblPr>
      <w:tblGrid>
        <w:gridCol w:w="2851"/>
        <w:gridCol w:w="326"/>
        <w:gridCol w:w="298"/>
        <w:gridCol w:w="963"/>
        <w:gridCol w:w="326"/>
        <w:gridCol w:w="277"/>
        <w:gridCol w:w="1029"/>
      </w:tblGrid>
      <w:tr>
        <w:trPr/>
        <w:tc>
          <w:tcPr>
            <w:tcW w:w="2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10385" cy="175260"/>
                      <wp:effectExtent l="0" t="0" r="0" b="0"/>
                      <wp:wrapNone/>
                      <wp:docPr id="141" name="Frame141"/>
                      <a:graphic xmlns:a="http://schemas.openxmlformats.org/drawingml/2006/main">
                        <a:graphicData uri="http://schemas.microsoft.com/office/word/2010/wordprocessingShape">
                          <wps:wsp>
                            <wps:cNvSpPr txBox="1"/>
                            <wps:spPr>
                              <a:xfrm>
                                <a:off x="0" y="0"/>
                                <a:ext cx="1810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9230" cy="175260"/>
                      <wp:effectExtent l="0" t="0" r="0" b="0"/>
                      <wp:wrapNone/>
                      <wp:docPr id="143" name="Frame143"/>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1505" cy="175260"/>
                      <wp:effectExtent l="0" t="0" r="0" b="0"/>
                      <wp:wrapNone/>
                      <wp:docPr id="144" name="Frame144"/>
                      <a:graphic xmlns:a="http://schemas.openxmlformats.org/drawingml/2006/main">
                        <a:graphicData uri="http://schemas.microsoft.com/office/word/2010/wordprocessingShape">
                          <wps:wsp>
                            <wps:cNvSpPr txBox="1"/>
                            <wps:spPr>
                              <a:xfrm>
                                <a:off x="0" y="0"/>
                                <a:ext cx="611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5895" cy="175260"/>
                      <wp:effectExtent l="0" t="0" r="0" b="0"/>
                      <wp:wrapNone/>
                      <wp:docPr id="146" name="Frame146"/>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53415" cy="175260"/>
                      <wp:effectExtent l="0" t="0" r="0" b="0"/>
                      <wp:wrapNone/>
                      <wp:docPr id="147" name="Frame147"/>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w:t>
            </w:r>
          </w:p>
        </w:tc>
        <w:tc>
          <w:tcPr>
            <w:tcW w:w="326" w:type="dxa"/>
            <w:tcBorders/>
            <w:shd w:fill="auto" w:val="clear"/>
            <w:vAlign w:val="center"/>
          </w:tcPr>
          <w:p>
            <w:pPr>
              <w:pStyle w:val="TableContents"/>
              <w:spacing w:before="0" w:after="0"/>
              <w:ind w:left="0" w:right="0" w:hanging="0"/>
              <w:jc w:val="center"/>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w:t>
            </w:r>
          </w:p>
        </w:tc>
      </w:tr>
      <w:tr>
        <w:trPr/>
        <w:tc>
          <w:tcPr>
            <w:tcW w:w="2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shd w:fill="auto" w:val="clear"/>
            <w:vAlign w:val="center"/>
          </w:tcPr>
          <w:p>
            <w:pPr>
              <w:pStyle w:val="TableContents"/>
              <w:spacing w:before="0" w:after="0"/>
              <w:ind w:left="0" w:right="0" w:hanging="0"/>
              <w:jc w:val="center"/>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jc w:val="center"/>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6070"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89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17,683</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9,668</w:t>
            </w:r>
          </w:p>
        </w:tc>
      </w:tr>
      <w:tr>
        <w:trPr/>
        <w:tc>
          <w:tcPr>
            <w:tcW w:w="2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CDX</w:t>
              <w:noBreakHyphen/>
              <w:t>585</w:t>
            </w:r>
          </w:p>
        </w:tc>
        <w:tc>
          <w:tcPr>
            <w:tcW w:w="326"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 </w:t>
            </w:r>
          </w:p>
        </w:tc>
        <w:tc>
          <w:tcPr>
            <w:tcW w:w="9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2,456</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Programs</w:t>
            </w:r>
          </w:p>
        </w:tc>
        <w:tc>
          <w:tcPr>
            <w:tcW w:w="326" w:type="dxa"/>
            <w:tcBorders/>
            <w:shd w:fill="CCEEFF" w:val="clear"/>
            <w:vAlign w:val="center"/>
          </w:tcPr>
          <w:p>
            <w:pPr>
              <w:pStyle w:val="TableContents"/>
              <w:spacing w:before="0" w:after="0"/>
              <w:ind w:left="0" w:right="0" w:hanging="0"/>
              <w:rPr/>
            </w:pPr>
            <w:r>
              <w:rPr/>
              <w:t>​</w:t>
            </w:r>
          </w:p>
        </w:tc>
        <w:tc>
          <w:tcPr>
            <w:tcW w:w="29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6,906</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r>
      <w:tr>
        <w:trPr/>
        <w:tc>
          <w:tcPr>
            <w:tcW w:w="2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R&amp;D Expense</w:t>
            </w:r>
          </w:p>
        </w:tc>
        <w:tc>
          <w:tcPr>
            <w:tcW w:w="326" w:type="dxa"/>
            <w:tcBorders/>
            <w:shd w:fill="auto" w:val="clear"/>
            <w:vAlign w:val="center"/>
          </w:tcPr>
          <w:p>
            <w:pPr>
              <w:pStyle w:val="TableContents"/>
              <w:spacing w:before="0" w:after="0"/>
              <w:ind w:left="0" w:right="0" w:hanging="0"/>
              <w:rPr/>
            </w:pPr>
            <w:r>
              <w:rPr/>
              <w:t>​</w:t>
            </w:r>
          </w:p>
        </w:tc>
        <w:tc>
          <w:tcPr>
            <w:tcW w:w="29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26,798</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17,056</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Clinical Development Programs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We believe that by targeting KIT, barzolvolimab may be able to inhibit mast cell activity and decrease mast cell numbers to provide potential clinical benefit in mast cell related diseases.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 = 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These data supported expansion of the barzolvolimab program into mast cell driven diseases, including initially in CSU and CIndU, diseases where mast cell degranulation plays a central role in the onset and progression of the disease. Phase 1 studies in CSU and CIndU are completing and Phase 2 studies are ongoing. We continue to assess potential opportunities for barzolvolimab in other diseases where mast cells play an important role, such as dermatologic, respiratory, allergic, gastrointestinal and ophthalmic conditions and to this end, are conducting an ongoing Phase 1 study in prurigo nodularis and plan to initiate a Phase 2 study in eosinophilic esophagitis in the first half of 2023. Phase 1 studies of barzolvolimab have been conducted with an intravenous formulation; a subcutaneous formulation has been successfully developed and is being used in Phase 2 studies.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Chronic Spontaneous Urticaria (CSU)</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CSU is one of the most frequent dermatologic diseases with a prevalence of 0.5-1.0% of the total population or up to approximately 1 to 3 million patients in the United States (Weller et al. 2010. Hautarzt. 61(8), Bartlett et al. 2018. DermNet. 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October 2020, we announced that enrollment had opened and the first patient had been dosed in a Phase 1b multi-center study of barzolvolimab in CSU. This study is a randomized, double-blind, placebo-controlled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H1-antihistamines, either alone or in combination with H2-antihistamines and/or leukotriene receptor agonists.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February 2023, we reported positive interim data from the CSU study. As of the data cut-off date on November 29, 2022, enrollment was complete with 45 patients with moderate to severe CSU refractory to antihistamines enrolled and treated [35 barzolvolimab (n=9 in 0.5 mg/kg; n=8 in 1.5 mg/kg; n=9 in 3.0 mg/kg; n=9 in 4.5 mg/kg) and 10 placebo]. The 0.5 mg/kg, 1.5 mg/kg and 3.0 mg/kg cohorts had completed study participation through 24 weeks; 6 of 9 patients in the 4.5 mg/kg cohort had completed through the week 20 visit. Complete data were included for all patients in dose levels through 3.0 mg/kg through 24 weeks. All available data for the mg/kg and placebo dose levels were presented for adverse events. Activity data for the 4.5 mg/kg dose level were reported through week 20. Activity data for the 0.5 mg/kg and placebo group were only included through week 12 because, as expected, most patients from these groups had significant symptoms ahead of week 24 and discontinued follow up. Two patients did not receive all doses of study treatment [4.5 mg/kg (1), placebo (1)].</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resulted in rapid, marked and durable responses in patients with moderate to severe CSU refractory to antihistamines, including patients with prior omalizumab treatment.</w:t>
            </w:r>
          </w:p>
        </w:tc>
      </w:tr>
    </w:tbl>
    <w:p>
      <w:pPr>
        <w:pStyle w:val="TextBody"/>
        <w:spacing w:before="0" w:after="0"/>
        <w:ind w:left="108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1.5 mg/kg, 3.0 mg/kg and 4.5 mg/kg dose groups showed similar markedly improved urticaria symptoms and disease control with sustained durability up to 24 weeks.</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reduction from baseline in urticaria activity (UAS7) at week 12 of 67% in the 1.5 mg/kg dose group (n=8), 67% in the 3.0 mg/kg dose group (n=9) and 82% in the 4.5 mg/kg dose group (n=9).</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response (UAS7=0) at week 12 of 57% in the 1.5 mg/kg dose group, 44% in the 3.0 mg/kg dose group and 67% in the 4.5 mg/kg dose group.</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Well-controlled disease (UCT≥ 12) at week 12 of 75% in the 1.5 mg/kg dose group, 63% in the 3.0 mg/kg dose group and 89% in the 4.5 mg/kg dose group.</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post-treatment follow up, 7 of 8 (88%) patients who had been treated with barzolvolimab 1.5 mg/kg or 3.0 mg/kg and had a complete response (UAS7=0) at week 12 maintained their complete response through 24 weeks. Two additional patients treated with these doses who were not a complete response at week 12 had a complete response at week 24. 6 of 6 (100%) patients treated with barzolvolimab 4.5 mg/kg maintained their complete response through their last assessment with additional follow up ongoing.</w:t>
            </w:r>
          </w:p>
        </w:tc>
      </w:tr>
    </w:tbl>
    <w:p>
      <w:pPr>
        <w:pStyle w:val="TextBody"/>
        <w:spacing w:before="0" w:after="0"/>
        <w:ind w:left="0" w:right="0" w:hanging="0"/>
        <w:rPr/>
      </w:pPr>
      <w:r>
        <w:rPr/>
        <w:t>​</w:t>
      </w:r>
    </w:p>
    <w:tbl>
      <w:tblPr>
        <w:tblW w:w="7791" w:type="dxa"/>
        <w:jc w:val="left"/>
        <w:tblInd w:w="0" w:type="dxa"/>
        <w:tblCellMar>
          <w:top w:w="28" w:type="dxa"/>
          <w:left w:w="28" w:type="dxa"/>
          <w:bottom w:w="28" w:type="dxa"/>
          <w:right w:w="28" w:type="dxa"/>
        </w:tblCellMar>
      </w:tblPr>
      <w:tblGrid>
        <w:gridCol w:w="124"/>
        <w:gridCol w:w="256"/>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with prior omalizumab therapy had similar symptom improvement as all patients.</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onset of responses after initial dosing and sustained durability were observed; onset as early as 1 week after the first dose and prolonged symptom control in some patients for up to 24 weeks.</w:t>
            </w:r>
          </w:p>
        </w:tc>
      </w:tr>
    </w:tbl>
    <w:p>
      <w:pPr>
        <w:pStyle w:val="TextBody"/>
        <w:spacing w:before="0" w:after="0"/>
        <w:ind w:left="72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suppression, indicative of mast cell depletion, paralleled symptom improvement, demonstrating the impact of mast cell depletion on CSU disease activity.</w:t>
            </w:r>
          </w:p>
        </w:tc>
      </w:tr>
    </w:tbl>
    <w:p>
      <w:pPr>
        <w:pStyle w:val="TextBody"/>
        <w:spacing w:before="0" w:after="0"/>
        <w:ind w:left="72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effects of multiple dose administration were consistent with observations in single dose studies. Most AEs were mild or moderate in severity and resolved while on study. The most common treatment emergent adverse events were hair color changes, COVID-19, headache, neutropenia and urinary tract infections (UTIs). UTIs and COVID-19 were reported as unrelated to treatment. There was one serious adverse event of salmonella gastroenteritis which was also not related to study therapy. Changes in hematologic parameters were consistent with observations in single dose studies, with no pattern of further decreases with multiple doses; hematologic values generally remained within the normal range and returned to baseline levels during the follow up period. Five patients had decreases in neutrophil counts reported as AEs; four of which were previously reported in the EAACI 2022 data presentation. The pattern observed in the neutrophil changes for these patients was similar to the pattern seen in patients across the barzolvolimab program to date— generally transient, asymptomatic, and mild and typically occurring in patients with screening and baseline neutrophil counts at the lower end of the normal range on study initiation.</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Updated data from this study have been accepted for oral presentation in June at the EAACI Hybrid Congress 2023.</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June 2022, we announced that the first patient has been dosed in a Phase 2 study in patients with CSU who remain symptomatic despite antihistamine therapy.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Approximately 168 patients will be randomly assigned on a 1:1:1:1 ratio to receive subcutaneous injections of barzolvolimab at 75 mg every 4 weeks, 150 mg every 4 weeks, 300 mg every 8 weeks or placebo during a 16-week placebo-controlled treatment phase. Patients will then enter a 36-week active treatment phase, in which patients not already randomized to barzolvolimab at 150 mg every 4 weeks or 300 mg every 8 weeks will be randomized 1:1 to receive one of these two dose regimens; patients already randomized to these treatment arms will remain on the same regimen as during the placebo-controlled treatment phase. Following the treatment period, patients will enter a 24-week follow up phase. The primary endpoint of the study is mean change in baseline to week 12 in UAS7 (Urticaria Activity Score over 7 days). Secondary endpoints include safety and other assessments of clinical activity including ISS7 (Itch Severity Score over 7 days), HSS7 (Hive Severity Score over 7 days) and AAS7 (Angioedema Activity Score over 7 days). Based on current enrollment projections, we anticipate that enrollment to this study will be completed by the end of the third quarter of 2023 and we plan to report topline data either late this year or in the first quarter of 2024.</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Chronic Inducible Urticaria (CIndU)</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exploring cold-induced, dermographism (scratch-induced) and cholinergic (exercise-induced) urticarias.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2020, we announced that enrollment had opened and the first patient had been dosed in a Phase 1b study in CIndU being conducted in Germany in patients who are refractory to antihistamines. This study is an open label clinical trial designed to evaluate the safety of a single dose (3 mg/kg) of barzolvolimab in patients with cold urticaria (ColdU) or symptomatic dermographism (SD). In March and June 2021, respectively, we added a third cohort (single dose, 3 mg/kg) in patients with cholinergic urticaria and a fourth cohort at a lower dose (single dose, 1.5 mg/kg) in ColdU.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November 2022, data from the ColdU and SD cohorts treated with a single intravenous infusion of barzolvolimab at 3 mg/kg were published in </w:t>
      </w:r>
      <w:r>
        <w:rPr>
          <w:rFonts w:ascii="Times New Roman;Times;serif" w:hAnsi="Times New Roman;Times;serif"/>
          <w:i/>
          <w:sz w:val="20"/>
        </w:rPr>
        <w:t>Allergy</w:t>
      </w:r>
      <w:r>
        <w:rPr>
          <w:rFonts w:ascii="Times New Roman;Times;serif" w:hAnsi="Times New Roman;Times;serif"/>
          <w:sz w:val="20"/>
        </w:rPr>
        <w:t xml:space="preserve"> (Terhorst-Molawi et al Allergy. 2022 Nov 16. doi: 10.1111/all.15585). Safety results were reported for 21 patients; activity results were reported for the 20 patients who received a full dose of barzolvolimab. Patients had high disease activity. At baseline, patients’ mean scores (range) for Dermatology Life Quality Index (DLQI) [10.8 (2–21)] and Urticaria Control Test (UCT) [6.0 (0–13)] indicated marked impairment of quality of life (QoL) and poorly controlled disease, respectively. Three patients (1 with ColdU and 2 with SD) were previously treated with omalizumab and chose to discontinue that treatment because they remained symptomatic. At baseline, provocation thresholds, on average (range), were 18.9°C or 66°F (5–27°C or 41–80.6°F) for patients with ColdU and 3.5 (2–4) pins for patients with SD.</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(as early as 1 week) and durable responses were observed in all patients as assessed by provocation testing. A complete response was achieved in 95% (n = 19/20) of patients (n = 10/10 ColdU; n = 9/10 SD). The median duration (range) of complete response through the 12-week observation period was 77+ days (29–86; n = 10) for patients with ColdU and 57+ days (16–70; n= 9) for patients with SD. All three patients who experienced insufficient response to omalizumab treatment had a complete response after treatment with barzolvolimab.</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single dose of barzolvolimab rapid improvements in urticaria control was observed. A UCT score of ≥12 (well controlled) was achieved by 80% (n = 16/20) of the patients within week 4 post-treatment. By week 8, all patients (100%; n = 20/20) achieved well-controlled urticaria, which was sustained to week 12 post-dose by 80% (n = 16/20) of patients. Complete urticaria control (UCT = 16) was achieved by 35% (n = 7/20), 65% (n = 13/20), and 40% (n = 8/20) at weeks 4, 8, and 12, respectively.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baseline, patients in both treatment groups reported disease impact on their QoL. Disease impact significantly decreased after dosing; a score of 0–1 (minimal/none) was achieved by 80% (n = 16/20) for all patients who completed the DLQI during the study. Additionally, clinically meaningful improvements in QoL were attained and sustained to week 12.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Most adverse events were mild, and the most common (≥3 patients) were hair color changes (76%; n = 16/21), infusion reactions (43%; n = 9/21), taste changes (38%; n = 8/21), nasopharyngitis (24%; n = 5/21), malaise (24%; n = 5/21), and headache (19%; n = 4/21). Hair color changes (generally small areas of hair color lightening) and taste disorders (generally partial changes of ability to taste salt or umami) are consistent with inhibiting KIT signaling in other cell types and completely resolved over time during follow-up. Infusion reactions, which manifested as localized hives and itching as well as erythema and feeling hot, resolved spontaneously. One patient with a history of fainting experienced loss of consciousness during infusion. The patient rapidly recovered. Importantly, no evidence of mast cell activation as measured by serum tryptase monitoring was observed in this patient. Overall, mean hematology parameters remained within the normal ranges—an important finding for a KIT inhibitor. Mild, transient, and asymptomatic decreases in hemoglobin and white blood cell parameters occurred for some patients.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2022, we presented long term follow up data from the 3.0 mg/kg cohorts in cold urticaria and symptomatic dermographism at the GA²LEN Global Urticaria Forum (GUF) 2022. 14 patients consented to the optional long term follow up evaluation (6 cold, 8 symptomatic dermographism); 10 of the 14 still had complete control of their disease as assessed by provocation testing at week 12. Data were collected at one or more timepoints beyond week 12 through week 36.</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patients had return of symptoms and/or loss of urticaria control between 12 and 36 weeks. Remarkably, two patients remained provocation negative at 36 weeks, and four had well controlled disease (UCT ≥12) 36 weeks post dosing.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Serum tryptase exhibits a similar rate of recovery as clinical symptoms, while skin mast cells return at a slower rate. Tissue KIT signaling, as approximated by SCF levels, was rapidly inhibited after dose administration and fully reactivated approximately 18 weeks after dosing.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levels return to pretreatment levels during follow up, while mast cells continue to recover. Drug related adverse events noted during the study all resolved.</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2022, we also presented 12 week treatment results for the 1.5 mg/kg cohort in cold urticaria at the GA²LEN Global Urticaria Forum (GUF) 2022. 10 patients received a single intravenous infusion of barzolvolimab at 1.5 mg/kg. Patients had high disease activity as assessed by provocation threshold testing with a mean baseline critical temperature threshold of 18.4°C or 65°F with a range from 6 to 27°C or 43 to 81°F. All patients had disease refractory to antihistamines and five patients had disease refractory to omalizumab. Safety results were reported for all 10 patients; activity results were reported for the 9 patients who received a full dose of barzolvolimab, including four patients with omalizumab refractory disease.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9 of 9 (100%) patients evaluable for activity treated at 1.5 mg/kg experienced a complete response as assessed by provocation threshold testing, including 4 patients with disease refractory to omalizumab. Rapid onset of responses after dosing and sustained durability were observed in the 1.5 mg/kg cohort. 6 of 9 patients treated achieved a complete response within a week of dosing. The median duration of response was 51+ days (7+ weeks).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disease activity as reported by Urticaria Control Test (UCT) were consistent with the complete responses as measured by provocation testing. All patients entered the study with poorly controlled disease (mean UCT score at baseline of 5.9 and a range of 1-11). Following barzolvolimab administration, all patients achieved well controlled disease (UCT&gt;12) with 7 of 9 achieving complete control (UCT=16).</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1.5 mg/kg dose of barzolvolimab resulted in rapid, marked and durable suppression of serum tryptase; the kinetics of tryptase depletion mirrored changes in provocation threshold and UCT. Barzolvolimab was generally well tolerated and the safety profile at 1.5mg/kg was similar to the profile observed with 3.0 mg/kg.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treatment emergent AEs of concern were noted. While mild, transient and asymptomatic decreases in hemoglobin and white blood cell (WBC) parameters were noted, consistent with prior studies, the hematology parameters generally remained within the normal range.</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To date, 19 of 19 (100%) patients with cold urticaria treated with either a single dose of barzolvolimab at 1.5 or 3.0 mg/kg in this Phase 1b study have experienced a complete response by provocation testing, including 5 patients with omalizumab refractory disease.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Data from the cholinergic cohort in the Phase 1b CIndU study have been accepted for oral presentation in June at the EAACI Hybrid Congress 2023.</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July 2022 we announced that the first patient has been dosed in a Phase 2 study in patients with CIndU who remain symptomatic despite antihistamine therapy. The study will be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In addition, the study includes the option for patients who have symptoms following the treatment phase, including patients who were on placebo, to enroll in an open label extension where all patients receive 300 mg every 9 weeks of barzolvolimab.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Prurigo Nodularis (PN)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intravenous study designed to assess the safety and treatment effects across multiple dosing cohorts of barzolvolimab in up to 30 patients with PN. Enrolling an intravenous, early stage study in the dermatology setting has been a challenge and the study has taken longer than expected to complete. In February 2023, we closed enrollment at 24 patients, which we believe will provide sufficient data for analysis to inform future development decisions in PN. The study remains blinded. We plan to present data from the ongoing study, including 24 weeks of follow-up, in the fourth quarter at a medical meeting and are planning for the initiation of a Phase 2 subcutaneous study in PN in late 2023 or early 2024.</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Eosinophilic Esophagitis (EoE)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February 2022, we announced that we will be expanding clinical development of barzolvolimab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 and plan to initiate a Phase 2 multi-center, randomized, double-blind, placebo-controlled subcutaneous study designed to assess the treatment effects and safety of barzolvolimab in patients with EoE in June of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Manufacturing activities to support the introduction of the barzolvolimab subcutaneous formulation into the clinical program have been completed and, in September 2021, we initiated dosing in a randomized, double-blind, placebo-controlled, Phase 1 study designed to evaluate the safety of single ascending doses of the subcutaneous formulation of barzolvolimab in healthy volunteers. In February 2022, we reported that subcutaneous administration of barzolvolimab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The Phase 2 multi-dose studies in urticaria are designed to evaluate 75 mg and 150 mg administered every 4 weeks and 300 mg administered every 8 weeks. These doses support a 0.5 to 2 ml injection volume, allowing for a single injection as barzolvolimab advances towards potential commercialization. In 2022, we initiated transfer of our current barzolvolimab manufacturing process to a contract manufacturing organization to support late-stage trials and to prepare for potential commercialization.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our Phase 2 studies in urticaria and in future indications.</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Bispecific Platform</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CDX-585</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CDX-585 combines our proprietary highly active PD-1 blockade and anti-ILT4 blockade to prevent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Times New Roman;Times;serif" w:hAnsi="Times New Roman;Times;serif"/>
          <w:i/>
          <w:sz w:val="20"/>
        </w:rPr>
        <w:t>in vivo</w:t>
      </w:r>
      <w:r>
        <w:rPr>
          <w:rFonts w:ascii="Times New Roman;Times;serif" w:hAnsi="Times New Roman;Times;serif"/>
          <w:sz w:val="20"/>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 and is expected to enter the clinic in mid-2023 in patients with advanced malignancies.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2022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Three Months Ended March 31, 2023 Compared with Three Months Ended March 31, 2022</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827"/>
        <w:gridCol w:w="326"/>
        <w:gridCol w:w="211"/>
        <w:gridCol w:w="791"/>
        <w:gridCol w:w="326"/>
        <w:gridCol w:w="211"/>
        <w:gridCol w:w="791"/>
        <w:gridCol w:w="326"/>
        <w:gridCol w:w="211"/>
        <w:gridCol w:w="676"/>
        <w:gridCol w:w="326"/>
        <w:gridCol w:w="866"/>
        <w:gridCol w:w="317"/>
      </w:tblGrid>
      <w:tr>
        <w:trPr/>
        <w:tc>
          <w:tcPr>
            <w:tcW w:w="48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065145" cy="175260"/>
                      <wp:effectExtent l="0" t="0" r="0" b="0"/>
                      <wp:wrapNone/>
                      <wp:docPr id="148" name="Frame148"/>
                      <a:graphic xmlns:a="http://schemas.openxmlformats.org/drawingml/2006/main">
                        <a:graphicData uri="http://schemas.microsoft.com/office/word/2010/wordprocessingShape">
                          <wps:wsp>
                            <wps:cNvSpPr txBox="1"/>
                            <wps:spPr>
                              <a:xfrm>
                                <a:off x="0" y="0"/>
                                <a:ext cx="3065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02285" cy="175260"/>
                      <wp:effectExtent l="0" t="0" r="0" b="0"/>
                      <wp:wrapNone/>
                      <wp:docPr id="151" name="Frame151"/>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2285" cy="175260"/>
                      <wp:effectExtent l="0" t="0" r="0" b="0"/>
                      <wp:wrapNone/>
                      <wp:docPr id="154" name="Frame154"/>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49910" cy="175260"/>
                      <wp:effectExtent l="0" t="0" r="0" b="0"/>
                      <wp:wrapNone/>
                      <wp:docPr id="159" name="Frame159"/>
                      <a:graphic xmlns:a="http://schemas.openxmlformats.org/drawingml/2006/main">
                        <a:graphicData uri="http://schemas.microsoft.com/office/word/2010/wordprocessingShape">
                          <wps:wsp>
                            <wps:cNvSpPr txBox="1"/>
                            <wps:spPr>
                              <a:xfrm>
                                <a:off x="0" y="0"/>
                                <a:ext cx="549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1295" cy="175260"/>
                      <wp:effectExtent l="0" t="0" r="0" b="0"/>
                      <wp:wrapNone/>
                      <wp:docPr id="160" name="Frame160"/>
                      <a:graphic xmlns:a="http://schemas.openxmlformats.org/drawingml/2006/main">
                        <a:graphicData uri="http://schemas.microsoft.com/office/word/2010/wordprocessingShape">
                          <wps:wsp>
                            <wps:cNvSpPr txBox="1"/>
                            <wps:spPr>
                              <a:xfrm>
                                <a:off x="0" y="0"/>
                                <a:ext cx="201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3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shd w:fill="auto" w:val="clear"/>
            <w:vAlign w:val="center"/>
          </w:tcPr>
          <w:p>
            <w:pPr>
              <w:pStyle w:val="TableContents"/>
              <w:spacing w:before="0" w:after="0"/>
              <w:ind w:left="0" w:right="0" w:hanging="0"/>
              <w:jc w:val="center"/>
              <w:rPr/>
            </w:pPr>
            <w:r>
              <w:rPr/>
              <w:t>​</w:t>
            </w:r>
          </w:p>
        </w:tc>
        <w:tc>
          <w:tcPr>
            <w:tcW w:w="8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7" w:type="dxa"/>
            <w:tcBorders/>
            <w:shd w:fill="auto" w:val="clear"/>
            <w:vAlign w:val="center"/>
          </w:tcPr>
          <w:p>
            <w:pPr>
              <w:pStyle w:val="TableContents"/>
              <w:spacing w:before="0" w:after="0"/>
              <w:ind w:left="0" w:right="0" w:hanging="0"/>
              <w:rPr/>
            </w:pPr>
            <w:r>
              <w:rPr/>
              <w:t> </w:t>
            </w:r>
          </w:p>
        </w:tc>
      </w:tr>
      <w:tr>
        <w:trPr/>
        <w:tc>
          <w:tcPr>
            <w:tcW w:w="4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shd w:fill="auto" w:val="clear"/>
            <w:vAlign w:val="center"/>
          </w:tcPr>
          <w:p>
            <w:pPr>
              <w:pStyle w:val="TableContents"/>
              <w:spacing w:before="0" w:after="0"/>
              <w:ind w:left="0" w:right="0" w:hanging="0"/>
              <w:jc w:val="center"/>
              <w:rPr/>
            </w:pPr>
            <w:r>
              <w:rPr/>
              <w:t>​</w:t>
            </w:r>
          </w:p>
        </w:tc>
        <w:tc>
          <w:tcPr>
            <w:tcW w:w="8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7" w:type="dxa"/>
            <w:tcBorders/>
            <w:shd w:fill="auto" w:val="clear"/>
            <w:vAlign w:val="center"/>
          </w:tcPr>
          <w:p>
            <w:pPr>
              <w:pStyle w:val="TableContents"/>
              <w:spacing w:before="0" w:after="0"/>
              <w:ind w:left="0" w:right="0" w:hanging="0"/>
              <w:rPr/>
            </w:pPr>
            <w:r>
              <w:rPr/>
              <w:t> </w:t>
            </w:r>
          </w:p>
        </w:tc>
      </w:tr>
      <w:tr>
        <w:trPr/>
        <w:tc>
          <w:tcPr>
            <w:tcW w:w="4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8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7" w:type="dxa"/>
            <w:tcBorders/>
            <w:shd w:fill="auto" w:val="clear"/>
            <w:vAlign w:val="center"/>
          </w:tcPr>
          <w:p>
            <w:pPr>
              <w:pStyle w:val="TableContents"/>
              <w:spacing w:before="0" w:after="0"/>
              <w:ind w:left="0" w:right="0" w:hanging="0"/>
              <w:rPr/>
            </w:pPr>
            <w:r>
              <w:rPr/>
              <w:t> </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8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735"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7" w:type="dxa"/>
            <w:tcBorders/>
            <w:shd w:fill="auto" w:val="clear"/>
            <w:vAlign w:val="center"/>
          </w:tcPr>
          <w:p>
            <w:pPr>
              <w:pStyle w:val="TableContents"/>
              <w:spacing w:before="0" w:after="0"/>
              <w:ind w:left="0" w:right="0" w:hanging="0"/>
              <w:rPr/>
            </w:pPr>
            <w:r>
              <w:rPr/>
              <w:t>​</w:t>
            </w:r>
          </w:p>
        </w:tc>
      </w:tr>
      <w:tr>
        <w:trPr/>
        <w:tc>
          <w:tcPr>
            <w:tcW w:w="48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66" w:type="dxa"/>
            <w:tcBorders/>
            <w:shd w:fill="CCEEFF" w:val="clear"/>
            <w:vAlign w:val="center"/>
          </w:tcPr>
          <w:p>
            <w:pPr>
              <w:pStyle w:val="TableContents"/>
              <w:spacing w:before="0" w:after="0"/>
              <w:ind w:left="0" w:right="0" w:hanging="0"/>
              <w:rPr/>
            </w:pPr>
            <w:r>
              <w:rPr/>
              <w:t>​</w:t>
            </w:r>
          </w:p>
        </w:tc>
        <w:tc>
          <w:tcPr>
            <w:tcW w:w="317" w:type="dxa"/>
            <w:tcBorders/>
            <w:shd w:fill="CCEEFF" w:val="clear"/>
            <w:vAlign w:val="center"/>
          </w:tcPr>
          <w:p>
            <w:pPr>
              <w:pStyle w:val="TableContents"/>
              <w:spacing w:before="0" w:after="0"/>
              <w:ind w:left="0" w:right="0" w:hanging="0"/>
              <w:rPr/>
            </w:pPr>
            <w:r>
              <w:rPr/>
              <w:t>​</w:t>
            </w:r>
          </w:p>
        </w:tc>
      </w:tr>
      <w:tr>
        <w:trPr/>
        <w:tc>
          <w:tcPr>
            <w:tcW w:w="48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w:t>
            </w:r>
          </w:p>
        </w:tc>
        <w:tc>
          <w:tcPr>
            <w:tcW w:w="8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shd w:fill="CCEEFF" w:val="clear"/>
            <w:vAlign w:val="center"/>
          </w:tcPr>
          <w:p>
            <w:pPr>
              <w:pStyle w:val="TableContents"/>
              <w:spacing w:before="0" w:after="0"/>
              <w:ind w:left="0" w:right="0" w:hanging="0"/>
              <w:rPr/>
            </w:pPr>
            <w:r>
              <w:rPr/>
              <w:t>​</w:t>
            </w:r>
          </w:p>
        </w:tc>
        <w:tc>
          <w:tcPr>
            <w:tcW w:w="8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26" w:type="dxa"/>
            <w:tcBorders/>
            <w:shd w:fill="auto" w:val="clear"/>
            <w:vAlign w:val="center"/>
          </w:tcPr>
          <w:p>
            <w:pPr>
              <w:pStyle w:val="TableContents"/>
              <w:spacing w:before="0" w:after="0"/>
              <w:ind w:left="0" w:right="0" w:hanging="0"/>
              <w:rPr/>
            </w:pPr>
            <w:r>
              <w:rPr/>
              <w:t>​</w:t>
            </w:r>
          </w:p>
        </w:tc>
        <w:tc>
          <w:tcPr>
            <w:tcW w:w="8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66" w:type="dxa"/>
            <w:tcBorders/>
            <w:shd w:fill="CCEEFF" w:val="clear"/>
            <w:vAlign w:val="center"/>
          </w:tcPr>
          <w:p>
            <w:pPr>
              <w:pStyle w:val="TableContents"/>
              <w:spacing w:before="0" w:after="0"/>
              <w:ind w:left="0" w:right="0" w:hanging="0"/>
              <w:jc w:val="right"/>
              <w:rPr/>
            </w:pPr>
            <w:r>
              <w:rPr/>
              <w:t>​</w:t>
            </w:r>
          </w:p>
        </w:tc>
        <w:tc>
          <w:tcPr>
            <w:tcW w:w="317" w:type="dxa"/>
            <w:tcBorders/>
            <w:shd w:fill="CCEEFF" w:val="clear"/>
            <w:vAlign w:val="center"/>
          </w:tcPr>
          <w:p>
            <w:pPr>
              <w:pStyle w:val="TableContents"/>
              <w:spacing w:before="0" w:after="0"/>
              <w:ind w:left="0" w:right="0" w:hanging="0"/>
              <w:rPr/>
            </w:pPr>
            <w:r>
              <w:rPr/>
              <w:t>​</w:t>
            </w:r>
          </w:p>
        </w:tc>
      </w:tr>
      <w:tr>
        <w:trPr/>
        <w:tc>
          <w:tcPr>
            <w:tcW w:w="48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17,056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9,742</w:t>
            </w:r>
          </w:p>
        </w:tc>
        <w:tc>
          <w:tcPr>
            <w:tcW w:w="326" w:type="dxa"/>
            <w:tcBorders/>
            <w:shd w:fill="auto" w:val="clear"/>
            <w:vAlign w:val="center"/>
          </w:tcPr>
          <w:p>
            <w:pPr>
              <w:pStyle w:val="TableContents"/>
              <w:spacing w:before="0" w:after="0"/>
              <w:ind w:left="0" w:right="0" w:hanging="0"/>
              <w:rPr/>
            </w:pPr>
            <w:r>
              <w:rPr/>
              <w:t>​</w:t>
            </w:r>
          </w:p>
        </w:tc>
        <w:tc>
          <w:tcPr>
            <w:tcW w:w="8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spacing w:before="0" w:after="0"/>
              <w:ind w:left="0" w:right="0" w:hanging="0"/>
              <w:rPr/>
            </w:pPr>
            <w:r>
              <w:rPr/>
              <w:t>​</w:t>
            </w:r>
          </w:p>
        </w:tc>
        <w:tc>
          <w:tcPr>
            <w:tcW w:w="8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auto" w:val="clear"/>
            <w:vAlign w:val="center"/>
          </w:tcPr>
          <w:p>
            <w:pPr>
              <w:pStyle w:val="TableContents"/>
              <w:spacing w:before="0" w:after="0"/>
              <w:ind w:left="0" w:right="0" w:hanging="0"/>
              <w:rPr/>
            </w:pPr>
            <w:r>
              <w:rPr/>
              <w:t>​</w:t>
            </w:r>
          </w:p>
        </w:tc>
        <w:tc>
          <w:tcPr>
            <w:tcW w:w="8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23,431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10,007</w:t>
            </w:r>
          </w:p>
        </w:tc>
        <w:tc>
          <w:tcPr>
            <w:tcW w:w="326" w:type="dxa"/>
            <w:tcBorders/>
            <w:shd w:fill="CCEEFF" w:val="clear"/>
            <w:vAlign w:val="center"/>
          </w:tcPr>
          <w:p>
            <w:pPr>
              <w:pStyle w:val="TableContents"/>
              <w:spacing w:before="0" w:after="0"/>
              <w:ind w:left="0" w:right="0" w:hanging="0"/>
              <w:rPr/>
            </w:pPr>
            <w:r>
              <w:rPr/>
              <w:t>​</w:t>
            </w:r>
          </w:p>
        </w:tc>
        <w:tc>
          <w:tcPr>
            <w:tcW w:w="8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9,214</w:t>
            </w:r>
          </w:p>
        </w:tc>
        <w:tc>
          <w:tcPr>
            <w:tcW w:w="326" w:type="dxa"/>
            <w:tcBorders/>
            <w:shd w:fill="auto" w:val="clear"/>
            <w:vAlign w:val="center"/>
          </w:tcPr>
          <w:p>
            <w:pPr>
              <w:pStyle w:val="TableContents"/>
              <w:spacing w:before="0" w:after="0"/>
              <w:ind w:left="0" w:right="0" w:hanging="0"/>
              <w:rPr/>
            </w:pPr>
            <w:r>
              <w:rPr/>
              <w:t>​</w:t>
            </w:r>
          </w:p>
        </w:tc>
        <w:tc>
          <w:tcPr>
            <w:tcW w:w="8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2,903</w:t>
            </w:r>
          </w:p>
        </w:tc>
        <w:tc>
          <w:tcPr>
            <w:tcW w:w="326" w:type="dxa"/>
            <w:tcBorders/>
            <w:shd w:fill="CCEEFF" w:val="clear"/>
            <w:vAlign w:val="center"/>
          </w:tcPr>
          <w:p>
            <w:pPr>
              <w:pStyle w:val="TableContents"/>
              <w:spacing w:before="0" w:after="0"/>
              <w:ind w:left="0" w:right="0" w:hanging="0"/>
              <w:rPr/>
            </w:pPr>
            <w:r>
              <w:rPr/>
              <w:t>​</w:t>
            </w:r>
          </w:p>
        </w:tc>
        <w:tc>
          <w:tcPr>
            <w:tcW w:w="8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8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6,311</w:t>
            </w:r>
          </w:p>
        </w:tc>
        <w:tc>
          <w:tcPr>
            <w:tcW w:w="326" w:type="dxa"/>
            <w:tcBorders/>
            <w:shd w:fill="auto" w:val="clear"/>
            <w:vAlign w:val="center"/>
          </w:tcPr>
          <w:p>
            <w:pPr>
              <w:pStyle w:val="TableContents"/>
              <w:spacing w:before="0" w:after="0"/>
              <w:ind w:left="0" w:right="0" w:hanging="0"/>
              <w:rPr/>
            </w:pPr>
            <w:r>
              <w:rPr/>
              <w:t>​</w:t>
            </w:r>
          </w:p>
        </w:tc>
        <w:tc>
          <w:tcPr>
            <w:tcW w:w="8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Net Loss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$6.3 million increase in net loss for the three months ended March 31, 2023, as compared to the three months ended March 31, 2022, was primarily due to an increase in research and development expense, partially offset by an increase in investment and other income, net.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Revenue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Revenue from product development and licensing agreements for the three months ended March 31, 2023 was relatively consistent with the three months ended March 31, 2022. The $0.8 million increase in contracts and grants revenue for the three months ended March 31, 2023, as compared to the three months ended March 31, 2022, was primarily due to an increase in revenue from our contract manufacturing and research and development agreement with Rockefeller University. We expect revenue to remain relatively consistent over the next twelve months, although there may be fluctuations on a quarterly basis.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Research and Development Expense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spacing w:before="0" w:after="0"/>
        <w:ind w:left="0" w:right="0" w:hanging="0"/>
        <w:rPr/>
      </w:pPr>
      <w:r>
        <w:rPr/>
        <w:t>​</w:t>
      </w:r>
    </w:p>
    <w:tbl>
      <w:tblPr>
        <w:tblW w:w="6368" w:type="dxa"/>
        <w:jc w:val="left"/>
        <w:tblInd w:w="0" w:type="dxa"/>
        <w:tblCellMar>
          <w:top w:w="0" w:type="dxa"/>
          <w:left w:w="0" w:type="dxa"/>
          <w:bottom w:w="0" w:type="dxa"/>
          <w:right w:w="0" w:type="dxa"/>
        </w:tblCellMar>
      </w:tblPr>
      <w:tblGrid>
        <w:gridCol w:w="1861"/>
        <w:gridCol w:w="326"/>
        <w:gridCol w:w="211"/>
        <w:gridCol w:w="676"/>
        <w:gridCol w:w="326"/>
        <w:gridCol w:w="211"/>
        <w:gridCol w:w="571"/>
        <w:gridCol w:w="326"/>
        <w:gridCol w:w="211"/>
        <w:gridCol w:w="571"/>
        <w:gridCol w:w="326"/>
        <w:gridCol w:w="436"/>
        <w:gridCol w:w="316"/>
      </w:tblGrid>
      <w:tr>
        <w:trPr/>
        <w:tc>
          <w:tcPr>
            <w:tcW w:w="1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181735" cy="175260"/>
                      <wp:effectExtent l="0" t="0" r="0" b="0"/>
                      <wp:wrapNone/>
                      <wp:docPr id="161" name="Frame161"/>
                      <a:graphic xmlns:a="http://schemas.openxmlformats.org/drawingml/2006/main">
                        <a:graphicData uri="http://schemas.microsoft.com/office/word/2010/wordprocessingShape">
                          <wps:wsp>
                            <wps:cNvSpPr txBox="1"/>
                            <wps:spPr>
                              <a:xfrm>
                                <a:off x="0" y="0"/>
                                <a:ext cx="1181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260"/>
                      <wp:effectExtent l="0" t="0" r="0" b="0"/>
                      <wp:wrapNone/>
                      <wp:docPr id="170" name="Frame17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76860" cy="175260"/>
                      <wp:effectExtent l="0" t="0" r="0" b="0"/>
                      <wp:wrapNone/>
                      <wp:docPr id="172" name="Frame172"/>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0660" cy="175260"/>
                      <wp:effectExtent l="0" t="0" r="0" b="0"/>
                      <wp:wrapNone/>
                      <wp:docPr id="173" name="Frame17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shd w:fill="auto" w:val="clear"/>
            <w:vAlign w:val="center"/>
          </w:tcPr>
          <w:p>
            <w:pPr>
              <w:pStyle w:val="TableContents"/>
              <w:spacing w:before="0" w:after="0"/>
              <w:ind w:left="0" w:right="0" w:hanging="0"/>
              <w:jc w:val="center"/>
              <w:rPr/>
            </w:pPr>
            <w:r>
              <w:rPr/>
              <w:t>​</w:t>
            </w:r>
          </w:p>
        </w:tc>
        <w:tc>
          <w:tcPr>
            <w:tcW w:w="154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jc w:val="center"/>
              <w:rPr/>
            </w:pPr>
            <w:r>
              <w:rPr/>
              <w:t>​</w:t>
            </w:r>
          </w:p>
        </w:tc>
        <w:tc>
          <w:tcPr>
            <w:tcW w:w="154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6368"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3654" w:type="dxa"/>
            <w:gridSpan w:val="9"/>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shd w:fill="auto" w:val="clear"/>
            <w:vAlign w:val="center"/>
          </w:tcPr>
          <w:p>
            <w:pPr>
              <w:pStyle w:val="TableContents"/>
              <w:spacing w:before="0" w:after="0"/>
              <w:ind w:left="0" w:right="0" w:hanging="0"/>
              <w:rPr/>
            </w:pPr>
            <w:r>
              <w:rPr/>
              <w:t>​</w:t>
            </w:r>
          </w:p>
        </w:tc>
      </w:tr>
      <w:tr>
        <w:trPr/>
        <w:tc>
          <w:tcPr>
            <w:tcW w:w="1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Laboratory supplies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8,137</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$1.5 million increase in personnel expenses for the three months ended March 31, 2023, as compared to the three months ended March 31, 2022, was primarily due to higher stock-based compensation expense and an increase in employee headcount. We expect personnel expenses to increase over the next twelve months as a result of additional headcount to support the expanded development of barzolvolimab.</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$0.2 million decrease in laboratory supply expenses for the three months ended March 31, 2023, as compared to the three months ended March 31, 2022, was primarily due to lower laboratory materials and supplies purchases. We expect laboratory supplies expenses to remain relatively consistent over the next twelve months, although there may be fluctuations on a quarterly basis.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three months ended March 31, 2023 was relatively consistent with the three months ended March 31, 2022. We expect facility expenses to remain relatively consistent over the next twelve months, although there may be fluctuations on a quarterly basis.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$8.1 million increase in product development expenses for the three months ended March 31, 2023, as compared to the three months ended March 31, 2022, was primarily due to an increase in barzolvolimab clinical trial and contract manufacturing expenses. We expect product development expenses to remain relatively consistent over the next twelve months, although there may be fluctuations on a quarterly basis.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$0.3 million decrease in general and administrative expenses for the three months ended March 31, 2023, as compared to the three months ended March 31, 2022, was primarily due to a decrease in legal expenses, partially offset by an increase in stock-based compensation expense. We expect general and administrative expenses to remain relatively consistent over the next twelve months, although there may be fluctuations on a quarterly basis.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Gain on Fair Value Remeasurement of Contingent Consideration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$0.5 million gain on fair value remeasurement of contingent consideration for the three months ended March 31, 2022 was primarily due to changes in discount rates.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Investment and Other Income,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$2.9 million increase in investment and other income, net for the three months ended March 31, 2023, as compared to the three months ended March 31, 2022, was primarily due to higher interest rates on fixed income investments and higher other income related to our sale of New Jersey tax benefits. We expect investment and other income to remain relatively consistent over the next twelve months, although there may be fluctuations on a quarterly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our principal sources of liquidity consisted of cash, cash equivalents and marketable securities of $278.4 million. We have had recurring losses and incurred a loss of $29.4 million for the three months ended March 31, 2023. Net cash used in operations for the three months ended March 31, 2023 was $28.6 million. We believe that the cash, cash equivalents and marketable securities at March 31, 2023 are sufficient to meet estimated working capital requirements and fund planned operations through 2025, which include our ongoing Phase 1b studies in urticaria and prurigo nodularis and our ongoing and planned Phase 2 studies in CSU, CIndU and EoE. This could be impacted if we elect to pay the future milestones under the Settlement Agreement with SRS, if any, in cash.</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milestones under the Settlement Agreement with SRS, in the event that we achieve the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Operating Activities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cash used in operating activities was $28.6 million for the three months ended March 31, 2023 as compared to $24.5 million for the three months ended March 31, 2022. The increase in net cash used in operating activities was primarily due to an increase in research and development expenses, partially offset by an increase in investment income as a result of higher interest rates on fixed income investments. We expect that cash used in operating activities will remain relatively consistent over the next twelve months, although there may be fluctuations on a quarterly basis.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Investing Activities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cash provided by investing activities was $52.6 million for the three months ended March 31, 2023 as compared to $10.4 million for the three months ended March 31, 2022. The increase in net cash provided by investing activities was primarily due to net sales and maturities of marketable securities of $53.2 million for the three months ended March 31, 2023 as compared to net purchases of $11.0 million for the three months ended March 31, 2022.</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cash provided by financing activities was $0.7 million for the three months ended March 31, 2023 as compared to $0.3 million for the three months ended March 31, 2022. The increase in net cash provided by financing activities was primarily due to an increase in net proceeds from stock issuances under employee benefit plans.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582" w:name="Item3QuantitativeandQualitativeDisclosur"/>
      <w:bookmarkStart w:id="583" w:name="_af7eab57_4f80_4847_ae24_f2da5515ca2e"/>
      <w:bookmarkEnd w:id="582"/>
      <w:bookmarkEnd w:id="583"/>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Quantitative and Qualitative Disclosures about Market Risk</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March 31, 2023 due to the short-term maturities of these instruments.</w:t>
      </w:r>
    </w:p>
    <w:p>
      <w:pPr>
        <w:pStyle w:val="TextBody"/>
        <w:spacing w:before="0" w:after="0"/>
        <w:ind w:left="0" w:right="0" w:hanging="0"/>
        <w:rPr/>
      </w:pPr>
      <w:r>
        <w:rPr/>
        <w:t>​</w:t>
      </w:r>
    </w:p>
    <w:p>
      <w:pPr>
        <w:pStyle w:val="TextBody"/>
        <w:pBdr/>
        <w:spacing w:before="0" w:after="0"/>
        <w:ind w:left="0" w:right="0" w:hanging="1152"/>
        <w:rPr>
          <w:rFonts w:ascii="Times New Roman;Times;serif" w:hAnsi="Times New Roman;Times;serif"/>
          <w:sz w:val="20"/>
        </w:rPr>
      </w:pPr>
      <w:bookmarkStart w:id="584" w:name="Item4ControlsandProcedures_940929"/>
      <w:bookmarkStart w:id="585" w:name="_436be118_142d_4a03_adaf_bff1fd25b5a0"/>
      <w:bookmarkEnd w:id="584"/>
      <w:bookmarkEnd w:id="585"/>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pBdr/>
        <w:spacing w:before="0" w:after="0"/>
        <w:ind w:left="0" w:right="0" w:hanging="1152"/>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March 31, 2023,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March 31, 2023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86" w:name="PARTIIOTHERINFORMATION_770534"/>
      <w:bookmarkStart w:id="587" w:name="_47ea8c83_a389_4736_b770_8e84c7178e9d"/>
      <w:bookmarkEnd w:id="586"/>
      <w:bookmarkEnd w:id="587"/>
      <w:r>
        <w:rPr>
          <w:rFonts w:ascii="Times New Roman;Times;serif" w:hAnsi="Times New Roman;Times;serif"/>
          <w:b/>
          <w:sz w:val="20"/>
        </w:rPr>
        <w:t>PART II — OTHER INFORMATION</w:t>
      </w:r>
    </w:p>
    <w:p>
      <w:pPr>
        <w:pStyle w:val="TextBody"/>
        <w:pBdr/>
        <w:spacing w:before="0" w:after="240"/>
        <w:ind w:left="0" w:right="0" w:hanging="1152"/>
        <w:rPr>
          <w:rFonts w:ascii="Times New Roman;Times;serif" w:hAnsi="Times New Roman;Times;serif"/>
          <w:sz w:val="20"/>
        </w:rPr>
      </w:pPr>
      <w:bookmarkStart w:id="588" w:name="Item1ARiskFactors_750939"/>
      <w:bookmarkEnd w:id="588"/>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28,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40"/>
        <w:ind w:left="0" w:right="0" w:hanging="0"/>
        <w:rPr>
          <w:rFonts w:ascii="Times New Roman;Times;serif" w:hAnsi="Times New Roman;Times;serif"/>
          <w:b/>
          <w:sz w:val="20"/>
        </w:rPr>
      </w:pPr>
      <w:bookmarkStart w:id="589" w:name="Item6Exhibits_142075"/>
      <w:bookmarkStart w:id="590" w:name="_1dddfabd_9e1d_43b9_905c_0d73ecd1ee56"/>
      <w:bookmarkEnd w:id="589"/>
      <w:bookmarkEnd w:id="590"/>
      <w:r>
        <w:rPr>
          <w:rFonts w:ascii="Times New Roman;Times;serif" w:hAnsi="Times New Roman;Times;serif"/>
          <w:b/>
          <w:sz w:val="20"/>
        </w:rPr>
        <w:t>Item 6.  Exhibits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591" w:name="Exhibitindex"/>
      <w:bookmarkEnd w:id="591"/>
      <w:r>
        <w:rPr>
          <w:rFonts w:ascii="Times New Roman;Times;serif" w:hAnsi="Times New Roman;Times;serif"/>
          <w:b/>
          <w:sz w:val="20"/>
        </w:rPr>
        <w:t>EXHIBIT INDEX</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83"/>
        <w:gridCol w:w="326"/>
        <w:gridCol w:w="8996"/>
      </w:tblGrid>
      <w:tr>
        <w:trPr/>
        <w:tc>
          <w:tcPr>
            <w:tcW w:w="88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12460" cy="175260"/>
                      <wp:effectExtent l="0" t="0" r="0" b="0"/>
                      <wp:wrapNone/>
                      <wp:docPr id="174" name="Frame174"/>
                      <a:graphic xmlns:a="http://schemas.openxmlformats.org/drawingml/2006/main">
                        <a:graphicData uri="http://schemas.microsoft.com/office/word/2010/wordprocessingShape">
                          <wps:wsp>
                            <wps:cNvSpPr txBox="1"/>
                            <wps:spPr>
                              <a:xfrm>
                                <a:off x="0" y="0"/>
                                <a:ext cx="5712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83" w:type="dxa"/>
            <w:tcBorders>
              <w:bottom w:val="single" w:sz="2" w:space="0" w:color="000000"/>
            </w:tcBorders>
            <w:shd w:fill="auto" w:val="clear"/>
            <w:tcMar>
              <w:bottom w:w="28" w:type="dxa"/>
            </w:tcMar>
            <w:vAlign w:val="center"/>
          </w:tcPr>
          <w:p>
            <w:pPr>
              <w:pStyle w:val="TableContents"/>
              <w:spacing w:before="0" w:after="0"/>
              <w:ind w:left="0" w:right="0" w:hanging="0"/>
              <w:rPr>
                <w:rFonts w:ascii="Calibri;Helvetica;sans-serif" w:hAnsi="Calibri;Helvetica;sans-serif"/>
                <w:sz w:val="22"/>
              </w:rPr>
            </w:pPr>
            <w:r>
              <w:rPr>
                <w:rFonts w:ascii="Times New Roman;Times;serif" w:hAnsi="Times New Roman;Times;serif"/>
                <w:b/>
                <w:sz w:val="20"/>
              </w:rPr>
              <w:t>Exhibit</w:t>
            </w:r>
            <w:r>
              <w:rPr>
                <w:rFonts w:ascii="Calibri;Helvetica;sans-serif" w:hAnsi="Calibri;Helvetica;sans-serif"/>
                <w:sz w:val="22"/>
              </w:rPr>
              <w:t xml:space="preserve"> </w:t>
            </w:r>
            <w:r>
              <w:rPr>
                <w:rFonts w:ascii="Times New Roman;Times;serif" w:hAnsi="Times New Roman;Times;serif"/>
                <w:sz w:val="20"/>
              </w:rPr>
              <w:br/>
            </w:r>
            <w:r>
              <w:rPr>
                <w:rFonts w:ascii="Times New Roman;Times;serif" w:hAnsi="Times New Roman;Times;serif"/>
                <w:b/>
                <w:sz w:val="20"/>
              </w:rPr>
              <w:t>No.</w:t>
            </w:r>
          </w:p>
        </w:tc>
        <w:tc>
          <w:tcPr>
            <w:tcW w:w="326" w:type="dxa"/>
            <w:tcBorders/>
            <w:shd w:fill="auto" w:val="clear"/>
            <w:vAlign w:val="center"/>
          </w:tcPr>
          <w:p>
            <w:pPr>
              <w:pStyle w:val="TableContents"/>
              <w:spacing w:before="0" w:after="0"/>
              <w:ind w:left="0" w:right="0" w:hanging="0"/>
              <w:rPr/>
            </w:pPr>
            <w:r>
              <w:rPr/>
              <w:t>    </w:t>
            </w:r>
          </w:p>
        </w:tc>
        <w:tc>
          <w:tcPr>
            <w:tcW w:w="89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pPr>
            <w:hyperlink w:anchor="cldx-20230331xex31d1.htm">
              <w:r>
                <w:rPr>
                  <w:rStyle w:val="InternetLink"/>
                  <w:rFonts w:ascii="Times New Roman;Times;serif" w:hAnsi="Times New Roman;Times;serif"/>
                  <w:b w:val="false"/>
                  <w:i w:val="false"/>
                  <w:caps w:val="false"/>
                  <w:smallCaps w:val="false"/>
                  <w:sz w:val="22"/>
                </w:rPr>
                <w:t>Certification of President and Chief Executive Officer</w:t>
              </w:r>
            </w:hyperlink>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pPr>
            <w:hyperlink w:anchor="cldx-20230331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pPr>
            <w:hyperlink w:anchor="cldx-20230331xex32d1.htm">
              <w:r>
                <w:rPr>
                  <w:rStyle w:val="InternetLink"/>
                  <w:rFonts w:ascii="Times New Roman;Times;serif" w:hAnsi="Times New Roman;Times;serif"/>
                  <w:b w:val="false"/>
                  <w:i w:val="false"/>
                  <w:caps w:val="false"/>
                  <w:smallCaps w:val="false"/>
                  <w:sz w:val="22"/>
                </w:rPr>
                <w:t>Section 1350 Certifications</w:t>
              </w:r>
            </w:hyperlink>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Schema Document.</w:t>
            </w:r>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Calculation Linkbase Document.</w:t>
            </w:r>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Definition Linkbase Document.</w:t>
            </w:r>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Label Linkbase Document.</w:t>
            </w:r>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Presentation Linkbase Document.</w:t>
            </w:r>
          </w:p>
        </w:tc>
      </w:tr>
      <w:tr>
        <w:trPr/>
        <w:tc>
          <w:tcPr>
            <w:tcW w:w="8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8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CellMar>
          <w:top w:w="0" w:type="dxa"/>
          <w:left w:w="0" w:type="dxa"/>
          <w:bottom w:w="0" w:type="dxa"/>
          <w:right w:w="0" w:type="dxa"/>
        </w:tblCellMar>
      </w:tblPr>
      <w:tblGrid>
        <w:gridCol w:w="226"/>
        <w:gridCol w:w="136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CellMar>
          <w:top w:w="0" w:type="dxa"/>
          <w:left w:w="0" w:type="dxa"/>
          <w:bottom w:w="0" w:type="dxa"/>
          <w:right w:w="0" w:type="dxa"/>
        </w:tblCellMar>
      </w:tblPr>
      <w:tblGrid>
        <w:gridCol w:w="331"/>
        <w:gridCol w:w="1756"/>
      </w:tblGrid>
      <w:tr>
        <w:trPr/>
        <w:tc>
          <w:tcPr>
            <w:tcW w:w="33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75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Furnished herewith.</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92" w:name="SIGNATURES_933986"/>
      <w:bookmarkStart w:id="593" w:name="_68bae11f_e5ab_4ce5_9712_3647a907deed"/>
      <w:bookmarkEnd w:id="592"/>
      <w:bookmarkEnd w:id="593"/>
      <w:r>
        <w:rPr>
          <w:rFonts w:ascii="Times New Roman;Times;serif" w:hAnsi="Times New Roman;Times;serif"/>
          <w:b/>
          <w:sz w:val="20"/>
        </w:rPr>
        <w:t>SIGNATURES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center"/>
        <w:rPr/>
      </w:pPr>
      <w:r>
        <w:rPr/>
        <w:t>​</w:t>
      </w:r>
    </w:p>
    <w:tbl>
      <w:tblPr>
        <w:tblW w:w="5882" w:type="dxa"/>
        <w:jc w:val="left"/>
        <w:tblInd w:w="0" w:type="dxa"/>
        <w:tblCellMar>
          <w:top w:w="0" w:type="dxa"/>
          <w:left w:w="0" w:type="dxa"/>
          <w:bottom w:w="0" w:type="dxa"/>
          <w:right w:w="0" w:type="dxa"/>
        </w:tblCellMar>
      </w:tblPr>
      <w:tblGrid>
        <w:gridCol w:w="1741"/>
        <w:gridCol w:w="414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4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629535" cy="29210"/>
                      <wp:effectExtent l="0" t="0" r="0" b="0"/>
                      <wp:wrapNone/>
                      <wp:docPr id="175" name="Frame175"/>
                      <a:graphic xmlns:a="http://schemas.openxmlformats.org/drawingml/2006/main">
                        <a:graphicData uri="http://schemas.microsoft.com/office/word/2010/wordprocessingShape">
                          <wps:wsp>
                            <wps:cNvSpPr txBox="1"/>
                            <wps:spPr>
                              <a:xfrm>
                                <a:off x="0" y="0"/>
                                <a:ext cx="26295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CELLDEX THERAPEUTICS, INC.</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pPr>
            <w:r>
              <w:rPr/>
              <w:t> </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pPr>
            <w:r>
              <w:rPr/>
              <w:t> </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ANTHONY S. MARUCCI</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4, 2023</w:t>
            </w:r>
          </w:p>
        </w:tc>
        <w:tc>
          <w:tcPr>
            <w:tcW w:w="41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Anthony S. Marucci</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pPr>
            <w:r>
              <w:rPr/>
              <w:t> </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SAM MARTIN</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4, 2023</w:t>
            </w:r>
          </w:p>
        </w:tc>
        <w:tc>
          <w:tcPr>
            <w:tcW w:w="41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Sam Martin</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741" w:type="dxa"/>
            <w:tcBorders/>
            <w:shd w:fill="auto" w:val="clear"/>
            <w:vAlign w:val="center"/>
          </w:tcPr>
          <w:p>
            <w:pPr>
              <w:pStyle w:val="TableContents"/>
              <w:spacing w:before="0" w:after="0"/>
              <w:ind w:left="0" w:right="0" w:hanging="0"/>
              <w:rPr/>
            </w:pPr>
            <w:r>
              <w:rPr/>
              <w:t> </w:t>
            </w:r>
          </w:p>
        </w:tc>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r>
        <w:br w:type="page"/>
      </w:r>
    </w:p>
    <w:p>
      <w:pPr>
        <w:pStyle w:val="TextBody"/>
        <w:spacing w:before="0" w:after="240"/>
        <w:ind w:left="0" w:right="0" w:hanging="0"/>
        <w:jc w:val="right"/>
        <w:rPr>
          <w:rFonts w:ascii="Times New Roman;Times;serif" w:hAnsi="Times New Roman;Times;serif"/>
          <w:b/>
          <w:sz w:val="20"/>
        </w:rPr>
      </w:pPr>
      <w:bookmarkStart w:id="594" w:name="cldx-20230331xex31d1.htm"/>
      <w:bookmarkStart w:id="595" w:name="kscldx20230331xex31d1"/>
      <w:bookmarkEnd w:id="594"/>
      <w:bookmarkEnd w:id="595"/>
      <w:r>
        <w:rPr>
          <w:rFonts w:ascii="Times New Roman;Times;serif" w:hAnsi="Times New Roman;Times;serif"/>
          <w:b/>
          <w:sz w:val="20"/>
        </w:rPr>
        <w:t>Exhibit 31.1</w:t>
      </w:r>
    </w:p>
    <w:p>
      <w:pPr>
        <w:pStyle w:val="TextBody"/>
        <w:spacing w:before="0" w:after="9"/>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spacing w:before="0" w:after="96"/>
        <w:ind w:left="0" w:right="0" w:hanging="0"/>
        <w:rPr/>
      </w:pPr>
      <w:r>
        <w:rPr/>
        <w:t>​</w:t>
      </w:r>
    </w:p>
    <w:p>
      <w:pPr>
        <w:pStyle w:val="TextBody"/>
        <w:spacing w:before="0" w:after="0"/>
        <w:ind w:left="113" w:right="0" w:hanging="0"/>
        <w:rPr>
          <w:rFonts w:ascii="Times New Roman;Times;serif" w:hAnsi="Times New Roman;Times;serif"/>
          <w:sz w:val="20"/>
        </w:rPr>
      </w:pPr>
      <w:r>
        <w:rPr>
          <w:rFonts w:ascii="Times New Roman;Times;serif" w:hAnsi="Times New Roman;Times;serif"/>
          <w:sz w:val="20"/>
        </w:rPr>
        <w:t>I, Anthony S. Marucci, certify that:</w:t>
      </w:r>
    </w:p>
    <w:p>
      <w:pPr>
        <w:pStyle w:val="TextBody"/>
        <w:spacing w:before="0" w:after="0"/>
        <w:ind w:left="0" w:right="0" w:hanging="0"/>
        <w:rPr/>
      </w:pPr>
      <w:r>
        <w:rPr/>
        <w:t>​</w:t>
      </w:r>
    </w:p>
    <w:tbl>
      <w:tblPr>
        <w:tblW w:w="5958" w:type="dxa"/>
        <w:jc w:val="left"/>
        <w:tblInd w:w="0" w:type="dxa"/>
        <w:tblCellMar>
          <w:top w:w="0" w:type="dxa"/>
          <w:left w:w="0" w:type="dxa"/>
          <w:bottom w:w="0" w:type="dxa"/>
          <w:right w:w="0" w:type="dxa"/>
        </w:tblCellMar>
      </w:tblPr>
      <w:tblGrid>
        <w:gridCol w:w="23"/>
        <w:gridCol w:w="155"/>
        <w:gridCol w:w="5780"/>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1.</w:t>
            </w:r>
          </w:p>
        </w:tc>
        <w:tc>
          <w:tcPr>
            <w:tcW w:w="5780"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7"/>
        <w:gridCol w:w="10055"/>
      </w:tblGrid>
      <w:tr>
        <w:trPr/>
        <w:tc>
          <w:tcPr>
            <w:tcW w:w="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2.</w:t>
            </w:r>
          </w:p>
        </w:tc>
        <w:tc>
          <w:tcPr>
            <w:tcW w:w="10055"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9"/>
        <w:gridCol w:w="10053"/>
      </w:tblGrid>
      <w:tr>
        <w:trPr/>
        <w:tc>
          <w:tcPr>
            <w:tcW w:w="2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3.</w:t>
            </w:r>
          </w:p>
        </w:tc>
        <w:tc>
          <w:tcPr>
            <w:tcW w:w="1005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6"/>
        <w:gridCol w:w="10056"/>
      </w:tblGrid>
      <w:tr>
        <w:trPr/>
        <w:tc>
          <w:tcPr>
            <w:tcW w:w="2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4.</w:t>
            </w:r>
          </w:p>
        </w:tc>
        <w:tc>
          <w:tcPr>
            <w:tcW w:w="10056"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4"/>
        <w:gridCol w:w="10008"/>
      </w:tblGrid>
      <w:tr>
        <w:trPr/>
        <w:tc>
          <w:tcPr>
            <w:tcW w:w="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(a)</w:t>
            </w:r>
          </w:p>
        </w:tc>
        <w:tc>
          <w:tcPr>
            <w:tcW w:w="10008"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(b)</w:t>
            </w:r>
          </w:p>
        </w:tc>
        <w:tc>
          <w:tcPr>
            <w:tcW w:w="999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0"/>
        <w:gridCol w:w="10002"/>
      </w:tblGrid>
      <w:tr>
        <w:trPr/>
        <w:tc>
          <w:tcPr>
            <w:tcW w:w="2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(c)</w:t>
            </w:r>
          </w:p>
        </w:tc>
        <w:tc>
          <w:tcPr>
            <w:tcW w:w="10002"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(d)</w:t>
            </w:r>
          </w:p>
        </w:tc>
        <w:tc>
          <w:tcPr>
            <w:tcW w:w="999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9"/>
        <w:gridCol w:w="10053"/>
      </w:tblGrid>
      <w:tr>
        <w:trPr/>
        <w:tc>
          <w:tcPr>
            <w:tcW w:w="2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5.</w:t>
            </w:r>
          </w:p>
        </w:tc>
        <w:tc>
          <w:tcPr>
            <w:tcW w:w="1005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rPr>
                <w:rFonts w:ascii="Times New Roman;Times;serif" w:hAnsi="Times New Roman;Times;serif"/>
                <w:sz w:val="17"/>
              </w:rPr>
            </w:pPr>
            <w:r>
              <w:rPr>
                <w:rFonts w:ascii="Times New Roman;Times;serif" w:hAnsi="Times New Roman;Times;serif"/>
                <w:sz w:val="17"/>
              </w:rPr>
              <w:t>(a)</w:t>
            </w:r>
          </w:p>
        </w:tc>
        <w:tc>
          <w:tcPr>
            <w:tcW w:w="1000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1"/>
        <w:ind w:left="0" w:right="0" w:hanging="0"/>
        <w:rPr/>
      </w:pPr>
      <w:r>
        <w:rPr/>
        <w:t>​</w:t>
      </w:r>
    </w:p>
    <w:tbl>
      <w:tblPr>
        <w:tblW w:w="10205" w:type="dxa"/>
        <w:jc w:val="left"/>
        <w:tblInd w:w="0" w:type="dxa"/>
        <w:tblCellMar>
          <w:top w:w="0" w:type="dxa"/>
          <w:left w:w="0" w:type="dxa"/>
          <w:bottom w:w="0" w:type="dxa"/>
          <w:right w:w="0" w:type="dxa"/>
        </w:tblCellMar>
      </w:tblPr>
      <w:tblGrid>
        <w:gridCol w:w="23"/>
        <w:gridCol w:w="212"/>
        <w:gridCol w:w="9970"/>
      </w:tblGrid>
      <w:tr>
        <w:trPr/>
        <w:tc>
          <w:tcPr>
            <w:tcW w:w="2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(b)</w:t>
            </w:r>
          </w:p>
        </w:tc>
        <w:tc>
          <w:tcPr>
            <w:tcW w:w="9970"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spacing w:before="0" w:after="1"/>
        <w:ind w:left="735" w:right="0" w:hanging="622"/>
        <w:rPr/>
      </w:pPr>
      <w:r>
        <w:rPr/>
        <w:t>​</w:t>
      </w:r>
    </w:p>
    <w:tbl>
      <w:tblPr>
        <w:tblW w:w="5478" w:type="dxa"/>
        <w:jc w:val="center"/>
        <w:tblInd w:w="0" w:type="dxa"/>
        <w:tblCellMar>
          <w:top w:w="0" w:type="dxa"/>
          <w:left w:w="0" w:type="dxa"/>
          <w:bottom w:w="0" w:type="dxa"/>
          <w:right w:w="0" w:type="dxa"/>
        </w:tblCellMar>
      </w:tblPr>
      <w:tblGrid>
        <w:gridCol w:w="1636"/>
        <w:gridCol w:w="631"/>
        <w:gridCol w:w="3211"/>
      </w:tblGrid>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ANTHONY S. MARUCCI</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Anthony S. Marucci</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596" w:name="cldx-20230331xex31d2.htm"/>
      <w:bookmarkStart w:id="597" w:name="kscldx20230331xex31d2"/>
      <w:bookmarkEnd w:id="596"/>
      <w:bookmarkEnd w:id="597"/>
      <w:r>
        <w:rPr>
          <w:rFonts w:ascii="Times New Roman;Times;serif" w:hAnsi="Times New Roman;Times;serif"/>
          <w:b/>
          <w:sz w:val="20"/>
        </w:rPr>
        <w:t>Exhibit 31.2</w:t>
      </w:r>
    </w:p>
    <w:p>
      <w:pPr>
        <w:pStyle w:val="TextBody"/>
        <w:spacing w:before="0" w:after="9"/>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spacing w:before="0" w:after="96"/>
        <w:ind w:left="0" w:right="0" w:hanging="0"/>
        <w:rPr/>
      </w:pPr>
      <w:r>
        <w:rPr/>
        <w:t>​</w:t>
      </w:r>
    </w:p>
    <w:p>
      <w:pPr>
        <w:pStyle w:val="TextBody"/>
        <w:spacing w:before="0" w:after="0"/>
        <w:ind w:left="113" w:right="0" w:hanging="0"/>
        <w:rPr>
          <w:rFonts w:ascii="Times New Roman;Times;serif" w:hAnsi="Times New Roman;Times;serif"/>
          <w:sz w:val="20"/>
        </w:rPr>
      </w:pPr>
      <w:r>
        <w:rPr>
          <w:rFonts w:ascii="Times New Roman;Times;serif" w:hAnsi="Times New Roman;Times;serif"/>
          <w:sz w:val="20"/>
        </w:rPr>
        <w:t>I, Sam Martin, certify that:</w:t>
      </w:r>
    </w:p>
    <w:p>
      <w:pPr>
        <w:pStyle w:val="TextBody"/>
        <w:spacing w:before="0" w:after="0"/>
        <w:ind w:left="0" w:right="0" w:hanging="0"/>
        <w:rPr/>
      </w:pPr>
      <w:r>
        <w:rPr/>
        <w:t>​</w:t>
      </w:r>
    </w:p>
    <w:tbl>
      <w:tblPr>
        <w:tblW w:w="5958" w:type="dxa"/>
        <w:jc w:val="left"/>
        <w:tblInd w:w="0" w:type="dxa"/>
        <w:tblCellMar>
          <w:top w:w="0" w:type="dxa"/>
          <w:left w:w="0" w:type="dxa"/>
          <w:bottom w:w="0" w:type="dxa"/>
          <w:right w:w="0" w:type="dxa"/>
        </w:tblCellMar>
      </w:tblPr>
      <w:tblGrid>
        <w:gridCol w:w="23"/>
        <w:gridCol w:w="155"/>
        <w:gridCol w:w="5780"/>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1.</w:t>
            </w:r>
          </w:p>
        </w:tc>
        <w:tc>
          <w:tcPr>
            <w:tcW w:w="5780"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7"/>
        <w:gridCol w:w="10055"/>
      </w:tblGrid>
      <w:tr>
        <w:trPr/>
        <w:tc>
          <w:tcPr>
            <w:tcW w:w="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2.</w:t>
            </w:r>
          </w:p>
        </w:tc>
        <w:tc>
          <w:tcPr>
            <w:tcW w:w="10055"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9"/>
        <w:gridCol w:w="10053"/>
      </w:tblGrid>
      <w:tr>
        <w:trPr/>
        <w:tc>
          <w:tcPr>
            <w:tcW w:w="2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3.</w:t>
            </w:r>
          </w:p>
        </w:tc>
        <w:tc>
          <w:tcPr>
            <w:tcW w:w="1005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6"/>
        <w:gridCol w:w="10056"/>
      </w:tblGrid>
      <w:tr>
        <w:trPr/>
        <w:tc>
          <w:tcPr>
            <w:tcW w:w="2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4.</w:t>
            </w:r>
          </w:p>
        </w:tc>
        <w:tc>
          <w:tcPr>
            <w:tcW w:w="10056"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4"/>
        <w:gridCol w:w="10008"/>
      </w:tblGrid>
      <w:tr>
        <w:trPr/>
        <w:tc>
          <w:tcPr>
            <w:tcW w:w="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(a)</w:t>
            </w:r>
          </w:p>
        </w:tc>
        <w:tc>
          <w:tcPr>
            <w:tcW w:w="10008"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(b)</w:t>
            </w:r>
          </w:p>
        </w:tc>
        <w:tc>
          <w:tcPr>
            <w:tcW w:w="999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0"/>
        <w:gridCol w:w="10002"/>
      </w:tblGrid>
      <w:tr>
        <w:trPr/>
        <w:tc>
          <w:tcPr>
            <w:tcW w:w="2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(c)</w:t>
            </w:r>
          </w:p>
        </w:tc>
        <w:tc>
          <w:tcPr>
            <w:tcW w:w="10002"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(d)</w:t>
            </w:r>
          </w:p>
        </w:tc>
        <w:tc>
          <w:tcPr>
            <w:tcW w:w="999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29"/>
        <w:gridCol w:w="10053"/>
      </w:tblGrid>
      <w:tr>
        <w:trPr/>
        <w:tc>
          <w:tcPr>
            <w:tcW w:w="2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5.</w:t>
            </w:r>
          </w:p>
        </w:tc>
        <w:tc>
          <w:tcPr>
            <w:tcW w:w="10053"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rPr>
                <w:rFonts w:ascii="Times New Roman;Times;serif" w:hAnsi="Times New Roman;Times;serif"/>
                <w:sz w:val="17"/>
              </w:rPr>
            </w:pPr>
            <w:r>
              <w:rPr>
                <w:rFonts w:ascii="Times New Roman;Times;serif" w:hAnsi="Times New Roman;Times;serif"/>
                <w:sz w:val="17"/>
              </w:rPr>
              <w:t>(a)</w:t>
            </w:r>
          </w:p>
        </w:tc>
        <w:tc>
          <w:tcPr>
            <w:tcW w:w="1000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1"/>
        <w:ind w:left="0" w:right="0" w:hanging="0"/>
        <w:rPr/>
      </w:pPr>
      <w:r>
        <w:rPr/>
        <w:t>​</w:t>
      </w:r>
    </w:p>
    <w:tbl>
      <w:tblPr>
        <w:tblW w:w="10205" w:type="dxa"/>
        <w:jc w:val="left"/>
        <w:tblInd w:w="0" w:type="dxa"/>
        <w:tblCellMar>
          <w:top w:w="0" w:type="dxa"/>
          <w:left w:w="0" w:type="dxa"/>
          <w:bottom w:w="0" w:type="dxa"/>
          <w:right w:w="0" w:type="dxa"/>
        </w:tblCellMar>
      </w:tblPr>
      <w:tblGrid>
        <w:gridCol w:w="23"/>
        <w:gridCol w:w="212"/>
        <w:gridCol w:w="9970"/>
      </w:tblGrid>
      <w:tr>
        <w:trPr/>
        <w:tc>
          <w:tcPr>
            <w:tcW w:w="2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1"/>
              <w:rPr>
                <w:rFonts w:ascii="Times New Roman;Times;serif" w:hAnsi="Times New Roman;Times;serif"/>
                <w:sz w:val="17"/>
              </w:rPr>
            </w:pPr>
            <w:r>
              <w:rPr>
                <w:rFonts w:ascii="Times New Roman;Times;serif" w:hAnsi="Times New Roman;Times;serif"/>
                <w:sz w:val="17"/>
              </w:rPr>
              <w:t>(b)</w:t>
            </w:r>
          </w:p>
        </w:tc>
        <w:tc>
          <w:tcPr>
            <w:tcW w:w="9970" w:type="dxa"/>
            <w:tcBorders/>
            <w:shd w:fill="auto" w:val="clear"/>
            <w:vAlign w:val="center"/>
          </w:tcPr>
          <w:p>
            <w:pPr>
              <w:pStyle w:val="TableContents"/>
              <w:spacing w:before="0" w:after="1"/>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spacing w:before="0" w:after="1"/>
        <w:ind w:left="735" w:right="0" w:hanging="622"/>
        <w:rPr/>
      </w:pPr>
      <w:r>
        <w:rPr/>
        <w:t>​</w:t>
      </w:r>
    </w:p>
    <w:tbl>
      <w:tblPr>
        <w:tblW w:w="6408" w:type="dxa"/>
        <w:jc w:val="center"/>
        <w:tblInd w:w="0" w:type="dxa"/>
        <w:tblCellMar>
          <w:top w:w="0" w:type="dxa"/>
          <w:left w:w="0" w:type="dxa"/>
          <w:bottom w:w="0" w:type="dxa"/>
          <w:right w:w="0" w:type="dxa"/>
        </w:tblCellMar>
      </w:tblPr>
      <w:tblGrid>
        <w:gridCol w:w="1636"/>
        <w:gridCol w:w="631"/>
        <w:gridCol w:w="4141"/>
      </w:tblGrid>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SAM MARTIN</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Sam Martin</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598" w:name="cldx-20230331xex32d1.htm"/>
      <w:bookmarkStart w:id="599" w:name="kscldx20230331xex32d1"/>
      <w:bookmarkEnd w:id="598"/>
      <w:bookmarkEnd w:id="599"/>
      <w:r>
        <w:rPr>
          <w:rFonts w:ascii="Times New Roman;Times;serif" w:hAnsi="Times New Roman;Times;serif"/>
          <w:b/>
          <w:sz w:val="20"/>
        </w:rPr>
        <w:t>Exhibit 32.1</w:t>
      </w:r>
    </w:p>
    <w:p>
      <w:pPr>
        <w:pStyle w:val="TextBody"/>
        <w:spacing w:before="0" w:after="1"/>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pStyle w:val="TextBody"/>
        <w:spacing w:before="0" w:after="0"/>
        <w:ind w:left="113" w:right="0" w:hanging="0"/>
        <w:rPr/>
      </w:pPr>
      <w:r>
        <w:rPr/>
        <w:t>​</w:t>
      </w:r>
    </w:p>
    <w:p>
      <w:pPr>
        <w:pStyle w:val="TextBody"/>
        <w:spacing w:before="0" w:after="0"/>
        <w:ind w:left="113" w:right="0" w:hanging="0"/>
        <w:rPr/>
      </w:pPr>
      <w:r>
        <w:rPr/>
        <w:t>​</w:t>
      </w:r>
    </w:p>
    <w:tbl>
      <w:tblPr>
        <w:tblW w:w="5478" w:type="dxa"/>
        <w:jc w:val="center"/>
        <w:tblInd w:w="0" w:type="dxa"/>
        <w:tblCellMar>
          <w:top w:w="0" w:type="dxa"/>
          <w:left w:w="0" w:type="dxa"/>
          <w:bottom w:w="0" w:type="dxa"/>
          <w:right w:w="0" w:type="dxa"/>
        </w:tblCellMar>
      </w:tblPr>
      <w:tblGrid>
        <w:gridCol w:w="1636"/>
        <w:gridCol w:w="631"/>
        <w:gridCol w:w="3211"/>
      </w:tblGrid>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ANTHONY S. MARUCCI</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Anthony S. Marucci</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113" w:right="0" w:hanging="0"/>
        <w:jc w:val="center"/>
        <w:rPr/>
      </w:pPr>
      <w:r>
        <w:rPr/>
        <w:t>​</w:t>
      </w:r>
    </w:p>
    <w:tbl>
      <w:tblPr>
        <w:tblW w:w="6408" w:type="dxa"/>
        <w:jc w:val="center"/>
        <w:tblInd w:w="0" w:type="dxa"/>
        <w:tblCellMar>
          <w:top w:w="0" w:type="dxa"/>
          <w:left w:w="0" w:type="dxa"/>
          <w:bottom w:w="0" w:type="dxa"/>
          <w:right w:w="0" w:type="dxa"/>
        </w:tblCellMar>
      </w:tblPr>
      <w:tblGrid>
        <w:gridCol w:w="1636"/>
        <w:gridCol w:w="631"/>
        <w:gridCol w:w="4141"/>
      </w:tblGrid>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SAM MARTIN</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Sam Martin</w:t>
            </w:r>
          </w:p>
        </w:tc>
      </w:tr>
      <w:tr>
        <w:trPr/>
        <w:tc>
          <w:tcPr>
            <w:tcW w:w="163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alibri">
    <w:altName w:val="Helvetica"/>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15521</Words>
  <CharactersWithSpaces>102315</CharactersWithSpaces>
  <Paragraphs>3094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