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20" w:right="1440" w:hanging="3488"/>
        <w:spacing w:after="0" w:line="500"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200" w:right="1420" w:hanging="3868"/>
        <w:spacing w:after="0" w:line="498"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000-15006</w:t>
      </w:r>
    </w:p>
    <w:p>
      <w:pPr>
        <w:jc w:val="center"/>
        <w:ind w:right="-19"/>
        <w:spacing w:after="0"/>
        <w:rPr>
          <w:sz w:val="20"/>
          <w:szCs w:val="20"/>
          <w:color w:val="auto"/>
        </w:rPr>
      </w:pPr>
      <w:r>
        <w:rPr>
          <w:rFonts w:ascii="Arial" w:cs="Arial" w:eastAsia="Arial" w:hAnsi="Arial"/>
          <w:sz w:val="25"/>
          <w:szCs w:val="25"/>
          <w:b w:val="1"/>
          <w:bCs w:val="1"/>
          <w:color w:val="auto"/>
        </w:rPr>
        <w:t>CELLDEX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60"/>
          </w:cols>
          <w:pgMar w:left="320" w:top="67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4480" w:type="dxa"/>
            <w:vAlign w:val="bottom"/>
            <w:gridSpan w:val="5"/>
          </w:tcPr>
          <w:p>
            <w:pPr>
              <w:jc w:val="center"/>
              <w:ind w:left="1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2"/>
        </w:trPr>
        <w:tc>
          <w:tcPr>
            <w:tcW w:w="326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Title of each class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26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90"/>
              </w:rPr>
              <w:t>Common Stock, par value $.001</w:t>
            </w: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CLDX</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675" w:right="339" w:bottom="1440" w:gutter="0" w:footer="0" w:header="0"/>
          <w:type w:val="continuous"/>
        </w:sectPr>
      </w:pPr>
    </w:p>
    <w:p>
      <w:pPr>
        <w:spacing w:after="0" w:line="151"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7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7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jc w:val="center"/>
        <w:ind w:right="1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20" w:space="720"/>
            <w:col w:w="3900"/>
          </w:cols>
          <w:pgMar w:left="320" w:top="675" w:right="339" w:bottom="1440" w:gutter="0" w:footer="0" w:header="0"/>
          <w:type w:val="continuous"/>
        </w:sectPr>
      </w:pPr>
    </w:p>
    <w:p>
      <w:pPr>
        <w:spacing w:after="0" w:line="3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30, 2021, 39,614,638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6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rPr>
              <w:t>CELLDEX THERAPEUTICS,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60" w:type="dxa"/>
            <w:vAlign w:val="bottom"/>
            <w:gridSpan w:val="5"/>
          </w:tcPr>
          <w:p>
            <w:pPr>
              <w:jc w:val="center"/>
              <w:ind w:right="4540"/>
              <w:spacing w:after="0"/>
              <w:rPr>
                <w:sz w:val="20"/>
                <w:szCs w:val="20"/>
                <w:color w:val="auto"/>
              </w:rPr>
            </w:pPr>
            <w:r>
              <w:rPr>
                <w:rFonts w:ascii="Arial" w:cs="Arial" w:eastAsia="Arial" w:hAnsi="Arial"/>
                <w:sz w:val="18"/>
                <w:szCs w:val="18"/>
                <w:b w:val="1"/>
                <w:bCs w:val="1"/>
                <w:color w:val="auto"/>
                <w:w w:val="99"/>
              </w:rPr>
              <w:t>FORM 10-Q</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6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w w:val="92"/>
              </w:rPr>
              <w:t>For the Quarterly Period Ended March 31, 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60" w:type="dxa"/>
            <w:vAlign w:val="bottom"/>
            <w:gridSpan w:val="7"/>
          </w:tcPr>
          <w:p>
            <w:pPr>
              <w:jc w:val="center"/>
              <w:ind w:right="246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2440" w:type="dxa"/>
            <w:vAlign w:val="bottom"/>
            <w:tcBorders>
              <w:top w:val="single" w:sz="8" w:color="CCEEFF"/>
              <w:bottom w:val="single" w:sz="8" w:color="0000EE"/>
            </w:tcBorders>
            <w:gridSpan w:val="9"/>
            <w:shd w:val="clear" w:color="auto" w:fill="CCEEFF"/>
          </w:tcPr>
          <w:p>
            <w:pPr>
              <w:spacing w:after="0" w:line="169"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82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520" w:type="dxa"/>
            <w:vAlign w:val="bottom"/>
            <w:gridSpan w:val="17"/>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60" w:type="dxa"/>
            <w:vAlign w:val="bottom"/>
            <w:gridSpan w:val="12"/>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2021 and December 31, 2020</w:t>
              </w:r>
            </w:hyperlink>
          </w:p>
        </w:tc>
        <w:tc>
          <w:tcPr>
            <w:tcW w:w="4280" w:type="dxa"/>
            <w:vAlign w:val="bottom"/>
            <w:gridSpan w:val="4"/>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340" w:type="dxa"/>
            <w:vAlign w:val="bottom"/>
            <w:gridSpan w:val="16"/>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Operations and Comprehensive Loss for the Three Months Ended March 31, 2021 and 2020</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340" w:type="dxa"/>
            <w:vAlign w:val="bottom"/>
            <w:gridSpan w:val="16"/>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2021 and 2020</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80" w:type="dxa"/>
            <w:vAlign w:val="bottom"/>
            <w:gridSpan w:val="1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2660" w:type="dxa"/>
            <w:vAlign w:val="bottom"/>
            <w:gridSpan w:val="2"/>
          </w:tcPr>
          <w:p>
            <w:pPr>
              <w:spacing w:after="0"/>
              <w:rPr>
                <w:sz w:val="15"/>
                <w:szCs w:val="15"/>
                <w:color w:val="auto"/>
              </w:rPr>
            </w:pPr>
          </w:p>
        </w:tc>
        <w:tc>
          <w:tcPr>
            <w:tcW w:w="56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52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14"/>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350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18"/>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1. Legal Proceedings</w:t>
              </w:r>
            </w:hyperlink>
          </w:p>
        </w:tc>
        <w:tc>
          <w:tcPr>
            <w:tcW w:w="8620" w:type="dxa"/>
            <w:vAlign w:val="bottom"/>
            <w:tcBorders>
              <w:bottom w:val="single" w:sz="8" w:color="CCEEFF"/>
            </w:tcBorders>
            <w:gridSpan w:val="11"/>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520" w:type="dxa"/>
            <w:vAlign w:val="bottom"/>
            <w:gridSpan w:val="17"/>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52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80" w:type="dxa"/>
            <w:vAlign w:val="bottom"/>
            <w:gridSpan w:val="18"/>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56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8"/>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5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820" w:type="dxa"/>
            <w:vAlign w:val="bottom"/>
            <w:tcBorders>
              <w:top w:val="single" w:sz="8" w:color="0000EE"/>
              <w:bottom w:val="single" w:sz="8" w:color="auto"/>
            </w:tcBorders>
            <w:gridSpan w:val="3"/>
          </w:tcPr>
          <w:p>
            <w:pPr>
              <w:spacing w:after="0"/>
              <w:rPr>
                <w:sz w:val="24"/>
                <w:szCs w:val="24"/>
                <w:color w:val="auto"/>
              </w:rPr>
            </w:pPr>
          </w:p>
        </w:tc>
        <w:tc>
          <w:tcPr>
            <w:tcW w:w="5580" w:type="dxa"/>
            <w:vAlign w:val="bottom"/>
            <w:tcBorders>
              <w:top w:val="single" w:sz="8" w:color="CCEEFF"/>
              <w:bottom w:val="single" w:sz="8" w:color="auto"/>
            </w:tcBorders>
            <w:gridSpan w:val="11"/>
          </w:tcPr>
          <w:p>
            <w:pPr>
              <w:jc w:val="center"/>
              <w:ind w:left="3930"/>
              <w:spacing w:after="0"/>
              <w:rPr>
                <w:sz w:val="20"/>
                <w:szCs w:val="20"/>
                <w:color w:val="auto"/>
              </w:rPr>
            </w:pPr>
            <w:r>
              <w:rPr>
                <w:rFonts w:ascii="Arial" w:cs="Arial" w:eastAsia="Arial" w:hAnsi="Arial"/>
                <w:sz w:val="18"/>
                <w:szCs w:val="18"/>
                <w:color w:val="auto"/>
                <w:w w:val="79"/>
              </w:rPr>
              <w:t>2</w:t>
            </w:r>
          </w:p>
        </w:tc>
        <w:tc>
          <w:tcPr>
            <w:tcW w:w="78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3640"/>
              <w:spacing w:after="0"/>
              <w:rPr>
                <w:sz w:val="20"/>
                <w:szCs w:val="20"/>
                <w:color w:val="auto"/>
              </w:rPr>
            </w:pPr>
            <w:r>
              <w:rPr>
                <w:rFonts w:ascii="Arial" w:cs="Arial" w:eastAsia="Arial" w:hAnsi="Arial"/>
                <w:sz w:val="18"/>
                <w:szCs w:val="18"/>
                <w:b w:val="1"/>
                <w:bCs w:val="1"/>
                <w:color w:val="auto"/>
                <w:w w:val="91"/>
              </w:rPr>
              <w:t>(In thousands, except share and per share amounts)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7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43,836</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106,770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150,586</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3,588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r>
      <w:tr>
        <w:trPr>
          <w:trHeight w:val="210"/>
        </w:trPr>
        <w:tc>
          <w:tcPr>
            <w:tcW w:w="7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3,449</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30,690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30,690</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49"/>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219,065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235,838</w:t>
            </w:r>
          </w:p>
        </w:tc>
        <w:tc>
          <w:tcPr>
            <w:tcW w:w="100" w:type="dxa"/>
            <w:vAlign w:val="bottom"/>
            <w:tcBorders>
              <w:bottom w:val="single" w:sz="8" w:color="CCEEFF"/>
            </w:tcBorders>
          </w:tcPr>
          <w:p>
            <w:pPr>
              <w:spacing w:after="0"/>
              <w:rPr>
                <w:sz w:val="21"/>
                <w:szCs w:val="21"/>
                <w:color w:val="auto"/>
              </w:rPr>
            </w:pPr>
          </w:p>
        </w:tc>
      </w:tr>
      <w:tr>
        <w:trPr>
          <w:trHeight w:val="197"/>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8,459</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Current portion of other long-term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7,585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r>
      <w:tr>
        <w:trPr>
          <w:trHeight w:val="210"/>
        </w:trPr>
        <w:tc>
          <w:tcPr>
            <w:tcW w:w="7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10,121</w:t>
            </w:r>
          </w:p>
        </w:tc>
      </w:tr>
      <w:tr>
        <w:trPr>
          <w:trHeight w:val="210"/>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26,481</w:t>
            </w:r>
          </w:p>
        </w:tc>
        <w:tc>
          <w:tcPr>
            <w:tcW w:w="100" w:type="dxa"/>
            <w:vAlign w:val="bottom"/>
            <w:tcBorders>
              <w:bottom w:val="single" w:sz="8" w:color="CCEEFF"/>
            </w:tcBorders>
          </w:tcPr>
          <w:p>
            <w:pPr>
              <w:spacing w:after="0"/>
              <w:rPr>
                <w:sz w:val="18"/>
                <w:szCs w:val="18"/>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issued and outstanding at March 31, 2021 and December 31, 2020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4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$.001 par value; 297,000,000 shares authorized; 39,614,638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40" w:type="dxa"/>
            <w:vAlign w:val="bottom"/>
          </w:tcPr>
          <w:p>
            <w:pPr>
              <w:ind w:left="280"/>
              <w:spacing w:after="0"/>
              <w:rPr>
                <w:sz w:val="20"/>
                <w:szCs w:val="20"/>
                <w:color w:val="auto"/>
              </w:rPr>
            </w:pPr>
            <w:r>
              <w:rPr>
                <w:rFonts w:ascii="Arial" w:cs="Arial" w:eastAsia="Arial" w:hAnsi="Arial"/>
                <w:sz w:val="18"/>
                <w:szCs w:val="18"/>
                <w:color w:val="auto"/>
                <w:w w:val="93"/>
              </w:rPr>
              <w:t>39,603,771 shares issued and outstanding at March 31, 2021 and December 31, 2020,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1,281,173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1,279,824</w:t>
            </w: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(1,089,634)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(1,073,096)</w:t>
            </w:r>
          </w:p>
        </w:tc>
      </w:tr>
      <w:tr>
        <w:trPr>
          <w:trHeight w:val="210"/>
        </w:trPr>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194,166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209,357</w:t>
            </w:r>
          </w:p>
        </w:tc>
        <w:tc>
          <w:tcPr>
            <w:tcW w:w="100" w:type="dxa"/>
            <w:vAlign w:val="bottom"/>
            <w:tcBorders>
              <w:bottom w:val="single" w:sz="8" w:color="CCEEFF"/>
            </w:tcBorders>
          </w:tcPr>
          <w:p>
            <w:pPr>
              <w:spacing w:after="0"/>
              <w:rPr>
                <w:sz w:val="18"/>
                <w:szCs w:val="18"/>
                <w:color w:val="auto"/>
              </w:rPr>
            </w:pPr>
          </w:p>
        </w:tc>
      </w:tr>
      <w:tr>
        <w:trPr>
          <w:trHeight w:val="210"/>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40"/>
              <w:spacing w:after="0"/>
              <w:rPr>
                <w:sz w:val="20"/>
                <w:szCs w:val="20"/>
                <w:color w:val="auto"/>
              </w:rPr>
            </w:pPr>
            <w:r>
              <w:rPr>
                <w:rFonts w:ascii="Arial" w:cs="Arial" w:eastAsia="Arial" w:hAnsi="Arial"/>
                <w:sz w:val="18"/>
                <w:szCs w:val="18"/>
                <w:b w:val="1"/>
                <w:bCs w:val="1"/>
                <w:color w:val="auto"/>
                <w:w w:val="94"/>
              </w:rPr>
              <w:t>(In thousands, except per share amounts)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24"/>
                <w:szCs w:val="2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2"/>
              </w:rPr>
              <w:t>March 31, 2021</w:t>
            </w: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March 31, 2020</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2,286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12,720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4,121</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on fair value remeasurement of contingent consideration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81"/>
              <w:spacing w:after="0"/>
              <w:rPr>
                <w:sz w:val="20"/>
                <w:szCs w:val="20"/>
                <w:color w:val="auto"/>
              </w:rPr>
            </w:pPr>
            <w:r>
              <w:rPr>
                <w:rFonts w:ascii="Arial" w:cs="Arial" w:eastAsia="Arial" w:hAnsi="Arial"/>
                <w:sz w:val="18"/>
                <w:szCs w:val="18"/>
                <w:color w:val="auto"/>
              </w:rPr>
              <w:t>(16,639)</w:t>
            </w:r>
          </w:p>
        </w:tc>
        <w:tc>
          <w:tcPr>
            <w:tcW w:w="14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(12,867)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r>
      <w:tr>
        <w:trPr>
          <w:trHeight w:val="24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7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6"/>
        </w:trPr>
        <w:tc>
          <w:tcPr>
            <w:tcW w:w="74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81"/>
              <w:spacing w:after="0"/>
              <w:rPr>
                <w:sz w:val="20"/>
                <w:szCs w:val="20"/>
                <w:color w:val="auto"/>
              </w:rPr>
            </w:pPr>
            <w:r>
              <w:rPr>
                <w:rFonts w:ascii="Arial" w:cs="Arial" w:eastAsia="Arial" w:hAnsi="Arial"/>
                <w:sz w:val="18"/>
                <w:szCs w:val="18"/>
                <w:color w:val="auto"/>
              </w:rPr>
              <w:t>(0.42)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(0.73)</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56"/>
        </w:trPr>
        <w:tc>
          <w:tcPr>
            <w:tcW w:w="7440" w:type="dxa"/>
            <w:vAlign w:val="bottom"/>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39,614</w:t>
            </w:r>
          </w:p>
        </w:tc>
        <w:tc>
          <w:tcPr>
            <w:tcW w:w="14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17,406</w:t>
            </w:r>
          </w:p>
        </w:tc>
        <w:tc>
          <w:tcPr>
            <w:tcW w:w="80" w:type="dxa"/>
            <w:vAlign w:val="bottom"/>
          </w:tcPr>
          <w:p>
            <w:pPr>
              <w:spacing w:after="0"/>
              <w:rPr>
                <w:sz w:val="22"/>
                <w:szCs w:val="22"/>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(16,538)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(12,625)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Three Months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Three Months</w:t>
            </w:r>
          </w:p>
        </w:tc>
      </w:tr>
      <w:tr>
        <w:trPr>
          <w:trHeight w:val="216"/>
        </w:trPr>
        <w:tc>
          <w:tcPr>
            <w:tcW w:w="7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Ended</w:t>
            </w:r>
          </w:p>
        </w:tc>
      </w:tr>
      <w:tr>
        <w:trPr>
          <w:trHeight w:val="234"/>
        </w:trPr>
        <w:tc>
          <w:tcPr>
            <w:tcW w:w="7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March 31, 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2020</w:t>
            </w: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(16,538)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(12,625)</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premium of marketable securities, net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Gain on sale or disposal of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fair value remeasurement of contingent consideration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Accounts and other receivables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70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16"/>
        </w:trPr>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09"/>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(12,110)</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(33,970)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proceeds from stock issuances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25,477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11,492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w:t>
            </w:r>
          </w:p>
        </w:tc>
      </w:tr>
      <w:tr>
        <w:trPr>
          <w:trHeight w:val="250"/>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69,313</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22,724</w:t>
            </w:r>
          </w:p>
        </w:tc>
        <w:tc>
          <w:tcPr>
            <w:tcW w:w="100" w:type="dxa"/>
            <w:vAlign w:val="bottom"/>
            <w:tcBorders>
              <w:bottom w:val="single" w:sz="8" w:color="CCEEFF"/>
            </w:tcBorders>
          </w:tcPr>
          <w:p>
            <w:pPr>
              <w:spacing w:after="0"/>
              <w:rPr>
                <w:sz w:val="21"/>
                <w:szCs w:val="21"/>
                <w:color w:val="auto"/>
              </w:rPr>
            </w:pPr>
          </w:p>
        </w:tc>
      </w:tr>
      <w:tr>
        <w:trPr>
          <w:trHeight w:val="197"/>
        </w:trPr>
        <w:tc>
          <w:tcPr>
            <w:tcW w:w="7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construction in progress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2020, which are included in the Company’s Annual Report on Form 10-K filed with the Securities and Exchange Commission on March 29, 2021.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2021.</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March 31, 2021, the Company had cash, cash equivalents and marketable securities of $176.1 million. The Company has had recurring losses and incurred a loss of $16.5 million for the three months ended March 31, 2021. Net cash used in operations for the three months ended March 31, 2021 was $18.1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December 2019, a novel strain of coronavirus, now referred to as COVID-19, surfaced in Wuhan, China. The virus continues to spread globally, has been declared a pandemic by the World Health Organization and has spread to hundreds of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COVID-19, various states, including New Jersey, Massachusetts and Connecticut, where the Company has office, research and manufacturing facilities,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(IPR&amp;D) assets with a carrying value of $30.7 million at March 31, 2021.</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months ended March 31, 2021 are consistent with those discussed in Note 2 to the financial statements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43"/>
        </w:trPr>
        <w:tc>
          <w:tcPr>
            <w:tcW w:w="4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5"/>
          </w:tcPr>
          <w:p>
            <w:pPr>
              <w:ind w:left="76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63,946</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63,946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106,770</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4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170,716</w:t>
            </w:r>
          </w:p>
        </w:tc>
        <w:tc>
          <w:tcPr>
            <w:tcW w:w="2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8,750</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8,750</w:t>
            </w:r>
          </w:p>
        </w:tc>
      </w:tr>
      <w:tr>
        <w:trPr>
          <w:trHeight w:val="223"/>
        </w:trPr>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4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r>
      <w:tr>
        <w:trPr>
          <w:trHeight w:val="237"/>
        </w:trPr>
        <w:tc>
          <w:tcPr>
            <w:tcW w:w="4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ind w:left="76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35,066</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35,066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150,586</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4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185,652</w:t>
            </w:r>
          </w:p>
        </w:tc>
        <w:tc>
          <w:tcPr>
            <w:tcW w:w="2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185,652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8,267</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8,267</w:t>
            </w:r>
          </w:p>
        </w:tc>
      </w:tr>
      <w:tr>
        <w:trPr>
          <w:trHeight w:val="223"/>
        </w:trPr>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right="160" w:firstLine="648"/>
        <w:spacing w:after="0" w:line="301"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three months ended March 31, 2021 (in thousands):</w:t>
      </w:r>
    </w:p>
    <w:p>
      <w:pPr>
        <w:spacing w:after="0" w:line="166"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Other Liabilities:</w:t>
      </w:r>
    </w:p>
    <w:p>
      <w:pPr>
        <w:spacing w:after="0" w:line="27"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Contingent</w:t>
      </w:r>
    </w:p>
    <w:p>
      <w:pPr>
        <w:spacing w:after="0" w:line="9" w:lineRule="exact"/>
        <w:rPr>
          <w:sz w:val="20"/>
          <w:szCs w:val="20"/>
          <w:color w:val="auto"/>
        </w:rPr>
      </w:pPr>
    </w:p>
    <w:p>
      <w:pPr>
        <w:jc w:val="center"/>
        <w:ind w:left="9540"/>
        <w:spacing w:after="0"/>
        <w:rPr>
          <w:sz w:val="20"/>
          <w:szCs w:val="20"/>
          <w:color w:val="auto"/>
        </w:rPr>
      </w:pPr>
      <w:r>
        <w:rPr>
          <w:rFonts w:ascii="Arial" w:cs="Arial" w:eastAsia="Arial" w:hAnsi="Arial"/>
          <w:sz w:val="18"/>
          <w:szCs w:val="18"/>
          <w:b w:val="1"/>
          <w:bCs w:val="1"/>
          <w:color w:val="auto"/>
        </w:rPr>
        <w:t>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560" w:type="dxa"/>
            <w:vAlign w:val="bottom"/>
            <w:tcBorders>
              <w:top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09"/>
        </w:trPr>
        <w:tc>
          <w:tcPr>
            <w:tcW w:w="9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March 31, 2021, the weighted average discount rate used in calculating the fair value of contingent consideration was 6.6% (with a range of 6.2% to 8.1%) and the weighted average amount of time until the conditions of the milestone payments are met was 3 years.</w:t>
      </w:r>
    </w:p>
    <w:p>
      <w:pPr>
        <w:spacing w:after="0" w:line="17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During the three months ended March 31, 2021, the Company recorded a $0.5 million loss on fair value remeasurement of contingent consideration primarily due to changes in discount rates and the passage of time. During the three months ended March 31, 2020, the Company recorded a $0.2 million loss on fair value remeasurement of contingent consideration primarily due to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transfers in or out of Level 3 assets or liabilities during the three months ended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8"/>
                <w:szCs w:val="18"/>
                <w:b w:val="1"/>
                <w:bCs w:val="1"/>
                <w:color w:val="auto"/>
              </w:rPr>
              <w:t>Gross Unrealized</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5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jc w:val="right"/>
              <w:ind w:right="443"/>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municipal obligations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16,338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74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16,342</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8,178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8,180</w:t>
            </w:r>
          </w:p>
        </w:tc>
        <w:tc>
          <w:tcPr>
            <w:tcW w:w="220" w:type="dxa"/>
            <w:vAlign w:val="bottom"/>
          </w:tcPr>
          <w:p>
            <w:pPr>
              <w:spacing w:after="0"/>
              <w:rPr>
                <w:sz w:val="18"/>
                <w:szCs w:val="18"/>
                <w:color w:val="auto"/>
              </w:rPr>
            </w:pPr>
          </w:p>
        </w:tc>
      </w:tr>
      <w:tr>
        <w:trPr>
          <w:trHeight w:val="21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U.S. government and municipal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24,516</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24,522</w:t>
            </w:r>
          </w:p>
        </w:tc>
        <w:tc>
          <w:tcPr>
            <w:tcW w:w="120" w:type="dxa"/>
            <w:vAlign w:val="bottom"/>
            <w:tcBorders>
              <w:bottom w:val="single" w:sz="8" w:color="CCEEFF"/>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82,263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4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1"/>
              <w:spacing w:after="0"/>
              <w:rPr>
                <w:sz w:val="20"/>
                <w:szCs w:val="20"/>
                <w:color w:val="auto"/>
              </w:rPr>
            </w:pPr>
            <w:r>
              <w:rPr>
                <w:rFonts w:ascii="Arial" w:cs="Arial" w:eastAsia="Arial" w:hAnsi="Arial"/>
                <w:sz w:val="18"/>
                <w:szCs w:val="18"/>
                <w:color w:val="auto"/>
              </w:rPr>
              <w:t>(15)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22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corporate debt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82,263</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w:t>
            </w:r>
          </w:p>
        </w:tc>
        <w:tc>
          <w:tcPr>
            <w:tcW w:w="3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Borders>
              <w:bottom w:val="single" w:sz="8" w:color="CCEEFF"/>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106,779</w:t>
            </w: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106,770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5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Gross Unrealized</w:t>
            </w: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7"/>
              </w:rPr>
              <w:t>Amortized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Gains</w:t>
            </w: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municipal obligations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40,328</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3</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Arial" w:cs="Arial" w:eastAsia="Arial" w:hAnsi="Arial"/>
                <w:sz w:val="18"/>
                <w:szCs w:val="18"/>
                <w:color w:val="auto"/>
              </w:rPr>
              <w:t>Total U.S. government and municipal obligations</w:t>
            </w: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40,328</w:t>
            </w:r>
          </w:p>
        </w:tc>
        <w:tc>
          <w:tcPr>
            <w:tcW w:w="1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900"/>
              <w:spacing w:after="0"/>
              <w:rPr>
                <w:sz w:val="20"/>
                <w:szCs w:val="20"/>
                <w:color w:val="auto"/>
              </w:rPr>
            </w:pPr>
            <w:r>
              <w:rPr>
                <w:rFonts w:ascii="Arial" w:cs="Arial" w:eastAsia="Arial" w:hAnsi="Arial"/>
                <w:sz w:val="15"/>
                <w:szCs w:val="15"/>
                <w:color w:val="auto"/>
                <w:w w:val="71"/>
              </w:rPr>
              <w:t>3</w:t>
            </w:r>
          </w:p>
        </w:tc>
        <w:tc>
          <w:tcPr>
            <w:tcW w:w="340" w:type="dxa"/>
            <w:vAlign w:val="bottom"/>
            <w:vMerge w:val="continue"/>
          </w:tcPr>
          <w:p>
            <w:pPr>
              <w:spacing w:after="0"/>
              <w:rPr>
                <w:sz w:val="18"/>
                <w:szCs w:val="18"/>
                <w:color w:val="auto"/>
              </w:rPr>
            </w:pP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40,329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40"/>
              <w:spacing w:after="0"/>
              <w:rPr>
                <w:sz w:val="20"/>
                <w:szCs w:val="20"/>
                <w:color w:val="auto"/>
              </w:rPr>
            </w:pPr>
            <w:r>
              <w:rPr>
                <w:rFonts w:ascii="Arial" w:cs="Arial" w:eastAsia="Arial" w:hAnsi="Arial"/>
                <w:sz w:val="18"/>
                <w:szCs w:val="18"/>
                <w:color w:val="auto"/>
              </w:rPr>
              <w:t>Maturing in one year or less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110,265</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2</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61"/>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110,257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Maturing after one year through three years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corporate debt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5"/>
                <w:szCs w:val="15"/>
                <w:color w:val="auto"/>
                <w:w w:val="71"/>
              </w:rPr>
              <w:t>2</w:t>
            </w:r>
          </w:p>
        </w:tc>
        <w:tc>
          <w:tcPr>
            <w:tcW w:w="3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w w:val="71"/>
              </w:rPr>
              <w:t>5</w:t>
            </w: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March 31, 2021 and December 31, 2020. The unrealized losses are attributable to changes in interest rates and the Company does not believe any unrealized losses represent other-than-temporary impairments. Marketable securities include $0.4 million and $0.2 million in accrued interest at March 31,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At March 31, 2021 and December 31, 2020, the carrying value of the Company’s indefinite-lived intangible assets was $30.7 million. Indefinite-lived intangible assets consist of acquired in-process research and development (“IPR&amp;D”) related to the development of the anti-KIT program (including CDX-0159) and the TAM program, a broad antibody discovery effort to generate antibodies that modulate the TAM family of RTKs, comprised of Tyro3, AXL and MerTK. CDX-0159 is in Phase 1 development and the TAM program is in preclinical development. As of March 31, 2021, none of the Company’s IPR&amp;D assets had reached technological feasibility nor did any have alternative future uses.</w:t>
      </w:r>
    </w:p>
    <w:p>
      <w:pPr>
        <w:spacing w:after="0" w:line="17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Company performs an impairment test on IPR&amp;D assets at least annually, or more frequently if events or changes in circumstances indicate that IPR&amp;D assets may be impaired. As a result of the discontinuation of the CDX-3379 program in the second quarter of 2020, the Company concluded that the CDX-3379 IPR&amp;D asset was fully impaired and a non-cash impairment charge of $3.5 million was recorded in the second quarter of 2020. As a result of a change in the projected development and regulatory timeline related to the TAM program in the fourth quarter of 2020, the Company concluded that the TAM IPR&amp;D asset was partially impaired and a non-cash impairment charge of $14.5 million was recorded in the fourth quarter of 2020.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(6) Other Long-Term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Arial" w:cs="Arial" w:eastAsia="Arial" w:hAnsi="Arial"/>
                <w:sz w:val="18"/>
                <w:szCs w:val="18"/>
                <w:color w:val="auto"/>
              </w:rPr>
              <w:t>Other long-term liabilities include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right"/>
              <w:ind w:right="112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Contingent milestones (Note 3)</w:t>
            </w: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8,267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(Note 10)</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(3,372)</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Long-term portion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May 2016, the Company entered into a controlled equity offering sales agreement with Cantor Fitzgerald &amp; Co. (“Cantor”) to allow the Company to issue and sell shares of its common stock from time to time through Cantor, acting as agent. At March 31, 2021, the Company had $50.0 million remaining in aggregate gross offering price available under the Company’s November 2020 prospectus.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Stockholders’ Equity during the three months ended March 31, 2021 and 2020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Stock Par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Comprehensive</w:t>
            </w: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w w:val="88"/>
              </w:rPr>
              <w:t>(In thousands, except share amounts)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Consolidated balance at December 31,</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39,603,771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1,279,824</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(1,073,096)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Shares issued under stock option and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10,867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(16,538)</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Consolidated balance at March 31,</w:t>
            </w: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260" w:type="dxa"/>
            <w:vAlign w:val="bottom"/>
            <w:vMerge w:val="continue"/>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39,614,638</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1,281,173</w:t>
            </w:r>
          </w:p>
        </w:tc>
        <w:tc>
          <w:tcPr>
            <w:tcW w:w="38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2,587</w:t>
            </w: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7"/>
              </w:rPr>
              <w:t>(1,089,634)</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194,166</w:t>
            </w:r>
          </w:p>
        </w:tc>
        <w:tc>
          <w:tcPr>
            <w:tcW w:w="0" w:type="dxa"/>
            <w:vAlign w:val="bottom"/>
          </w:tcPr>
          <w:p>
            <w:pPr>
              <w:spacing w:after="0"/>
              <w:rPr>
                <w:sz w:val="1"/>
                <w:szCs w:val="1"/>
                <w:color w:val="auto"/>
              </w:rPr>
            </w:pPr>
          </w:p>
        </w:tc>
      </w:tr>
      <w:tr>
        <w:trPr>
          <w:trHeight w:val="221"/>
        </w:trPr>
        <w:tc>
          <w:tcPr>
            <w:tcW w:w="3260" w:type="dxa"/>
            <w:vAlign w:val="bottom"/>
          </w:tcPr>
          <w:p>
            <w:pPr>
              <w:ind w:left="180"/>
              <w:spacing w:after="0"/>
              <w:rPr>
                <w:sz w:val="20"/>
                <w:szCs w:val="20"/>
                <w:color w:val="auto"/>
              </w:rPr>
            </w:pPr>
            <w:r>
              <w:rPr>
                <w:rFonts w:ascii="Arial" w:cs="Arial" w:eastAsia="Arial" w:hAnsi="Arial"/>
                <w:sz w:val="18"/>
                <w:szCs w:val="18"/>
                <w:b w:val="1"/>
                <w:bCs w:val="1"/>
                <w:color w:val="auto"/>
              </w:rPr>
              <w:t>2021</w:t>
            </w:r>
          </w:p>
        </w:tc>
        <w:tc>
          <w:tcPr>
            <w:tcW w:w="116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2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Stock Par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Comprehensive</w:t>
            </w:r>
          </w:p>
        </w:tc>
        <w:tc>
          <w:tcPr>
            <w:tcW w:w="1400" w:type="dxa"/>
            <w:vAlign w:val="bottom"/>
            <w:gridSpan w:val="4"/>
          </w:tcPr>
          <w:p>
            <w:pPr>
              <w:ind w:left="60"/>
              <w:spacing w:after="0"/>
              <w:rPr>
                <w:sz w:val="20"/>
                <w:szCs w:val="20"/>
                <w:color w:val="auto"/>
              </w:rPr>
            </w:pPr>
            <w:r>
              <w:rPr>
                <w:rFonts w:ascii="Arial" w:cs="Arial" w:eastAsia="Arial" w:hAnsi="Arial"/>
                <w:sz w:val="18"/>
                <w:szCs w:val="18"/>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2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Income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36"/>
        </w:trPr>
        <w:tc>
          <w:tcPr>
            <w:tcW w:w="3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w w:val="90"/>
              </w:rPr>
              <w:t>(In thousands, except share amounts)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Consolidated balance at December 31,</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16,972,077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1,104,706</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(1,013,316)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94,026</w:t>
            </w: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rPr>
              <w:t>Shares issued under stock option and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 at the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 agreement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746,152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(12,625)</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(12,625)</w:t>
            </w:r>
          </w:p>
        </w:tc>
      </w:tr>
      <w:tr>
        <w:trPr>
          <w:trHeight w:val="178"/>
        </w:trPr>
        <w:tc>
          <w:tcPr>
            <w:tcW w:w="32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 balance at March 31,</w:t>
            </w: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17,730,802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1,107,029</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(1,025,941)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three months ended March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Term (In Years)</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28.93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19.66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Canceled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126.27</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28.90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March 31, 2021</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2,953,396</w:t>
            </w:r>
          </w:p>
        </w:tc>
        <w:tc>
          <w:tcPr>
            <w:tcW w:w="22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660"/>
              <w:spacing w:after="0" w:line="196" w:lineRule="exact"/>
              <w:rPr>
                <w:sz w:val="20"/>
                <w:szCs w:val="20"/>
                <w:color w:val="auto"/>
              </w:rPr>
            </w:pPr>
            <w:r>
              <w:rPr>
                <w:rFonts w:ascii="Arial" w:cs="Arial" w:eastAsia="Arial" w:hAnsi="Arial"/>
                <w:sz w:val="18"/>
                <w:szCs w:val="18"/>
                <w:color w:val="auto"/>
                <w:w w:val="84"/>
              </w:rPr>
              <w:t>29.53</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982,848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71.05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894,882</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grant-date fair value of stock options granted during the three months ended March 31, 2021 was $15.20.</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aggregate intrinsic value of stock options vested and expected to vest at March 31, 2021 was $31.6 million. The aggregate intrinsic value of stock options exercisable at March 31, 2021 was $8.3 million. As of March 31, 2021, total compensation cost related to non-vested employee and non-employee director stock options not yet recognized was approximately $10.6 million, net of estimated forfeitures, which is expected to be recognized as expense over a weighted average period of 2.8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Stock-based compensation expense for the three months ended March 31, 2021 and 2020 was recorded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10"/>
        </w:trPr>
        <w:tc>
          <w:tcPr>
            <w:tcW w:w="7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8"/>
                <w:szCs w:val="18"/>
                <w:color w:val="auto"/>
              </w:rPr>
            </w:pPr>
          </w:p>
        </w:tc>
      </w:tr>
      <w:tr>
        <w:trPr>
          <w:trHeight w:val="237"/>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614</w:t>
            </w:r>
          </w:p>
        </w:tc>
        <w:tc>
          <w:tcPr>
            <w:tcW w:w="4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r>
      <w:tr>
        <w:trPr>
          <w:trHeight w:val="209"/>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and director stock options granted during the three months ended March 31, 2021 and 2020 were valued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74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23"/>
        </w:trPr>
        <w:tc>
          <w:tcPr>
            <w:tcW w:w="78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 98%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Expected option term</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6.0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0.8 - 1.2%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None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are summarized below:</w:t>
      </w:r>
    </w:p>
    <w:p>
      <w:pPr>
        <w:sectPr>
          <w:pgSz w:w="11900" w:h="16838" w:orient="portrait"/>
          <w:cols w:equalWidth="0" w:num="1">
            <w:col w:w="11200"/>
          </w:cols>
          <w:pgMar w:left="320" w:top="9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6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3"/>
              </w:rPr>
              <w:t>Loss 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5"/>
              </w:rPr>
              <w:t>Marketable</w:t>
            </w:r>
          </w:p>
        </w:tc>
        <w:tc>
          <w:tcPr>
            <w:tcW w:w="200" w:type="dxa"/>
            <w:vAlign w:val="bottom"/>
          </w:tcPr>
          <w:p>
            <w:pPr>
              <w:spacing w:after="0"/>
              <w:rPr>
                <w:sz w:val="18"/>
                <w:szCs w:val="18"/>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Currency Items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222"/>
        </w:trPr>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2,596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2,589</w:t>
            </w:r>
          </w:p>
        </w:tc>
        <w:tc>
          <w:tcPr>
            <w:tcW w:w="60" w:type="dxa"/>
            <w:vAlign w:val="bottom"/>
          </w:tcPr>
          <w:p>
            <w:pPr>
              <w:spacing w:after="0"/>
              <w:rPr>
                <w:sz w:val="18"/>
                <w:szCs w:val="18"/>
                <w:color w:val="auto"/>
              </w:rPr>
            </w:pPr>
          </w:p>
        </w:tc>
      </w:tr>
      <w:tr>
        <w:trPr>
          <w:trHeight w:val="244"/>
        </w:trPr>
        <w:tc>
          <w:tcPr>
            <w:tcW w:w="140" w:type="dxa"/>
            <w:vAlign w:val="bottom"/>
          </w:tcPr>
          <w:p>
            <w:pPr>
              <w:spacing w:after="0"/>
              <w:rPr>
                <w:sz w:val="21"/>
                <w:szCs w:val="21"/>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60" w:type="dxa"/>
            <w:vAlign w:val="bottom"/>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-462280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-179705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40"/>
          </w:cols>
          <w:pgMar w:left="320" w:top="908" w:right="37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reclassified out of accumulated other comprehensive income during the three months ended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Company has entered into the Rockefeller Agreement and an agreement with Gilead Sciences pursuant to which the Company performs manufacturing and research and development services on a time-and-materials basis or at a negotiated fixed-price. The Company recognized $0.6 million and $0.4 million in revenue under these agreements during the three months ended March 31, 2021 and March 31, 2020, respectively.</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third quarter of 2020, the Company was awarded a Small Business Innovation Research (“SBIR”) grant from the National Institutes of Health (NIH) to support the Company’s CDX-1140 and CDX-301 programs. The Company recognized $0.1 million in grant revenue under the award during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2021 and December 31, 2020, the Company’s right to consideration under all contracts was considered unconditional, and as such,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there were no recorded contract assets. At March 31, 2021, the Company had $3.2 million in contract liabilities recorded, which is expected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recognized during the next 12 months as manufacturing and research and development services are performed. At December 31, 2020,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in contract liabilities recorded. Revenue recognized from contract liabilities as of December 31, 2020 during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was $0.4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March 31, 2021 and December 31, 2020.</w:t>
      </w:r>
    </w:p>
    <w:p>
      <w:pPr>
        <w:spacing w:after="0" w:line="149"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The net deferred tax liability of $1.8 million at March 31, 2021 and December 31, 2020 relates to the temporary differences associated with the IPR&amp;D intangible assets acquired in previous business combinations and is not deductible for tax purposes. A $0.2 million non-cash income tax benefit was recorded during the second quarter of 2020 related to the impairment of the CDX-3379 IPR&amp;D asset and a $0.9 million non-cash income tax benefit was recorded during the fourth quarter of 2020 related to the partial impairment of the TAM program IPR&amp;D asset.</w:t>
      </w:r>
    </w:p>
    <w:p>
      <w:pPr>
        <w:spacing w:after="0" w:line="17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90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3,046,324</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Restricted Stock</w:t>
            </w:r>
          </w:p>
        </w:tc>
        <w:tc>
          <w:tcPr>
            <w:tcW w:w="498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shd w:val="clear" w:color="auto" w:fill="CCEEFF"/>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3,046,324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1,659,251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980" w:type="dxa"/>
            <w:vAlign w:val="bottom"/>
            <w:vMerge w:val="restart"/>
          </w:tcPr>
          <w:p>
            <w:pPr>
              <w:jc w:val="right"/>
              <w:ind w:right="2530"/>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related to the METRIC clinical study, TAM partnership closing within two years of the acquisition, CDX-3379 and CDX-0158 have been abandoned and, because of this, as of March 31, 2021, the Company believes that the adjusted amount we may be required to pay for future consideration is up to $107.5 million contingent upon the achievement of the Kolltan Milestones.</w:t>
      </w:r>
    </w:p>
    <w:p>
      <w:pPr>
        <w:spacing w:after="0" w:line="17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 The Company disagrees with their objection and believes their objection to be without merit.</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Specifically, Celldex sought the entry of an order declaring that:</w:t>
      </w:r>
    </w:p>
    <w:p>
      <w:pPr>
        <w:spacing w:after="0" w:line="187" w:lineRule="exact"/>
        <w:rPr>
          <w:sz w:val="20"/>
          <w:szCs w:val="20"/>
          <w:color w:val="auto"/>
        </w:rPr>
      </w:pPr>
    </w:p>
    <w:p>
      <w:pPr>
        <w:ind w:left="980" w:hanging="648"/>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Celldex’s determination to discontinue the development of CDX-0158 (formerly known as KTN0158) was proper and valid under the Merger Agreement;</w:t>
      </w:r>
    </w:p>
    <w:p>
      <w:pPr>
        <w:spacing w:after="0" w:line="1" w:lineRule="exact"/>
        <w:rPr>
          <w:rFonts w:ascii="Arial" w:cs="Arial" w:eastAsia="Arial" w:hAnsi="Arial"/>
          <w:sz w:val="18"/>
          <w:szCs w:val="18"/>
          <w:color w:val="auto"/>
        </w:rPr>
      </w:pPr>
    </w:p>
    <w:p>
      <w:pPr>
        <w:ind w:left="980" w:right="100" w:hanging="648"/>
        <w:spacing w:after="0" w:line="28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 w:lineRule="exact"/>
        <w:rPr>
          <w:rFonts w:ascii="Arial" w:cs="Arial" w:eastAsia="Arial" w:hAnsi="Arial"/>
          <w:sz w:val="16"/>
          <w:szCs w:val="16"/>
          <w:color w:val="auto"/>
        </w:rPr>
      </w:pPr>
    </w:p>
    <w:p>
      <w:pPr>
        <w:ind w:left="980" w:hanging="64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the Merger Agreement, the CDX-0159 program is not a program that results in milestone payments under the Merger Agreement.</w:t>
      </w:r>
    </w:p>
    <w:p>
      <w:pPr>
        <w:spacing w:after="0" w:line="23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case remains ongoing and we are currently unable to predict or estimate the outcome of this matter. The case is currently scheduled for trial in 2022. The parties have agreed to non-binding mediation in May 2021 following SRS’s approach to Celldex about its interest in settlement or mediation discussions.</w:t>
      </w:r>
    </w:p>
    <w:p>
      <w:pPr>
        <w:spacing w:after="0" w:line="16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Following the Company’s discontinuation of the CDX-3379 program, the Company sent a milestone abandonment notice to SRS with respect to Kolltan Milestones related to the CDX-3379 program. In October 2020, the Company received notice that SRS has objected to that notice, seeking further information from the Company.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the COVID-19 pandemic will affect the timing of the completion of our planned and/or currently ongoing preclinical/clinical trials;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cost, delivery and quality of clinical management services provided by our clinical research organization partners;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ind w:left="980" w:right="36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23" w:lineRule="exact"/>
        <w:rPr>
          <w:rFonts w:ascii="Arial" w:cs="Arial" w:eastAsia="Arial" w:hAnsi="Arial"/>
          <w:sz w:val="16"/>
          <w:szCs w:val="16"/>
          <w:color w:val="auto"/>
        </w:rPr>
      </w:pPr>
    </w:p>
    <w:p>
      <w:pPr>
        <w:ind w:left="980" w:right="1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Pharmaceuticals, Inc. (“Kolltan”), and the cost, timing, and outcome of our declaratory judgment action against the Kolltan stockholder representative with respect to certain of those milestones;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right="2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25" w:lineRule="exact"/>
        <w:rPr>
          <w:rFonts w:ascii="Arial" w:cs="Arial" w:eastAsia="Arial" w:hAnsi="Arial"/>
          <w:sz w:val="18"/>
          <w:szCs w:val="18"/>
          <w:color w:val="auto"/>
        </w:rPr>
      </w:pPr>
    </w:p>
    <w:p>
      <w:pPr>
        <w:jc w:val="both"/>
        <w:ind w:left="980" w:right="20" w:hanging="324"/>
        <w:spacing w:after="0" w:line="31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2020 and other reports that we file with the Securities and Exchange Commission</w:t>
      </w:r>
      <w:r>
        <w:rPr>
          <w:rFonts w:ascii="Arial" w:cs="Arial" w:eastAsia="Arial" w:hAnsi="Arial"/>
          <w:sz w:val="16"/>
          <w:szCs w:val="16"/>
          <w:i w:val="1"/>
          <w:iCs w:val="1"/>
          <w:color w:val="auto"/>
        </w:rPr>
        <w:t>.</w:t>
      </w:r>
    </w:p>
    <w:p>
      <w:pPr>
        <w:spacing w:after="0" w:line="14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hanging="324"/>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and potently inhibits its activity, which completed a Phase 1a study in healthy subjects in summer 2020. We are studying CDX-0159 in mast cell driven diseases, including, initially, in urticarias and plan to initiate a study in prurigo nodularis in the fourth quarter of 2021. In October and December 2020 respectively, we announced that enrollment had opened and the first patients had been dosed in Phase 1b studies in chronic spontaneous urticaria (CSU) and chronic inducible urticaria (CIndU). Positive interim data to date from the Phase 1b study in CIndU were reported in late Q1 2021 in patients with cold contact urticaria and symptomatic dermographism and, based on these results, we announced that we are expanding this study to also include patients with cholinergic urticaria;</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 w:name="page17"/>
    <w:bookmarkEnd w:id="16"/>
    <w:p>
      <w:pPr>
        <w:ind w:left="980" w:hanging="324"/>
        <w:spacing w:after="0" w:line="25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CDX-1140, an agonist monoclonal antibody targeted to CD40, a key activator of immune response, currently being studied in a Phase1 study. Dose escalation was completed in a Phase 1 study in solid tumors and lymphoma and the recommended dose for further study was determined to be 1.5 mg/kg for both CDX-1140 monotherapy and in combination with CDX-301, our dendritic cell growth factor. We have initiated multiple expansion cohorts within the study, including a combination cohort with KEYTRUDA® (pembrolizumab) in patients refractory to PD1/PDL1 treatment and a combination cohort with standard of care chemotherapy in patients with untreated metastatic pancreatic cancer. We are exploring additional combination cohorts with mechanisms that we believe could be complementary or synergistic with CDX-1140; and</w:t>
      </w:r>
    </w:p>
    <w:p>
      <w:pPr>
        <w:spacing w:after="0" w:line="194" w:lineRule="exact"/>
        <w:rPr>
          <w:rFonts w:ascii="Arial" w:cs="Arial" w:eastAsia="Arial" w:hAnsi="Arial"/>
          <w:sz w:val="18"/>
          <w:szCs w:val="18"/>
          <w:color w:val="auto"/>
        </w:rPr>
      </w:pPr>
    </w:p>
    <w:p>
      <w:pPr>
        <w:ind w:left="980" w:right="44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several years or more, and the length of time generally varies substantially according to the type, complexity, novelty and intended use of a drug candidate.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is not unusual for the clinical development of these types of drug candidates to each take five years or more, and for total development costs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each drug candidate. We estimate that clinical trials of the type we generally conduct are typically completed over the following timelines: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9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Clinical Phase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10"/>
        </w:trPr>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1 - 2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w w:val="97"/>
              </w:rPr>
              <w:t>1 - 5 Years</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1 - 5 Years</w:t>
            </w: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right="40" w:firstLine="648"/>
        <w:spacing w:after="0" w:line="275" w:lineRule="auto"/>
        <w:rPr>
          <w:sz w:val="20"/>
          <w:szCs w:val="20"/>
          <w:color w:val="auto"/>
        </w:rPr>
      </w:pPr>
      <w:r>
        <w:rPr>
          <w:rFonts w:ascii="Arial" w:cs="Arial" w:eastAsia="Arial" w:hAnsi="Arial"/>
          <w:sz w:val="17"/>
          <w:szCs w:val="17"/>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78"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During the past five years through December 31, 2020, we incurred an aggregate of $350.6 million in research and development expenses. The following table indicates the amount incurred for each of our significant research programs and for other identified research and development activities during the three months ended March 31, 2021 and 2020. The amounts disclosed in the following table reflect direct research and development costs, license fees associated with the underlying technology and an allocation of indirect research and development costs to each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Three Months</w:t>
            </w:r>
          </w:p>
        </w:tc>
      </w:tr>
      <w:tr>
        <w:trPr>
          <w:trHeight w:val="216"/>
        </w:trPr>
        <w:tc>
          <w:tcPr>
            <w:tcW w:w="4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4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March 31, 2021</w:t>
            </w:r>
          </w:p>
        </w:tc>
        <w:tc>
          <w:tcPr>
            <w:tcW w:w="32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Pr>
          <w:p>
            <w:pPr>
              <w:spacing w:after="0"/>
              <w:rPr>
                <w:sz w:val="20"/>
                <w:szCs w:val="20"/>
                <w:color w:val="auto"/>
              </w:rPr>
            </w:pPr>
          </w:p>
        </w:tc>
      </w:tr>
      <w:tr>
        <w:trPr>
          <w:trHeight w:val="237"/>
        </w:trPr>
        <w:tc>
          <w:tcPr>
            <w:tcW w:w="4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CDX-0159/Anti-KIT Program</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CDX-1140 and CDX-301</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CDX-527</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Clinical Development Programs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231F20"/>
        </w:rPr>
        <w:t>While our clinical development programs have not been significantly, negatively impacted by COVID-19 to date, we continue to carefully monitor the evolving situation closely across all our development programs and work to minimize potential impact/disruptions.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CDX-0159</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231F20"/>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 (CIndU), mast cell degranulation plays a central role in the onset and progression of the disease.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right="400" w:firstLine="648"/>
        <w:spacing w:after="0" w:line="342" w:lineRule="auto"/>
        <w:rPr>
          <w:sz w:val="20"/>
          <w:szCs w:val="20"/>
          <w:color w:val="auto"/>
        </w:rPr>
      </w:pPr>
      <w:r>
        <w:rPr>
          <w:rFonts w:ascii="Arial" w:cs="Arial" w:eastAsia="Arial" w:hAnsi="Arial"/>
          <w:sz w:val="16"/>
          <w:szCs w:val="16"/>
          <w:color w:val="231F20"/>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231F20"/>
        </w:rPr>
        <w:t>In June 2020, we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166" w:lineRule="exact"/>
        <w:rPr>
          <w:sz w:val="20"/>
          <w:szCs w:val="20"/>
          <w:color w:val="auto"/>
        </w:rPr>
      </w:pPr>
    </w:p>
    <w:p>
      <w:pPr>
        <w:ind w:left="980" w:right="540" w:hanging="324"/>
        <w:spacing w:after="0" w:line="308" w:lineRule="auto"/>
        <w:tabs>
          <w:tab w:leader="none" w:pos="98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Most common adverse events were mild infusion-related reactions, all of which spontaneously resolved without intervention. Mild and asymptomatic decreases in neutrophil and white blood cell count were observed in laboratory testing.</w:t>
      </w:r>
    </w:p>
    <w:p>
      <w:pPr>
        <w:spacing w:after="0" w:line="146" w:lineRule="exact"/>
        <w:rPr>
          <w:rFonts w:ascii="Arial" w:cs="Arial" w:eastAsia="Arial" w:hAnsi="Arial"/>
          <w:sz w:val="17"/>
          <w:szCs w:val="17"/>
          <w:color w:val="231F20"/>
        </w:rPr>
      </w:pPr>
    </w:p>
    <w:p>
      <w:pPr>
        <w:ind w:left="980" w:right="140" w:hanging="324"/>
        <w:spacing w:after="0" w:line="257" w:lineRule="auto"/>
        <w:tabs>
          <w:tab w:leader="none" w:pos="9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 single dose of CDX-0159 suppressed plasma tryptase levels in a dose-dependent manner, indicative of systemic mast cell suppression. Tryptase suppression below the level of detection was observed after a single 1.0 mg/kg dose and was maintained for more than 2 months at single doses of both 3.0 and 9.0 mg/kg of CDX-0159. A subset of subjects from the 3mg/kg and 9 mg/kg cohorts agreed to continued follow up for tryptase suppression which remained below the level of detection for over 3 months (14 weeks) in 50% of subjects and over 4 months (18 weeks) in all subjects, respectively.</w:t>
      </w:r>
    </w:p>
    <w:p>
      <w:pPr>
        <w:spacing w:after="0" w:line="187" w:lineRule="exact"/>
        <w:rPr>
          <w:rFonts w:ascii="Arial" w:cs="Arial" w:eastAsia="Arial" w:hAnsi="Arial"/>
          <w:sz w:val="18"/>
          <w:szCs w:val="18"/>
          <w:color w:val="231F20"/>
        </w:rPr>
      </w:pPr>
    </w:p>
    <w:p>
      <w:pPr>
        <w:ind w:left="980" w:right="20" w:hanging="324"/>
        <w:spacing w:after="0" w:line="277" w:lineRule="auto"/>
        <w:tabs>
          <w:tab w:leader="none" w:pos="9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Dose dependent increases in plasma stem cell factor mirror decreases in tryptase, consistent with allosteric blockade of stem cell factor to KIT and demonstrate complete target engagement in vivo.</w:t>
      </w:r>
    </w:p>
    <w:p>
      <w:pPr>
        <w:spacing w:after="0" w:line="170" w:lineRule="exact"/>
        <w:rPr>
          <w:rFonts w:ascii="Arial" w:cs="Arial" w:eastAsia="Arial" w:hAnsi="Arial"/>
          <w:sz w:val="18"/>
          <w:szCs w:val="18"/>
          <w:color w:val="231F20"/>
        </w:rPr>
      </w:pPr>
    </w:p>
    <w:p>
      <w:pPr>
        <w:ind w:left="980" w:hanging="324"/>
        <w:spacing w:after="0"/>
        <w:tabs>
          <w:tab w:leader="none" w:pos="9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Long serum half-life and non-immunogenic profile support a convenient dosing schedule.</w:t>
      </w:r>
    </w:p>
    <w:p>
      <w:pPr>
        <w:spacing w:after="0" w:line="225" w:lineRule="exact"/>
        <w:rPr>
          <w:rFonts w:ascii="Arial" w:cs="Arial" w:eastAsia="Arial" w:hAnsi="Arial"/>
          <w:sz w:val="18"/>
          <w:szCs w:val="18"/>
          <w:color w:val="231F20"/>
        </w:rPr>
      </w:pPr>
    </w:p>
    <w:p>
      <w:pPr>
        <w:ind w:left="980" w:hanging="324"/>
        <w:spacing w:after="0"/>
        <w:tabs>
          <w:tab w:leader="none" w:pos="98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Enhanced PK profile and durable tryptase suppression at low doses support re-formulation for sub-cutaneous administration.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231F20"/>
        </w:rPr>
        <w:t>These data supported expansion of the CDX-0159 program into mast cell driven diseases, including initially in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and dermographism (scratch-induced) urticarias.</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231F20"/>
        </w:rPr>
        <w:t>In October 2020, we announced that enrollment had opened and the first patient had been dosed in a Phase 1b multi-center study of CDX-0159 in CSU. This study is a randomized, double-blind, placebo-controlled clinical trial designed to assess the safety of multiple ascending doses of CDX-0159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CDX-0159 is administered intravenously (0.5, 1.5, 3 and 4.5 mg/kg at varying dosing schedules) as add on treatment to H1-antihistamines, either alone or in combination with H2-antihistamines and/or leukotriene receptor agonists.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right="20" w:firstLine="648"/>
        <w:spacing w:after="0" w:line="272" w:lineRule="auto"/>
        <w:rPr>
          <w:sz w:val="20"/>
          <w:szCs w:val="20"/>
          <w:color w:val="auto"/>
        </w:rPr>
      </w:pPr>
      <w:r>
        <w:rPr>
          <w:rFonts w:ascii="Arial" w:cs="Arial" w:eastAsia="Arial" w:hAnsi="Arial"/>
          <w:sz w:val="17"/>
          <w:szCs w:val="17"/>
          <w:color w:val="231F20"/>
        </w:rPr>
        <w:t>In December 2020, we announced that enrollment had opened and the first patient had been dosed in a second Phase 1b study in CIndU being conducted in Germany. This study is an open label clinical trial designed to evaluate the safety of a single dose of CDX-0159 in up to 20 patients with cold contact urticaria (n=10) or symptomatic dermographism (n=10) who are refractory to antihistamines.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CDX-0159 is administered intravenously (3.0 mg/kg) on Day 1 as add on treatment to H1-antihistamines.</w:t>
      </w:r>
    </w:p>
    <w:p>
      <w:pPr>
        <w:spacing w:after="0" w:line="17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231F20"/>
        </w:rPr>
        <w:t>In March of 2021, we reported positive interim data from the Phase 1b study in CIndU in patients with cold contact urticaria and symptomatic dermographism. Fifteen out of 20 planned patients with antihistamine refractory CIndU had received a single intravenous infusion of CDX-0159 at 3 mg/kg, including nine patients with cold contact urticaria (ColdU) and six patients with symptomatic dermographism (SD). Safety results were reported for all 15 patients; activity results were reported for all patients assessed for at least 15 days/2 weeks after treatment (n=10; 7 ColdU and 3 SD). Patients had high disease activity as assessed by provocation threshold testing. In ColdU and SD pts, baseline critical temperature thresholds were 18.7 +/-2.7°C (range: 5-27°C) and FricTest® thresholds were 3.7 +/- 0.3 (range: 3-4) of 4.</w:t>
      </w:r>
    </w:p>
    <w:p>
      <w:pPr>
        <w:spacing w:after="0" w:line="178" w:lineRule="exact"/>
        <w:rPr>
          <w:sz w:val="20"/>
          <w:szCs w:val="20"/>
          <w:color w:val="auto"/>
        </w:rPr>
      </w:pPr>
    </w:p>
    <w:p>
      <w:pPr>
        <w:ind w:left="980" w:right="100" w:hanging="324"/>
        <w:spacing w:after="0" w:line="259" w:lineRule="auto"/>
        <w:tabs>
          <w:tab w:leader="none" w:pos="9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Eight of 10 patients (7 ColdU; 1 SD) experienced a complete response (CR) as assessed by provocation threshold testing. The remaining two patients (both with SD), had been recently treated and were followed for two weeks. One patient experienced a partial response (PR) thus far and one patient reported symptomatic improvement (decreased itching). All patients will continue to be assessed for response through week 12.</w:t>
      </w:r>
    </w:p>
    <w:p>
      <w:pPr>
        <w:spacing w:after="0" w:line="186" w:lineRule="exact"/>
        <w:rPr>
          <w:rFonts w:ascii="Arial" w:cs="Arial" w:eastAsia="Arial" w:hAnsi="Arial"/>
          <w:sz w:val="18"/>
          <w:szCs w:val="18"/>
          <w:color w:val="231F20"/>
        </w:rPr>
      </w:pPr>
    </w:p>
    <w:p>
      <w:pPr>
        <w:ind w:left="980" w:hanging="324"/>
        <w:spacing w:after="0"/>
        <w:tabs>
          <w:tab w:leader="none" w:pos="98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Patient global assessment (Pat-GA) and physician global assessment (Phy-GA) results were consistent with provocation testing results.</w:t>
      </w:r>
    </w:p>
    <w:p>
      <w:pPr>
        <w:spacing w:after="0" w:line="236" w:lineRule="exact"/>
        <w:rPr>
          <w:rFonts w:ascii="Arial" w:cs="Arial" w:eastAsia="Arial" w:hAnsi="Arial"/>
          <w:sz w:val="17"/>
          <w:szCs w:val="17"/>
          <w:color w:val="231F20"/>
        </w:rPr>
      </w:pPr>
    </w:p>
    <w:p>
      <w:pPr>
        <w:ind w:left="980" w:right="260" w:hanging="324"/>
        <w:spacing w:after="0" w:line="263" w:lineRule="auto"/>
        <w:tabs>
          <w:tab w:leader="none" w:pos="9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Measurements of serum tryptase levels are available for only the first six patients evaluated for activity, all with ColdU. The mean baseline was 3.3 +/- 0.2 ng/ml and levels on day 15 after treatment were at or below the limit of detection. These patients all experienced complete responses.</w:t>
      </w:r>
    </w:p>
    <w:p>
      <w:pPr>
        <w:spacing w:after="0" w:line="183" w:lineRule="exact"/>
        <w:rPr>
          <w:rFonts w:ascii="Arial" w:cs="Arial" w:eastAsia="Arial" w:hAnsi="Arial"/>
          <w:sz w:val="18"/>
          <w:szCs w:val="18"/>
          <w:color w:val="231F20"/>
        </w:rPr>
      </w:pPr>
    </w:p>
    <w:p>
      <w:pPr>
        <w:ind w:left="980" w:hanging="324"/>
        <w:spacing w:after="0" w:line="275" w:lineRule="auto"/>
        <w:tabs>
          <w:tab w:leader="none" w:pos="98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CDX-0159 was generally well tolerated. Six of 15 patients had mild infusion reactions, generally areas of localized redness and itching, which resolved rapidly. A single severe infusion reaction was observed (brief loss of consciousness, followed by shaking and sweating). The patient was treated with antihistamines and steroids; no epinephrine was administered. The patient rapidly recovered and was hospitalized for observation with no further manifestations of this event. Importantly, there was no evidence of mast cell activation as measured by decreases in serum tryptase levels shortly after the infusion and further at a later time point.</w:t>
      </w:r>
    </w:p>
    <w:p>
      <w:pPr>
        <w:spacing w:after="0" w:line="176" w:lineRule="exact"/>
        <w:rPr>
          <w:rFonts w:ascii="Arial" w:cs="Arial" w:eastAsia="Arial" w:hAnsi="Arial"/>
          <w:sz w:val="17"/>
          <w:szCs w:val="17"/>
          <w:color w:val="231F20"/>
        </w:rPr>
      </w:pPr>
    </w:p>
    <w:p>
      <w:pPr>
        <w:ind w:left="980" w:hanging="324"/>
        <w:spacing w:after="0"/>
        <w:tabs>
          <w:tab w:leader="none" w:pos="98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Through day 15, three patients had transient, mild decreases in hemoglobin, and no patients had meaningful declines in white blood cells.</w:t>
      </w:r>
    </w:p>
    <w:p>
      <w:pPr>
        <w:spacing w:after="0" w:line="248" w:lineRule="exact"/>
        <w:rPr>
          <w:rFonts w:ascii="Arial" w:cs="Arial" w:eastAsia="Arial" w:hAnsi="Arial"/>
          <w:sz w:val="16"/>
          <w:szCs w:val="16"/>
          <w:color w:val="231F20"/>
        </w:rPr>
      </w:pPr>
    </w:p>
    <w:p>
      <w:pPr>
        <w:ind w:left="980" w:right="180" w:hanging="324"/>
        <w:spacing w:after="0" w:line="277" w:lineRule="auto"/>
        <w:tabs>
          <w:tab w:leader="none" w:pos="98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Enrollment is currently being completed in the ColdU and SD cohorts (10 per cohort; 20 total). Based on these compelling results, the study has been expanded to also include 10 patients with cholinergic urticaria.</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231F20"/>
        </w:rPr>
        <w:t>We continue to assess potential opportunities for CDX-0159 in other diseases where mast cells play an important role, such as dermatologic, respiratory, allergic, gastrointestinal and ophthalmic conditions. In February of 2021, we announced that we plan to expand clinical development of CDX-0159 into prurigo nodularis (PN),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Celldex anticipates initiating the study in PN in the fourth quarter of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200" w:firstLine="648"/>
        <w:spacing w:after="0" w:line="277" w:lineRule="auto"/>
        <w:rPr>
          <w:sz w:val="20"/>
          <w:szCs w:val="20"/>
          <w:color w:val="auto"/>
        </w:rPr>
      </w:pPr>
      <w:r>
        <w:rPr>
          <w:rFonts w:ascii="Arial" w:cs="Arial" w:eastAsia="Arial" w:hAnsi="Arial"/>
          <w:sz w:val="18"/>
          <w:szCs w:val="18"/>
          <w:color w:val="231F20"/>
        </w:rPr>
        <w:t>Manufacturing activities are also progressing as planned to support the introduction of the CDX-0159 subcutaneous formulation into the clinical program in the third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CDX-1140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231F20"/>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231F20"/>
        </w:rPr>
        <w:t>We initiated a Phase 1 study of CDX-1140 in November 2017. This study is expected to enroll up to approximately 260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231F20"/>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178"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231F20"/>
        </w:rPr>
        <w:t>Prior data presented at Society for Immunotherapy of Cancer’s (SITC) 34th Annual Meeting in November 2019 established the maximum tolerated dose (MTD) and recommended dose for continued study at 1.5 mg/kg — one of the highest systemic dose levels in the CD40 agonist class. Clinical activity both as a monotherapy and in combination with CDX-301 were also reported for CDX-1140 at varying doses, including an unconfirmed partial response (uPR) and tumor cavitation. At SITC 2020, analysis was focused on patients treated at the MTD and recommended dose of 1.5 mg/kg. 41 patients (n=25 monotherapy; n=16 in combination with CDX-301) had been treated at the 1.5 mg/kg dose at the time of data cutoff; 29 patients had post-treatment scans performed and five patients had not reached their first post-treatment response assessment. In addition, preliminary safety data from the combination cohort with pembrolizumab (n=9; 4 at 0.72 mg/kg and 5 at 1.5 mg/kg CDX-1140) were also presented. CDX-1140 monotherapy and in combination with CDX-301 or pembrolizumab was generally well tolerated with mostly grade 1 or grade 2 drug related adverse events. Activity at 1.5mg/kg dose of CDX-1140 to date included:</w:t>
      </w:r>
    </w:p>
    <w:p>
      <w:pPr>
        <w:spacing w:after="0" w:line="181" w:lineRule="exact"/>
        <w:rPr>
          <w:sz w:val="20"/>
          <w:szCs w:val="20"/>
          <w:color w:val="auto"/>
        </w:rPr>
      </w:pPr>
    </w:p>
    <w:p>
      <w:pPr>
        <w:ind w:left="980" w:right="240" w:hanging="324"/>
        <w:spacing w:after="0" w:line="277" w:lineRule="auto"/>
        <w:tabs>
          <w:tab w:leader="none" w:pos="98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An ongoing (6+ months) complete response (CR) in a patient with follicular lymphoma treated with CDX-1140 in combination with CDX-301;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980" w:right="620" w:hanging="324"/>
        <w:spacing w:after="0" w:line="308" w:lineRule="auto"/>
        <w:tabs>
          <w:tab w:leader="none" w:pos="980"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Notable tumor shrinkage and/or necrosis in 6 patients with squamous cell head and neck cancer (SCCHN), including extensive tumor cavitation/necrosis of a large baseline protruding neck mass associated with decreased tumor pain in a patient; and,</w:t>
      </w:r>
    </w:p>
    <w:p>
      <w:pPr>
        <w:spacing w:after="0" w:line="146" w:lineRule="exact"/>
        <w:rPr>
          <w:rFonts w:ascii="Arial" w:cs="Arial" w:eastAsia="Arial" w:hAnsi="Arial"/>
          <w:sz w:val="17"/>
          <w:szCs w:val="17"/>
          <w:color w:val="231F20"/>
        </w:rPr>
      </w:pPr>
    </w:p>
    <w:p>
      <w:pPr>
        <w:ind w:left="980" w:hanging="324"/>
        <w:spacing w:after="0"/>
        <w:tabs>
          <w:tab w:leader="none" w:pos="98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Stable disease (n=10) for 11 to 32 weeks.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231F20"/>
        </w:rPr>
        <w:t>CDX-1140 at the recommended dose of 1.5 mg/kg provided good systemic exposure that enhanced the distribution into tissues and tumor and resulted in marked changes in the tumor microenvironment (TME) consistent with a more inflammatory and less immunosuppressive state as demonstrated by gene expression analysis. Interferon signaling and cytotoxicity pathways were most highly upregulated, while immunosuppression via TGFb signaling and metastatic pathways were downregulated, marking the first clear demonstration in patients of biological activity within the TME for a systemically administered agonist anti-CD40 mAb. Pre-treatment of patients with CDX-301 greatly increased the number of circulating dendritic cells prior to CDX-1140 administration and peripheral blood mononuclear cells (PBMCs) isolated from CDX-301 pretreated patients were more responsive to CDX-1140 than PBMCs from non-pretreated patients.</w:t>
      </w:r>
    </w:p>
    <w:p>
      <w:pPr>
        <w:spacing w:after="0" w:line="17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231F20"/>
        </w:rPr>
        <w:t>Two combination cohorts are ongoing. A combination of CDX-1140 with pembrolizumab has completed the safety run-in and expansion cohorts in patients with checkpoint-refractory squamous cell head and neck cancer and non-small cell lung cancer is enrolling patients. A combination of CDX-1140 with gemcitabine/nab-paclitaxel in patients with previously untreated metastatic pancreatic adenocarcinoma is also enrolling patients. We are also exploring additional combination cohorts with mechanisms that we believe could be complementary or synergistic with CDX-1140.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CDX-527</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231F20"/>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231F20"/>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231F20"/>
        </w:rPr>
        <w:t xml:space="preserve">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w:t>
      </w:r>
      <w:r>
        <w:rPr>
          <w:rFonts w:ascii="Arial" w:cs="Arial" w:eastAsia="Arial" w:hAnsi="Arial"/>
          <w:sz w:val="18"/>
          <w:szCs w:val="18"/>
          <w:color w:val="000000"/>
        </w:rPr>
        <w:t>subsequent expansion phase. The expansion is designed to further evaluate the tolerability, and biologic and anti-tumor effects of selected dose level(s) of CDX-527 in specific tumor types. Enrollment is ongoing.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2020 for a discussion of our critical accounting policies. There have been no material changes to such critical accounting policies. We believe our most critical accounting policies include accounting for contingent consideration, revenue recognition, intangible and long-lived assets, research and development expenses and stock-based compensation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9"/>
              </w:rPr>
              <w:t>Increase/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6"/>
              </w:rPr>
              <w:t>(Decrease)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gridSpan w:val="5"/>
          </w:tcPr>
          <w:p>
            <w:pPr>
              <w:jc w:val="right"/>
              <w:ind w:right="921"/>
              <w:spacing w:after="0"/>
              <w:rPr>
                <w:sz w:val="20"/>
                <w:szCs w:val="20"/>
                <w:color w:val="auto"/>
              </w:rPr>
            </w:pPr>
            <w:r>
              <w:rPr>
                <w:rFonts w:ascii="Arial" w:cs="Arial" w:eastAsia="Arial" w:hAnsi="Arial"/>
                <w:sz w:val="18"/>
                <w:szCs w:val="18"/>
                <w:b w:val="1"/>
                <w:bCs w:val="1"/>
                <w:color w:val="auto"/>
              </w:rPr>
              <w:t>(In thousands)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(2,283)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Contracts and grants</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240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11,695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4,121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3,666</w:t>
            </w: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455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on fair value remeasurement of contingent consideration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(141)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$3.9 million increase in net loss for the three months ended March 31, 2021, as compared to the three months ended March 31, 2020, was primarily the result of a decrease in revenue from product development and licensing agreements and an increase in research and development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agreement with Rockefeller University, as amended, (the “Rockefeller Agreement”) provides for the Company to perform manufacturing and development services for Rockefeller University for their portfolio of antibodies against HIV. This portfolio was licensed to Gilead Sciences in January 2020 from Rockefeller University (“Rockefeller Transaction”). The $2.3 million decrease in product development and licensing agreements revenue for the three months ended March 31, 2021, as compared to the three months ended March 31, 2020, was primarily due to the $1.8 million received from the Rockefeller Transaction in the first quarter of 2020. The $0.2 million increase in contracts and grants revenue for the three months ended March 31, 2021, as compared to the three months ended March 31, 2020, was primarily due to an increase in services performed under our contract manufacturing and research and development agreements with Rockefeller University and Gilead Sciences. We expect revenue to increase over the next twelve months as a result of an increase in services expected to be performed under our contract manufacturing and research and development agreements with Rockefeller University and Gilead Sciences.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360" w:type="dxa"/>
            <w:vAlign w:val="bottom"/>
            <w:gridSpan w:val="5"/>
          </w:tcPr>
          <w:p>
            <w:pPr>
              <w:jc w:val="center"/>
              <w:ind w:left="336"/>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w w:val="93"/>
              </w:rPr>
              <w:t>March 31,</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37"/>
        </w:trPr>
        <w:tc>
          <w:tcPr>
            <w:tcW w:w="5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shd w:val="clear" w:color="auto" w:fill="CCEEFF"/>
          </w:tcPr>
          <w:p>
            <w:pPr>
              <w:jc w:val="right"/>
              <w:ind w:right="63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6,038</w:t>
            </w:r>
          </w:p>
        </w:tc>
        <w:tc>
          <w:tcPr>
            <w:tcW w:w="9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5,616</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Laboratory supplies</w:t>
            </w:r>
          </w:p>
        </w:tc>
        <w:tc>
          <w:tcPr>
            <w:tcW w:w="8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1,760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1,460</w:t>
            </w:r>
          </w:p>
        </w:tc>
        <w:tc>
          <w:tcPr>
            <w:tcW w:w="7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1,255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1,730</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Product development</w:t>
            </w:r>
          </w:p>
        </w:tc>
        <w:tc>
          <w:tcPr>
            <w:tcW w:w="8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2,762</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1,806</w:t>
            </w:r>
          </w:p>
        </w:tc>
        <w:tc>
          <w:tcPr>
            <w:tcW w:w="7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956</w:t>
            </w:r>
          </w:p>
        </w:tc>
        <w:tc>
          <w:tcPr>
            <w:tcW w:w="3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$0.4 million increase in personnel expenses for the three months ended March 31, 2021, as compared to the three months ended March 31, 2020, was primarily due to higher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$0.3 million increase in laboratory supply expenses for the three months ended March 31, 2021, as compared to the three months ended March 31, 2020, was primarily due to higher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$0.5 million decrease in facility expenses for the three months ended March 31, 2021, as compared to the three months ended March 31, 2020, was primarily due to lower rent and depreciation expenses. We expect facility expenses to remain relatively consistent over the next twelve months, although there may be fluctuations on a quarterly basis.</w:t>
      </w:r>
    </w:p>
    <w:p>
      <w:pPr>
        <w:spacing w:after="0" w:line="1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$1.0 million increase in product development expenses for the three months ended March 31, 2021, as compared to the three months ended March 31, 2020, was primarily due to an increase in contract research and clinical trial expenses. We expect product development expenses to increase over the next twelve months, although there may be fluctuations on a quarterly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$0.5 million increase in general and administrative expenses for the three months ended March 31, 2021, as compared to the three months ended March 31, 2020, was primarily due to higher stock-based compensation expense. We expect general and administrative expenses to remain relatively consistent over the next twelve months, although there may be fluctuations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Fair Value Remeasurement of Contingent Consideration</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$0.5 million loss on fair value remeasurement of contingent consideration for the three months ended March 31, 2021 was primarily due to changes in discount rates and the passage of time. The $0.2 million loss on fair value remeasurement of contingent consideration for the three months ended March 31, 2020 was primarily due to the passage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$0.1 million decrease in investment and other income, net for the three months ended March 31, 2021, as compared to the three months ended March 31, 2020, was primarily due to lower interest rates on fixed income investments. We expect investment and other income to remain relatively consistent over the next twelve months, although there may be fluctuations on a quarterly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March 31, 2021, our principal sources of liquidity consisted of cash, cash equivalents and marketable securities of $176.1 million. We have had recurring losses and incurred a loss of $16.5 million for the three months ended March 31, 2021. Net cash used in operations for the three months ended March 31, 2021 was $18.1 million. We believe that the cash, cash equivalents and marketable securities at March 31, 2021 are sufficient to meet estimated working capital requirements and fund planned operations through 2023. This could be impacted if we elect to pay Kolltan contingent milestones, if any, in cash.</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Net cash used in operating activities was $18.1 million for the three months ended March 31, 2021 as compared to $12.1 million for the three months ended March 31, 2020. The increase in net cash used in operating activities was primarily due to a decrease in cash received related to product development and licensing agreements and an increase in research and development and general and administrative expenses. We expect that cash used in operating activities will remain relatively consistent over the next twelve months, although there may be fluctuations on a quarterly basis.</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Net cash provided by investing activities was $43.5 million for the three months ended March 31, 2021 as compared to $22.0 million for the three months ended March 31, 2020. The increase in net cash provided by investing activities was primarily due to net sales and maturities of marketable securities of $44.0 million for the three months ended March 31, 2021 as compared to $22.2 million for the three months ended March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Net cash provided by financing activities was $0.1 million for the three months ended March 31, 2021 as compared to $1.6 million for the three months ended March 31, 2020. The decrease in net cash provided by financing activities was primarily due to a decrease in net proceeds from stock issuances.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2020 which was filed with the SEC on March 29, 2021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March 31, 2021 due to the short-term maturities of these instruments.</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6" w:name="page27"/>
    <w:bookmarkEnd w:id="26"/>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March 31, 2021,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2021.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2021 that have materially affected, or are reasonably likely to materially affect, our internal control over financial reporting.</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231F20"/>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Specifically, Celldex sought the entry of an order declaring that:</w:t>
      </w:r>
    </w:p>
    <w:p>
      <w:pPr>
        <w:spacing w:after="0" w:line="192"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Celldex’s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231F20"/>
        </w:rPr>
      </w:pPr>
    </w:p>
    <w:p>
      <w:pPr>
        <w:ind w:left="980" w:right="120" w:hanging="324"/>
        <w:spacing w:after="0" w:line="342" w:lineRule="auto"/>
        <w:tabs>
          <w:tab w:leader="none" w:pos="98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the Milestone Abandonment Notice dated December 5, 2018 from Celldex was valid and effective under the Merger Agreement and that the “Successful Completion of Phase I Clinical Trial for KTN0158” Milestone has not been achieved and has properly been abandoned; and</w:t>
      </w:r>
    </w:p>
    <w:p>
      <w:pPr>
        <w:spacing w:after="0" w:line="123" w:lineRule="exact"/>
        <w:rPr>
          <w:rFonts w:ascii="Arial" w:cs="Arial" w:eastAsia="Arial" w:hAnsi="Arial"/>
          <w:sz w:val="16"/>
          <w:szCs w:val="16"/>
          <w:color w:val="231F20"/>
        </w:rPr>
      </w:pPr>
    </w:p>
    <w:p>
      <w:pPr>
        <w:ind w:left="980" w:hanging="324"/>
        <w:spacing w:after="0"/>
        <w:tabs>
          <w:tab w:leader="none" w:pos="980" w:val="left"/>
        </w:tabs>
        <w:numPr>
          <w:ilvl w:val="0"/>
          <w:numId w:val="13"/>
        </w:numPr>
        <w:rPr>
          <w:rFonts w:ascii="Arial" w:cs="Arial" w:eastAsia="Arial" w:hAnsi="Arial"/>
          <w:sz w:val="17"/>
          <w:szCs w:val="17"/>
          <w:color w:val="231F20"/>
        </w:rPr>
      </w:pPr>
      <w:r>
        <w:rPr>
          <w:rFonts w:ascii="Arial" w:cs="Arial" w:eastAsia="Arial" w:hAnsi="Arial"/>
          <w:sz w:val="17"/>
          <w:szCs w:val="17"/>
          <w:color w:val="231F20"/>
        </w:rPr>
        <w:t>under the Merger Agreement, the CDX-0159 program is not a program that results in milestone payments under the Merger Agreement.</w:t>
      </w:r>
    </w:p>
    <w:p>
      <w:pPr>
        <w:spacing w:after="0" w:line="23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231F20"/>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CDX-0159 program is in essence an extension of the CDX-0158 (formerly KTN0158) program. The case remains ongoing and we are currently unable to predict or estimate the outcome of this matter. The case is currently scheduled for trial in 2022. The parties have agreed to non-binding mediation in May 2021 following SRS’s approach to Celldex about its interest in settlement or mediation discussions.</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2020,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29, 2021.</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8" w:name="page29"/>
    <w:bookmarkEnd w:id="28"/>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920" w:type="dxa"/>
            <w:vAlign w:val="bottom"/>
            <w:gridSpan w:val="3"/>
          </w:tcPr>
          <w:p>
            <w:pPr>
              <w:ind w:left="16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1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980" w:type="dxa"/>
            <w:vAlign w:val="bottom"/>
            <w:gridSpan w:val="2"/>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President and Chief Executive Officer</w:t>
              </w:r>
            </w:hyperlink>
          </w:p>
        </w:tc>
        <w:tc>
          <w:tcPr>
            <w:tcW w:w="5980" w:type="dxa"/>
            <w:vAlign w:val="bottom"/>
            <w:tcBorders>
              <w:top w:val="single" w:sz="8" w:color="auto"/>
            </w:tcBorders>
            <w:gridSpan w:val="2"/>
          </w:tcPr>
          <w:p>
            <w:pPr>
              <w:spacing w:after="0"/>
              <w:rPr>
                <w:sz w:val="14"/>
                <w:szCs w:val="14"/>
                <w:color w:val="auto"/>
              </w:rPr>
            </w:pPr>
          </w:p>
        </w:tc>
      </w:tr>
      <w:tr>
        <w:trPr>
          <w:trHeight w:val="196"/>
        </w:trPr>
        <w:tc>
          <w:tcPr>
            <w:tcW w:w="42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Senior Vice President and Chief Financial Officer</w:t>
              </w:r>
            </w:hyperlink>
          </w:p>
        </w:tc>
        <w:tc>
          <w:tcPr>
            <w:tcW w:w="5140" w:type="dxa"/>
            <w:vAlign w:val="bottom"/>
          </w:tcPr>
          <w:p>
            <w:pPr>
              <w:spacing w:after="0"/>
              <w:rPr>
                <w:sz w:val="17"/>
                <w:szCs w:val="17"/>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**32.1</w:t>
              </w:r>
            </w:hyperlink>
          </w:p>
        </w:tc>
        <w:tc>
          <w:tcPr>
            <w:tcW w:w="220" w:type="dxa"/>
            <w:vAlign w:val="bottom"/>
          </w:tcPr>
          <w:p>
            <w:pPr>
              <w:spacing w:after="0"/>
              <w:rPr>
                <w:sz w:val="17"/>
                <w:szCs w:val="17"/>
                <w:color w:val="auto"/>
              </w:rPr>
            </w:pPr>
          </w:p>
        </w:tc>
        <w:tc>
          <w:tcPr>
            <w:tcW w:w="988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Section 1350 Certifications</w:t>
              </w:r>
            </w:hyperlink>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hanging="628"/>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20" w:hanging="588"/>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CELLDEX THERAPEUTICS,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6, 2021</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460" w:hanging="331"/>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457"/>
        <w:spacing w:after="0" w:line="263" w:lineRule="auto"/>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457"/>
        <w:spacing w:after="0" w:line="263" w:lineRule="auto"/>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457"/>
        <w:spacing w:after="0" w:line="342" w:lineRule="auto"/>
        <w:tabs>
          <w:tab w:leader="none" w:pos="114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457"/>
        <w:spacing w:after="0" w:line="263" w:lineRule="auto"/>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457"/>
        <w:spacing w:after="0" w:line="342" w:lineRule="auto"/>
        <w:tabs>
          <w:tab w:leader="none" w:pos="114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457"/>
        <w:spacing w:after="0" w:line="277" w:lineRule="auto"/>
        <w:tabs>
          <w:tab w:leader="none" w:pos="11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260" w:right="180" w:hanging="577"/>
        <w:spacing w:after="0" w:line="263"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60" w:right="100" w:hanging="577"/>
        <w:spacing w:after="0" w:line="263"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260" w:right="260" w:hanging="577"/>
        <w:spacing w:after="0" w:line="342"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right="260" w:hanging="577"/>
        <w:spacing w:after="0" w:line="263"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60" w:right="500" w:hanging="577"/>
        <w:spacing w:after="0" w:line="342" w:lineRule="auto"/>
        <w:tabs>
          <w:tab w:leader="none" w:pos="12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200" w:hanging="577"/>
        <w:spacing w:after="0" w:line="277"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500" w:type="dxa"/>
            <w:vAlign w:val="bottom"/>
          </w:tcPr>
          <w:p>
            <w:pPr>
              <w:spacing w:after="0"/>
              <w:rPr>
                <w:sz w:val="16"/>
                <w:szCs w:val="16"/>
                <w:color w:val="auto"/>
              </w:rPr>
            </w:pPr>
          </w:p>
        </w:tc>
        <w:tc>
          <w:tcPr>
            <w:tcW w:w="270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2021-05-06T15:32:44Z</dcterms:created>
  <dcterms:modified xsi:type="dcterms:W3CDTF">2021-05-06T15:32:44Z</dcterms:modified>
</cp:coreProperties>
</file>